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235pt;height:105pt;margin-top:13pt;margin-left:583pt;mso-position-horizontal-relative:page;mso-position-vertical-relative:page;position:absolute;z-index:251658240" coordorigin="11660,260" coordsize="4700,21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700;height:2100;left:11660;position:absolute;top:260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700;height:2100;left:11660;position:absolute;top:260" filled="f" stroked="f">
              <v:textbox inset="0,0,0,0">
                <w:txbxContent>
                  <w:p>
                    <w:pPr>
                      <w:spacing w:before="195" w:line="271" w:lineRule="auto"/>
                      <w:ind w:left="257" w:right="255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院系：化学系姓名：张大乐</w:t>
                    </w:r>
                  </w:p>
                  <w:p>
                    <w:pPr>
                      <w:spacing w:before="3"/>
                      <w:ind w:left="257" w:right="0" w:firstLine="0"/>
                      <w:jc w:val="left"/>
                      <w:rPr>
                        <w:rFonts w:ascii="Arial Narrow" w:eastAsia="Arial Narrow"/>
                        <w:sz w:val="31"/>
                      </w:rPr>
                    </w:pPr>
                    <w:r>
                      <w:rPr>
                        <w:w w:val="105"/>
                        <w:sz w:val="31"/>
                      </w:rPr>
                      <w:t>学号：</w:t>
                    </w:r>
                    <w:r>
                      <w:rPr>
                        <w:rFonts w:ascii="Arial Narrow" w:eastAsia="Arial Narrow"/>
                        <w:w w:val="105"/>
                        <w:sz w:val="31"/>
                      </w:rPr>
                      <w:t>20420232202337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5"/>
        </w:rPr>
      </w:pPr>
    </w:p>
    <w:p>
      <w:pPr>
        <w:pStyle w:val="Title"/>
      </w:pPr>
      <w:r>
        <w:rPr>
          <w:w w:val="95"/>
        </w:rPr>
        <w:t>阿司匹林产品技术方案</w:t>
      </w:r>
    </w:p>
    <w:p>
      <w:pPr>
        <w:pStyle w:val="BodyText"/>
        <w:spacing w:before="7"/>
        <w:rPr>
          <w:b/>
          <w:sz w:val="18"/>
        </w:rPr>
      </w:pPr>
      <w:r>
        <w:pict>
          <v:group id="_x0000_s1028" style="width:637.15pt;height:70pt;margin-top:13.86pt;margin-left:132pt;mso-position-horizontal-relative:page;mso-wrap-distance-left:0;mso-wrap-distance-right:0;position:absolute;z-index:-251656192" coordorigin="2640,277" coordsize="12743,1400">
            <v:shape id="_x0000_s1029" type="#_x0000_t75" style="width:12620;height:1400;left:2640;position:absolute;top:277" stroked="f">
              <v:imagedata r:id="rId6" o:title=""/>
            </v:shape>
            <v:shape id="_x0000_s1030" type="#_x0000_t202" style="width:1460;height:360;left:2703;position:absolute;top:3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【摘要】</w:t>
                    </w:r>
                  </w:p>
                </w:txbxContent>
              </v:textbox>
            </v:shape>
            <v:shape id="_x0000_s1031" type="#_x0000_t202" style="width:10853;height:352;left:4348;position:absolute;top:367" filled="f" stroked="f">
              <v:textbox inset="0,0,0,0">
                <w:txbxContent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阿司匹林是一种历史悠久的解热镇痛药，诞生于</w:t>
                    </w:r>
                    <w:r>
                      <w:rPr>
                        <w:rFonts w:ascii="Arial" w:eastAsia="Arial"/>
                        <w:sz w:val="31"/>
                      </w:rPr>
                      <w:t>1899</w:t>
                    </w:r>
                    <w:r>
                      <w:rPr>
                        <w:sz w:val="31"/>
                      </w:rPr>
                      <w:t>年</w:t>
                    </w: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月</w:t>
                    </w: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z w:val="31"/>
                      </w:rPr>
                      <w:t>日。用于治感冒、</w:t>
                    </w:r>
                  </w:p>
                </w:txbxContent>
              </v:textbox>
            </v:shape>
            <v:shape id="_x0000_s1032" type="#_x0000_t202" style="width:12679;height:788;left:2703;position:absolute;top:832" filled="f" stroked="f">
              <v:textbox inset="0,0,0,0">
                <w:txbxContent>
                  <w:p>
                    <w:pPr>
                      <w:spacing w:before="0" w:line="35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"/>
                        <w:sz w:val="31"/>
                      </w:rPr>
                      <w:t>发热、头痛、牙痛、关节痛、风湿病，还能抑制血小板聚拢，用于预防和治疗缺血性心脏病、</w:t>
                    </w:r>
                  </w:p>
                  <w:p>
                    <w:pPr>
                      <w:spacing w:before="75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心绞痛、心肺堵塞、脑血栓形成，应用于血管形成术及旁路移植术也有效。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445" w:lineRule="exact"/>
        <w:ind w:left="663" w:right="0" w:firstLine="0"/>
        <w:jc w:val="left"/>
        <w:rPr>
          <w:sz w:val="31"/>
        </w:rPr>
      </w:pPr>
      <w:r>
        <w:rPr>
          <w:b/>
          <w:spacing w:val="4"/>
          <w:position w:val="4"/>
          <w:sz w:val="36"/>
        </w:rPr>
        <w:t xml:space="preserve">【关键词】 </w:t>
      </w:r>
      <w:r>
        <w:rPr>
          <w:spacing w:val="46"/>
          <w:sz w:val="31"/>
        </w:rPr>
        <w:t>性质 用途 工艺 衡算 流程 设备</w:t>
      </w:r>
    </w:p>
    <w:p>
      <w:pPr>
        <w:pStyle w:val="Heading1"/>
        <w:spacing w:line="455" w:lineRule="exact"/>
      </w:pPr>
      <w:r>
        <w:rPr>
          <w:w w:val="95"/>
        </w:rPr>
        <w:t>一、概述</w:t>
      </w:r>
    </w:p>
    <w:p>
      <w:pPr>
        <w:pStyle w:val="BodyText"/>
        <w:spacing w:before="78"/>
        <w:ind w:left="663"/>
      </w:pPr>
      <w:r>
        <w:t>1、产品性质</w:t>
      </w:r>
    </w:p>
    <w:p>
      <w:pPr>
        <w:pStyle w:val="BodyText"/>
        <w:spacing w:before="52" w:line="283" w:lineRule="auto"/>
        <w:ind w:left="663" w:right="413"/>
      </w:pPr>
      <w:r>
        <w:t>阿司匹林化学名为：2 一(乙酰氧基)苯甲酸，又名醋柳酸，或乙酰水杨酸。 为白色结晶或结晶性粉末，无臭或身徽酸臭，味徽酸。徽溶于水，易溶于乙醇。显酸性，可溶于碳酸钠及</w:t>
      </w:r>
      <w:r>
        <w:rPr>
          <w:spacing w:val="-6"/>
        </w:rPr>
        <w:t>氢氧化钠。稳定性差，极易水解，生成水杨酸(具毒副作用)和醋酸。《中国药典》规定要检</w:t>
      </w:r>
      <w:r>
        <w:rPr>
          <w:spacing w:val="1"/>
        </w:rPr>
        <w:t xml:space="preserve"> </w:t>
      </w:r>
      <w:r>
        <w:t>查游离水杨酸，遇三氯化铁试液显紫堇色。生产中还可产生醋酸苯酯、水杨酸苯酯和乙酰水杨苯酯。这些杂质由于不含羧基，故不溶于碳酸钠试液中。产生的少量乙酰水杨酸酐杂质可引起过敏反响。</w:t>
      </w:r>
    </w:p>
    <w:p>
      <w:pPr>
        <w:pStyle w:val="ListParagraph"/>
        <w:numPr>
          <w:ilvl w:val="0"/>
          <w:numId w:val="8"/>
        </w:numPr>
        <w:tabs>
          <w:tab w:val="left" w:pos="980"/>
        </w:tabs>
        <w:spacing w:before="4" w:after="0" w:line="240" w:lineRule="auto"/>
        <w:ind w:left="979" w:right="0" w:hanging="317"/>
        <w:jc w:val="left"/>
        <w:rPr>
          <w:sz w:val="31"/>
        </w:rPr>
      </w:pPr>
      <w:r>
        <w:rPr>
          <w:sz w:val="31"/>
        </w:rPr>
        <w:t>产品用途</w:t>
      </w:r>
    </w:p>
    <w:p>
      <w:pPr>
        <w:pStyle w:val="BodyText"/>
        <w:spacing w:before="76"/>
        <w:ind w:left="663"/>
      </w:pPr>
      <w:r>
        <w:t>1〕小剂量可勰热、镇痛，用于感冒退热、缓解头痛和全身痛。</w:t>
      </w:r>
    </w:p>
    <w:p>
      <w:pPr>
        <w:pStyle w:val="BodyText"/>
        <w:spacing w:before="75" w:line="283" w:lineRule="auto"/>
        <w:ind w:left="663" w:right="378" w:firstLine="630"/>
      </w:pPr>
      <w:r>
        <w:t>阿司匹林通过对环氧合酶(COX)的抑制而削减前列腺素(PC)</w:t>
      </w:r>
      <w:r>
        <w:rPr>
          <w:spacing w:val="-13"/>
        </w:rPr>
        <w:t>的合成，由此削减组织充血、</w:t>
      </w:r>
      <w:r>
        <w:t>肿胀，降低对苦痛的敏感性，具有中等程度的镇痛作用。可缓解轻度或中度的苦痛，对钝痛如头痛、牙痛、神经痛、关节痛、肌肉痛及月经痛等有较好的镇痛效果，也用于感冒、流感等退热。丽对创伤性剧痛或内脏平滑肌痉挛引起的绞痛几乎无效，但由于仅对苦痛、发热的病症有缓解作用，不能解除苦痛、发热的致病缘由，也不能防止疾病的发生，需同时应用其他药物参与治疗，故不宜长期服用。 阿司匹林服后吸取快速而完全，解热、镇痛作用较强，</w:t>
      </w:r>
      <w:r>
        <w:rPr>
          <w:spacing w:val="-152"/>
        </w:rPr>
        <w:t xml:space="preserve"> </w:t>
      </w:r>
      <w:r>
        <w:t xml:space="preserve">作用于下丘脑体温中枢引起外周血管扩张、皮肤血流增加，出汗，使散热增加而起到解热作用。能降低发热者的体温，对正常体温则无影响。阿司匹林可削减炎症部位具有痛觉增敏作用的物质——前列腺素(PG)的生成，故有明显的镇痛作用。                         </w:t>
      </w:r>
      <w:r>
        <w:rPr>
          <w:spacing w:val="85"/>
        </w:rPr>
        <w:t xml:space="preserve"> </w:t>
      </w:r>
      <w:r>
        <w:t>2〕大剂量可抗风湿，用于治疗风湿热、风湿性关节炎、类风湿性关节炎等疾病。</w:t>
      </w:r>
    </w:p>
    <w:p>
      <w:pPr>
        <w:pStyle w:val="BodyText"/>
        <w:spacing w:line="283" w:lineRule="auto"/>
        <w:ind w:left="663" w:right="529" w:firstLine="630"/>
        <w:jc w:val="both"/>
      </w:pPr>
      <w:r>
        <w:t>阿司匹林为治疗风湿热的首选药物，用药后可解热、减轻炎症，使关节病症好转，血沉下降，但不能去除风湿的根本病理转变，也不能预防心脏损害及其他合并症。阿司匹林除治疗风湿性关节炎外，也用于治疗类风湿性关节炎，可改善病症，为进一步治疗制造条件。此外，本品也用于骨关节炎、强直性脊椎炎、幼年型关节炎以及其他非风湿性炎症的骨骼肌肉苦痛，也能缓解病症。</w:t>
      </w:r>
    </w:p>
    <w:p>
      <w:pPr>
        <w:pStyle w:val="BodyText"/>
        <w:spacing w:line="396" w:lineRule="exact"/>
        <w:ind w:left="663"/>
      </w:pPr>
      <w:r>
        <w:t>3〕抑制血小板凝集，可用于防治动脉血栓和心肌梗死。</w:t>
      </w:r>
    </w:p>
    <w:p>
      <w:pPr>
        <w:pStyle w:val="BodyText"/>
        <w:spacing w:before="73" w:line="278" w:lineRule="auto"/>
        <w:ind w:left="663" w:right="397" w:firstLine="630"/>
      </w:pPr>
      <w:r>
        <w:rPr>
          <w:spacing w:val="-17"/>
        </w:rPr>
        <w:t>阿司匹林对血小板聚拢有抑制作用，阻挡血栓形成，临床可用于预防临时性脑缺血发作、</w:t>
      </w:r>
      <w:r>
        <w:t xml:space="preserve">心肌堵塞、心房抖动、人工心脏瓣膜、动静脉瘘或其他手术后的血栓形成。           </w:t>
      </w:r>
      <w:r>
        <w:rPr>
          <w:spacing w:val="66"/>
        </w:rPr>
        <w:t xml:space="preserve"> </w:t>
      </w:r>
      <w:r>
        <w:t>4〕粉末外用治足癣。</w:t>
      </w:r>
    </w:p>
    <w:p>
      <w:pPr>
        <w:pStyle w:val="BodyText"/>
        <w:spacing w:before="14"/>
        <w:ind w:left="663"/>
      </w:pPr>
      <w:r>
        <w:t>5〕其他方面的临床应用</w:t>
      </w:r>
    </w:p>
    <w:p>
      <w:pPr>
        <w:pStyle w:val="BodyText"/>
        <w:spacing w:before="76" w:line="283" w:lineRule="auto"/>
        <w:ind w:left="663" w:right="378" w:firstLine="630"/>
      </w:pPr>
      <w:r>
        <w:t>ASP</w:t>
      </w:r>
      <w:r>
        <w:rPr>
          <w:spacing w:val="-5"/>
        </w:rPr>
        <w:t xml:space="preserve"> 用于眼科黑蒙症，是由于视网膜血栓引起的发作性单侧视力消逝，承受 </w:t>
      </w:r>
      <w:r>
        <w:t>ASP</w:t>
      </w:r>
      <w:r>
        <w:rPr>
          <w:spacing w:val="-5"/>
        </w:rPr>
        <w:t xml:space="preserve"> 治疗，</w:t>
      </w:r>
      <w:r>
        <w:rPr>
          <w:spacing w:val="-152"/>
        </w:rPr>
        <w:t xml:space="preserve"> </w:t>
      </w:r>
      <w:r>
        <w:rPr>
          <w:spacing w:val="-23"/>
        </w:rPr>
        <w:t xml:space="preserve">每 </w:t>
      </w:r>
      <w:r>
        <w:t>13</w:t>
      </w:r>
      <w:r>
        <w:rPr>
          <w:spacing w:val="-23"/>
        </w:rPr>
        <w:t xml:space="preserve"> 赐予 </w:t>
      </w:r>
      <w:r>
        <w:t>0．659，可获得较好疗效。ASP</w:t>
      </w:r>
      <w:r>
        <w:rPr>
          <w:spacing w:val="-10"/>
        </w:rPr>
        <w:t xml:space="preserve"> 用于治疗胆道蛔虫症，一次 </w:t>
      </w:r>
      <w:r>
        <w:t>19，</w:t>
      </w:r>
      <w:r>
        <w:rPr>
          <w:spacing w:val="-15"/>
        </w:rPr>
        <w:t xml:space="preserve">一日 </w:t>
      </w:r>
      <w:r>
        <w:t>2—3</w:t>
      </w:r>
      <w:r>
        <w:rPr>
          <w:spacing w:val="-15"/>
        </w:rPr>
        <w:t xml:space="preserve"> 次连</w:t>
      </w:r>
      <w:r>
        <w:rPr>
          <w:spacing w:val="-11"/>
        </w:rPr>
        <w:t xml:space="preserve">用 </w:t>
      </w:r>
      <w:r>
        <w:t>2—3</w:t>
      </w:r>
      <w:r>
        <w:rPr>
          <w:spacing w:val="-5"/>
        </w:rPr>
        <w:t xml:space="preserve"> 日；阵发性绞痛停顿，</w:t>
      </w:r>
      <w:r>
        <w:t>24</w:t>
      </w:r>
      <w:r>
        <w:rPr>
          <w:spacing w:val="-7"/>
        </w:rPr>
        <w:t xml:space="preserve"> 小时后停用，然后进展驱虫治疗，有效率可达 </w:t>
      </w:r>
      <w:r>
        <w:t>90％以上。ASP 对血小板增多症有效，可转变血小板削减性紫癜，溶血性尿毒症；亦可用于镰状细胞性贫血，ASP</w:t>
      </w:r>
      <w:r>
        <w:rPr>
          <w:spacing w:val="-8"/>
        </w:rPr>
        <w:t xml:space="preserve"> 合用尿激素等可削减溶血性尿毒症所致慢性肾脏病变的病发率。</w:t>
      </w:r>
    </w:p>
    <w:p>
      <w:pPr>
        <w:pStyle w:val="Heading1"/>
        <w:spacing w:line="394" w:lineRule="exact"/>
      </w:pPr>
      <w:r>
        <w:rPr>
          <w:w w:val="95"/>
        </w:rPr>
        <w:t>二、生产方法</w:t>
      </w:r>
    </w:p>
    <w:p>
      <w:pPr>
        <w:pStyle w:val="BodyText"/>
        <w:spacing w:before="77"/>
        <w:ind w:left="663"/>
      </w:pPr>
      <w:r>
        <w:t>〔一〕生产方法</w:t>
      </w:r>
    </w:p>
    <w:p>
      <w:pPr>
        <w:pStyle w:val="BodyText"/>
        <w:spacing w:before="54"/>
        <w:ind w:left="663"/>
      </w:pPr>
      <w:r>
        <w:rPr>
          <w:spacing w:val="1"/>
        </w:rPr>
        <w:t xml:space="preserve">阿司匹林的传统制备方法是以浓硫酸作催化剂进展 </w:t>
      </w:r>
      <w:r>
        <w:t>O－</w:t>
      </w:r>
      <w:r>
        <w:rPr>
          <w:spacing w:val="3"/>
        </w:rPr>
        <w:t xml:space="preserve">酰化反响，产率一般在 </w:t>
      </w:r>
      <w:r>
        <w:t>75%左右，但</w:t>
      </w:r>
    </w:p>
    <w:p>
      <w:pPr>
        <w:spacing w:after="0"/>
        <w:sectPr>
          <w:type w:val="continuous"/>
          <w:pgSz w:w="17860" w:h="25260"/>
          <w:pgMar w:top="240" w:right="2140" w:bottom="280" w:left="2040" w:header="708" w:footer="708"/>
          <w:cols w:space="708"/>
        </w:sectPr>
      </w:pPr>
    </w:p>
    <w:p>
      <w:pPr>
        <w:pStyle w:val="BodyText"/>
        <w:spacing w:before="41"/>
        <w:ind w:left="663"/>
      </w:pPr>
      <w:r>
        <w:pict>
          <v:group id="_x0000_s1033" style="width:672.4pt;height:109.2pt;margin-top:27.66pt;margin-left:107.63pt;mso-position-horizontal-relative:page;mso-wrap-distance-left:0;mso-wrap-distance-right:0;position:absolute;z-index:-251653120" coordorigin="2153,553" coordsize="13448,2184">
            <v:shape id="_x0000_s1034" type="#_x0000_t75" style="width:13448;height:1929;left:2152;position:absolute;top:608" stroked="f">
              <v:imagedata r:id="rId7" o:title=""/>
            </v:shape>
            <v:shape id="_x0000_s1035" type="#_x0000_t202" style="width:13448;height:2184;left:2152;position:absolute;top:553" filled="f" stroked="f">
              <v:textbox inset="0,0,0,0">
                <w:txbxContent>
                  <w:p>
                    <w:pPr>
                      <w:spacing w:before="0" w:line="358" w:lineRule="exact"/>
                      <w:ind w:left="55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争论说明可用固体超强酸或多酸来代替浓硫酸作催化剂，但这些方法的制备过程较为简单，</w:t>
                    </w:r>
                  </w:p>
                  <w:p>
                    <w:pPr>
                      <w:spacing w:before="75" w:line="278" w:lineRule="auto"/>
                      <w:ind w:left="551" w:right="417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11"/>
                        <w:sz w:val="31"/>
                      </w:rPr>
                      <w:t>需要专用设备。因此就必需查找一种催化效果良好、简洁易得同时对环境污染较小的可以进展</w:t>
                    </w:r>
                    <w:r>
                      <w:rPr>
                        <w:sz w:val="31"/>
                      </w:rPr>
                      <w:t>工业化的型催化剂。 本设计承受酰化法来生产阿司匹林，以水杨酸作为起始原料，经过酰化、粗制、精制、等化学、物理过程生产阿司匹林产品。   本设计主要分为三个工段:</w:t>
                    </w:r>
                  </w:p>
                  <w:p>
                    <w:pPr>
                      <w:spacing w:before="14" w:line="354" w:lineRule="exact"/>
                      <w:ind w:left="551" w:right="0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第一工段为反响阶段、其次工段为粗制阶段、第三工段为精制阶段。 化学反响方程式为：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6" style="width:619.95pt;height:447pt;margin-top:329pt;margin-left:135.19pt;mso-position-horizontal-relative:page;mso-position-vertical-relative:page;position:absolute;z-index:-251654144" coordorigin="2704,6580" coordsize="12399,8940">
            <v:shape id="_x0000_s1037" type="#_x0000_t75" style="width:12080;height:8940;left:2940;position:absolute;top:6580" stroked="f">
              <v:imagedata r:id="rId8" o:title=""/>
            </v:shape>
            <v:shape id="_x0000_s1038" type="#_x0000_t202" style="width:897;height:255;left:8240;position:absolute;top:7065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pacing w:val="37"/>
                        <w:sz w:val="25"/>
                      </w:rPr>
                      <w:t>冷却水</w:t>
                    </w:r>
                  </w:p>
                </w:txbxContent>
              </v:textbox>
            </v:shape>
            <v:shape id="_x0000_s1039" type="#_x0000_t202" style="width:2855;height:315;left:2703;position:absolute;top:7588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〔二〕工艺过程简述</w:t>
                    </w:r>
                  </w:p>
                </w:txbxContent>
              </v:textbox>
            </v:shape>
            <v:shape id="_x0000_s1040" type="#_x0000_t202" style="width:12399;height:315;left:2703;position:absolute;top:8038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 生产工艺流程 醋酐.水杨酸—酰化—酸洗离心—水洗离心—气流枯燥—旋风分别—阿司</w:t>
                    </w:r>
                  </w:p>
                </w:txbxContent>
              </v:textbox>
            </v:shape>
            <v:shape id="_x0000_s1041" type="#_x0000_t202" style="width:897;height:255;left:6598;position:absolute;top:7836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pacing w:val="37"/>
                        <w:sz w:val="25"/>
                      </w:rPr>
                      <w:t>冷凝器</w:t>
                    </w:r>
                  </w:p>
                </w:txbxContent>
              </v:textbox>
            </v:shape>
            <v:shape id="_x0000_s1042" type="#_x0000_t202" style="width:897;height:255;left:8964;position:absolute;top:7942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pacing w:val="37"/>
                        <w:sz w:val="25"/>
                      </w:rPr>
                      <w:t>接真空</w:t>
                    </w:r>
                  </w:p>
                </w:txbxContent>
              </v:textbox>
            </v:shape>
            <v:shape id="_x0000_s1043" type="#_x0000_t202" style="width:2584;height:1044;left:2703;position:absolute;top:8256" filled="f" stroked="f">
              <v:textbox inset="0,0,0,0">
                <w:txbxContent>
                  <w:p>
                    <w:pPr>
                      <w:spacing w:before="0" w:line="253" w:lineRule="exact"/>
                      <w:ind w:left="754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pacing w:val="24"/>
                        <w:sz w:val="25"/>
                      </w:rPr>
                      <w:t>醋酐、 水杨酸</w:t>
                    </w:r>
                  </w:p>
                  <w:p>
                    <w:pPr>
                      <w:spacing w:before="0" w:line="36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匹林。</w:t>
                    </w:r>
                  </w:p>
                  <w:p>
                    <w:pPr>
                      <w:spacing w:before="75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</w:t>
                    </w:r>
                    <w:r>
                      <w:rPr>
                        <w:spacing w:val="-10"/>
                        <w:sz w:val="31"/>
                      </w:rPr>
                      <w:t xml:space="preserve"> 工艺流程图</w:t>
                    </w:r>
                  </w:p>
                </w:txbxContent>
              </v:textbox>
            </v:shape>
            <v:shape id="_x0000_s1044" type="#_x0000_t202" style="width:897;height:255;left:3751;position:absolute;top:9708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pacing w:val="37"/>
                        <w:sz w:val="25"/>
                      </w:rPr>
                      <w:t>水蒸汽</w:t>
                    </w:r>
                  </w:p>
                </w:txbxContent>
              </v:textbox>
            </v:shape>
            <v:shape id="_x0000_s1045" type="#_x0000_t202" style="width:275;height:929;left:6235;position:absolute;top:10295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w w:val="101"/>
                        <w:sz w:val="25"/>
                      </w:rPr>
                      <w:t>酰</w:t>
                    </w:r>
                  </w:p>
                  <w:p>
                    <w:pPr>
                      <w:spacing w:before="16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w w:val="101"/>
                        <w:sz w:val="25"/>
                      </w:rPr>
                      <w:t>化</w:t>
                    </w:r>
                  </w:p>
                  <w:p>
                    <w:pPr>
                      <w:spacing w:before="18" w:line="286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w w:val="101"/>
                        <w:sz w:val="25"/>
                      </w:rPr>
                      <w:t>釜</w:t>
                    </w:r>
                  </w:p>
                </w:txbxContent>
              </v:textbox>
            </v:shape>
            <v:shape id="_x0000_s1046" type="#_x0000_t202" style="width:275;height:935;left:8131;position:absolute;top:10032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w w:val="101"/>
                        <w:sz w:val="25"/>
                      </w:rPr>
                      <w:t>结</w:t>
                    </w:r>
                  </w:p>
                  <w:p>
                    <w:pPr>
                      <w:spacing w:before="0" w:line="340" w:lineRule="atLeast"/>
                      <w:ind w:left="0" w:right="18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z w:val="25"/>
                      </w:rPr>
                      <w:t>晶釜</w:t>
                    </w:r>
                  </w:p>
                </w:txbxContent>
              </v:textbox>
            </v:shape>
            <v:shape id="_x0000_s1047" type="#_x0000_t202" style="width:897;height:255;left:4131;position:absolute;top:11380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pacing w:val="37"/>
                        <w:sz w:val="25"/>
                      </w:rPr>
                      <w:t>冷却水</w:t>
                    </w:r>
                  </w:p>
                </w:txbxContent>
              </v:textbox>
            </v:shape>
            <v:shape id="_x0000_s1048" type="#_x0000_t202" style="width:1208;height:255;left:7425;position:absolute;top:11345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pacing w:val="41"/>
                        <w:sz w:val="25"/>
                      </w:rPr>
                      <w:t>冷冻盐水</w:t>
                    </w:r>
                  </w:p>
                </w:txbxContent>
              </v:textbox>
            </v:shape>
            <v:shape id="_x0000_s1049" type="#_x0000_t202" style="width:275;height:255;left:6423;position:absolute;top:12161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w w:val="101"/>
                        <w:sz w:val="25"/>
                      </w:rPr>
                      <w:t>水</w:t>
                    </w:r>
                  </w:p>
                </w:txbxContent>
              </v:textbox>
            </v:shape>
            <v:shape id="_x0000_s1050" type="#_x0000_t202" style="width:275;height:932;left:13375;position:absolute;top:12307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w w:val="101"/>
                        <w:sz w:val="25"/>
                      </w:rPr>
                      <w:t>过</w:t>
                    </w:r>
                  </w:p>
                  <w:p>
                    <w:pPr>
                      <w:spacing w:before="0" w:line="340" w:lineRule="atLeast"/>
                      <w:ind w:left="0" w:right="18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z w:val="25"/>
                      </w:rPr>
                      <w:t>筛机</w:t>
                    </w:r>
                  </w:p>
                </w:txbxContent>
              </v:textbox>
            </v:shape>
            <v:shape id="_x0000_s1051" type="#_x0000_t202" style="width:897;height:255;left:2969;position:absolute;top:14103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pacing w:val="37"/>
                        <w:sz w:val="25"/>
                      </w:rPr>
                      <w:t>母液泵</w:t>
                    </w:r>
                  </w:p>
                </w:txbxContent>
              </v:textbox>
            </v:shape>
            <v:shape id="_x0000_s1052" type="#_x0000_t202" style="width:897;height:255;left:7525;position:absolute;top:14188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pacing w:val="37"/>
                        <w:sz w:val="25"/>
                      </w:rPr>
                      <w:t>离心机</w:t>
                    </w:r>
                  </w:p>
                </w:txbxContent>
              </v:textbox>
            </v:shape>
            <v:shape id="_x0000_s1053" type="#_x0000_t202" style="width:1208;height:255;left:5200;position:absolute;top:15223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pacing w:val="41"/>
                        <w:sz w:val="25"/>
                      </w:rPr>
                      <w:t>母液贮槽</w:t>
                    </w:r>
                  </w:p>
                </w:txbxContent>
              </v:textbox>
            </v:shape>
            <v:shape id="_x0000_s1054" type="#_x0000_t202" style="width:586;height:255;left:13257;position:absolute;top:15216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pacing w:val="28"/>
                        <w:sz w:val="25"/>
                      </w:rPr>
                      <w:t>成品</w:t>
                    </w:r>
                  </w:p>
                </w:txbxContent>
              </v:textbox>
            </v:shape>
          </v:group>
        </w:pict>
      </w:r>
      <w:r>
        <w:rPr>
          <w:spacing w:val="-13"/>
        </w:rPr>
        <w:t>浓硫酸对设备的腐蚀性较大，对环境污染大，且易发生副反响而使产品色泽深，不利于提纯。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tbl>
      <w:tblPr>
        <w:tblStyle w:val="TableNormal"/>
        <w:tblW w:w="0" w:type="auto"/>
        <w:jc w:val="left"/>
        <w:tblInd w:w="93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5"/>
        <w:gridCol w:w="1591"/>
        <w:gridCol w:w="850"/>
      </w:tblGrid>
      <w:tr>
        <w:tblPrEx>
          <w:tblW w:w="0" w:type="auto"/>
          <w:jc w:val="left"/>
          <w:tblInd w:w="93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4"/>
          <w:jc w:val="left"/>
        </w:trPr>
        <w:tc>
          <w:tcPr>
            <w:tcW w:w="1095" w:type="dxa"/>
          </w:tcPr>
          <w:p>
            <w:pPr>
              <w:pStyle w:val="TableParagraph"/>
              <w:spacing w:line="275" w:lineRule="exact"/>
              <w:ind w:left="50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气</w:t>
            </w:r>
          </w:p>
        </w:tc>
        <w:tc>
          <w:tcPr>
            <w:tcW w:w="1591" w:type="dxa"/>
          </w:tcPr>
          <w:p>
            <w:pPr>
              <w:pStyle w:val="TableParagraph"/>
              <w:spacing w:line="275" w:lineRule="exact"/>
              <w:ind w:right="545"/>
              <w:jc w:val="right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旋</w:t>
            </w:r>
          </w:p>
        </w:tc>
        <w:tc>
          <w:tcPr>
            <w:tcW w:w="850" w:type="dxa"/>
          </w:tcPr>
          <w:p>
            <w:pPr>
              <w:pStyle w:val="TableParagraph"/>
              <w:spacing w:line="275" w:lineRule="exact"/>
              <w:ind w:right="47"/>
              <w:jc w:val="right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旋</w:t>
            </w:r>
          </w:p>
        </w:tc>
      </w:tr>
      <w:tr>
        <w:tblPrEx>
          <w:tblW w:w="0" w:type="auto"/>
          <w:jc w:val="left"/>
          <w:tblInd w:w="9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7"/>
          <w:jc w:val="left"/>
        </w:trPr>
        <w:tc>
          <w:tcPr>
            <w:tcW w:w="1095" w:type="dxa"/>
          </w:tcPr>
          <w:p>
            <w:pPr>
              <w:pStyle w:val="TableParagraph"/>
              <w:spacing w:before="9" w:line="308" w:lineRule="exact"/>
              <w:ind w:left="50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流</w:t>
            </w:r>
          </w:p>
        </w:tc>
        <w:tc>
          <w:tcPr>
            <w:tcW w:w="1591" w:type="dxa"/>
          </w:tcPr>
          <w:p>
            <w:pPr>
              <w:pStyle w:val="TableParagraph"/>
              <w:spacing w:before="9" w:line="308" w:lineRule="exact"/>
              <w:ind w:right="545"/>
              <w:jc w:val="right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风</w:t>
            </w:r>
          </w:p>
        </w:tc>
        <w:tc>
          <w:tcPr>
            <w:tcW w:w="850" w:type="dxa"/>
          </w:tcPr>
          <w:p>
            <w:pPr>
              <w:pStyle w:val="TableParagraph"/>
              <w:spacing w:before="9" w:line="308" w:lineRule="exact"/>
              <w:ind w:right="47"/>
              <w:jc w:val="right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风</w:t>
            </w:r>
          </w:p>
        </w:tc>
      </w:tr>
      <w:tr>
        <w:tblPrEx>
          <w:tblW w:w="0" w:type="auto"/>
          <w:jc w:val="left"/>
          <w:tblInd w:w="9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9"/>
          <w:jc w:val="left"/>
        </w:trPr>
        <w:tc>
          <w:tcPr>
            <w:tcW w:w="1095" w:type="dxa"/>
          </w:tcPr>
          <w:p>
            <w:pPr>
              <w:pStyle w:val="TableParagraph"/>
              <w:spacing w:before="11" w:line="308" w:lineRule="exact"/>
              <w:ind w:left="50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干</w:t>
            </w:r>
          </w:p>
        </w:tc>
        <w:tc>
          <w:tcPr>
            <w:tcW w:w="1591" w:type="dxa"/>
          </w:tcPr>
          <w:p>
            <w:pPr>
              <w:pStyle w:val="TableParagraph"/>
              <w:spacing w:before="11" w:line="308" w:lineRule="exact"/>
              <w:ind w:right="545"/>
              <w:jc w:val="right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分</w:t>
            </w:r>
          </w:p>
        </w:tc>
        <w:tc>
          <w:tcPr>
            <w:tcW w:w="850" w:type="dxa"/>
          </w:tcPr>
          <w:p>
            <w:pPr>
              <w:pStyle w:val="TableParagraph"/>
              <w:spacing w:before="11" w:line="308" w:lineRule="exact"/>
              <w:ind w:right="47"/>
              <w:jc w:val="right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分</w:t>
            </w:r>
          </w:p>
        </w:tc>
      </w:tr>
      <w:tr>
        <w:tblPrEx>
          <w:tblW w:w="0" w:type="auto"/>
          <w:jc w:val="left"/>
          <w:tblInd w:w="9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095" w:type="dxa"/>
          </w:tcPr>
          <w:p>
            <w:pPr>
              <w:pStyle w:val="TableParagraph"/>
              <w:spacing w:before="10" w:line="310" w:lineRule="exact"/>
              <w:ind w:left="50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燥</w:t>
            </w:r>
          </w:p>
        </w:tc>
        <w:tc>
          <w:tcPr>
            <w:tcW w:w="1591" w:type="dxa"/>
          </w:tcPr>
          <w:p>
            <w:pPr>
              <w:pStyle w:val="TableParagraph"/>
              <w:spacing w:before="10" w:line="310" w:lineRule="exact"/>
              <w:ind w:right="545"/>
              <w:jc w:val="right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离</w:t>
            </w:r>
          </w:p>
        </w:tc>
        <w:tc>
          <w:tcPr>
            <w:tcW w:w="850" w:type="dxa"/>
          </w:tcPr>
          <w:p>
            <w:pPr>
              <w:pStyle w:val="TableParagraph"/>
              <w:spacing w:before="10" w:line="310" w:lineRule="exact"/>
              <w:ind w:right="47"/>
              <w:jc w:val="right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离</w:t>
            </w:r>
          </w:p>
        </w:tc>
      </w:tr>
      <w:tr>
        <w:tblPrEx>
          <w:tblW w:w="0" w:type="auto"/>
          <w:jc w:val="left"/>
          <w:tblInd w:w="9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8"/>
          <w:jc w:val="left"/>
        </w:trPr>
        <w:tc>
          <w:tcPr>
            <w:tcW w:w="1095" w:type="dxa"/>
          </w:tcPr>
          <w:p>
            <w:pPr>
              <w:pStyle w:val="TableParagraph"/>
              <w:spacing w:before="12" w:line="266" w:lineRule="exact"/>
              <w:ind w:left="50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器</w:t>
            </w:r>
          </w:p>
        </w:tc>
        <w:tc>
          <w:tcPr>
            <w:tcW w:w="1591" w:type="dxa"/>
          </w:tcPr>
          <w:p>
            <w:pPr>
              <w:pStyle w:val="TableParagraph"/>
              <w:spacing w:before="12" w:line="266" w:lineRule="exact"/>
              <w:ind w:right="545"/>
              <w:jc w:val="right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器</w:t>
            </w:r>
          </w:p>
        </w:tc>
        <w:tc>
          <w:tcPr>
            <w:tcW w:w="850" w:type="dxa"/>
          </w:tcPr>
          <w:p>
            <w:pPr>
              <w:pStyle w:val="TableParagraph"/>
              <w:spacing w:before="12" w:line="266" w:lineRule="exact"/>
              <w:ind w:right="47"/>
              <w:jc w:val="right"/>
              <w:rPr>
                <w:b/>
                <w:sz w:val="25"/>
              </w:rPr>
            </w:pPr>
            <w:r>
              <w:rPr>
                <w:b/>
                <w:w w:val="101"/>
                <w:sz w:val="25"/>
              </w:rPr>
              <w:t>器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8"/>
        </w:numPr>
        <w:tabs>
          <w:tab w:val="left" w:pos="1069"/>
        </w:tabs>
        <w:spacing w:before="61" w:after="0" w:line="240" w:lineRule="auto"/>
        <w:ind w:left="1068" w:right="0" w:hanging="406"/>
        <w:jc w:val="left"/>
        <w:rPr>
          <w:sz w:val="31"/>
        </w:rPr>
      </w:pPr>
      <w:r>
        <w:rPr>
          <w:sz w:val="31"/>
        </w:rPr>
        <w:t>工艺过程说明</w:t>
      </w:r>
    </w:p>
    <w:p>
      <w:pPr>
        <w:pStyle w:val="BodyText"/>
        <w:spacing w:before="76"/>
        <w:ind w:left="663"/>
      </w:pPr>
      <w:r>
        <w:t>1〕醋化岗位</w:t>
      </w:r>
    </w:p>
    <w:p>
      <w:pPr>
        <w:pStyle w:val="BodyText"/>
        <w:spacing w:before="53" w:line="285" w:lineRule="auto"/>
        <w:ind w:left="663" w:right="531" w:firstLine="630"/>
        <w:jc w:val="both"/>
      </w:pPr>
      <w:r>
        <w:t>第一次投料：按醋酐总量与含量计算水杨酸总投料量，检斤称重，将总投料量的三分之二水杨酸投入醋化罐中，再将醋酐一次全部参加罐中，在搅拌状况下，水汽加热 1h，使内</w:t>
      </w:r>
      <w:r>
        <w:rPr>
          <w:spacing w:val="-15"/>
        </w:rPr>
        <w:t xml:space="preserve">温升到 </w:t>
      </w:r>
      <w:r>
        <w:t>80℃～84℃，</w:t>
      </w:r>
      <w:r>
        <w:rPr>
          <w:spacing w:val="-7"/>
        </w:rPr>
        <w:t xml:space="preserve">析出晶体，保温 </w:t>
      </w:r>
      <w:r>
        <w:t>40min～60min</w:t>
      </w:r>
      <w:r>
        <w:rPr>
          <w:spacing w:val="-15"/>
        </w:rPr>
        <w:t xml:space="preserve"> 后，缓慢均匀降温到 </w:t>
      </w:r>
      <w:r>
        <w:t>55℃。</w:t>
      </w:r>
    </w:p>
    <w:p>
      <w:pPr>
        <w:pStyle w:val="BodyText"/>
        <w:spacing w:before="1" w:line="278" w:lineRule="auto"/>
        <w:ind w:left="663" w:right="537" w:firstLine="788"/>
      </w:pPr>
      <w:r>
        <w:rPr>
          <w:spacing w:val="12"/>
        </w:rPr>
        <w:t xml:space="preserve">其次投料：待罐内降至 </w:t>
      </w:r>
      <w:r>
        <w:t>55℃时，把剩余的三分之一水杨酸投到醋化罐中。水温升温90min</w:t>
      </w:r>
      <w:r>
        <w:rPr>
          <w:spacing w:val="10"/>
        </w:rPr>
        <w:t xml:space="preserve"> 至 </w:t>
      </w:r>
      <w:r>
        <w:t>80℃～82℃，</w:t>
      </w:r>
      <w:r>
        <w:rPr>
          <w:spacing w:val="5"/>
        </w:rPr>
        <w:t xml:space="preserve">保温 </w:t>
      </w:r>
      <w:r>
        <w:t>1h，取样测终点，游离水杨酸≤0.15﹪，如终点不到可延长保温时间或补加醋酐，直到终点。检查合格，方可进展其次次降温，缓慢降至 70℃，将已溶</w:t>
      </w:r>
    </w:p>
    <w:p>
      <w:pPr>
        <w:spacing w:after="0" w:line="278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https://d.book118.com/365030230242011033</w:t>
        </w:r>
      </w:hyperlink>
    </w:p>
    <w:p>
      <w:pPr>
        <w:spacing w:after="0" w:line="278" w:lineRule="auto"/>
      </w:pPr>
    </w:p>
    <w:sectPr>
      <w:pgSz w:w="17860" w:h="25260"/>
      <w:pgMar w:top="1860" w:right="2140" w:bottom="280" w:left="20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51326"/>
    <w:multiLevelType w:val="hybridMultilevel"/>
    <w:tmpl w:val="00000000"/>
    <w:lvl w:ilvl="0">
      <w:start w:val="2"/>
      <w:numFmt w:val="decimal"/>
      <w:lvlText w:val="%1."/>
      <w:lvlJc w:val="left"/>
      <w:pPr>
        <w:ind w:left="979" w:hanging="316"/>
        <w:jc w:val="left"/>
      </w:pPr>
      <w:rPr>
        <w:rFonts w:ascii="宋体" w:eastAsia="宋体" w:hAnsi="宋体" w:cs="宋体" w:hint="default"/>
        <w:spacing w:val="-1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249" w:hanging="3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3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3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3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3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9" w:hanging="3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9" w:hanging="316"/>
      </w:pPr>
      <w:rPr>
        <w:rFonts w:hint="default"/>
      </w:rPr>
    </w:lvl>
  </w:abstractNum>
  <w:abstractNum w:abstractNumId="1">
    <w:nsid w:val="0AF28DFC"/>
    <w:multiLevelType w:val="hybridMultilevel"/>
    <w:tmpl w:val="00000000"/>
    <w:lvl w:ilvl="0">
      <w:start w:val="2"/>
      <w:numFmt w:val="decimal"/>
      <w:lvlText w:val="%1."/>
      <w:lvlJc w:val="left"/>
      <w:pPr>
        <w:ind w:left="1068" w:hanging="405"/>
        <w:jc w:val="left"/>
      </w:pPr>
      <w:rPr>
        <w:rFonts w:ascii="宋体" w:eastAsia="宋体" w:hAnsi="宋体" w:cs="宋体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321" w:hanging="4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4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5" w:hanging="4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4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4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1" w:hanging="4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3" w:hanging="4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405"/>
      </w:pPr>
      <w:rPr>
        <w:rFonts w:hint="default"/>
      </w:rPr>
    </w:lvl>
  </w:abstractNum>
  <w:abstractNum w:abstractNumId="2">
    <w:nsid w:val="5074EB96"/>
    <w:multiLevelType w:val="hybridMultilevel"/>
    <w:tmpl w:val="00000000"/>
    <w:lvl w:ilvl="0">
      <w:start w:val="1"/>
      <w:numFmt w:val="decimal"/>
      <w:lvlText w:val="%1."/>
      <w:lvlJc w:val="left"/>
      <w:pPr>
        <w:ind w:left="1136" w:hanging="473"/>
        <w:jc w:val="left"/>
      </w:pPr>
      <w:rPr>
        <w:rFonts w:ascii="宋体" w:eastAsia="宋体" w:hAnsi="宋体" w:cs="宋体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393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3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1" w:hanging="473"/>
      </w:pPr>
      <w:rPr>
        <w:rFonts w:hint="default"/>
      </w:rPr>
    </w:lvl>
  </w:abstractNum>
  <w:abstractNum w:abstractNumId="3">
    <w:nsid w:val="56685A76"/>
    <w:multiLevelType w:val="hybridMultilevel"/>
    <w:tmpl w:val="00000000"/>
    <w:lvl w:ilvl="0">
      <w:start w:val="1"/>
      <w:numFmt w:val="decimal"/>
      <w:lvlText w:val="%1."/>
      <w:lvlJc w:val="left"/>
      <w:pPr>
        <w:ind w:left="663" w:hanging="473"/>
        <w:jc w:val="left"/>
      </w:pPr>
      <w:rPr>
        <w:rFonts w:ascii="宋体" w:eastAsia="宋体" w:hAnsi="宋体" w:cs="宋体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961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3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5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7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3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473"/>
      </w:pPr>
      <w:rPr>
        <w:rFonts w:hint="default"/>
      </w:rPr>
    </w:lvl>
  </w:abstractNum>
  <w:abstractNum w:abstractNumId="4">
    <w:nsid w:val="59904AB5"/>
    <w:multiLevelType w:val="hybridMultilevel"/>
    <w:tmpl w:val="00000000"/>
    <w:lvl w:ilvl="0">
      <w:start w:val="3"/>
      <w:numFmt w:val="decimal"/>
      <w:lvlText w:val="%1）"/>
      <w:lvlJc w:val="left"/>
      <w:pPr>
        <w:ind w:left="1137" w:hanging="474"/>
        <w:jc w:val="left"/>
      </w:pPr>
      <w:rPr>
        <w:rFonts w:ascii="宋体" w:eastAsia="宋体" w:hAnsi="宋体" w:cs="宋体" w:hint="default"/>
        <w:spacing w:val="-1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93" w:hanging="4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4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4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4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3" w:hanging="4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4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1" w:hanging="474"/>
      </w:pPr>
      <w:rPr>
        <w:rFonts w:hint="default"/>
      </w:rPr>
    </w:lvl>
  </w:abstractNum>
  <w:abstractNum w:abstractNumId="5">
    <w:nsid w:val="64B442EC"/>
    <w:multiLevelType w:val="hybridMultilevel"/>
    <w:tmpl w:val="00000000"/>
    <w:lvl w:ilvl="0">
      <w:start w:val="1"/>
      <w:numFmt w:val="decimal"/>
      <w:lvlText w:val="%1）"/>
      <w:lvlJc w:val="left"/>
      <w:pPr>
        <w:ind w:left="1294" w:hanging="631"/>
        <w:jc w:val="left"/>
      </w:pPr>
      <w:rPr>
        <w:rFonts w:ascii="宋体" w:eastAsia="宋体" w:hAnsi="宋体" w:cs="宋体" w:hint="default"/>
        <w:spacing w:val="-1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53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631"/>
      </w:pPr>
      <w:rPr>
        <w:rFonts w:hint="default"/>
      </w:rPr>
    </w:lvl>
  </w:abstractNum>
  <w:abstractNum w:abstractNumId="6">
    <w:nsid w:val="7984FCB5"/>
    <w:multiLevelType w:val="hybridMultilevel"/>
    <w:tmpl w:val="00000000"/>
    <w:lvl w:ilvl="0">
      <w:start w:val="3"/>
      <w:numFmt w:val="lowerLetter"/>
      <w:lvlText w:val="%1"/>
      <w:lvlJc w:val="left"/>
      <w:pPr>
        <w:ind w:left="1099" w:hanging="380"/>
        <w:jc w:val="left"/>
      </w:pPr>
      <w:rPr>
        <w:rFonts w:hint="default"/>
        <w:i/>
        <w:w w:val="101"/>
      </w:rPr>
    </w:lvl>
    <w:lvl w:ilvl="1">
      <w:start w:val="0"/>
      <w:numFmt w:val="bullet"/>
      <w:lvlText w:val="•"/>
      <w:lvlJc w:val="left"/>
      <w:pPr>
        <w:ind w:left="2360" w:hanging="3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7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95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62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30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98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65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33" w:hanging="380"/>
      </w:pPr>
      <w:rPr>
        <w:rFonts w:hint="default"/>
      </w:rPr>
    </w:lvl>
  </w:abstractNum>
  <w:abstractNum w:abstractNumId="7">
    <w:nsid w:val="798D5BB2"/>
    <w:multiLevelType w:val="hybridMultilevel"/>
    <w:tmpl w:val="00000000"/>
    <w:lvl w:ilvl="0">
      <w:start w:val="1"/>
      <w:numFmt w:val="decimal"/>
      <w:lvlText w:val="%1."/>
      <w:lvlJc w:val="left"/>
      <w:pPr>
        <w:ind w:left="1767" w:hanging="474"/>
        <w:jc w:val="left"/>
      </w:pPr>
      <w:rPr>
        <w:rFonts w:ascii="宋体" w:eastAsia="宋体" w:hAnsi="宋体" w:cs="宋体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951" w:hanging="4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4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5" w:hanging="4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7" w:hanging="4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4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4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5" w:hanging="474"/>
      </w:pPr>
      <w:rPr>
        <w:rFonts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663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38"/>
      <w:ind w:left="681" w:right="508"/>
      <w:jc w:val="center"/>
    </w:pPr>
    <w:rPr>
      <w:rFonts w:ascii="宋体" w:eastAsia="宋体" w:hAnsi="宋体" w:cs="宋体"/>
      <w:b/>
      <w:bCs/>
      <w:sz w:val="43"/>
      <w:szCs w:val="43"/>
    </w:rPr>
  </w:style>
  <w:style w:type="paragraph" w:styleId="ListParagraph">
    <w:name w:val="List Paragraph"/>
    <w:basedOn w:val="Normal"/>
    <w:uiPriority w:val="1"/>
    <w:qFormat/>
    <w:pPr>
      <w:ind w:left="663" w:hanging="47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36503023024201103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2023-10-11T11:57:59Z</dcterms:created>
  <dcterms:modified xsi:type="dcterms:W3CDTF">2023-10-11T11:57:59Z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2023-01-15T00:00:00Z</vt:filetime>
  </property>
  <property fmtid="{D5CDD505-2E9C-101B-9397-08002B2CF9AE}" pid="3" name="LastSaved">
    <vt:filetime>2023-10-11T00:00:00Z</vt:filetime>
  </property>
</Properties>
</file>