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56" w:beforeLines="50" w:line="400" w:lineRule="exact"/>
        <w:ind w:firstLine="560" w:firstLineChars="200"/>
        <w:jc w:val="center"/>
        <w:rPr>
          <w:rFonts w:ascii="宋体" w:hAnsi="宋体" w:hint="eastAsia"/>
          <w:b/>
          <w:spacing w:val="20"/>
          <w:sz w:val="28"/>
          <w:szCs w:val="28"/>
        </w:rPr>
      </w:pPr>
      <w:r>
        <w:rPr>
          <w:rFonts w:ascii="宋体" w:hAnsi="宋体" w:hint="eastAsia"/>
          <w:b/>
          <w:sz w:val="28"/>
          <w:szCs w:val="28"/>
        </w:rPr>
        <w:t>改建铁路新长线盐城站站房改造暖通工程施工方案</w:t>
      </w:r>
    </w:p>
    <w:p>
      <w:pPr>
        <w:spacing w:before="156" w:beforeLines="50"/>
        <w:ind w:firstLine="480" w:firstLineChars="200"/>
        <w:rPr>
          <w:rFonts w:ascii="宋体" w:hAnsi="宋体" w:hint="eastAsia"/>
        </w:rPr>
      </w:pPr>
      <w:r>
        <w:rPr>
          <w:rFonts w:ascii="宋体" w:hAnsi="宋体" w:hint="eastAsia"/>
          <w:spacing w:val="20"/>
          <w:sz w:val="24"/>
        </w:rPr>
        <w:t>1.施工流程</w:t>
      </w:r>
    </w:p>
    <w:p>
      <w:pPr>
        <w:spacing w:line="360" w:lineRule="auto"/>
        <w:ind w:firstLine="420" w:firstLineChars="200"/>
        <w:jc w:val="center"/>
        <w:rPr>
          <w:rFonts w:ascii="宋体" w:hAnsi="宋体" w:hint="eastAsia"/>
          <w:spacing w:val="20"/>
          <w:sz w:val="24"/>
        </w:rPr>
      </w:pPr>
      <w:r>
        <w:rPr>
          <w:rFonts w:ascii="宋体" w:hAnsi="宋体" w:hint="eastAsia"/>
        </w:rPr>
        <w:t xml:space="preserve">      </w:t>
      </w:r>
      <w:r>
        <w:rPr>
          <w:rFonts w:ascii="宋体" w:hAnsi="宋体"/>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356.84pt;height:117.87pt;mso-position-horizontal-relative:page;mso-position-vertical-relative:page;mso-wrap-style:square" o:ole="" filled="f" stroked="f">
            <v:stroke linestyle="single"/>
            <v:imagedata r:id="rId4" o:title="" croptop="13660f" cropbottom="36513f" cropleft="15189f" cropright="22005f"/>
            <v:path o:extrusionok="f"/>
            <o:lock v:ext="edit" aspectratio="t"/>
          </v:shape>
          <o:OLEObject Type="Embed" ProgID="AutoCAD.Drawing.15" ShapeID="Object 1" DrawAspect="Content" ObjectID="_1234567890" r:id="rId5"/>
        </w:object>
      </w:r>
      <w:r>
        <w:rPr>
          <w:rFonts w:ascii="宋体" w:hAnsi="宋体" w:hint="eastAsia"/>
          <w:spacing w:val="20"/>
          <w:sz w:val="24"/>
        </w:rPr>
        <w:t xml:space="preserve"> </w:t>
      </w:r>
    </w:p>
    <w:p>
      <w:pPr>
        <w:spacing w:line="360" w:lineRule="auto"/>
        <w:ind w:firstLine="480" w:firstLineChars="200"/>
        <w:rPr>
          <w:rFonts w:ascii="宋体" w:hAnsi="宋体" w:hint="eastAsia"/>
          <w:spacing w:val="20"/>
          <w:sz w:val="24"/>
        </w:rPr>
      </w:pPr>
      <w:r>
        <w:rPr>
          <w:rFonts w:ascii="宋体" w:hAnsi="宋体" w:hint="eastAsia"/>
          <w:spacing w:val="20"/>
          <w:sz w:val="24"/>
        </w:rPr>
        <w:t>2.空调风系统安装</w:t>
      </w:r>
    </w:p>
    <w:p>
      <w:pPr>
        <w:pStyle w:val="NormalIndent"/>
        <w:spacing w:line="360" w:lineRule="auto"/>
        <w:ind w:firstLine="480" w:firstLineChars="200"/>
        <w:rPr>
          <w:rFonts w:hint="eastAsia"/>
          <w:b/>
          <w:bCs/>
          <w:spacing w:val="20"/>
          <w:sz w:val="24"/>
        </w:rPr>
      </w:pPr>
      <w:r>
        <w:rPr>
          <w:rFonts w:hint="eastAsia"/>
          <w:spacing w:val="20"/>
          <w:sz w:val="24"/>
        </w:rPr>
        <w:t>2.1通风空调管道的测绘</w:t>
      </w:r>
    </w:p>
    <w:p>
      <w:pPr>
        <w:spacing w:line="360" w:lineRule="auto"/>
        <w:ind w:firstLine="480" w:firstLineChars="200"/>
        <w:rPr>
          <w:rFonts w:ascii="宋体" w:hAnsi="宋体" w:hint="eastAsia"/>
          <w:spacing w:val="20"/>
          <w:sz w:val="24"/>
          <w:bdr w:val="single" w:sz="4" w:space="0" w:color="auto"/>
        </w:rPr>
      </w:pPr>
      <w:r>
        <w:rPr>
          <w:rFonts w:ascii="宋体" w:hAnsi="宋体" w:hint="eastAsia"/>
          <w:spacing w:val="20"/>
          <w:sz w:val="24"/>
        </w:rPr>
        <w:t>2.1.1工艺流程：</w:t>
      </w:r>
      <w:r>
        <w:rPr>
          <w:rFonts w:ascii="宋体" w:hAnsi="宋体" w:hint="eastAsia"/>
          <w:spacing w:val="20"/>
          <w:sz w:val="24"/>
          <w:bdr w:val="single" w:sz="4" w:space="0" w:color="auto"/>
        </w:rPr>
        <w:t>检查预留孔洞和埋件</w:t>
      </w:r>
      <w:r>
        <w:rPr>
          <w:rFonts w:ascii="宋体" w:hAnsi="宋体" w:hint="eastAsia"/>
          <w:spacing w:val="20"/>
          <w:sz w:val="24"/>
        </w:rPr>
        <w:t>→</w:t>
      </w:r>
      <w:r>
        <w:rPr>
          <w:rFonts w:ascii="宋体" w:hAnsi="宋体" w:hint="eastAsia"/>
          <w:spacing w:val="20"/>
          <w:sz w:val="24"/>
          <w:bdr w:val="single" w:sz="4" w:space="0" w:color="auto"/>
        </w:rPr>
        <w:t>测量步骤（加实测）</w:t>
      </w:r>
      <w:r>
        <w:rPr>
          <w:rFonts w:ascii="宋体" w:hAnsi="宋体" w:hint="eastAsia"/>
          <w:spacing w:val="20"/>
          <w:sz w:val="24"/>
        </w:rPr>
        <w:t>→</w:t>
      </w:r>
      <w:r>
        <w:rPr>
          <w:rFonts w:ascii="宋体" w:hAnsi="宋体" w:hint="eastAsia"/>
          <w:spacing w:val="20"/>
          <w:sz w:val="24"/>
          <w:bdr w:val="single" w:sz="4" w:space="0" w:color="auto"/>
        </w:rPr>
        <w:t>加工草图绘制</w:t>
      </w:r>
    </w:p>
    <w:p>
      <w:pPr>
        <w:spacing w:line="360" w:lineRule="auto"/>
        <w:ind w:firstLine="480" w:firstLineChars="200"/>
        <w:rPr>
          <w:rFonts w:ascii="宋体" w:hAnsi="宋体" w:hint="eastAsia"/>
          <w:spacing w:val="20"/>
          <w:sz w:val="24"/>
        </w:rPr>
      </w:pPr>
      <w:r>
        <w:rPr>
          <w:rFonts w:ascii="宋体" w:hAnsi="宋体" w:hint="eastAsia"/>
          <w:spacing w:val="20"/>
          <w:sz w:val="24"/>
        </w:rPr>
        <w:t>2.1.2先按设计图纸绘制一张简单的草图，将设计给定的尺寸先注在图中，以便测绘时使用。</w:t>
      </w:r>
    </w:p>
    <w:p>
      <w:pPr>
        <w:spacing w:line="360" w:lineRule="auto"/>
        <w:ind w:firstLine="480" w:firstLineChars="200"/>
        <w:rPr>
          <w:rFonts w:ascii="宋体" w:hAnsi="宋体" w:hint="eastAsia"/>
          <w:spacing w:val="20"/>
          <w:sz w:val="24"/>
        </w:rPr>
      </w:pPr>
      <w:r>
        <w:rPr>
          <w:rFonts w:ascii="宋体" w:hAnsi="宋体" w:hint="eastAsia"/>
          <w:spacing w:val="20"/>
          <w:sz w:val="24"/>
        </w:rPr>
        <w:t>2.1.3加工草图的绘制：根据草图的测绘，其测绘内容也要按实际需要和具体情况而定。风管法兰等可拆件不可设在墙壁及楼板内。</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2.2风管与风管配件制作</w:t>
      </w:r>
    </w:p>
    <w:p>
      <w:pPr>
        <w:spacing w:line="360" w:lineRule="auto"/>
        <w:ind w:firstLine="480" w:firstLineChars="200"/>
        <w:jc w:val="left"/>
        <w:rPr>
          <w:rFonts w:ascii="宋体" w:hAnsi="宋体" w:hint="eastAsia"/>
          <w:color w:val="000000"/>
          <w:spacing w:val="20"/>
          <w:sz w:val="24"/>
        </w:rPr>
      </w:pPr>
      <w:r>
        <w:rPr>
          <w:rFonts w:ascii="宋体" w:hAnsi="宋体" w:hint="eastAsia"/>
          <w:spacing w:val="20"/>
          <w:sz w:val="24"/>
        </w:rPr>
        <w:t>2.2.1工艺流程：</w:t>
      </w:r>
      <w:r>
        <w:rPr>
          <w:rFonts w:ascii="宋体" w:hAnsi="宋体" w:hint="eastAsia"/>
          <w:color w:val="000000"/>
          <w:spacing w:val="20"/>
          <w:sz w:val="24"/>
          <w:bdr w:val="single" w:sz="4" w:space="0" w:color="auto"/>
        </w:rPr>
        <w:t>熟悉图纸及资料</w:t>
      </w:r>
      <w:r>
        <w:rPr>
          <w:rFonts w:ascii="宋体" w:hAnsi="宋体" w:hint="eastAsia"/>
          <w:color w:val="000000"/>
          <w:spacing w:val="20"/>
          <w:sz w:val="24"/>
        </w:rPr>
        <w:t>→</w:t>
      </w:r>
      <w:r>
        <w:rPr>
          <w:rFonts w:ascii="宋体" w:hAnsi="宋体" w:hint="eastAsia"/>
          <w:color w:val="000000"/>
          <w:spacing w:val="20"/>
          <w:sz w:val="24"/>
          <w:bdr w:val="single" w:sz="4" w:space="0" w:color="auto"/>
        </w:rPr>
        <w:t>施工准备</w:t>
      </w:r>
      <w:r>
        <w:rPr>
          <w:rFonts w:ascii="宋体" w:hAnsi="宋体" w:hint="eastAsia"/>
          <w:color w:val="000000"/>
          <w:spacing w:val="20"/>
          <w:sz w:val="24"/>
        </w:rPr>
        <w:t>→</w:t>
      </w:r>
      <w:r>
        <w:rPr>
          <w:rFonts w:ascii="宋体" w:hAnsi="宋体" w:hint="eastAsia"/>
          <w:color w:val="000000"/>
          <w:spacing w:val="20"/>
          <w:sz w:val="24"/>
          <w:bdr w:val="single" w:sz="4" w:space="0" w:color="auto"/>
        </w:rPr>
        <w:t>钣金</w:t>
      </w:r>
      <w:r>
        <w:rPr>
          <w:rFonts w:ascii="宋体" w:hAnsi="宋体" w:hint="eastAsia"/>
          <w:color w:val="000000"/>
          <w:spacing w:val="20"/>
          <w:sz w:val="24"/>
        </w:rPr>
        <w:t>→</w:t>
      </w:r>
      <w:r>
        <w:rPr>
          <w:rFonts w:ascii="宋体" w:hAnsi="宋体" w:hint="eastAsia"/>
          <w:color w:val="000000"/>
          <w:spacing w:val="20"/>
          <w:sz w:val="24"/>
          <w:bdr w:val="single" w:sz="4" w:space="0" w:color="auto"/>
        </w:rPr>
        <w:t>法兰制安</w:t>
      </w:r>
      <w:r>
        <w:rPr>
          <w:rFonts w:ascii="宋体" w:hAnsi="宋体" w:hint="eastAsia"/>
          <w:color w:val="000000"/>
          <w:spacing w:val="20"/>
          <w:sz w:val="24"/>
        </w:rPr>
        <w:t>→</w:t>
      </w:r>
      <w:r>
        <w:rPr>
          <w:rFonts w:ascii="宋体" w:hAnsi="宋体" w:hint="eastAsia"/>
          <w:color w:val="000000"/>
          <w:spacing w:val="20"/>
          <w:sz w:val="24"/>
          <w:bdr w:val="single" w:sz="4" w:space="0" w:color="auto"/>
        </w:rPr>
        <w:t>风管成型</w:t>
      </w:r>
      <w:r>
        <w:rPr>
          <w:rFonts w:ascii="宋体" w:hAnsi="宋体" w:hint="eastAsia"/>
          <w:color w:val="000000"/>
          <w:spacing w:val="20"/>
          <w:sz w:val="24"/>
        </w:rPr>
        <w:t>→</w:t>
      </w:r>
      <w:r>
        <w:rPr>
          <w:rFonts w:ascii="宋体" w:hAnsi="宋体" w:hint="eastAsia"/>
          <w:color w:val="000000"/>
          <w:spacing w:val="20"/>
          <w:sz w:val="24"/>
          <w:bdr w:val="single" w:sz="4" w:space="0" w:color="auto"/>
        </w:rPr>
        <w:t>风阀制安</w:t>
      </w:r>
      <w:r>
        <w:rPr>
          <w:rFonts w:ascii="宋体" w:hAnsi="宋体" w:hint="eastAsia"/>
          <w:color w:val="000000"/>
          <w:spacing w:val="20"/>
          <w:sz w:val="24"/>
        </w:rPr>
        <w:t>→</w:t>
      </w:r>
      <w:r>
        <w:rPr>
          <w:rFonts w:ascii="宋体" w:hAnsi="宋体" w:hint="eastAsia"/>
          <w:color w:val="000000"/>
          <w:spacing w:val="20"/>
          <w:sz w:val="24"/>
          <w:bdr w:val="single" w:sz="4" w:space="0" w:color="auto"/>
        </w:rPr>
        <w:t>风管与部件安装</w:t>
      </w:r>
      <w:r>
        <w:rPr>
          <w:rFonts w:ascii="宋体" w:hAnsi="宋体" w:hint="eastAsia"/>
          <w:color w:val="000000"/>
          <w:spacing w:val="20"/>
          <w:sz w:val="24"/>
        </w:rPr>
        <w:t>→</w:t>
      </w:r>
      <w:r>
        <w:rPr>
          <w:rFonts w:ascii="宋体" w:hAnsi="宋体" w:hint="eastAsia"/>
          <w:color w:val="000000"/>
          <w:spacing w:val="20"/>
          <w:sz w:val="24"/>
          <w:bdr w:val="single" w:sz="4" w:space="0" w:color="auto"/>
        </w:rPr>
        <w:t>柔性管安装</w:t>
      </w:r>
      <w:r>
        <w:rPr>
          <w:rFonts w:ascii="宋体" w:hAnsi="宋体" w:hint="eastAsia"/>
          <w:color w:val="000000"/>
          <w:spacing w:val="20"/>
          <w:sz w:val="24"/>
        </w:rPr>
        <w:t>→</w:t>
      </w:r>
      <w:r>
        <w:rPr>
          <w:rFonts w:ascii="宋体" w:hAnsi="宋体" w:hint="eastAsia"/>
          <w:color w:val="000000"/>
          <w:spacing w:val="20"/>
          <w:sz w:val="24"/>
          <w:bdr w:val="single" w:sz="4" w:space="0" w:color="auto"/>
        </w:rPr>
        <w:t>风口安装</w:t>
      </w:r>
      <w:r>
        <w:rPr>
          <w:rFonts w:ascii="宋体" w:hAnsi="宋体" w:hint="eastAsia"/>
          <w:color w:val="000000"/>
          <w:spacing w:val="20"/>
          <w:sz w:val="24"/>
        </w:rPr>
        <w:t>→</w:t>
      </w:r>
      <w:r>
        <w:rPr>
          <w:rFonts w:ascii="宋体" w:hAnsi="宋体" w:hint="eastAsia"/>
          <w:color w:val="000000"/>
          <w:spacing w:val="20"/>
          <w:sz w:val="24"/>
          <w:bdr w:val="single" w:sz="4" w:space="0" w:color="auto"/>
        </w:rPr>
        <w:t>调整验收</w:t>
      </w:r>
    </w:p>
    <w:p>
      <w:pPr>
        <w:spacing w:line="360" w:lineRule="auto"/>
        <w:ind w:firstLine="480" w:firstLineChars="200"/>
        <w:rPr>
          <w:rFonts w:ascii="宋体" w:hAnsi="宋体" w:hint="eastAsia"/>
          <w:spacing w:val="20"/>
          <w:sz w:val="24"/>
        </w:rPr>
      </w:pPr>
      <w:r>
        <w:rPr>
          <w:rFonts w:ascii="宋体" w:hAnsi="宋体" w:hint="eastAsia"/>
          <w:spacing w:val="20"/>
          <w:sz w:val="24"/>
        </w:rPr>
        <w:t>2.2.2对风管制作质量的验收应按其材料、系统类别和使用部位场所的不同分别进行，主要包括风管的材质、规格、强度、严密性与成品外观质量等内容，同时按设计图纸及规范的规定执行。</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 xml:space="preserve">2.2.3风管安装流程图 </w:t>
      </w:r>
    </w:p>
    <w:p>
      <w:pPr>
        <w:spacing w:line="360" w:lineRule="auto"/>
        <w:ind w:firstLine="480" w:firstLineChars="200"/>
        <w:jc w:val="left"/>
        <w:rPr>
          <w:rFonts w:ascii="宋体" w:hAnsi="宋体" w:hint="eastAsia"/>
          <w:spacing w:val="20"/>
          <w:sz w:val="24"/>
        </w:rPr>
      </w:pPr>
    </w:p>
    <w:p>
      <w:pPr>
        <w:spacing w:line="360" w:lineRule="auto"/>
        <w:ind w:firstLine="480" w:firstLineChars="200"/>
        <w:jc w:val="left"/>
        <w:rPr>
          <w:rFonts w:ascii="宋体" w:hAnsi="宋体" w:hint="eastAsia"/>
          <w:spacing w:val="20"/>
          <w:sz w:val="24"/>
        </w:rPr>
      </w:pPr>
    </w:p>
    <w:p>
      <w:pPr>
        <w:spacing w:line="360" w:lineRule="auto"/>
        <w:ind w:firstLine="480" w:firstLineChars="200"/>
        <w:jc w:val="left"/>
        <w:rPr>
          <w:rFonts w:ascii="宋体" w:hAnsi="宋体" w:hint="eastAsia"/>
          <w:spacing w:val="20"/>
          <w:sz w:val="24"/>
        </w:rPr>
      </w:pPr>
    </w:p>
    <w:p>
      <w:pPr>
        <w:spacing w:line="360" w:lineRule="auto"/>
        <w:ind w:firstLine="480" w:firstLineChars="200"/>
        <w:jc w:val="left"/>
        <w:rPr>
          <w:rFonts w:ascii="宋体" w:hAnsi="宋体" w:hint="eastAsia"/>
          <w:spacing w:val="20"/>
          <w:sz w:val="24"/>
        </w:rPr>
        <w:sectPr>
          <w:footerReference w:type="even" r:id="rId6"/>
          <w:footerReference w:type="default" r:id="rId7"/>
          <w:pgSz w:w="11906" w:h="16838"/>
          <w:pgMar w:top="1440" w:right="1800" w:bottom="1440" w:left="1800" w:header="851" w:footer="992" w:gutter="0"/>
          <w:cols w:space="708"/>
          <w:docGrid w:type="lines" w:linePitch="312"/>
        </w:sectPr>
      </w:pPr>
      <w:r>
        <w:rPr>
          <w:rFonts w:ascii="宋体" w:hAnsi="宋体" w:hint="eastAsia"/>
          <w:spacing w:val="20"/>
          <w:sz w:val="24"/>
        </w:rPr>
        <w:t xml:space="preserve">  </w:t>
      </w:r>
    </w:p>
    <w:p>
      <w:pPr>
        <w:spacing w:before="50"/>
        <w:ind w:firstLine="420" w:firstLineChars="200"/>
        <w:rPr>
          <w:rFonts w:ascii="宋体" w:hAnsi="宋体" w:hint="eastAsia"/>
          <w:color w:val="000000"/>
        </w:rPr>
      </w:pPr>
      <w:r>
        <w:rPr>
          <w:rFonts w:ascii="宋体" w:hAnsi="宋体"/>
        </w:rPr>
        <w:pict>
          <v:group id="组合 2" o:spid="_x0000_s1026" style="width:399pt;height:428.85pt;margin-top:7.8pt;margin-left:45pt;position:absolute;z-index:251658240" coordorigin="2430,3471" coordsize="7980,8577">
            <v:shapetype id="_x0000_t202" coordsize="21600,21600" o:spt="202" path="m,l,21600r21600,l21600,xe">
              <v:stroke joinstyle="miter"/>
              <v:path gradientshapeok="t" o:connecttype="rect"/>
            </v:shapetype>
            <v:shape id="文本框 3" o:spid="_x0000_s1027" type="#_x0000_t202" style="width:2415;height:468;left:5160;mso-wrap-style:square;position:absolute;top:3471" filled="f" fillcolor="#cfc" stroked="t" strokeweight="0.25pt">
              <v:fill opacity="0.5"/>
              <v:stroke linestyle="single"/>
              <v:textbox>
                <w:txbxContent>
                  <w:p>
                    <w:pPr>
                      <w:jc w:val="center"/>
                      <w:rPr>
                        <w:rFonts w:hint="eastAsia"/>
                      </w:rPr>
                    </w:pPr>
                    <w:r>
                      <w:rPr>
                        <w:rFonts w:hint="eastAsia"/>
                      </w:rPr>
                      <w:t>风管、支架安装图准备</w:t>
                    </w:r>
                  </w:p>
                </w:txbxContent>
              </v:textbox>
            </v:shape>
            <v:shape id="文本框 4" o:spid="_x0000_s1028" type="#_x0000_t202" style="width:2205;height:468;left:2430;mso-wrap-style:square;position:absolute;top:4560" filled="f" fillcolor="#cfc" stroked="t" strokeweight="0.25pt">
              <v:fill opacity="0.5"/>
              <v:stroke linestyle="single"/>
              <v:textbox>
                <w:txbxContent>
                  <w:p>
                    <w:pPr>
                      <w:jc w:val="center"/>
                      <w:rPr>
                        <w:rFonts w:hint="eastAsia"/>
                      </w:rPr>
                    </w:pPr>
                    <w:r>
                      <w:rPr>
                        <w:rFonts w:hint="eastAsia"/>
                      </w:rPr>
                      <w:t>支架材料进场检验</w:t>
                    </w:r>
                  </w:p>
                </w:txbxContent>
              </v:textbox>
            </v:shape>
            <v:shape id="文本框 5" o:spid="_x0000_s1029" type="#_x0000_t202" style="width:2205;height:468;left:2430;mso-wrap-style:square;position:absolute;top:5496" filled="f" fillcolor="#cfc" stroked="t" strokeweight="0.25pt">
              <v:fill opacity="0.5"/>
              <v:stroke linestyle="single"/>
              <v:textbox>
                <w:txbxContent>
                  <w:p>
                    <w:pPr>
                      <w:jc w:val="center"/>
                      <w:rPr>
                        <w:rFonts w:hint="eastAsia"/>
                      </w:rPr>
                    </w:pPr>
                    <w:r>
                      <w:rPr>
                        <w:rFonts w:hint="eastAsia"/>
                      </w:rPr>
                      <w:t>支架制作、刷漆</w:t>
                    </w:r>
                  </w:p>
                </w:txbxContent>
              </v:textbox>
            </v:shape>
            <v:shape id="文本框 6" o:spid="_x0000_s1030" type="#_x0000_t202" style="width:2205;height:468;left:2430;mso-wrap-style:square;position:absolute;top:6432" filled="f" fillcolor="#cfc" stroked="t" strokeweight="0.25pt">
              <v:fill opacity="0.5"/>
              <v:stroke linestyle="single"/>
              <v:textbox>
                <w:txbxContent>
                  <w:p>
                    <w:pPr>
                      <w:jc w:val="center"/>
                      <w:rPr>
                        <w:rFonts w:hint="eastAsia"/>
                      </w:rPr>
                    </w:pPr>
                    <w:r>
                      <w:rPr>
                        <w:rFonts w:hint="eastAsia"/>
                      </w:rPr>
                      <w:t>脚手架、放线</w:t>
                    </w:r>
                  </w:p>
                </w:txbxContent>
              </v:textbox>
            </v:shape>
            <v:shape id="文本框 7" o:spid="_x0000_s1031" type="#_x0000_t202" style="width:2205;height:468;left:2430;mso-wrap-style:square;position:absolute;top:7368" filled="f" fillcolor="#cfc" stroked="t" strokeweight="0.25pt">
              <v:fill opacity="0.5"/>
              <v:stroke linestyle="single"/>
              <v:textbox>
                <w:txbxContent>
                  <w:p>
                    <w:pPr>
                      <w:jc w:val="center"/>
                      <w:rPr>
                        <w:rFonts w:hint="eastAsia"/>
                      </w:rPr>
                    </w:pPr>
                    <w:r>
                      <w:rPr>
                        <w:rFonts w:hint="eastAsia"/>
                      </w:rPr>
                      <w:t>支吊架安装</w:t>
                    </w:r>
                  </w:p>
                </w:txbxContent>
              </v:textbox>
            </v:shape>
            <v:shape id="文本框 8" o:spid="_x0000_s1032" type="#_x0000_t202" style="width:2415;height:468;left:7995;mso-wrap-style:square;position:absolute;top:4560" filled="f" fillcolor="#cfc" stroked="t" strokeweight="0.25pt">
              <v:fill opacity="0.5"/>
              <v:stroke linestyle="single"/>
              <v:textbox>
                <w:txbxContent>
                  <w:p>
                    <w:pPr>
                      <w:jc w:val="center"/>
                      <w:rPr>
                        <w:rFonts w:hint="eastAsia"/>
                      </w:rPr>
                    </w:pPr>
                    <w:r>
                      <w:rPr>
                        <w:rFonts w:hint="eastAsia"/>
                      </w:rPr>
                      <w:t>风管、阀件清点检验</w:t>
                    </w:r>
                  </w:p>
                </w:txbxContent>
              </v:textbox>
            </v:shape>
            <v:shape id="文本框 9" o:spid="_x0000_s1033" type="#_x0000_t202" style="width:2415;height:468;left:7995;mso-wrap-style:square;position:absolute;top:5496" filled="f" fillcolor="#cfc" stroked="t" strokeweight="0.25pt">
              <v:fill opacity="0.5"/>
              <v:stroke linestyle="single"/>
              <v:textbox>
                <w:txbxContent>
                  <w:p>
                    <w:pPr>
                      <w:jc w:val="center"/>
                      <w:rPr>
                        <w:rFonts w:hint="eastAsia"/>
                      </w:rPr>
                    </w:pPr>
                    <w:r>
                      <w:rPr>
                        <w:rFonts w:hint="eastAsia"/>
                      </w:rPr>
                      <w:t>风管、配件运输</w:t>
                    </w:r>
                  </w:p>
                </w:txbxContent>
              </v:textbox>
            </v:shape>
            <v:shape id="文本框 10" o:spid="_x0000_s1034" type="#_x0000_t202" style="width:2415;height:468;left:7995;mso-wrap-style:square;position:absolute;top:6432" filled="f" fillcolor="#cfc" stroked="t" strokeweight="0.25pt">
              <v:fill opacity="0.5"/>
              <v:stroke linestyle="single"/>
              <v:textbox>
                <w:txbxContent>
                  <w:p>
                    <w:pPr>
                      <w:jc w:val="center"/>
                      <w:rPr>
                        <w:rFonts w:hint="eastAsia"/>
                      </w:rPr>
                    </w:pPr>
                    <w:r>
                      <w:rPr>
                        <w:rFonts w:hint="eastAsia"/>
                      </w:rPr>
                      <w:t>风管、部件组装</w:t>
                    </w:r>
                  </w:p>
                </w:txbxContent>
              </v:textbox>
            </v:shape>
            <v:shape id="文本框 11" o:spid="_x0000_s1035" type="#_x0000_t202" style="width:1785;height:468;left:8310;mso-wrap-style:square;position:absolute;top:7368" filled="f" fillcolor="#cfc" stroked="t" strokeweight="0.25pt">
              <v:fill opacity="0.5"/>
              <v:stroke linestyle="single"/>
              <v:textbox>
                <w:txbxContent>
                  <w:p>
                    <w:pPr>
                      <w:jc w:val="center"/>
                      <w:rPr>
                        <w:rFonts w:hint="eastAsia"/>
                      </w:rPr>
                    </w:pPr>
                    <w:r>
                      <w:rPr>
                        <w:rFonts w:hint="eastAsia"/>
                      </w:rPr>
                      <w:t>检验</w:t>
                    </w:r>
                  </w:p>
                </w:txbxContent>
              </v:textbox>
            </v:shape>
            <v:shape id="文本框 12" o:spid="_x0000_s1036" type="#_x0000_t202" style="width:1995;height:468;left:5475;mso-wrap-style:square;position:absolute;top:8460" filled="f" fillcolor="#cfc" stroked="t" strokeweight="0.25pt">
              <v:fill opacity="0.5"/>
              <v:stroke linestyle="single"/>
              <v:textbox>
                <w:txbxContent>
                  <w:p>
                    <w:pPr>
                      <w:jc w:val="center"/>
                      <w:rPr>
                        <w:rFonts w:hint="eastAsia"/>
                      </w:rPr>
                    </w:pPr>
                    <w:r>
                      <w:rPr>
                        <w:rFonts w:hint="eastAsia"/>
                      </w:rPr>
                      <w:t>风管吊装</w:t>
                    </w:r>
                  </w:p>
                </w:txbxContent>
              </v:textbox>
            </v:shape>
            <v:shape id="文本框 13" o:spid="_x0000_s1037" type="#_x0000_t202" style="width:1995;height:468;left:5475;mso-wrap-style:square;position:absolute;top:9240" filled="f" fillcolor="#cfc" stroked="t" strokeweight="0.25pt">
              <v:fill opacity="0.5"/>
              <v:stroke linestyle="single"/>
              <v:textbox>
                <w:txbxContent>
                  <w:p>
                    <w:pPr>
                      <w:jc w:val="center"/>
                      <w:rPr>
                        <w:rFonts w:hint="eastAsia"/>
                      </w:rPr>
                    </w:pPr>
                    <w:r>
                      <w:rPr>
                        <w:rFonts w:hint="eastAsia"/>
                      </w:rPr>
                      <w:t>调标高、位置</w:t>
                    </w:r>
                  </w:p>
                </w:txbxContent>
              </v:textbox>
            </v:shape>
            <v:shape id="文本框 14" o:spid="_x0000_s1038" type="#_x0000_t202" style="width:1995;height:468;left:5475;mso-wrap-style:square;position:absolute;top:10020" filled="f" fillcolor="#cfc" stroked="t" strokeweight="0.25pt">
              <v:fill opacity="0.5"/>
              <v:stroke linestyle="single"/>
              <v:textbox>
                <w:txbxContent>
                  <w:p>
                    <w:pPr>
                      <w:jc w:val="center"/>
                      <w:rPr>
                        <w:rFonts w:hint="eastAsia"/>
                      </w:rPr>
                    </w:pPr>
                    <w:r>
                      <w:rPr>
                        <w:rFonts w:hint="eastAsia"/>
                      </w:rPr>
                      <w:t>检验评定</w:t>
                    </w:r>
                  </w:p>
                  <w:p>
                    <w:pPr>
                      <w:jc w:val="center"/>
                      <w:rPr>
                        <w:rFonts w:hint="eastAsia"/>
                      </w:rPr>
                    </w:pPr>
                  </w:p>
                </w:txbxContent>
              </v:textbox>
            </v:shape>
            <v:shape id="文本框 15" o:spid="_x0000_s1039" type="#_x0000_t202" style="width:1995;height:468;left:5475;mso-wrap-style:square;position:absolute;top:10800" filled="f" fillcolor="#cfc" stroked="t" strokeweight="0.25pt">
              <v:fill opacity="0.5"/>
              <v:stroke linestyle="single"/>
              <v:textbox>
                <w:txbxContent>
                  <w:p>
                    <w:pPr>
                      <w:jc w:val="center"/>
                      <w:rPr>
                        <w:rFonts w:hint="eastAsia"/>
                      </w:rPr>
                    </w:pPr>
                    <w:r>
                      <w:rPr>
                        <w:rFonts w:hint="eastAsia"/>
                      </w:rPr>
                      <w:t>保温</w:t>
                    </w:r>
                  </w:p>
                </w:txbxContent>
              </v:textbox>
            </v:shape>
            <v:shape id="文本框 16" o:spid="_x0000_s1040" type="#_x0000_t202" style="width:1995;height:468;left:5475;mso-wrap-style:square;position:absolute;top:11580" filled="f" fillcolor="#cfc" stroked="t" strokeweight="0.25pt">
              <v:fill opacity="0.5"/>
              <v:stroke linestyle="single"/>
              <v:textbox>
                <w:txbxContent>
                  <w:p>
                    <w:pPr>
                      <w:jc w:val="center"/>
                      <w:rPr>
                        <w:rFonts w:hint="eastAsia"/>
                      </w:rPr>
                    </w:pPr>
                    <w:r>
                      <w:rPr>
                        <w:rFonts w:hint="eastAsia"/>
                      </w:rPr>
                      <w:t>风口安装</w:t>
                    </w:r>
                  </w:p>
                </w:txbxContent>
              </v:textbox>
            </v:shape>
            <v:line id="直线 17" o:spid="_x0000_s1041" style="mso-wrap-style:square;position:absolute" from="3375,4248" to="9465,4248" stroked="t" strokeweight="0.25pt">
              <v:stroke linestyle="single"/>
            </v:line>
            <v:line id="直线 18" o:spid="_x0000_s1042" style="mso-wrap-style:square;position:absolute" from="6315,3936" to="6315,4248" stroked="t" strokeweight="0.25pt">
              <v:stroke linestyle="single" endarrow="block"/>
            </v:line>
            <v:line id="直线 19" o:spid="_x0000_s1043" style="mso-wrap-style:square;position:absolute" from="3375,4248" to="3375,4560" stroked="t" strokeweight="0.25pt">
              <v:stroke linestyle="single" endarrow="block"/>
            </v:line>
            <v:line id="直线 20" o:spid="_x0000_s1044" style="mso-wrap-style:square;position:absolute" from="9465,4248" to="9465,4560" stroked="t" strokeweight="0.25pt">
              <v:stroke linestyle="single" endarrow="block"/>
            </v:line>
            <v:line id="直线 21" o:spid="_x0000_s1045" style="mso-wrap-style:square;position:absolute" from="3375,5028" to="3375,5496" stroked="t" strokeweight="0.25pt">
              <v:stroke linestyle="single" endarrow="block"/>
            </v:line>
            <v:line id="直线 22" o:spid="_x0000_s1046" style="mso-wrap-style:square;position:absolute" from="3375,5964" to="3375,6432" stroked="t" strokeweight="0.25pt">
              <v:stroke linestyle="single" endarrow="block"/>
            </v:line>
            <v:line id="直线 23" o:spid="_x0000_s1047" style="mso-wrap-style:square;position:absolute" from="3375,6900" to="3375,7368" stroked="t" strokeweight="0.25pt">
              <v:stroke linestyle="single" endarrow="block"/>
            </v:line>
            <v:line id="直线 24" o:spid="_x0000_s1048" style="mso-wrap-style:square;position:absolute" from="9465,5028" to="9465,5496" stroked="t" strokeweight="0.25pt">
              <v:stroke linestyle="single" endarrow="block"/>
            </v:line>
            <v:line id="直线 25" o:spid="_x0000_s1049" style="mso-wrap-style:square;position:absolute" from="9465,5964" to="9465,6432" stroked="t" strokeweight="0.25pt">
              <v:stroke linestyle="single" endarrow="block"/>
            </v:line>
            <v:line id="直线 26" o:spid="_x0000_s1050" style="mso-wrap-style:square;position:absolute" from="9465,6900" to="9465,7368" stroked="t" strokeweight="0.25pt">
              <v:stroke linestyle="single" endarrow="block"/>
            </v:line>
            <v:line id="直线 27" o:spid="_x0000_s1051" style="mso-wrap-style:square;position:absolute" from="6420,8928" to="6420,9240" stroked="t" strokeweight="0.25pt">
              <v:stroke linestyle="single" endarrow="block"/>
            </v:line>
            <v:line id="直线 28" o:spid="_x0000_s1052" style="mso-wrap-style:square;position:absolute" from="6420,9708" to="6420,10020" stroked="t" strokeweight="0.25pt">
              <v:stroke linestyle="single" endarrow="block"/>
            </v:line>
            <v:line id="直线 29" o:spid="_x0000_s1053" style="mso-wrap-style:square;position:absolute" from="6420,10488" to="6420,10800" stroked="t" strokeweight="0.25pt">
              <v:stroke linestyle="single" endarrow="block"/>
            </v:line>
            <v:line id="直线 30" o:spid="_x0000_s1054" style="mso-wrap-style:square;position:absolute" from="6420,11268" to="6420,11580" stroked="t" strokeweight="0.25pt">
              <v:stroke linestyle="single" endarrow="block"/>
            </v:line>
            <v:line id="直线 31" o:spid="_x0000_s1055" style="mso-wrap-style:square;position:absolute" from="3375,8148" to="9465,8148" stroked="t" strokeweight="0.25pt">
              <v:stroke linestyle="single"/>
            </v:line>
            <v:line id="直线 32" o:spid="_x0000_s1056" style="mso-wrap-style:square;position:absolute" from="6420,8148" to="6420,8460" stroked="t" strokeweight="0.25pt">
              <v:stroke linestyle="single" endarrow="block"/>
            </v:line>
            <v:line id="直线 33" o:spid="_x0000_s1057" style="mso-wrap-style:square;position:absolute" from="3375,7836" to="3375,8148" stroked="t" strokeweight="0.25pt">
              <v:stroke linestyle="single" endarrow="block"/>
            </v:line>
            <v:line id="直线 34" o:spid="_x0000_s1058" style="mso-wrap-style:square;position:absolute" from="9465,7836" to="9465,8148" stroked="t" strokeweight="0.25pt">
              <v:stroke linestyle="single" endarrow="block"/>
            </v:line>
          </v:group>
        </w:pict>
      </w:r>
    </w:p>
    <w:p>
      <w:pPr>
        <w:spacing w:before="50"/>
        <w:rPr>
          <w:rFonts w:ascii="宋体" w:hAnsi="宋体" w:hint="eastAsia"/>
        </w:rPr>
      </w:pPr>
    </w:p>
    <w:p>
      <w:pPr>
        <w:spacing w:before="50"/>
        <w:rPr>
          <w:rFonts w:ascii="宋体" w:hAnsi="宋体" w:hint="eastAsia"/>
        </w:rPr>
      </w:pPr>
    </w:p>
    <w:p>
      <w:pPr>
        <w:spacing w:before="50"/>
        <w:rPr>
          <w:rFonts w:ascii="宋体" w:hAnsi="宋体" w:hint="eastAsia"/>
        </w:rPr>
      </w:pPr>
    </w:p>
    <w:p>
      <w:pPr>
        <w:spacing w:before="50"/>
        <w:rPr>
          <w:rFonts w:ascii="宋体" w:hAnsi="宋体" w:hint="eastAsia"/>
        </w:rPr>
      </w:pPr>
    </w:p>
    <w:p>
      <w:pPr>
        <w:spacing w:before="50"/>
        <w:rPr>
          <w:rFonts w:ascii="宋体" w:hAnsi="宋体" w:hint="eastAsia"/>
        </w:rPr>
      </w:pPr>
    </w:p>
    <w:p>
      <w:pPr>
        <w:spacing w:before="50"/>
        <w:rPr>
          <w:rFonts w:ascii="宋体" w:hAnsi="宋体" w:hint="eastAsia"/>
        </w:rPr>
      </w:pPr>
    </w:p>
    <w:p>
      <w:pPr>
        <w:spacing w:before="50"/>
        <w:rPr>
          <w:rFonts w:ascii="宋体" w:hAnsi="宋体" w:hint="eastAsia"/>
        </w:rPr>
      </w:pPr>
    </w:p>
    <w:p>
      <w:pPr>
        <w:spacing w:before="50"/>
        <w:rPr>
          <w:rFonts w:ascii="宋体" w:hAnsi="宋体" w:hint="eastAsia"/>
        </w:rPr>
      </w:pPr>
    </w:p>
    <w:p>
      <w:pPr>
        <w:spacing w:before="50"/>
        <w:rPr>
          <w:rFonts w:ascii="宋体" w:hAnsi="宋体" w:hint="eastAsia"/>
        </w:rPr>
      </w:pPr>
    </w:p>
    <w:p>
      <w:pPr>
        <w:spacing w:before="50"/>
        <w:rPr>
          <w:rFonts w:ascii="宋体" w:hAnsi="宋体" w:hint="eastAsia"/>
        </w:rPr>
      </w:pPr>
    </w:p>
    <w:p>
      <w:pPr>
        <w:spacing w:before="50"/>
        <w:rPr>
          <w:rFonts w:ascii="宋体" w:hAnsi="宋体" w:hint="eastAsia"/>
        </w:rPr>
      </w:pPr>
    </w:p>
    <w:p>
      <w:pPr>
        <w:spacing w:before="50"/>
        <w:rPr>
          <w:rFonts w:ascii="宋体" w:hAnsi="宋体" w:hint="eastAsia"/>
        </w:rPr>
      </w:pPr>
    </w:p>
    <w:p>
      <w:pPr>
        <w:spacing w:before="50"/>
        <w:rPr>
          <w:rFonts w:ascii="宋体" w:hAnsi="宋体" w:hint="eastAsia"/>
        </w:rPr>
      </w:pPr>
    </w:p>
    <w:p>
      <w:pPr>
        <w:spacing w:before="50"/>
        <w:ind w:firstLine="420" w:firstLineChars="200"/>
        <w:jc w:val="left"/>
        <w:rPr>
          <w:rFonts w:ascii="宋体" w:hAnsi="宋体" w:hint="eastAsia"/>
          <w:color w:val="000000"/>
        </w:rPr>
      </w:pPr>
    </w:p>
    <w:p>
      <w:pPr>
        <w:spacing w:before="50"/>
        <w:ind w:firstLine="420" w:firstLineChars="200"/>
        <w:jc w:val="left"/>
        <w:rPr>
          <w:rFonts w:ascii="宋体" w:hAnsi="宋体" w:hint="eastAsia"/>
          <w:color w:val="000000"/>
        </w:rPr>
      </w:pPr>
    </w:p>
    <w:p>
      <w:pPr>
        <w:spacing w:before="50"/>
        <w:ind w:firstLine="420" w:firstLineChars="200"/>
        <w:jc w:val="left"/>
        <w:rPr>
          <w:rFonts w:ascii="宋体" w:hAnsi="宋体" w:hint="eastAsia"/>
        </w:rPr>
      </w:pPr>
    </w:p>
    <w:p>
      <w:pPr>
        <w:spacing w:before="50"/>
        <w:ind w:firstLine="420" w:firstLineChars="200"/>
        <w:jc w:val="left"/>
        <w:rPr>
          <w:rFonts w:ascii="宋体" w:hAnsi="宋体" w:hint="eastAsia"/>
        </w:rPr>
      </w:pPr>
    </w:p>
    <w:p>
      <w:pPr>
        <w:spacing w:before="50"/>
        <w:ind w:firstLine="420" w:firstLineChars="200"/>
        <w:jc w:val="left"/>
        <w:rPr>
          <w:rFonts w:ascii="宋体" w:hAnsi="宋体" w:hint="eastAsia"/>
        </w:rPr>
      </w:pPr>
    </w:p>
    <w:p>
      <w:pPr>
        <w:spacing w:before="50"/>
        <w:ind w:firstLine="420" w:firstLineChars="200"/>
        <w:jc w:val="left"/>
        <w:rPr>
          <w:rFonts w:ascii="宋体" w:hAnsi="宋体" w:hint="eastAsia"/>
        </w:rPr>
      </w:pPr>
    </w:p>
    <w:p>
      <w:pPr>
        <w:spacing w:before="50"/>
        <w:ind w:firstLine="420" w:firstLineChars="200"/>
        <w:jc w:val="left"/>
        <w:rPr>
          <w:rFonts w:ascii="宋体" w:hAnsi="宋体" w:hint="eastAsia"/>
        </w:rPr>
      </w:pPr>
    </w:p>
    <w:p>
      <w:pPr>
        <w:spacing w:before="50"/>
        <w:ind w:firstLine="420" w:firstLineChars="200"/>
        <w:jc w:val="left"/>
        <w:rPr>
          <w:rFonts w:ascii="宋体" w:hAnsi="宋体" w:hint="eastAsia"/>
        </w:rPr>
      </w:pPr>
    </w:p>
    <w:p>
      <w:pPr>
        <w:spacing w:before="50"/>
        <w:ind w:firstLine="420" w:firstLineChars="200"/>
        <w:jc w:val="left"/>
        <w:rPr>
          <w:rFonts w:ascii="宋体" w:hAnsi="宋体" w:hint="eastAsia"/>
        </w:rPr>
      </w:pPr>
    </w:p>
    <w:p>
      <w:pPr>
        <w:spacing w:before="50"/>
        <w:ind w:firstLine="420" w:firstLineChars="200"/>
        <w:jc w:val="left"/>
        <w:rPr>
          <w:rFonts w:ascii="宋体" w:hAnsi="宋体" w:hint="eastAsia"/>
        </w:rPr>
      </w:pPr>
    </w:p>
    <w:p>
      <w:pPr>
        <w:spacing w:before="50"/>
        <w:ind w:firstLine="420" w:firstLineChars="200"/>
        <w:jc w:val="left"/>
        <w:rPr>
          <w:rFonts w:ascii="宋体" w:hAnsi="宋体" w:hint="eastAsia"/>
        </w:rPr>
      </w:pPr>
    </w:p>
    <w:p>
      <w:pPr>
        <w:spacing w:line="360" w:lineRule="auto"/>
        <w:ind w:firstLine="480" w:firstLineChars="200"/>
        <w:jc w:val="left"/>
        <w:rPr>
          <w:rFonts w:ascii="宋体" w:hAnsi="宋体" w:hint="eastAsia"/>
          <w:spacing w:val="20"/>
          <w:sz w:val="24"/>
        </w:rPr>
      </w:pPr>
      <w:r>
        <w:rPr>
          <w:rFonts w:ascii="宋体" w:hAnsi="宋体" w:hint="eastAsia"/>
          <w:spacing w:val="20"/>
          <w:sz w:val="24"/>
        </w:rPr>
        <w:t>2.3玻璃棉保温型风管(复合玻纤板风管)</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2.3.1风管的离心玻璃纤维板材应干燥、平整；板外表面的铝箔隔气保护层应与内心玻璃纤维材料粘合牢固；内表面应有防纤维脱落的保护层，并应对人体无害。</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2.3.2复合玻纤管制作的矩形风管应减少拼接，拼接缝的粘接应严密牢固，折角应屏直。风管内表面应平整、清洁。</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2.3.3风管与配件的接缝应紧密、宽度应一致；折角平直、圆弧均匀；两端面平行。风管无明显的扭曲与翘角；表面应平整，凹凸不大于10mm。</w:t>
      </w:r>
    </w:p>
    <w:p>
      <w:pPr>
        <w:spacing w:line="360" w:lineRule="auto"/>
        <w:ind w:firstLine="480" w:firstLineChars="200"/>
        <w:jc w:val="left"/>
        <w:rPr>
          <w:rFonts w:ascii="宋体" w:hAnsi="宋体" w:hint="eastAsia"/>
          <w:spacing w:val="20"/>
          <w:sz w:val="24"/>
        </w:rPr>
        <w:sectPr>
          <w:footerReference w:type="even" r:id="rId8"/>
          <w:footerReference w:type="default" r:id="rId9"/>
          <w:type w:val="nextPage"/>
          <w:pgSz w:w="11906" w:h="16838"/>
          <w:pgMar w:top="1440" w:right="1800" w:bottom="1440" w:left="1800" w:header="851" w:footer="992" w:gutter="0"/>
          <w:pgNumType w:start="2"/>
          <w:cols w:space="708"/>
          <w:titlePg w:val="0"/>
          <w:docGrid w:type="lines" w:linePitch="312"/>
        </w:sectPr>
      </w:pPr>
      <w:r>
        <w:rPr>
          <w:rFonts w:ascii="宋体" w:hAnsi="宋体" w:hint="eastAsia"/>
          <w:spacing w:val="20"/>
          <w:sz w:val="24"/>
        </w:rPr>
        <w:t>2.3.4风管外径或外边长的允许偏差：当小于或等于300</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 xml:space="preserve"> mm时为2</w:t>
      </w:r>
      <w:r>
        <w:rPr>
          <w:rFonts w:ascii="宋体" w:hAnsi="宋体" w:hint="eastAsia"/>
          <w:spacing w:val="20"/>
          <w:sz w:val="24"/>
        </w:rPr>
        <w:t xml:space="preserve"> mm；当大于300</w:t>
      </w:r>
      <w:r>
        <w:rPr>
          <w:rFonts w:ascii="宋体" w:hAnsi="宋体" w:hint="eastAsia"/>
          <w:spacing w:val="20"/>
          <w:sz w:val="24"/>
        </w:rPr>
        <w:t xml:space="preserve"> mm时为3</w:t>
      </w:r>
      <w:r>
        <w:rPr>
          <w:rFonts w:ascii="宋体" w:hAnsi="宋体" w:hint="eastAsia"/>
          <w:spacing w:val="20"/>
          <w:sz w:val="24"/>
        </w:rPr>
        <w:t xml:space="preserve"> mm。管口平直度的允许偏差为2</w:t>
      </w:r>
      <w:r>
        <w:rPr>
          <w:rFonts w:ascii="宋体" w:hAnsi="宋体" w:hint="eastAsia"/>
          <w:spacing w:val="20"/>
          <w:sz w:val="24"/>
        </w:rPr>
        <w:t xml:space="preserve"> mm，矩形风管两条对角线长度之差不应大于3</w:t>
      </w:r>
      <w:r>
        <w:rPr>
          <w:rFonts w:ascii="宋体" w:hAnsi="宋体" w:hint="eastAsia"/>
          <w:spacing w:val="20"/>
          <w:sz w:val="24"/>
        </w:rPr>
        <w:t xml:space="preserve"> mm，圆形法兰任意正交两直径之差不应大于2</w:t>
      </w:r>
      <w:r>
        <w:rPr>
          <w:rFonts w:ascii="宋体" w:hAnsi="宋体" w:hint="eastAsia"/>
          <w:spacing w:val="20"/>
          <w:sz w:val="24"/>
        </w:rPr>
        <w:t xml:space="preserve"> mm。</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2.3.5风管表面应平整、两端面平行，无明显凹穴、变形、起泡，铝箔无破损等。</w:t>
      </w:r>
    </w:p>
    <w:p>
      <w:pPr>
        <w:spacing w:line="360" w:lineRule="auto"/>
        <w:ind w:firstLine="480" w:firstLineChars="200"/>
        <w:jc w:val="left"/>
        <w:outlineLvl w:val="0"/>
        <w:rPr>
          <w:rFonts w:ascii="宋体" w:hAnsi="宋体" w:hint="eastAsia"/>
          <w:spacing w:val="20"/>
          <w:sz w:val="24"/>
        </w:rPr>
      </w:pPr>
      <w:r>
        <w:rPr>
          <w:rFonts w:ascii="宋体" w:hAnsi="宋体" w:hint="eastAsia"/>
          <w:spacing w:val="20"/>
          <w:sz w:val="24"/>
        </w:rPr>
        <w:t>2.3.6风管的加固应根据系统工作压力及产品技术标准的规定执行。</w:t>
      </w:r>
    </w:p>
    <w:p>
      <w:pPr>
        <w:spacing w:line="360" w:lineRule="auto"/>
        <w:ind w:firstLine="480" w:firstLineChars="200"/>
        <w:jc w:val="left"/>
        <w:outlineLvl w:val="0"/>
        <w:rPr>
          <w:rFonts w:ascii="宋体" w:hAnsi="宋体" w:hint="eastAsia"/>
          <w:spacing w:val="20"/>
          <w:sz w:val="24"/>
        </w:rPr>
      </w:pPr>
      <w:r>
        <w:rPr>
          <w:rFonts w:ascii="宋体" w:hAnsi="宋体" w:hint="eastAsia"/>
          <w:spacing w:val="20"/>
          <w:sz w:val="24"/>
        </w:rPr>
        <w:t>2.4空调风系统及其末端装置安装</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2.4.1空调风系统由送风管（主管、支管）经静压箱，风阀管件分配，将空调机组处理好的空气通过送风口（空调风系统末端装置如：百叶风口、条形风口、球型风口、散流器等各种风口）送入空调房间，由排风管至室外，维持房间正压和舒适空调环境。</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2.4.2空调风系统中的通风机、空调机组、风管、风口、风阀、罩类及柔性短管等必须严格按照有关工程施工和验收规范及工程质量检验评定的国家标准进行制作安装。</w:t>
      </w:r>
    </w:p>
    <w:p>
      <w:pPr>
        <w:spacing w:line="360" w:lineRule="auto"/>
        <w:ind w:firstLine="480" w:firstLineChars="200"/>
        <w:jc w:val="left"/>
        <w:outlineLvl w:val="0"/>
        <w:rPr>
          <w:rFonts w:ascii="宋体" w:hAnsi="宋体" w:hint="eastAsia"/>
          <w:spacing w:val="20"/>
          <w:sz w:val="24"/>
        </w:rPr>
      </w:pPr>
      <w:r>
        <w:rPr>
          <w:rFonts w:ascii="宋体" w:hAnsi="宋体" w:hint="eastAsia"/>
          <w:spacing w:val="20"/>
          <w:sz w:val="24"/>
        </w:rPr>
        <w:t>2.5整体式风机箱机组安装</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2.5.1安装前认真熟悉图纸、设备说明书以及有关的技术资料。检查设备零部件、附属材料及随机专用工具等是否齐全。</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2.5.2机组安装时坐标、位置应正确。</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2.5.3机组加减振装置时应严格按设计要求的减振器型号、数量和位置进行安装并找平、找正，稍向凝结水排水口倾斜以利于凝结水的排放。</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2.5.4机组的供回水管接口要准确，凝结水接口须按设计要求保证水封的高度。管道和机组的连接采用柔性连接。机组与风管的连接必须严密，接口采用不燃的柔性材料连接。</w:t>
      </w:r>
    </w:p>
    <w:p>
      <w:pPr>
        <w:spacing w:line="360" w:lineRule="auto"/>
        <w:ind w:firstLine="480" w:firstLineChars="200"/>
        <w:jc w:val="left"/>
        <w:outlineLvl w:val="0"/>
        <w:rPr>
          <w:rFonts w:ascii="宋体" w:hAnsi="宋体" w:hint="eastAsia"/>
          <w:spacing w:val="20"/>
          <w:sz w:val="24"/>
        </w:rPr>
      </w:pPr>
      <w:r>
        <w:rPr>
          <w:rFonts w:ascii="宋体" w:hAnsi="宋体" w:hint="eastAsia"/>
          <w:spacing w:val="20"/>
          <w:sz w:val="24"/>
        </w:rPr>
        <w:t>2.6风机盘管机组安装</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2.6.1风机盘管应逐台进行水压试验，试验强度应为工作压力的1.5倍，定压后观察2～3</w:t>
      </w:r>
      <w:r>
        <w:rPr>
          <w:rFonts w:ascii="宋体" w:hAnsi="宋体"/>
          <w:spacing w:val="20"/>
          <w:sz w:val="24"/>
        </w:rPr>
        <w:t>min</w:t>
      </w:r>
      <w:r>
        <w:rPr>
          <w:rFonts w:ascii="宋体" w:hAnsi="宋体" w:hint="eastAsia"/>
          <w:spacing w:val="20"/>
          <w:sz w:val="24"/>
        </w:rPr>
        <w:t>不渗不漏。</w:t>
      </w:r>
    </w:p>
    <w:p>
      <w:pPr>
        <w:spacing w:line="360" w:lineRule="auto"/>
        <w:ind w:firstLine="480" w:firstLineChars="200"/>
        <w:jc w:val="left"/>
        <w:rPr>
          <w:rFonts w:ascii="宋体" w:hAnsi="宋体" w:hint="eastAsia"/>
          <w:spacing w:val="20"/>
          <w:sz w:val="24"/>
        </w:rPr>
        <w:sectPr>
          <w:footerReference w:type="even" r:id="rId10"/>
          <w:footerReference w:type="default" r:id="rId11"/>
          <w:type w:val="nextPage"/>
          <w:pgSz w:w="11906" w:h="16838"/>
          <w:pgMar w:top="1440" w:right="1800" w:bottom="1440" w:left="1800" w:header="851" w:footer="992" w:gutter="0"/>
          <w:pgNumType w:start="3"/>
          <w:cols w:space="708"/>
          <w:titlePg w:val="0"/>
          <w:docGrid w:type="lines" w:linePitch="312"/>
        </w:sectPr>
      </w:pPr>
    </w:p>
    <w:p>
      <w:pPr>
        <w:spacing w:line="360" w:lineRule="auto"/>
        <w:ind w:firstLine="480" w:firstLineChars="200"/>
        <w:jc w:val="left"/>
        <w:rPr>
          <w:rFonts w:ascii="宋体" w:hAnsi="宋体" w:hint="eastAsia"/>
          <w:spacing w:val="20"/>
          <w:sz w:val="24"/>
        </w:rPr>
      </w:pPr>
      <w:r>
        <w:rPr>
          <w:rFonts w:ascii="宋体" w:hAnsi="宋体" w:hint="eastAsia"/>
          <w:spacing w:val="20"/>
          <w:sz w:val="24"/>
        </w:rPr>
        <w:t>2.6.2风机盘管应每台进行通电三速试运转试验检查，机械部分不得摩擦，电气部分不得漏电。表面换热器无变形、损伤、锈蚀等缺陷。</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2.6.3暗装卧式风机盘管应由支、吊架固定。吊顶应留有活动检查门，便于拆卸和维修。</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2.6.4冷热媒水管与风机盘管连接宜采用镀锌钢管，接管应平直。凝结水管宜采用透明胶管软连接，并用喉箍紧固严禁渗漏。排水坡度应正确，凝结水应畅通地流到指定位置。水盘应无积水现象。</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2.6.5风机盘管与风管及风口的连接处应严密。</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2.6.6风机盘管同冷热媒水管应在管道清洗排污后连接，以免堵塞热交换器。</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2.6.7风机盘管机组安装后的最大问题是冷凝水的滴落，因此施工中应注意风机盘管安装的坡度应正确，冷冻水管保温要严格按规范执行。</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2.6.8空调房间风机盘管的排水管，如需接向室内管道，宜在排水管上安装截止阀，并在接往管道前设置水封。</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3.制冷设备系统安装</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3.1机组安装</w:t>
      </w:r>
    </w:p>
    <w:p>
      <w:pPr>
        <w:spacing w:line="360" w:lineRule="auto"/>
        <w:ind w:firstLine="480" w:firstLineChars="200"/>
        <w:rPr>
          <w:rFonts w:ascii="宋体" w:hAnsi="宋体" w:hint="eastAsia"/>
          <w:spacing w:val="20"/>
          <w:sz w:val="24"/>
        </w:rPr>
      </w:pPr>
      <w:r>
        <w:rPr>
          <w:rFonts w:ascii="宋体" w:hAnsi="宋体" w:hint="eastAsia"/>
          <w:spacing w:val="20"/>
          <w:sz w:val="24"/>
        </w:rPr>
        <w:t>3.1.1设备安装流程图:</w:t>
      </w:r>
      <w:r>
        <w:rPr>
          <w:rFonts w:ascii="宋体" w:hAnsi="宋体" w:hint="eastAsia"/>
          <w:spacing w:val="20"/>
          <w:sz w:val="24"/>
          <w:bdr w:val="single" w:sz="4" w:space="0" w:color="auto"/>
        </w:rPr>
        <w:t>开箱检查</w:t>
      </w:r>
      <w:r>
        <w:rPr>
          <w:rFonts w:ascii="宋体" w:hAnsi="宋体" w:hint="eastAsia"/>
          <w:spacing w:val="20"/>
          <w:sz w:val="24"/>
        </w:rPr>
        <w:t>→</w:t>
      </w:r>
      <w:r>
        <w:rPr>
          <w:rFonts w:ascii="宋体" w:hAnsi="宋体" w:hint="eastAsia"/>
          <w:spacing w:val="20"/>
          <w:sz w:val="24"/>
          <w:bdr w:val="single" w:sz="4" w:space="0" w:color="auto"/>
        </w:rPr>
        <w:t>基础验收</w:t>
      </w:r>
      <w:r>
        <w:rPr>
          <w:rFonts w:ascii="宋体" w:hAnsi="宋体" w:hint="eastAsia"/>
          <w:spacing w:val="20"/>
          <w:sz w:val="24"/>
        </w:rPr>
        <w:t>→</w:t>
      </w:r>
      <w:r>
        <w:rPr>
          <w:rFonts w:ascii="宋体" w:hAnsi="宋体" w:hint="eastAsia"/>
          <w:spacing w:val="20"/>
          <w:sz w:val="24"/>
          <w:bdr w:val="single" w:sz="4" w:space="0" w:color="auto"/>
        </w:rPr>
        <w:t>基础放线</w:t>
      </w:r>
      <w:r>
        <w:rPr>
          <w:rFonts w:ascii="宋体" w:hAnsi="宋体" w:hint="eastAsia"/>
          <w:spacing w:val="20"/>
          <w:sz w:val="24"/>
        </w:rPr>
        <w:t>→</w:t>
      </w:r>
      <w:r>
        <w:rPr>
          <w:rFonts w:ascii="宋体" w:hAnsi="宋体" w:hint="eastAsia"/>
          <w:spacing w:val="20"/>
          <w:sz w:val="24"/>
          <w:bdr w:val="single" w:sz="4" w:space="0" w:color="auto"/>
        </w:rPr>
        <w:t>布放垫铁组</w:t>
      </w:r>
      <w:r>
        <w:rPr>
          <w:rFonts w:ascii="宋体" w:hAnsi="宋体" w:hint="eastAsia"/>
          <w:spacing w:val="20"/>
          <w:sz w:val="24"/>
        </w:rPr>
        <w:t>→</w:t>
      </w:r>
      <w:r>
        <w:rPr>
          <w:rFonts w:ascii="宋体" w:hAnsi="宋体" w:hint="eastAsia"/>
          <w:spacing w:val="20"/>
          <w:sz w:val="24"/>
          <w:bdr w:val="single" w:sz="4" w:space="0" w:color="auto"/>
        </w:rPr>
        <w:t>设备就位</w:t>
      </w:r>
      <w:r>
        <w:rPr>
          <w:rFonts w:ascii="宋体" w:hAnsi="宋体" w:hint="eastAsia"/>
          <w:spacing w:val="20"/>
          <w:sz w:val="24"/>
        </w:rPr>
        <w:t>→</w:t>
      </w:r>
      <w:r>
        <w:rPr>
          <w:rFonts w:ascii="宋体" w:hAnsi="宋体" w:hint="eastAsia"/>
          <w:spacing w:val="20"/>
          <w:sz w:val="24"/>
          <w:bdr w:val="single" w:sz="4" w:space="0" w:color="auto"/>
        </w:rPr>
        <w:t>地脚螺栓灌浆</w:t>
      </w:r>
      <w:r>
        <w:rPr>
          <w:rFonts w:ascii="宋体" w:hAnsi="宋体" w:hint="eastAsia"/>
          <w:spacing w:val="20"/>
          <w:sz w:val="24"/>
        </w:rPr>
        <w:t>→</w:t>
      </w:r>
      <w:r>
        <w:rPr>
          <w:rFonts w:ascii="宋体" w:hAnsi="宋体" w:hint="eastAsia"/>
          <w:spacing w:val="20"/>
          <w:sz w:val="24"/>
          <w:bdr w:val="single" w:sz="4" w:space="0" w:color="auto"/>
        </w:rPr>
        <w:t>设备精平</w:t>
      </w:r>
      <w:r>
        <w:rPr>
          <w:rFonts w:ascii="宋体" w:hAnsi="宋体" w:hint="eastAsia"/>
          <w:spacing w:val="20"/>
          <w:sz w:val="24"/>
        </w:rPr>
        <w:t>→</w:t>
      </w:r>
      <w:r>
        <w:rPr>
          <w:rFonts w:ascii="宋体" w:hAnsi="宋体" w:hint="eastAsia"/>
          <w:spacing w:val="20"/>
          <w:sz w:val="24"/>
          <w:bdr w:val="single" w:sz="4" w:space="0" w:color="auto"/>
        </w:rPr>
        <w:t>垫铁组焊固</w:t>
      </w:r>
      <w:r>
        <w:rPr>
          <w:rFonts w:ascii="宋体" w:hAnsi="宋体" w:hint="eastAsia"/>
          <w:spacing w:val="20"/>
          <w:sz w:val="24"/>
        </w:rPr>
        <w:t>→</w:t>
      </w:r>
      <w:r>
        <w:rPr>
          <w:rFonts w:ascii="宋体" w:hAnsi="宋体" w:hint="eastAsia"/>
          <w:spacing w:val="20"/>
          <w:sz w:val="24"/>
          <w:bdr w:val="single" w:sz="4" w:space="0" w:color="auto"/>
        </w:rPr>
        <w:t>二次灌浆</w:t>
      </w:r>
      <w:r>
        <w:rPr>
          <w:rFonts w:ascii="宋体" w:hAnsi="宋体" w:hint="eastAsia"/>
          <w:spacing w:val="20"/>
          <w:sz w:val="24"/>
        </w:rPr>
        <w:t>→</w:t>
      </w:r>
      <w:r>
        <w:rPr>
          <w:rFonts w:ascii="宋体" w:hAnsi="宋体" w:hint="eastAsia"/>
          <w:spacing w:val="20"/>
          <w:sz w:val="24"/>
          <w:bdr w:val="single" w:sz="4" w:space="0" w:color="auto"/>
        </w:rPr>
        <w:t>设备装配、调整</w:t>
      </w:r>
      <w:r>
        <w:rPr>
          <w:rFonts w:ascii="宋体" w:hAnsi="宋体" w:hint="eastAsia"/>
          <w:spacing w:val="20"/>
          <w:sz w:val="24"/>
        </w:rPr>
        <w:t>→</w:t>
      </w:r>
      <w:r>
        <w:rPr>
          <w:rFonts w:ascii="宋体" w:hAnsi="宋体" w:hint="eastAsia"/>
          <w:spacing w:val="20"/>
          <w:sz w:val="24"/>
          <w:bdr w:val="single" w:sz="4" w:space="0" w:color="auto"/>
        </w:rPr>
        <w:t>加注油液</w:t>
      </w:r>
      <w:r>
        <w:rPr>
          <w:rFonts w:ascii="宋体" w:hAnsi="宋体" w:hint="eastAsia"/>
          <w:spacing w:val="20"/>
          <w:sz w:val="24"/>
        </w:rPr>
        <w:t>→</w:t>
      </w:r>
      <w:r>
        <w:rPr>
          <w:rFonts w:ascii="宋体" w:hAnsi="宋体" w:hint="eastAsia"/>
          <w:spacing w:val="20"/>
          <w:sz w:val="24"/>
          <w:bdr w:val="single" w:sz="4" w:space="0" w:color="auto"/>
        </w:rPr>
        <w:t>接通电源、水源</w:t>
      </w:r>
      <w:r>
        <w:rPr>
          <w:rFonts w:ascii="宋体" w:hAnsi="宋体" w:hint="eastAsia"/>
          <w:spacing w:val="20"/>
          <w:sz w:val="24"/>
        </w:rPr>
        <w:t>→</w:t>
      </w:r>
      <w:r>
        <w:rPr>
          <w:rFonts w:ascii="宋体" w:hAnsi="宋体" w:hint="eastAsia"/>
          <w:spacing w:val="20"/>
          <w:sz w:val="24"/>
          <w:bdr w:val="single" w:sz="4" w:space="0" w:color="auto"/>
        </w:rPr>
        <w:t>仪表调校</w:t>
      </w:r>
      <w:r>
        <w:rPr>
          <w:rFonts w:ascii="宋体" w:hAnsi="宋体" w:hint="eastAsia"/>
          <w:spacing w:val="20"/>
          <w:sz w:val="24"/>
        </w:rPr>
        <w:t>→</w:t>
      </w:r>
      <w:r>
        <w:rPr>
          <w:rFonts w:ascii="宋体" w:hAnsi="宋体" w:hint="eastAsia"/>
          <w:spacing w:val="20"/>
          <w:sz w:val="24"/>
          <w:bdr w:val="single" w:sz="4" w:space="0" w:color="auto"/>
        </w:rPr>
        <w:t>设备试运转</w:t>
      </w:r>
      <w:r>
        <w:rPr>
          <w:rFonts w:ascii="宋体" w:hAnsi="宋体" w:hint="eastAsia"/>
          <w:spacing w:val="20"/>
          <w:sz w:val="24"/>
        </w:rPr>
        <w:t>→</w:t>
      </w:r>
      <w:r>
        <w:rPr>
          <w:rFonts w:ascii="宋体" w:hAnsi="宋体" w:hint="eastAsia"/>
          <w:spacing w:val="20"/>
          <w:sz w:val="24"/>
          <w:bdr w:val="single" w:sz="4" w:space="0" w:color="auto"/>
        </w:rPr>
        <w:t>联动试车</w:t>
      </w:r>
      <w:r>
        <w:rPr>
          <w:rFonts w:ascii="宋体" w:hAnsi="宋体" w:hint="eastAsia"/>
          <w:spacing w:val="20"/>
          <w:sz w:val="24"/>
        </w:rPr>
        <w:t xml:space="preserve">                          </w:t>
      </w:r>
    </w:p>
    <w:p>
      <w:pPr>
        <w:spacing w:line="360" w:lineRule="auto"/>
        <w:ind w:firstLine="480" w:firstLineChars="200"/>
        <w:rPr>
          <w:rFonts w:ascii="宋体" w:hAnsi="宋体" w:hint="eastAsia"/>
          <w:spacing w:val="20"/>
          <w:sz w:val="24"/>
        </w:rPr>
      </w:pPr>
      <w:r>
        <w:rPr>
          <w:rFonts w:ascii="宋体" w:hAnsi="宋体" w:hint="eastAsia"/>
          <w:spacing w:val="20"/>
          <w:sz w:val="24"/>
        </w:rPr>
        <w:t>3.1.2设备开箱检查：会同总包方、建设单位、监理单位、设备供应部门共同开箱验收，最后将检查记录由参与人员会签盖章、存档。</w:t>
      </w:r>
    </w:p>
    <w:p>
      <w:pPr>
        <w:spacing w:after="50" w:line="360" w:lineRule="auto"/>
        <w:ind w:firstLine="480" w:firstLineChars="200"/>
        <w:rPr>
          <w:rFonts w:ascii="宋体" w:hAnsi="宋体" w:hint="eastAsia"/>
          <w:spacing w:val="20"/>
          <w:sz w:val="24"/>
        </w:rPr>
      </w:pPr>
      <w:r>
        <w:rPr>
          <w:rFonts w:ascii="宋体" w:hAnsi="宋体" w:hint="eastAsia"/>
          <w:spacing w:val="20"/>
          <w:sz w:val="24"/>
        </w:rPr>
        <w:t>3.1.3机组隔振：正确安装橡胶减振垫。</w:t>
      </w:r>
    </w:p>
    <w:p>
      <w:pPr>
        <w:spacing w:after="50" w:line="360" w:lineRule="auto"/>
        <w:ind w:firstLine="480" w:firstLineChars="200"/>
        <w:rPr>
          <w:rFonts w:ascii="宋体" w:hAnsi="宋体" w:hint="eastAsia"/>
          <w:spacing w:val="20"/>
          <w:sz w:val="24"/>
        </w:rPr>
        <w:sectPr>
          <w:footerReference w:type="even" r:id="rId12"/>
          <w:footerReference w:type="default" r:id="rId13"/>
          <w:type w:val="nextPage"/>
          <w:pgSz w:w="11906" w:h="16838"/>
          <w:pgMar w:top="1440" w:right="1800" w:bottom="1440" w:left="1800" w:header="851" w:footer="992" w:gutter="0"/>
          <w:pgNumType w:start="4"/>
          <w:cols w:space="708"/>
          <w:titlePg w:val="0"/>
          <w:docGrid w:type="lines" w:linePitch="312"/>
        </w:sectPr>
      </w:pPr>
      <w:r>
        <w:rPr>
          <w:rFonts w:ascii="宋体" w:hAnsi="宋体" w:hint="eastAsia"/>
          <w:spacing w:val="20"/>
          <w:sz w:val="24"/>
        </w:rPr>
        <w:t>3.1.4机组校正：用水平仪（或用灌水的透明塑料管，对正水准孔的中心及水柱液面，使胶管两端水液柱取平）测定机器上的水平测点，抬高壳体，调整斜垫铁或插入钢垫片，找正找平后，拧紧地脚螺栓。</w:t>
      </w:r>
    </w:p>
    <w:p>
      <w:pPr>
        <w:spacing w:before="156" w:beforeLines="50" w:after="50" w:line="360" w:lineRule="auto"/>
        <w:ind w:firstLine="480" w:firstLineChars="200"/>
        <w:jc w:val="left"/>
        <w:rPr>
          <w:rFonts w:ascii="宋体" w:hAnsi="宋体" w:hint="eastAsia"/>
          <w:spacing w:val="20"/>
          <w:sz w:val="24"/>
        </w:rPr>
      </w:pPr>
      <w:r>
        <w:rPr>
          <w:rFonts w:ascii="宋体" w:hAnsi="宋体" w:hint="eastAsia"/>
          <w:spacing w:val="20"/>
          <w:sz w:val="24"/>
        </w:rPr>
        <w:t>4. 空调水系统安装</w:t>
      </w:r>
    </w:p>
    <w:p>
      <w:pPr>
        <w:spacing w:before="156" w:beforeLines="50" w:after="50" w:line="360" w:lineRule="auto"/>
        <w:ind w:firstLine="480" w:firstLineChars="200"/>
        <w:jc w:val="left"/>
        <w:rPr>
          <w:rFonts w:ascii="宋体" w:hAnsi="宋体" w:hint="eastAsia"/>
          <w:spacing w:val="20"/>
          <w:sz w:val="24"/>
        </w:rPr>
      </w:pPr>
      <w:r>
        <w:rPr>
          <w:rFonts w:ascii="宋体" w:hAnsi="宋体" w:hint="eastAsia"/>
          <w:spacing w:val="20"/>
          <w:sz w:val="24"/>
        </w:rPr>
        <w:t xml:space="preserve">4.1空调水管道安装流程图 </w:t>
      </w:r>
    </w:p>
    <w:p>
      <w:pPr>
        <w:spacing w:before="156" w:beforeLines="50" w:after="50" w:line="360" w:lineRule="auto"/>
        <w:ind w:firstLine="480" w:firstLineChars="200"/>
        <w:jc w:val="left"/>
        <w:rPr>
          <w:rFonts w:ascii="宋体" w:hAnsi="宋体"/>
          <w:spacing w:val="20"/>
          <w:sz w:val="24"/>
        </w:rPr>
      </w:pPr>
    </w:p>
    <w:p>
      <w:pPr>
        <w:spacing w:before="50"/>
        <w:ind w:firstLine="400" w:firstLineChars="200"/>
        <w:jc w:val="left"/>
        <w:rPr>
          <w:rFonts w:ascii="宋体" w:hAnsi="宋体" w:hint="eastAsia"/>
        </w:rPr>
      </w:pPr>
      <w:r>
        <w:rPr>
          <w:rFonts w:ascii="宋体" w:hAnsi="宋体"/>
          <w:sz w:val="20"/>
        </w:rPr>
        <w:pict>
          <v:group id="组合 35" o:spid="_x0000_s1059" style="width:423pt;height:405.6pt;margin-top:13.1pt;margin-left:36pt;position:absolute;z-index:251659264" coordorigin="1805,4850" coordsize="8715,8436">
            <v:shape id="文本框 36" o:spid="_x0000_s1060" type="#_x0000_t202" style="width:2100;height:468;left:5060;mso-wrap-style:square;position:absolute;top:4850" filled="f" fillcolor="#cff" stroked="t" strokeweight="0.25pt">
              <v:stroke linestyle="single"/>
              <v:textbox>
                <w:txbxContent>
                  <w:p>
                    <w:pPr>
                      <w:jc w:val="center"/>
                      <w:rPr>
                        <w:rFonts w:hint="eastAsia"/>
                      </w:rPr>
                    </w:pPr>
                    <w:r>
                      <w:rPr>
                        <w:rFonts w:hint="eastAsia"/>
                      </w:rPr>
                      <w:t>施工准备</w:t>
                    </w:r>
                  </w:p>
                </w:txbxContent>
              </v:textbox>
            </v:shape>
            <v:shape id="文本框 37" o:spid="_x0000_s1061" type="#_x0000_t202" style="width:2100;height:468;left:5060;mso-wrap-style:square;position:absolute;top:5642" filled="f" fillcolor="#cff" stroked="t" strokeweight="0.25pt">
              <v:stroke linestyle="single"/>
              <v:textbox>
                <w:txbxContent>
                  <w:p>
                    <w:pPr>
                      <w:jc w:val="center"/>
                      <w:rPr>
                        <w:rFonts w:hint="eastAsia"/>
                      </w:rPr>
                    </w:pPr>
                    <w:r>
                      <w:rPr>
                        <w:rFonts w:hint="eastAsia"/>
                      </w:rPr>
                      <w:t>材料进场</w:t>
                    </w:r>
                  </w:p>
                  <w:p>
                    <w:pPr>
                      <w:jc w:val="center"/>
                      <w:rPr>
                        <w:rFonts w:hint="eastAsia"/>
                      </w:rPr>
                    </w:pPr>
                  </w:p>
                </w:txbxContent>
              </v:textbox>
            </v:shape>
            <v:shape id="文本框 38" o:spid="_x0000_s1062" type="#_x0000_t202" style="width:1995;height:468;left:1805;mso-wrap-style:square;position:absolute;top:7202" filled="f" fillcolor="#cff" stroked="t" strokeweight="0.25pt">
              <v:stroke linestyle="single"/>
              <v:textbox>
                <w:txbxContent>
                  <w:p>
                    <w:pPr>
                      <w:jc w:val="center"/>
                      <w:rPr>
                        <w:rFonts w:hint="eastAsia"/>
                      </w:rPr>
                    </w:pPr>
                    <w:r>
                      <w:rPr>
                        <w:rFonts w:hint="eastAsia"/>
                      </w:rPr>
                      <w:t>清        理</w:t>
                    </w:r>
                  </w:p>
                </w:txbxContent>
              </v:textbox>
            </v:shape>
            <v:shape id="文本框 39" o:spid="_x0000_s1063" type="#_x0000_t202" style="width:1995;height:468;left:1805;mso-wrap-style:square;position:absolute;top:8294" filled="f" fillcolor="#cff" stroked="t" strokeweight="0.25pt">
              <v:stroke linestyle="single"/>
              <v:textbox>
                <w:txbxContent>
                  <w:p>
                    <w:pPr>
                      <w:jc w:val="center"/>
                      <w:rPr>
                        <w:rFonts w:hint="eastAsia"/>
                      </w:rPr>
                    </w:pPr>
                    <w:r>
                      <w:rPr>
                        <w:rFonts w:hint="eastAsia"/>
                      </w:rPr>
                      <w:t>水管预制套丝</w:t>
                    </w:r>
                  </w:p>
                </w:txbxContent>
              </v:textbox>
            </v:shape>
            <v:shape id="文本框 40" o:spid="_x0000_s1064" type="#_x0000_t202" style="width:1995;height:468;left:5165;mso-wrap-style:square;position:absolute;top:7202" filled="f" fillcolor="#cff" stroked="t" strokeweight="0.25pt">
              <v:stroke linestyle="single"/>
              <v:textbox>
                <w:txbxContent>
                  <w:p>
                    <w:pPr>
                      <w:jc w:val="center"/>
                      <w:rPr>
                        <w:rFonts w:hint="eastAsia"/>
                      </w:rPr>
                    </w:pPr>
                    <w:r>
                      <w:rPr>
                        <w:rFonts w:hint="eastAsia"/>
                      </w:rPr>
                      <w:t>型钢除锈刷漆</w:t>
                    </w:r>
                  </w:p>
                </w:txbxContent>
              </v:textbox>
            </v:shape>
            <v:shape id="文本框 41" o:spid="_x0000_s1065" type="#_x0000_t202" style="width:1995;height:468;left:5165;mso-wrap-style:square;position:absolute;top:8450" filled="f" fillcolor="#cff" stroked="t" strokeweight="0.25pt">
              <v:stroke linestyle="single"/>
              <v:textbox>
                <w:txbxContent>
                  <w:p>
                    <w:pPr>
                      <w:jc w:val="center"/>
                      <w:rPr>
                        <w:rFonts w:hint="eastAsia"/>
                      </w:rPr>
                    </w:pPr>
                    <w:r>
                      <w:rPr>
                        <w:rFonts w:hint="eastAsia"/>
                      </w:rPr>
                      <w:t>支架制作安装</w:t>
                    </w:r>
                  </w:p>
                </w:txbxContent>
              </v:textbox>
            </v:shape>
            <v:shape id="文本框 42" o:spid="_x0000_s1066" type="#_x0000_t202" style="width:1995;height:468;left:8465;mso-wrap-style:square;position:absolute;top:6878" filled="f" fillcolor="#cff" stroked="t" strokeweight="0.25pt">
              <v:stroke linestyle="single"/>
              <v:textbox>
                <w:txbxContent>
                  <w:p>
                    <w:pPr>
                      <w:jc w:val="center"/>
                      <w:rPr>
                        <w:rFonts w:hint="eastAsia"/>
                      </w:rPr>
                    </w:pPr>
                    <w:r>
                      <w:rPr>
                        <w:rFonts w:hint="eastAsia"/>
                      </w:rPr>
                      <w:t>水管除锈清除杂物件</w:t>
                    </w:r>
                  </w:p>
                </w:txbxContent>
              </v:textbox>
            </v:shape>
            <v:shape id="文本框 43" o:spid="_x0000_s1067" type="#_x0000_t202" style="width:1995;height:468;left:8525;mso-wrap-style:square;position:absolute;top:8450" filled="f" fillcolor="#cff" stroked="t" strokeweight="0.25pt">
              <v:stroke linestyle="single"/>
              <v:textbox>
                <w:txbxContent>
                  <w:p>
                    <w:pPr>
                      <w:jc w:val="center"/>
                      <w:rPr>
                        <w:rFonts w:hint="eastAsia"/>
                      </w:rPr>
                    </w:pPr>
                    <w:r>
                      <w:rPr>
                        <w:rFonts w:hint="eastAsia"/>
                      </w:rPr>
                      <w:t>管道坡口</w:t>
                    </w:r>
                  </w:p>
                </w:txbxContent>
              </v:textbox>
            </v:shape>
            <v:shape id="文本框 44" o:spid="_x0000_s1068" type="#_x0000_t202" style="width:1980;height:468;left:8465;mso-wrap-style:square;position:absolute;top:7658" filled="f" fillcolor="#cff" stroked="t" strokeweight="0.25pt">
              <v:stroke linestyle="single"/>
              <v:textbox>
                <w:txbxContent>
                  <w:p>
                    <w:pPr>
                      <w:jc w:val="center"/>
                      <w:rPr>
                        <w:rFonts w:hint="eastAsia"/>
                      </w:rPr>
                    </w:pPr>
                    <w:r>
                      <w:rPr>
                        <w:rFonts w:hint="eastAsia"/>
                      </w:rPr>
                      <w:t>焊条烘干</w:t>
                    </w:r>
                  </w:p>
                </w:txbxContent>
              </v:textbox>
            </v:shape>
            <v:shape id="文本框 45" o:spid="_x0000_s1069" type="#_x0000_t202" style="width:1785;height:468;left:3065;mso-wrap-style:square;position:absolute;top:10466" filled="f" fillcolor="#cff" stroked="t" strokeweight="0.25pt">
              <v:stroke linestyle="single"/>
              <v:textbox>
                <w:txbxContent>
                  <w:p>
                    <w:pPr>
                      <w:jc w:val="center"/>
                      <w:rPr>
                        <w:rFonts w:hint="eastAsia"/>
                      </w:rPr>
                    </w:pPr>
                    <w:r>
                      <w:rPr>
                        <w:rFonts w:hint="eastAsia"/>
                      </w:rPr>
                      <w:t>现场丝接</w:t>
                    </w:r>
                  </w:p>
                </w:txbxContent>
              </v:textbox>
            </v:shape>
            <v:shape id="文本框 46" o:spid="_x0000_s1070" type="#_x0000_t202" style="width:1995;height:468;left:7205;mso-wrap-style:square;position:absolute;top:10466" filled="f" fillcolor="#cff" stroked="t" strokeweight="0.25pt">
              <v:stroke linestyle="single"/>
              <v:textbox>
                <w:txbxContent>
                  <w:p>
                    <w:pPr>
                      <w:jc w:val="center"/>
                      <w:rPr>
                        <w:rFonts w:hint="eastAsia"/>
                      </w:rPr>
                    </w:pPr>
                    <w:r>
                      <w:rPr>
                        <w:rFonts w:hint="eastAsia"/>
                      </w:rPr>
                      <w:t>现场焊接.刷油</w:t>
                    </w:r>
                  </w:p>
                </w:txbxContent>
              </v:textbox>
            </v:shape>
            <v:shape id="文本框 47" o:spid="_x0000_s1071" type="#_x0000_t202" style="width:1680;height:468;left:5270;mso-wrap-style:square;position:absolute;top:10478" filled="f" fillcolor="#cff" stroked="t" strokeweight="0.25pt">
              <v:stroke linestyle="single"/>
              <v:textbox>
                <w:txbxContent>
                  <w:p>
                    <w:pPr>
                      <w:jc w:val="center"/>
                      <w:rPr>
                        <w:rFonts w:hint="eastAsia"/>
                      </w:rPr>
                    </w:pPr>
                    <w:r>
                      <w:rPr>
                        <w:rFonts w:hint="eastAsia"/>
                      </w:rPr>
                      <w:t>调    整</w:t>
                    </w:r>
                  </w:p>
                </w:txbxContent>
              </v:textbox>
            </v:shape>
            <v:shape id="文本框 48" o:spid="_x0000_s1072" type="#_x0000_t202" style="width:1680;height:468;left:5270;mso-wrap-style:square;position:absolute;top:11258" filled="f" fillcolor="#cff" stroked="t" strokeweight="0.25pt">
              <v:stroke linestyle="single"/>
              <v:textbox>
                <w:txbxContent>
                  <w:p>
                    <w:pPr>
                      <w:jc w:val="center"/>
                      <w:rPr>
                        <w:rFonts w:hint="eastAsia"/>
                      </w:rPr>
                    </w:pPr>
                    <w:r>
                      <w:rPr>
                        <w:rFonts w:hint="eastAsia"/>
                      </w:rPr>
                      <w:t>冲    洗</w:t>
                    </w:r>
                  </w:p>
                </w:txbxContent>
              </v:textbox>
            </v:shape>
            <v:shape id="文本框 49" o:spid="_x0000_s1073" type="#_x0000_t202" style="width:1680;height:468;left:5270;mso-wrap-style:square;position:absolute;top:12038" filled="f" fillcolor="#cff" stroked="t" strokeweight="0.25pt">
              <v:stroke linestyle="single"/>
              <v:textbox>
                <w:txbxContent>
                  <w:p>
                    <w:pPr>
                      <w:jc w:val="center"/>
                      <w:rPr>
                        <w:rFonts w:hint="eastAsia"/>
                      </w:rPr>
                    </w:pPr>
                    <w:r>
                      <w:rPr>
                        <w:rFonts w:hint="eastAsia"/>
                      </w:rPr>
                      <w:t>试 压 验 收</w:t>
                    </w:r>
                  </w:p>
                </w:txbxContent>
              </v:textbox>
            </v:shape>
            <v:shape id="文本框 50" o:spid="_x0000_s1074" type="#_x0000_t202" style="width:1680;height:468;left:5270;mso-wrap-style:square;position:absolute;top:12818" filled="f" fillcolor="#cff" stroked="t" strokeweight="0.25pt">
              <v:stroke linestyle="single"/>
              <v:textbox>
                <w:txbxContent>
                  <w:p>
                    <w:pPr>
                      <w:jc w:val="center"/>
                      <w:rPr>
                        <w:rFonts w:hint="eastAsia"/>
                      </w:rPr>
                    </w:pPr>
                    <w:r>
                      <w:rPr>
                        <w:rFonts w:hint="eastAsia"/>
                      </w:rPr>
                      <w:t>保       温</w:t>
                    </w:r>
                  </w:p>
                </w:txbxContent>
              </v:textbox>
            </v:shape>
            <v:line id="直线 51" o:spid="_x0000_s1075" style="mso-wrap-style:square;position:absolute" from="6095,5330" to="6110,5642" stroked="t" strokeweight="0.25pt">
              <v:stroke linestyle="single" endarrow="block"/>
            </v:line>
            <v:line id="直线 52" o:spid="_x0000_s1076" style="flip:y;mso-wrap-style:square;position:absolute" from="2750,6566" to="9365,6578" stroked="t" strokeweight="0.25pt">
              <v:stroke linestyle="single"/>
            </v:line>
            <v:line id="直线 53" o:spid="_x0000_s1077" style="mso-wrap-style:square;position:absolute" from="2750,6578" to="2750,7202" stroked="t" strokeweight="0.25pt">
              <v:stroke linestyle="single" endarrow="block"/>
            </v:line>
            <v:line id="直线 54" o:spid="_x0000_s1078" style="mso-wrap-style:square;position:absolute" from="2750,7670" to="2750,8294" stroked="t" strokeweight="0.25pt">
              <v:stroke linestyle="single" endarrow="block"/>
            </v:line>
            <v:line id="直线 55" o:spid="_x0000_s1079" style="mso-wrap-style:square;position:absolute" from="6110,6578" to="6110,7202" stroked="t" strokeweight="0.25pt">
              <v:stroke linestyle="single" endarrow="block"/>
            </v:line>
            <v:line id="直线 56" o:spid="_x0000_s1080" style="mso-wrap-style:square;position:absolute" from="6110,7670" to="6110,8450" stroked="t" strokeweight="0.25pt">
              <v:stroke linestyle="single" endarrow="block"/>
            </v:line>
            <v:line id="直线 57" o:spid="_x0000_s1081" style="mso-wrap-style:square;position:absolute" from="2705,10622" to="3020,10622" stroked="t" strokeweight="0.25pt">
              <v:stroke linestyle="single" endarrow="block"/>
            </v:line>
            <v:line id="直线 58" o:spid="_x0000_s1082" style="flip:x;mso-wrap-style:square;position:absolute" from="9185,10622" to="9500,10622" stroked="t" strokeweight="0.25pt">
              <v:stroke linestyle="single" endarrow="block"/>
            </v:line>
            <v:line id="直线 59" o:spid="_x0000_s1083" style="mso-wrap-style:square;position:absolute" from="6110,10946" to="6110,11258" stroked="t" strokeweight="0.25pt">
              <v:stroke linestyle="single" endarrow="block"/>
            </v:line>
            <v:line id="直线 60" o:spid="_x0000_s1084" style="mso-wrap-style:square;position:absolute" from="6110,11726" to="6110,12038" stroked="t" strokeweight="0.25pt">
              <v:stroke linestyle="single" endarrow="block"/>
            </v:line>
            <v:line id="直线 61" o:spid="_x0000_s1085" style="mso-wrap-style:square;position:absolute" from="6110,12506" to="6110,12818" stroked="t" strokeweight="0.25pt">
              <v:stroke linestyle="single" endarrow="block"/>
            </v:line>
            <v:line id="直线 62" o:spid="_x0000_s1086" style="flip:x;mso-wrap-style:square;position:absolute" from="6125,7970" to="8465,7970" stroked="t" strokeweight="0.25pt">
              <v:stroke linestyle="single" endarrow="block"/>
            </v:line>
            <v:line id="直线 63" o:spid="_x0000_s1087" style="mso-wrap-style:square;position:absolute" from="9365,6566" to="9365,6878" stroked="t" strokeweight="0.25pt">
              <v:stroke linestyle="single" endarrow="block"/>
            </v:line>
            <v:line id="直线 64" o:spid="_x0000_s1088" style="mso-wrap-style:square;position:absolute" from="9365,7346" to="9365,7658" stroked="t" strokeweight="0.25pt">
              <v:stroke linestyle="single" endarrow="block"/>
            </v:line>
            <v:line id="直线 65" o:spid="_x0000_s1089" style="mso-wrap-style:square;position:absolute" from="9365,8126" to="9365,8438" stroked="t" strokeweight="0.25pt">
              <v:stroke linestyle="single" endarrow="block"/>
            </v:line>
            <v:line id="直线 66" o:spid="_x0000_s1090" style="mso-wrap-style:square;position:absolute" from="4505,9374" to="4505,10466" stroked="t" strokeweight="0.25pt">
              <v:stroke linestyle="single" endarrow="block"/>
            </v:line>
            <v:line id="直线 67" o:spid="_x0000_s1091" style="mso-wrap-style:square;position:absolute" from="7745,9374" to="7745,10466" stroked="t" strokeweight="0.25pt">
              <v:stroke linestyle="single" endarrow="block"/>
            </v:line>
            <v:line id="直线 68" o:spid="_x0000_s1092" style="mso-wrap-style:square;position:absolute" from="4865,10622" to="5225,10622" stroked="t" strokeweight="0.25pt">
              <v:stroke linestyle="single" endarrow="block"/>
            </v:line>
            <v:line id="直线 69" o:spid="_x0000_s1093" style="flip:x;mso-wrap-style:square;position:absolute" from="6845,10622" to="7205,10622" stroked="t" strokeweight="0.25pt">
              <v:stroke linestyle="single" endarrow="block"/>
            </v:line>
            <v:line id="直线 70" o:spid="_x0000_s1094" style="mso-wrap-style:square;position:absolute" from="6125,8906" to="6125,9374" stroked="t" strokeweight="0.25pt">
              <v:stroke linestyle="single" endarrow="block"/>
            </v:line>
            <v:line id="直线 71" o:spid="_x0000_s1095" style="mso-wrap-style:square;position:absolute" from="9545,8906" to="9545,10622" stroked="t" strokeweight="0.25pt">
              <v:stroke linestyle="single"/>
            </v:line>
            <v:line id="直线 72" o:spid="_x0000_s1096" style="mso-wrap-style:square;position:absolute" from="2705,8750" to="2705,10622" stroked="t" strokeweight="0.25pt">
              <v:stroke linestyle="single"/>
            </v:line>
            <v:line id="直线 73" o:spid="_x0000_s1097" style="mso-wrap-style:square;position:absolute" from="4505,9374" to="7745,9374" stroked="t" strokeweight="0.25pt">
              <v:stroke linestyle="single"/>
            </v:line>
            <v:line id="直线 74" o:spid="_x0000_s1098" style="mso-wrap-style:square;position:absolute" from="6125,6098" to="6125,6566" stroked="t" strokeweight="0.25pt">
              <v:stroke linestyle="single"/>
            </v:line>
          </v:group>
        </w:pict>
      </w:r>
    </w:p>
    <w:p>
      <w:pPr>
        <w:spacing w:before="50"/>
        <w:ind w:firstLine="420" w:firstLineChars="200"/>
        <w:jc w:val="left"/>
        <w:rPr>
          <w:rFonts w:ascii="宋体" w:hAnsi="宋体" w:hint="eastAsia"/>
        </w:rPr>
      </w:pPr>
    </w:p>
    <w:p>
      <w:pPr>
        <w:spacing w:before="50"/>
        <w:ind w:firstLine="420" w:firstLineChars="200"/>
        <w:jc w:val="left"/>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spacing w:before="50"/>
        <w:ind w:firstLine="420" w:firstLineChars="200"/>
        <w:jc w:val="left"/>
        <w:rPr>
          <w:rFonts w:ascii="宋体" w:hAnsi="宋体" w:hint="eastAsia"/>
        </w:rPr>
      </w:pPr>
    </w:p>
    <w:p>
      <w:pPr>
        <w:spacing w:before="50"/>
        <w:ind w:firstLine="420" w:firstLineChars="200"/>
        <w:jc w:val="left"/>
        <w:rPr>
          <w:rFonts w:ascii="宋体" w:hAnsi="宋体" w:hint="eastAsia"/>
        </w:rPr>
      </w:pPr>
    </w:p>
    <w:p>
      <w:pPr>
        <w:spacing w:line="360" w:lineRule="auto"/>
        <w:ind w:firstLine="480" w:firstLineChars="200"/>
        <w:rPr>
          <w:rFonts w:ascii="宋体" w:hAnsi="宋体" w:hint="eastAsia"/>
          <w:spacing w:val="20"/>
          <w:sz w:val="24"/>
        </w:rPr>
        <w:sectPr>
          <w:footerReference w:type="even" r:id="rId14"/>
          <w:footerReference w:type="default" r:id="rId15"/>
          <w:type w:val="nextPage"/>
          <w:pgSz w:w="11906" w:h="16838"/>
          <w:pgMar w:top="1440" w:right="1800" w:bottom="1440" w:left="1800" w:header="851" w:footer="992" w:gutter="0"/>
          <w:pgNumType w:start="5"/>
          <w:cols w:space="708"/>
          <w:titlePg w:val="0"/>
          <w:docGrid w:type="lines" w:linePitch="312"/>
        </w:sectPr>
      </w:pPr>
      <w:r>
        <w:rPr>
          <w:rFonts w:ascii="宋体" w:hAnsi="宋体" w:hint="eastAsia"/>
          <w:spacing w:val="20"/>
          <w:sz w:val="24"/>
        </w:rPr>
        <w:t>4.2管材、管件应符合国家或部颁现行标准的技术质量鉴定文件或产品合格证。应按设计要求核验管材、管件的规格，型号和质量，符合要求方可使用。管道、管件安装前，必须清除内部污垢和杂物，安装中断或完毕的敞口处，应临时封闭。管子的螺纹应规整，如有断丝或缺丝，不得大于螺纹扣数的</w:t>
      </w:r>
      <w:r>
        <w:rPr>
          <w:rFonts w:ascii="宋体" w:hAnsi="宋体"/>
          <w:spacing w:val="20"/>
          <w:sz w:val="24"/>
        </w:rPr>
        <w:t>10%</w:t>
      </w:r>
    </w:p>
    <w:p>
      <w:pPr>
        <w:spacing w:line="360" w:lineRule="auto"/>
        <w:ind w:firstLine="480" w:firstLineChars="200"/>
        <w:rPr>
          <w:rFonts w:ascii="宋体" w:hAnsi="宋体" w:hint="eastAsia"/>
          <w:spacing w:val="20"/>
          <w:sz w:val="24"/>
        </w:rPr>
      </w:pPr>
      <w:r>
        <w:rPr>
          <w:rFonts w:ascii="宋体" w:hAnsi="宋体" w:hint="eastAsia"/>
          <w:spacing w:val="20"/>
          <w:sz w:val="24"/>
        </w:rPr>
        <w:t>。管道穿过基础、墙壁和楼板，应配合土建预留孔洞，管道的焊口、界面和阀门、法兰等管件不得安装在墙板内。管道穿过循环水池，地下室或地下构筑物外墙时，应采取防水措施。对有严格防水要求的，应采用柔性防水套管；一般可采用刚性防水套管。明装水管成排安装时，直线部分应互相平行。曲线部分：当管道水平或垂直并行时，曲率半径应相等。</w:t>
      </w:r>
    </w:p>
    <w:p>
      <w:pPr>
        <w:spacing w:line="360" w:lineRule="auto"/>
        <w:ind w:firstLine="480" w:firstLineChars="200"/>
        <w:rPr>
          <w:rFonts w:ascii="宋体" w:hAnsi="宋体" w:hint="eastAsia"/>
          <w:spacing w:val="20"/>
          <w:sz w:val="24"/>
        </w:rPr>
      </w:pPr>
      <w:r>
        <w:rPr>
          <w:rFonts w:ascii="宋体" w:hAnsi="宋体" w:hint="eastAsia"/>
          <w:spacing w:val="20"/>
          <w:sz w:val="24"/>
        </w:rPr>
        <w:t>4.3管道采用法兰连接时，法兰应垂直于管子中心线，其表面应相互平行。不得采用强行拧紧法兰螺栓的方法进行管道连接。法兰的衬垫不得突入管内，其外圆到法兰螺栓孔为宜。可采用带安装把的衬圈。法兰中间不得放置斜面的或几个衬垫。连接法兰的螺栓放置方向一致，且螺杆突出螺母长度不宜大于螺杆直径的</w:t>
      </w:r>
      <w:r>
        <w:rPr>
          <w:rFonts w:ascii="宋体" w:hAnsi="宋体"/>
          <w:spacing w:val="20"/>
          <w:sz w:val="24"/>
        </w:rPr>
        <w:t>1/2</w:t>
      </w:r>
      <w:r>
        <w:rPr>
          <w:rFonts w:ascii="宋体" w:hAnsi="宋体" w:hint="eastAsia"/>
          <w:spacing w:val="20"/>
          <w:sz w:val="24"/>
        </w:rPr>
        <w:t>。</w:t>
      </w:r>
    </w:p>
    <w:p>
      <w:pPr>
        <w:spacing w:line="360" w:lineRule="auto"/>
        <w:ind w:firstLine="480" w:firstLineChars="200"/>
        <w:rPr>
          <w:rFonts w:ascii="宋体" w:hAnsi="宋体"/>
          <w:spacing w:val="20"/>
          <w:sz w:val="24"/>
        </w:rPr>
      </w:pPr>
      <w:r>
        <w:rPr>
          <w:rFonts w:ascii="宋体" w:hAnsi="宋体" w:hint="eastAsia"/>
          <w:spacing w:val="20"/>
          <w:sz w:val="24"/>
        </w:rPr>
        <w:t>4.4管道支、吊架的安装</w:t>
      </w:r>
    </w:p>
    <w:p>
      <w:pPr>
        <w:spacing w:line="360" w:lineRule="auto"/>
        <w:ind w:firstLine="480" w:firstLineChars="200"/>
        <w:rPr>
          <w:rFonts w:ascii="宋体" w:hAnsi="宋体" w:hint="eastAsia"/>
          <w:spacing w:val="20"/>
          <w:sz w:val="24"/>
        </w:rPr>
      </w:pPr>
      <w:r>
        <w:rPr>
          <w:rFonts w:ascii="宋体" w:hAnsi="宋体" w:hint="eastAsia"/>
          <w:spacing w:val="20"/>
          <w:sz w:val="24"/>
        </w:rPr>
        <w:t>4.4.1支架安装工艺流程：选定型式</w:t>
      </w:r>
      <w:r>
        <w:rPr>
          <w:rFonts w:ascii="宋体" w:hAnsi="宋体"/>
          <w:spacing w:val="20"/>
          <w:sz w:val="24"/>
        </w:rPr>
        <w:t>→</w:t>
      </w:r>
      <w:r>
        <w:rPr>
          <w:rFonts w:ascii="宋体" w:hAnsi="宋体" w:hint="eastAsia"/>
          <w:spacing w:val="20"/>
          <w:sz w:val="24"/>
        </w:rPr>
        <w:t>测定数量</w:t>
      </w:r>
      <w:r>
        <w:rPr>
          <w:rFonts w:ascii="宋体" w:hAnsi="宋体"/>
          <w:spacing w:val="20"/>
          <w:sz w:val="24"/>
        </w:rPr>
        <w:t>→</w:t>
      </w:r>
      <w:r>
        <w:rPr>
          <w:rFonts w:ascii="宋体" w:hAnsi="宋体" w:hint="eastAsia"/>
          <w:spacing w:val="20"/>
          <w:sz w:val="24"/>
        </w:rPr>
        <w:t>计算料长</w:t>
      </w:r>
      <w:r>
        <w:rPr>
          <w:rFonts w:ascii="宋体" w:hAnsi="宋体"/>
          <w:spacing w:val="20"/>
          <w:sz w:val="24"/>
        </w:rPr>
        <w:t>→</w:t>
      </w:r>
      <w:r>
        <w:rPr>
          <w:rFonts w:ascii="宋体" w:hAnsi="宋体" w:hint="eastAsia"/>
          <w:spacing w:val="20"/>
          <w:sz w:val="24"/>
        </w:rPr>
        <w:t>支架制作</w:t>
      </w:r>
      <w:r>
        <w:rPr>
          <w:rFonts w:ascii="宋体" w:hAnsi="宋体"/>
          <w:spacing w:val="20"/>
          <w:sz w:val="24"/>
        </w:rPr>
        <w:t>→</w:t>
      </w:r>
      <w:r>
        <w:rPr>
          <w:rFonts w:ascii="宋体" w:hAnsi="宋体" w:hint="eastAsia"/>
          <w:spacing w:val="20"/>
          <w:sz w:val="24"/>
        </w:rPr>
        <w:t>支架安装</w:t>
      </w:r>
    </w:p>
    <w:p>
      <w:pPr>
        <w:spacing w:line="360" w:lineRule="auto"/>
        <w:ind w:firstLine="480" w:firstLineChars="200"/>
        <w:rPr>
          <w:rFonts w:ascii="宋体" w:hAnsi="宋体" w:hint="eastAsia"/>
          <w:spacing w:val="20"/>
          <w:sz w:val="24"/>
        </w:rPr>
      </w:pPr>
      <w:r>
        <w:rPr>
          <w:rFonts w:ascii="宋体" w:hAnsi="宋体" w:hint="eastAsia"/>
          <w:spacing w:val="20"/>
          <w:sz w:val="24"/>
        </w:rPr>
        <w:t>4.4.2根据设计图纸规定的图集结合现场实际情况确定支吊架的具体型号，管道支吊架的安装应位置正确，埋设应平稳牢固，固定支架与管道接触应紧密，固定应牢靠，滑动支架应灵活，滑托与滑槽两侧应留有</w:t>
      </w:r>
      <w:r>
        <w:rPr>
          <w:rFonts w:ascii="宋体" w:hAnsi="宋体"/>
          <w:spacing w:val="20"/>
          <w:sz w:val="24"/>
        </w:rPr>
        <w:t xml:space="preserve"> 3 </w:t>
      </w:r>
      <w:r>
        <w:rPr>
          <w:rFonts w:ascii="宋体" w:hAnsi="宋体" w:hint="eastAsia"/>
          <w:spacing w:val="20"/>
          <w:sz w:val="24"/>
        </w:rPr>
        <w:t>～</w:t>
      </w:r>
      <w:r>
        <w:rPr>
          <w:rFonts w:ascii="宋体" w:hAnsi="宋体"/>
          <w:spacing w:val="20"/>
          <w:sz w:val="24"/>
        </w:rPr>
        <w:t xml:space="preserve"> 5mm </w:t>
      </w:r>
      <w:r>
        <w:rPr>
          <w:rFonts w:ascii="宋体" w:hAnsi="宋体" w:hint="eastAsia"/>
          <w:spacing w:val="20"/>
          <w:sz w:val="24"/>
        </w:rPr>
        <w:t>间隙，纵向移动量应符合设计要求，固定在建筑物结构上的管道支吊架不得影响结构的安全。</w:t>
      </w:r>
    </w:p>
    <w:p>
      <w:pPr>
        <w:spacing w:line="360" w:lineRule="auto"/>
        <w:ind w:firstLine="480" w:firstLineChars="200"/>
        <w:jc w:val="center"/>
        <w:rPr>
          <w:rFonts w:ascii="宋体" w:hAnsi="宋体" w:hint="eastAsia"/>
          <w:spacing w:val="20"/>
          <w:sz w:val="24"/>
        </w:rPr>
      </w:pPr>
      <w:r>
        <w:rPr>
          <w:rFonts w:ascii="宋体" w:hAnsi="宋体" w:hint="eastAsia"/>
          <w:spacing w:val="20"/>
          <w:sz w:val="24"/>
        </w:rPr>
        <w:t>钢管水平安装的支吊架间距应按下表规定：</w:t>
      </w:r>
    </w:p>
    <w:tbl>
      <w:tblPr>
        <w:tblStyle w:val="TableNormal"/>
        <w:tblW w:w="8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108" w:type="dxa"/>
          <w:bottom w:w="0" w:type="dxa"/>
          <w:right w:w="108" w:type="dxa"/>
        </w:tblCellMar>
        <w:tblLook w:val="0000"/>
      </w:tblPr>
      <w:tblGrid>
        <w:gridCol w:w="984"/>
        <w:gridCol w:w="924"/>
        <w:gridCol w:w="487"/>
        <w:gridCol w:w="488"/>
        <w:gridCol w:w="488"/>
        <w:gridCol w:w="487"/>
        <w:gridCol w:w="488"/>
        <w:gridCol w:w="476"/>
        <w:gridCol w:w="476"/>
        <w:gridCol w:w="475"/>
        <w:gridCol w:w="531"/>
        <w:gridCol w:w="531"/>
        <w:gridCol w:w="531"/>
        <w:gridCol w:w="531"/>
        <w:gridCol w:w="531"/>
        <w:gridCol w:w="531"/>
      </w:tblGrid>
      <w:tr>
        <w:tblPrEx>
          <w:tblW w:w="8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108" w:type="dxa"/>
            <w:bottom w:w="0" w:type="dxa"/>
            <w:right w:w="108" w:type="dxa"/>
          </w:tblCellMar>
          <w:tblLook w:val="0000"/>
        </w:tblPrEx>
        <w:trPr>
          <w:cantSplit/>
        </w:trPr>
        <w:tc>
          <w:tcPr>
            <w:tcW w:w="1908" w:type="dxa"/>
            <w:gridSpan w:val="2"/>
            <w:vAlign w:val="center"/>
          </w:tcPr>
          <w:p>
            <w:pPr>
              <w:spacing w:line="360" w:lineRule="auto"/>
              <w:jc w:val="center"/>
              <w:rPr>
                <w:rFonts w:hint="eastAsia"/>
              </w:rPr>
            </w:pPr>
            <w:r>
              <w:rPr>
                <w:rFonts w:hint="eastAsia"/>
              </w:rPr>
              <w:t>公称直径</w:t>
            </w:r>
            <w:r>
              <w:t>(mm)</w:t>
            </w:r>
          </w:p>
        </w:tc>
        <w:tc>
          <w:tcPr>
            <w:tcW w:w="487" w:type="dxa"/>
            <w:vAlign w:val="center"/>
          </w:tcPr>
          <w:p>
            <w:pPr>
              <w:spacing w:line="360" w:lineRule="auto"/>
              <w:jc w:val="center"/>
              <w:rPr>
                <w:rFonts w:hint="eastAsia"/>
              </w:rPr>
            </w:pPr>
            <w:r>
              <w:t>15</w:t>
            </w:r>
          </w:p>
        </w:tc>
        <w:tc>
          <w:tcPr>
            <w:tcW w:w="488" w:type="dxa"/>
            <w:vAlign w:val="center"/>
          </w:tcPr>
          <w:p>
            <w:pPr>
              <w:spacing w:line="360" w:lineRule="auto"/>
              <w:jc w:val="center"/>
              <w:rPr>
                <w:rFonts w:hint="eastAsia"/>
              </w:rPr>
            </w:pPr>
            <w:r>
              <w:t>20</w:t>
            </w:r>
          </w:p>
        </w:tc>
        <w:tc>
          <w:tcPr>
            <w:tcW w:w="488" w:type="dxa"/>
            <w:vAlign w:val="center"/>
          </w:tcPr>
          <w:p>
            <w:pPr>
              <w:spacing w:line="360" w:lineRule="auto"/>
              <w:jc w:val="center"/>
              <w:rPr>
                <w:rFonts w:hint="eastAsia"/>
              </w:rPr>
            </w:pPr>
            <w:r>
              <w:t>25</w:t>
            </w:r>
          </w:p>
        </w:tc>
        <w:tc>
          <w:tcPr>
            <w:tcW w:w="487" w:type="dxa"/>
            <w:vAlign w:val="center"/>
          </w:tcPr>
          <w:p>
            <w:pPr>
              <w:spacing w:line="360" w:lineRule="auto"/>
              <w:jc w:val="center"/>
              <w:rPr>
                <w:rFonts w:hint="eastAsia"/>
              </w:rPr>
            </w:pPr>
            <w:r>
              <w:t>32</w:t>
            </w:r>
          </w:p>
        </w:tc>
        <w:tc>
          <w:tcPr>
            <w:tcW w:w="488" w:type="dxa"/>
            <w:vAlign w:val="center"/>
          </w:tcPr>
          <w:p>
            <w:pPr>
              <w:spacing w:line="360" w:lineRule="auto"/>
              <w:jc w:val="center"/>
              <w:rPr>
                <w:rFonts w:hint="eastAsia"/>
              </w:rPr>
            </w:pPr>
            <w:r>
              <w:t>40</w:t>
            </w:r>
          </w:p>
        </w:tc>
        <w:tc>
          <w:tcPr>
            <w:tcW w:w="476" w:type="dxa"/>
            <w:vAlign w:val="center"/>
          </w:tcPr>
          <w:p>
            <w:pPr>
              <w:spacing w:line="360" w:lineRule="auto"/>
              <w:jc w:val="center"/>
              <w:rPr>
                <w:rFonts w:hint="eastAsia"/>
              </w:rPr>
            </w:pPr>
            <w:r>
              <w:t>50</w:t>
            </w:r>
          </w:p>
        </w:tc>
        <w:tc>
          <w:tcPr>
            <w:tcW w:w="476" w:type="dxa"/>
            <w:vAlign w:val="center"/>
          </w:tcPr>
          <w:p>
            <w:pPr>
              <w:spacing w:line="360" w:lineRule="auto"/>
              <w:jc w:val="center"/>
              <w:rPr>
                <w:rFonts w:hint="eastAsia"/>
              </w:rPr>
            </w:pPr>
            <w:r>
              <w:t>65</w:t>
            </w:r>
          </w:p>
        </w:tc>
        <w:tc>
          <w:tcPr>
            <w:tcW w:w="475" w:type="dxa"/>
            <w:vAlign w:val="center"/>
          </w:tcPr>
          <w:p>
            <w:pPr>
              <w:spacing w:line="360" w:lineRule="auto"/>
              <w:jc w:val="center"/>
              <w:rPr>
                <w:rFonts w:hint="eastAsia"/>
              </w:rPr>
            </w:pPr>
            <w:r>
              <w:t>80</w:t>
            </w:r>
          </w:p>
        </w:tc>
        <w:tc>
          <w:tcPr>
            <w:tcW w:w="531" w:type="dxa"/>
            <w:vAlign w:val="center"/>
          </w:tcPr>
          <w:p>
            <w:pPr>
              <w:spacing w:line="360" w:lineRule="auto"/>
              <w:jc w:val="center"/>
              <w:rPr>
                <w:rFonts w:hint="eastAsia"/>
              </w:rPr>
            </w:pPr>
            <w:r>
              <w:t>100</w:t>
            </w:r>
          </w:p>
        </w:tc>
        <w:tc>
          <w:tcPr>
            <w:tcW w:w="531" w:type="dxa"/>
            <w:vAlign w:val="center"/>
          </w:tcPr>
          <w:p>
            <w:pPr>
              <w:spacing w:line="360" w:lineRule="auto"/>
              <w:jc w:val="center"/>
              <w:rPr>
                <w:rFonts w:hint="eastAsia"/>
              </w:rPr>
            </w:pPr>
            <w:r>
              <w:t>125</w:t>
            </w:r>
          </w:p>
        </w:tc>
        <w:tc>
          <w:tcPr>
            <w:tcW w:w="531" w:type="dxa"/>
            <w:vAlign w:val="center"/>
          </w:tcPr>
          <w:p>
            <w:pPr>
              <w:spacing w:line="360" w:lineRule="auto"/>
              <w:jc w:val="center"/>
              <w:rPr>
                <w:rFonts w:hint="eastAsia"/>
              </w:rPr>
            </w:pPr>
            <w:r>
              <w:t>150</w:t>
            </w:r>
          </w:p>
        </w:tc>
        <w:tc>
          <w:tcPr>
            <w:tcW w:w="531" w:type="dxa"/>
            <w:vAlign w:val="center"/>
          </w:tcPr>
          <w:p>
            <w:pPr>
              <w:spacing w:line="360" w:lineRule="auto"/>
              <w:jc w:val="center"/>
              <w:rPr>
                <w:rFonts w:eastAsia="宋体" w:hint="eastAsia"/>
              </w:rPr>
            </w:pPr>
            <w:r>
              <w:rPr>
                <w:rFonts w:hint="eastAsia"/>
                <w:lang w:eastAsia="zh-CN"/>
              </w:rPr>
              <w:t>201</w:t>
            </w:r>
          </w:p>
        </w:tc>
        <w:tc>
          <w:tcPr>
            <w:tcW w:w="531" w:type="dxa"/>
            <w:vAlign w:val="center"/>
          </w:tcPr>
          <w:p>
            <w:pPr>
              <w:spacing w:line="360" w:lineRule="auto"/>
              <w:jc w:val="center"/>
              <w:rPr>
                <w:rFonts w:hint="eastAsia"/>
              </w:rPr>
            </w:pPr>
            <w:r>
              <w:t>250</w:t>
            </w:r>
          </w:p>
        </w:tc>
        <w:tc>
          <w:tcPr>
            <w:tcW w:w="531" w:type="dxa"/>
            <w:vAlign w:val="center"/>
          </w:tcPr>
          <w:p>
            <w:pPr>
              <w:spacing w:line="360" w:lineRule="auto"/>
              <w:jc w:val="center"/>
              <w:rPr>
                <w:rFonts w:hint="eastAsia"/>
              </w:rPr>
            </w:pPr>
            <w:r>
              <w:t>300</w:t>
            </w:r>
          </w:p>
        </w:tc>
      </w:tr>
      <w:tr>
        <w:tblPrEx>
          <w:tblW w:w="8959" w:type="dxa"/>
          <w:tblCellMar>
            <w:top w:w="0" w:type="dxa"/>
            <w:left w:w="108" w:type="dxa"/>
            <w:bottom w:w="0" w:type="dxa"/>
            <w:right w:w="108" w:type="dxa"/>
          </w:tblCellMar>
          <w:tblLook w:val="0000"/>
        </w:tblPrEx>
        <w:trPr>
          <w:cantSplit/>
        </w:trPr>
        <w:tc>
          <w:tcPr>
            <w:tcW w:w="984" w:type="dxa"/>
            <w:vMerge w:val="restart"/>
            <w:vAlign w:val="center"/>
          </w:tcPr>
          <w:p>
            <w:pPr>
              <w:jc w:val="center"/>
              <w:rPr>
                <w:rFonts w:hint="eastAsia"/>
              </w:rPr>
            </w:pPr>
            <w:r>
              <w:rPr>
                <w:rFonts w:hint="eastAsia"/>
              </w:rPr>
              <w:t>支架的最大间距（</w:t>
            </w:r>
            <w:r>
              <w:t>m</w:t>
            </w:r>
            <w:r>
              <w:rPr>
                <w:rFonts w:hint="eastAsia"/>
              </w:rPr>
              <w:t>）</w:t>
            </w:r>
          </w:p>
        </w:tc>
        <w:tc>
          <w:tcPr>
            <w:tcW w:w="924" w:type="dxa"/>
            <w:vAlign w:val="center"/>
          </w:tcPr>
          <w:p>
            <w:pPr>
              <w:spacing w:line="360" w:lineRule="auto"/>
              <w:jc w:val="center"/>
              <w:rPr>
                <w:rFonts w:hint="eastAsia"/>
              </w:rPr>
            </w:pPr>
            <w:r>
              <w:rPr>
                <w:rFonts w:hint="eastAsia"/>
              </w:rPr>
              <w:t>保温管</w:t>
            </w:r>
          </w:p>
        </w:tc>
        <w:tc>
          <w:tcPr>
            <w:tcW w:w="487" w:type="dxa"/>
            <w:vAlign w:val="center"/>
          </w:tcPr>
          <w:p>
            <w:pPr>
              <w:spacing w:line="360" w:lineRule="auto"/>
              <w:jc w:val="center"/>
              <w:rPr>
                <w:rFonts w:hint="eastAsia"/>
              </w:rPr>
            </w:pPr>
            <w:r>
              <w:t>2</w:t>
            </w:r>
          </w:p>
        </w:tc>
        <w:tc>
          <w:tcPr>
            <w:tcW w:w="488" w:type="dxa"/>
            <w:vAlign w:val="center"/>
          </w:tcPr>
          <w:p>
            <w:pPr>
              <w:spacing w:line="360" w:lineRule="auto"/>
              <w:jc w:val="center"/>
              <w:rPr>
                <w:rFonts w:hint="eastAsia"/>
              </w:rPr>
            </w:pPr>
            <w:r>
              <w:t>2.5</w:t>
            </w:r>
          </w:p>
        </w:tc>
        <w:tc>
          <w:tcPr>
            <w:tcW w:w="488" w:type="dxa"/>
            <w:vAlign w:val="center"/>
          </w:tcPr>
          <w:p>
            <w:pPr>
              <w:spacing w:line="360" w:lineRule="auto"/>
              <w:jc w:val="center"/>
              <w:rPr>
                <w:rFonts w:hint="eastAsia"/>
              </w:rPr>
            </w:pPr>
            <w:r>
              <w:t>2.5</w:t>
            </w:r>
          </w:p>
        </w:tc>
        <w:tc>
          <w:tcPr>
            <w:tcW w:w="487" w:type="dxa"/>
            <w:vAlign w:val="center"/>
          </w:tcPr>
          <w:p>
            <w:pPr>
              <w:spacing w:line="360" w:lineRule="auto"/>
              <w:jc w:val="center"/>
              <w:rPr>
                <w:rFonts w:hint="eastAsia"/>
              </w:rPr>
            </w:pPr>
            <w:r>
              <w:t>2.5</w:t>
            </w:r>
          </w:p>
        </w:tc>
        <w:tc>
          <w:tcPr>
            <w:tcW w:w="488" w:type="dxa"/>
            <w:vAlign w:val="center"/>
          </w:tcPr>
          <w:p>
            <w:pPr>
              <w:spacing w:line="360" w:lineRule="auto"/>
              <w:jc w:val="center"/>
              <w:rPr>
                <w:rFonts w:hint="eastAsia"/>
              </w:rPr>
            </w:pPr>
            <w:r>
              <w:t>3</w:t>
            </w:r>
          </w:p>
        </w:tc>
        <w:tc>
          <w:tcPr>
            <w:tcW w:w="476" w:type="dxa"/>
            <w:vAlign w:val="center"/>
          </w:tcPr>
          <w:p>
            <w:pPr>
              <w:spacing w:line="360" w:lineRule="auto"/>
              <w:jc w:val="center"/>
              <w:rPr>
                <w:rFonts w:hint="eastAsia"/>
              </w:rPr>
            </w:pPr>
            <w:r>
              <w:t>3</w:t>
            </w:r>
          </w:p>
        </w:tc>
        <w:tc>
          <w:tcPr>
            <w:tcW w:w="476" w:type="dxa"/>
            <w:vAlign w:val="center"/>
          </w:tcPr>
          <w:p>
            <w:pPr>
              <w:spacing w:line="360" w:lineRule="auto"/>
              <w:jc w:val="center"/>
              <w:rPr>
                <w:rFonts w:hint="eastAsia"/>
              </w:rPr>
            </w:pPr>
            <w:r>
              <w:t>4</w:t>
            </w:r>
          </w:p>
        </w:tc>
        <w:tc>
          <w:tcPr>
            <w:tcW w:w="475" w:type="dxa"/>
            <w:vAlign w:val="center"/>
          </w:tcPr>
          <w:p>
            <w:pPr>
              <w:spacing w:line="360" w:lineRule="auto"/>
              <w:jc w:val="center"/>
              <w:rPr>
                <w:rFonts w:hint="eastAsia"/>
              </w:rPr>
            </w:pPr>
            <w:r>
              <w:t>4</w:t>
            </w:r>
          </w:p>
        </w:tc>
        <w:tc>
          <w:tcPr>
            <w:tcW w:w="531" w:type="dxa"/>
            <w:vAlign w:val="center"/>
          </w:tcPr>
          <w:p>
            <w:pPr>
              <w:spacing w:line="360" w:lineRule="auto"/>
              <w:jc w:val="center"/>
              <w:rPr>
                <w:rFonts w:hint="eastAsia"/>
              </w:rPr>
            </w:pPr>
            <w:r>
              <w:t>4.5</w:t>
            </w:r>
          </w:p>
        </w:tc>
        <w:tc>
          <w:tcPr>
            <w:tcW w:w="531" w:type="dxa"/>
            <w:vAlign w:val="center"/>
          </w:tcPr>
          <w:p>
            <w:pPr>
              <w:spacing w:line="360" w:lineRule="auto"/>
              <w:jc w:val="center"/>
              <w:rPr>
                <w:rFonts w:hint="eastAsia"/>
              </w:rPr>
            </w:pPr>
            <w:r>
              <w:t>6</w:t>
            </w:r>
          </w:p>
        </w:tc>
        <w:tc>
          <w:tcPr>
            <w:tcW w:w="531" w:type="dxa"/>
            <w:vAlign w:val="center"/>
          </w:tcPr>
          <w:p>
            <w:pPr>
              <w:spacing w:line="360" w:lineRule="auto"/>
              <w:jc w:val="center"/>
              <w:rPr>
                <w:rFonts w:hint="eastAsia"/>
              </w:rPr>
            </w:pPr>
            <w:r>
              <w:t>7</w:t>
            </w:r>
          </w:p>
        </w:tc>
        <w:tc>
          <w:tcPr>
            <w:tcW w:w="531" w:type="dxa"/>
            <w:vAlign w:val="center"/>
          </w:tcPr>
          <w:p>
            <w:pPr>
              <w:spacing w:line="360" w:lineRule="auto"/>
              <w:jc w:val="center"/>
              <w:rPr>
                <w:rFonts w:hint="eastAsia"/>
              </w:rPr>
            </w:pPr>
            <w:r>
              <w:t>7</w:t>
            </w:r>
          </w:p>
        </w:tc>
        <w:tc>
          <w:tcPr>
            <w:tcW w:w="531" w:type="dxa"/>
            <w:vAlign w:val="center"/>
          </w:tcPr>
          <w:p>
            <w:pPr>
              <w:spacing w:line="360" w:lineRule="auto"/>
              <w:jc w:val="center"/>
              <w:rPr>
                <w:rFonts w:hint="eastAsia"/>
              </w:rPr>
            </w:pPr>
            <w:r>
              <w:t>8</w:t>
            </w:r>
          </w:p>
        </w:tc>
        <w:tc>
          <w:tcPr>
            <w:tcW w:w="531" w:type="dxa"/>
            <w:vAlign w:val="center"/>
          </w:tcPr>
          <w:p>
            <w:pPr>
              <w:spacing w:line="360" w:lineRule="auto"/>
              <w:jc w:val="center"/>
              <w:rPr>
                <w:rFonts w:hint="eastAsia"/>
              </w:rPr>
            </w:pPr>
            <w:r>
              <w:t>8.5</w:t>
            </w:r>
          </w:p>
        </w:tc>
      </w:tr>
      <w:tr>
        <w:tblPrEx>
          <w:tblW w:w="8959" w:type="dxa"/>
          <w:tblCellMar>
            <w:top w:w="0" w:type="dxa"/>
            <w:left w:w="108" w:type="dxa"/>
            <w:bottom w:w="0" w:type="dxa"/>
            <w:right w:w="108" w:type="dxa"/>
          </w:tblCellMar>
          <w:tblLook w:val="0000"/>
        </w:tblPrEx>
        <w:trPr>
          <w:cantSplit/>
        </w:trPr>
        <w:tc>
          <w:tcPr>
            <w:tcW w:w="984" w:type="dxa"/>
            <w:vMerge/>
            <w:vAlign w:val="center"/>
          </w:tcPr>
          <w:p>
            <w:pPr>
              <w:spacing w:line="360" w:lineRule="auto"/>
              <w:jc w:val="center"/>
              <w:rPr>
                <w:rFonts w:hint="eastAsia"/>
              </w:rPr>
            </w:pPr>
          </w:p>
        </w:tc>
        <w:tc>
          <w:tcPr>
            <w:tcW w:w="924" w:type="dxa"/>
            <w:vAlign w:val="center"/>
          </w:tcPr>
          <w:p>
            <w:pPr>
              <w:jc w:val="center"/>
              <w:rPr>
                <w:rFonts w:hint="eastAsia"/>
              </w:rPr>
            </w:pPr>
            <w:r>
              <w:rPr>
                <w:rFonts w:hint="eastAsia"/>
              </w:rPr>
              <w:t>不保</w:t>
            </w:r>
          </w:p>
          <w:p>
            <w:pPr>
              <w:jc w:val="center"/>
              <w:rPr>
                <w:rFonts w:hint="eastAsia"/>
              </w:rPr>
            </w:pPr>
            <w:r>
              <w:rPr>
                <w:rFonts w:hint="eastAsia"/>
              </w:rPr>
              <w:t>温管</w:t>
            </w:r>
          </w:p>
        </w:tc>
        <w:tc>
          <w:tcPr>
            <w:tcW w:w="487" w:type="dxa"/>
            <w:vAlign w:val="center"/>
          </w:tcPr>
          <w:p>
            <w:pPr>
              <w:spacing w:line="360" w:lineRule="auto"/>
              <w:jc w:val="center"/>
              <w:rPr>
                <w:rFonts w:hint="eastAsia"/>
              </w:rPr>
            </w:pPr>
            <w:r>
              <w:t>2.5</w:t>
            </w:r>
          </w:p>
        </w:tc>
        <w:tc>
          <w:tcPr>
            <w:tcW w:w="488" w:type="dxa"/>
            <w:vAlign w:val="center"/>
          </w:tcPr>
          <w:p>
            <w:pPr>
              <w:spacing w:line="360" w:lineRule="auto"/>
              <w:jc w:val="center"/>
              <w:rPr>
                <w:rFonts w:hint="eastAsia"/>
              </w:rPr>
            </w:pPr>
            <w:r>
              <w:t>3</w:t>
            </w:r>
          </w:p>
        </w:tc>
        <w:tc>
          <w:tcPr>
            <w:tcW w:w="488" w:type="dxa"/>
            <w:vAlign w:val="center"/>
          </w:tcPr>
          <w:p>
            <w:pPr>
              <w:spacing w:line="360" w:lineRule="auto"/>
              <w:jc w:val="center"/>
              <w:rPr>
                <w:rFonts w:hint="eastAsia"/>
              </w:rPr>
            </w:pPr>
            <w:r>
              <w:t>3.5</w:t>
            </w:r>
          </w:p>
        </w:tc>
        <w:tc>
          <w:tcPr>
            <w:tcW w:w="487" w:type="dxa"/>
            <w:vAlign w:val="center"/>
          </w:tcPr>
          <w:p>
            <w:pPr>
              <w:spacing w:line="360" w:lineRule="auto"/>
              <w:jc w:val="center"/>
              <w:rPr>
                <w:rFonts w:hint="eastAsia"/>
              </w:rPr>
            </w:pPr>
            <w:r>
              <w:t>4</w:t>
            </w:r>
          </w:p>
        </w:tc>
        <w:tc>
          <w:tcPr>
            <w:tcW w:w="488" w:type="dxa"/>
            <w:vAlign w:val="center"/>
          </w:tcPr>
          <w:p>
            <w:pPr>
              <w:spacing w:line="360" w:lineRule="auto"/>
              <w:jc w:val="center"/>
              <w:rPr>
                <w:rFonts w:hint="eastAsia"/>
              </w:rPr>
            </w:pPr>
            <w:r>
              <w:t>4.5</w:t>
            </w:r>
          </w:p>
        </w:tc>
        <w:tc>
          <w:tcPr>
            <w:tcW w:w="476" w:type="dxa"/>
            <w:vAlign w:val="center"/>
          </w:tcPr>
          <w:p>
            <w:pPr>
              <w:spacing w:line="360" w:lineRule="auto"/>
              <w:jc w:val="center"/>
              <w:rPr>
                <w:rFonts w:hint="eastAsia"/>
              </w:rPr>
            </w:pPr>
            <w:r>
              <w:t>5</w:t>
            </w:r>
          </w:p>
        </w:tc>
        <w:tc>
          <w:tcPr>
            <w:tcW w:w="476" w:type="dxa"/>
            <w:vAlign w:val="center"/>
          </w:tcPr>
          <w:p>
            <w:pPr>
              <w:spacing w:line="360" w:lineRule="auto"/>
              <w:jc w:val="center"/>
              <w:rPr>
                <w:rFonts w:hint="eastAsia"/>
              </w:rPr>
            </w:pPr>
            <w:r>
              <w:t>6</w:t>
            </w:r>
          </w:p>
        </w:tc>
        <w:tc>
          <w:tcPr>
            <w:tcW w:w="475" w:type="dxa"/>
            <w:vAlign w:val="center"/>
          </w:tcPr>
          <w:p>
            <w:pPr>
              <w:spacing w:line="360" w:lineRule="auto"/>
              <w:jc w:val="center"/>
              <w:rPr>
                <w:rFonts w:hint="eastAsia"/>
              </w:rPr>
            </w:pPr>
            <w:r>
              <w:t>6</w:t>
            </w:r>
          </w:p>
        </w:tc>
        <w:tc>
          <w:tcPr>
            <w:tcW w:w="531" w:type="dxa"/>
            <w:vAlign w:val="center"/>
          </w:tcPr>
          <w:p>
            <w:pPr>
              <w:spacing w:line="360" w:lineRule="auto"/>
              <w:jc w:val="center"/>
              <w:rPr>
                <w:rFonts w:hint="eastAsia"/>
              </w:rPr>
            </w:pPr>
            <w:r>
              <w:t>6.5</w:t>
            </w:r>
          </w:p>
        </w:tc>
        <w:tc>
          <w:tcPr>
            <w:tcW w:w="531" w:type="dxa"/>
            <w:vAlign w:val="center"/>
          </w:tcPr>
          <w:p>
            <w:pPr>
              <w:spacing w:line="360" w:lineRule="auto"/>
              <w:jc w:val="center"/>
              <w:rPr>
                <w:rFonts w:hint="eastAsia"/>
              </w:rPr>
            </w:pPr>
            <w:r>
              <w:t>7</w:t>
            </w:r>
          </w:p>
        </w:tc>
        <w:tc>
          <w:tcPr>
            <w:tcW w:w="531" w:type="dxa"/>
            <w:vAlign w:val="center"/>
          </w:tcPr>
          <w:p>
            <w:pPr>
              <w:spacing w:line="360" w:lineRule="auto"/>
              <w:jc w:val="center"/>
              <w:rPr>
                <w:rFonts w:hint="eastAsia"/>
              </w:rPr>
            </w:pPr>
            <w:r>
              <w:t>8</w:t>
            </w:r>
          </w:p>
        </w:tc>
        <w:tc>
          <w:tcPr>
            <w:tcW w:w="531" w:type="dxa"/>
            <w:vAlign w:val="center"/>
          </w:tcPr>
          <w:p>
            <w:pPr>
              <w:spacing w:line="360" w:lineRule="auto"/>
              <w:jc w:val="center"/>
              <w:rPr>
                <w:rFonts w:hint="eastAsia"/>
              </w:rPr>
            </w:pPr>
            <w:r>
              <w:t>9.5</w:t>
            </w:r>
          </w:p>
        </w:tc>
        <w:tc>
          <w:tcPr>
            <w:tcW w:w="531" w:type="dxa"/>
            <w:vAlign w:val="center"/>
          </w:tcPr>
          <w:p>
            <w:pPr>
              <w:spacing w:line="360" w:lineRule="auto"/>
              <w:jc w:val="center"/>
              <w:rPr>
                <w:rFonts w:hint="eastAsia"/>
              </w:rPr>
            </w:pPr>
            <w:r>
              <w:t>11</w:t>
            </w:r>
          </w:p>
        </w:tc>
        <w:tc>
          <w:tcPr>
            <w:tcW w:w="531" w:type="dxa"/>
            <w:vAlign w:val="center"/>
          </w:tcPr>
          <w:p>
            <w:pPr>
              <w:spacing w:line="360" w:lineRule="auto"/>
              <w:jc w:val="center"/>
              <w:rPr>
                <w:rFonts w:hint="eastAsia"/>
              </w:rPr>
            </w:pPr>
            <w:r>
              <w:t>12</w:t>
            </w:r>
          </w:p>
        </w:tc>
      </w:tr>
    </w:tbl>
    <w:p>
      <w:pPr>
        <w:spacing w:line="360" w:lineRule="auto"/>
        <w:ind w:firstLine="480" w:firstLineChars="200"/>
        <w:rPr>
          <w:rFonts w:ascii="宋体" w:hAnsi="宋体" w:hint="eastAsia"/>
          <w:spacing w:val="20"/>
          <w:sz w:val="24"/>
        </w:rPr>
      </w:pPr>
      <w:r>
        <w:rPr>
          <w:rFonts w:ascii="宋体" w:hAnsi="宋体" w:hint="eastAsia"/>
          <w:spacing w:val="20"/>
          <w:sz w:val="24"/>
        </w:rPr>
        <w:t>4.4.3金属管道立管管卡安装应符合下列规定：楼层高度小于或等于</w:t>
      </w:r>
      <w:r>
        <w:rPr>
          <w:rFonts w:ascii="宋体" w:hAnsi="宋体"/>
          <w:spacing w:val="20"/>
          <w:sz w:val="24"/>
        </w:rPr>
        <w:t>5m</w:t>
      </w:r>
      <w:r>
        <w:rPr>
          <w:rFonts w:ascii="宋体" w:hAnsi="宋体" w:hint="eastAsia"/>
          <w:spacing w:val="20"/>
          <w:sz w:val="24"/>
        </w:rPr>
        <w:t>，每层必须安装</w:t>
      </w:r>
      <w:r>
        <w:rPr>
          <w:rFonts w:ascii="宋体" w:hAnsi="宋体"/>
          <w:spacing w:val="20"/>
          <w:sz w:val="24"/>
        </w:rPr>
        <w:t>1</w:t>
      </w:r>
      <w:r>
        <w:rPr>
          <w:rFonts w:ascii="宋体" w:hAnsi="宋体" w:hint="eastAsia"/>
          <w:spacing w:val="20"/>
          <w:sz w:val="24"/>
        </w:rPr>
        <w:t>个，楼层高度大于</w:t>
      </w:r>
      <w:r>
        <w:rPr>
          <w:rFonts w:ascii="宋体" w:hAnsi="宋体"/>
          <w:spacing w:val="20"/>
          <w:sz w:val="24"/>
        </w:rPr>
        <w:t>5m</w:t>
      </w:r>
      <w:r>
        <w:rPr>
          <w:rFonts w:ascii="宋体" w:hAnsi="宋体" w:hint="eastAsia"/>
          <w:spacing w:val="20"/>
          <w:sz w:val="24"/>
        </w:rPr>
        <w:t>，每层不得少于</w:t>
      </w:r>
      <w:r>
        <w:rPr>
          <w:rFonts w:ascii="宋体" w:hAnsi="宋体"/>
          <w:spacing w:val="20"/>
          <w:sz w:val="24"/>
        </w:rPr>
        <w:t>2</w:t>
      </w:r>
      <w:r>
        <w:rPr>
          <w:rFonts w:ascii="宋体" w:hAnsi="宋体" w:hint="eastAsia"/>
          <w:spacing w:val="20"/>
          <w:sz w:val="24"/>
        </w:rPr>
        <w:t>个，管卡安装高度，距地面应为</w:t>
      </w:r>
      <w:r>
        <w:rPr>
          <w:rFonts w:ascii="宋体" w:hAnsi="宋体"/>
          <w:spacing w:val="20"/>
          <w:sz w:val="24"/>
        </w:rPr>
        <w:t>1.5</w:t>
      </w:r>
      <w:r>
        <w:rPr>
          <w:rFonts w:ascii="宋体" w:hAnsi="宋体" w:hint="eastAsia"/>
          <w:spacing w:val="20"/>
          <w:sz w:val="24"/>
        </w:rPr>
        <w:t>～</w:t>
      </w:r>
      <w:r>
        <w:rPr>
          <w:rFonts w:ascii="宋体" w:hAnsi="宋体"/>
          <w:spacing w:val="20"/>
          <w:sz w:val="24"/>
        </w:rPr>
        <w:t>1.8m</w:t>
      </w:r>
      <w:r>
        <w:rPr>
          <w:rFonts w:ascii="宋体" w:hAnsi="宋体" w:hint="eastAsia"/>
          <w:spacing w:val="20"/>
          <w:sz w:val="24"/>
        </w:rPr>
        <w:t>，</w:t>
      </w:r>
      <w:r>
        <w:rPr>
          <w:rFonts w:ascii="宋体" w:hAnsi="宋体"/>
          <w:spacing w:val="20"/>
          <w:sz w:val="24"/>
        </w:rPr>
        <w:t>2</w:t>
      </w:r>
      <w:r>
        <w:rPr>
          <w:rFonts w:ascii="宋体" w:hAnsi="宋体" w:hint="eastAsia"/>
          <w:spacing w:val="20"/>
          <w:sz w:val="24"/>
        </w:rPr>
        <w:t>个以上管卡应匀称安装，同一房间管卡应安装在同一高度上。</w:t>
      </w:r>
    </w:p>
    <w:p>
      <w:pPr>
        <w:spacing w:line="360" w:lineRule="auto"/>
        <w:ind w:firstLine="480" w:firstLineChars="200"/>
        <w:rPr>
          <w:rFonts w:ascii="宋体" w:hAnsi="宋体" w:hint="eastAsia"/>
          <w:spacing w:val="20"/>
          <w:sz w:val="24"/>
        </w:rPr>
      </w:pPr>
      <w:r>
        <w:rPr>
          <w:rFonts w:ascii="宋体" w:hAnsi="宋体" w:hint="eastAsia"/>
          <w:spacing w:val="20"/>
          <w:sz w:val="24"/>
        </w:rPr>
        <w:t>4.4.4管道及管道支墩（座）严禁铺设在冻土和未经处理的松土上，管道穿过墙壁和楼板应设置金属或塑料套管，根据房间功能的不同套管高出装饰地面的高度也不同，套管底部与楼板底面相平，安装在墙壁内的套管其两端与饰面相平，管道的界面不得设在套管内。</w:t>
      </w:r>
    </w:p>
    <w:p>
      <w:pPr>
        <w:spacing w:line="360" w:lineRule="auto"/>
        <w:ind w:firstLine="480" w:firstLineChars="200"/>
        <w:rPr>
          <w:rFonts w:ascii="宋体" w:hAnsi="宋体" w:hint="eastAsia"/>
          <w:spacing w:val="20"/>
          <w:sz w:val="24"/>
        </w:rPr>
        <w:sectPr>
          <w:footerReference w:type="even" r:id="rId16"/>
          <w:footerReference w:type="default" r:id="rId17"/>
          <w:type w:val="nextPage"/>
          <w:pgSz w:w="11906" w:h="16838"/>
          <w:pgMar w:top="1440" w:right="1800" w:bottom="1440" w:left="1800" w:header="851" w:footer="992" w:gutter="0"/>
          <w:pgNumType w:start="6"/>
          <w:cols w:space="708"/>
          <w:titlePg w:val="0"/>
          <w:docGrid w:type="lines" w:linePitch="312"/>
        </w:sectPr>
      </w:pPr>
      <w:r>
        <w:rPr>
          <w:rFonts w:ascii="宋体" w:hAnsi="宋体" w:hint="eastAsia"/>
          <w:spacing w:val="20"/>
          <w:sz w:val="24"/>
        </w:rPr>
        <w:t>4.</w:t>
      </w:r>
      <w:r>
        <w:rPr>
          <w:rFonts w:ascii="宋体" w:hAnsi="宋体"/>
          <w:spacing w:val="20"/>
          <w:sz w:val="24"/>
        </w:rPr>
        <w:t>5</w:t>
      </w:r>
      <w:r>
        <w:rPr>
          <w:rFonts w:ascii="宋体" w:hAnsi="宋体" w:hint="eastAsia"/>
          <w:spacing w:val="20"/>
          <w:sz w:val="24"/>
        </w:rPr>
        <w:t>暖通工程配合土建预留槽洞、预下埋件</w:t>
      </w:r>
    </w:p>
    <w:p>
      <w:pPr>
        <w:spacing w:line="360" w:lineRule="auto"/>
        <w:ind w:firstLine="480" w:firstLineChars="200"/>
        <w:rPr>
          <w:rFonts w:ascii="宋体" w:hAnsi="宋体" w:hint="eastAsia"/>
          <w:spacing w:val="20"/>
          <w:sz w:val="24"/>
        </w:rPr>
      </w:pPr>
      <w:r>
        <w:rPr>
          <w:rFonts w:ascii="宋体" w:hAnsi="宋体" w:hint="eastAsia"/>
          <w:spacing w:val="20"/>
          <w:sz w:val="24"/>
        </w:rPr>
        <w:t>4.5.1工艺流程：制作模具和埋件</w:t>
      </w:r>
      <w:r>
        <w:rPr>
          <w:rFonts w:ascii="宋体" w:hAnsi="宋体"/>
          <w:spacing w:val="20"/>
          <w:sz w:val="24"/>
        </w:rPr>
        <w:t>→</w:t>
      </w:r>
      <w:r>
        <w:rPr>
          <w:rFonts w:ascii="宋体" w:hAnsi="宋体" w:hint="eastAsia"/>
          <w:spacing w:val="20"/>
          <w:sz w:val="24"/>
        </w:rPr>
        <w:t>放线、标记</w:t>
      </w:r>
      <w:r>
        <w:rPr>
          <w:rFonts w:ascii="宋体" w:hAnsi="宋体"/>
          <w:spacing w:val="20"/>
          <w:sz w:val="24"/>
        </w:rPr>
        <w:t>→</w:t>
      </w:r>
      <w:r>
        <w:rPr>
          <w:rFonts w:ascii="宋体" w:hAnsi="宋体" w:hint="eastAsia"/>
          <w:spacing w:val="20"/>
          <w:sz w:val="24"/>
        </w:rPr>
        <w:t>安装模具、下埋件</w:t>
      </w:r>
      <w:r>
        <w:rPr>
          <w:rFonts w:ascii="宋体" w:hAnsi="宋体"/>
          <w:spacing w:val="20"/>
          <w:sz w:val="24"/>
        </w:rPr>
        <w:t>→</w:t>
      </w:r>
      <w:r>
        <w:rPr>
          <w:rFonts w:ascii="宋体" w:hAnsi="宋体" w:hint="eastAsia"/>
          <w:spacing w:val="20"/>
          <w:sz w:val="24"/>
        </w:rPr>
        <w:t>防腐</w:t>
      </w:r>
      <w:r>
        <w:rPr>
          <w:rFonts w:ascii="宋体" w:hAnsi="宋体"/>
          <w:spacing w:val="20"/>
          <w:sz w:val="24"/>
        </w:rPr>
        <w:t>→</w:t>
      </w:r>
      <w:r>
        <w:rPr>
          <w:rFonts w:ascii="宋体" w:hAnsi="宋体" w:hint="eastAsia"/>
          <w:spacing w:val="20"/>
          <w:sz w:val="24"/>
        </w:rPr>
        <w:t>复核检查</w:t>
      </w:r>
    </w:p>
    <w:p>
      <w:pPr>
        <w:spacing w:line="360" w:lineRule="auto"/>
        <w:ind w:firstLine="480" w:firstLineChars="200"/>
        <w:rPr>
          <w:rFonts w:ascii="宋体" w:hAnsi="宋体" w:hint="eastAsia"/>
          <w:spacing w:val="20"/>
          <w:sz w:val="24"/>
        </w:rPr>
      </w:pPr>
      <w:r>
        <w:rPr>
          <w:rFonts w:ascii="宋体" w:hAnsi="宋体" w:hint="eastAsia"/>
          <w:spacing w:val="20"/>
          <w:sz w:val="24"/>
        </w:rPr>
        <w:t>4.5.2暖通工程预留预埋内容包括：穿墙、梁套管、穿楼板孔洞、设备基础及支架预埋铁件等。预留孔洞的尺寸可按</w:t>
      </w:r>
      <w:r>
        <w:rPr>
          <w:rFonts w:ascii="宋体" w:hAnsi="宋体"/>
          <w:spacing w:val="20"/>
          <w:sz w:val="24"/>
        </w:rPr>
        <w:t>GBJ242</w:t>
      </w:r>
      <w:r>
        <w:rPr>
          <w:rFonts w:ascii="宋体" w:hAnsi="宋体" w:hint="eastAsia"/>
          <w:spacing w:val="20"/>
          <w:sz w:val="24"/>
        </w:rPr>
        <w:t>—</w:t>
      </w:r>
      <w:r>
        <w:rPr>
          <w:rFonts w:ascii="宋体" w:hAnsi="宋体"/>
          <w:spacing w:val="20"/>
          <w:sz w:val="24"/>
        </w:rPr>
        <w:t>82</w:t>
      </w:r>
      <w:r>
        <w:rPr>
          <w:rFonts w:ascii="宋体" w:hAnsi="宋体" w:hint="eastAsia"/>
          <w:spacing w:val="20"/>
          <w:sz w:val="24"/>
        </w:rPr>
        <w:t>《采暖及卫生工程施工及验收规范》第二章</w:t>
      </w:r>
      <w:r>
        <w:rPr>
          <w:rFonts w:ascii="宋体" w:hAnsi="宋体" w:hint="eastAsia"/>
          <w:spacing w:val="20"/>
          <w:sz w:val="24"/>
        </w:rPr>
        <w:t>“</w:t>
      </w:r>
      <w:r>
        <w:rPr>
          <w:rFonts w:ascii="宋体" w:hAnsi="宋体" w:hint="eastAsia"/>
          <w:spacing w:val="20"/>
          <w:sz w:val="24"/>
        </w:rPr>
        <w:t>通用规范</w:t>
      </w:r>
      <w:r>
        <w:rPr>
          <w:rFonts w:ascii="宋体" w:hAnsi="宋体" w:hint="eastAsia"/>
          <w:spacing w:val="20"/>
          <w:sz w:val="24"/>
        </w:rPr>
        <w:t>”</w:t>
      </w:r>
      <w:r>
        <w:rPr>
          <w:rFonts w:ascii="宋体" w:hAnsi="宋体" w:hint="eastAsia"/>
          <w:spacing w:val="20"/>
          <w:sz w:val="24"/>
        </w:rPr>
        <w:t>执行，套管及防水套管的制作工艺要求按全国通用给排水标准图集</w:t>
      </w:r>
      <w:r>
        <w:rPr>
          <w:rFonts w:ascii="宋体" w:hAnsi="宋体"/>
          <w:spacing w:val="20"/>
          <w:sz w:val="24"/>
        </w:rPr>
        <w:t>S312</w:t>
      </w:r>
      <w:r>
        <w:rPr>
          <w:rFonts w:ascii="宋体" w:hAnsi="宋体" w:hint="eastAsia"/>
          <w:spacing w:val="20"/>
          <w:sz w:val="24"/>
        </w:rPr>
        <w:t>的要求执行。</w:t>
      </w:r>
    </w:p>
    <w:p>
      <w:pPr>
        <w:spacing w:line="360" w:lineRule="auto"/>
        <w:ind w:firstLine="480" w:firstLineChars="200"/>
        <w:rPr>
          <w:rFonts w:ascii="宋体" w:hAnsi="宋体" w:hint="eastAsia"/>
          <w:spacing w:val="20"/>
          <w:sz w:val="24"/>
        </w:rPr>
      </w:pPr>
      <w:r>
        <w:rPr>
          <w:rFonts w:ascii="宋体" w:hAnsi="宋体" w:hint="eastAsia"/>
          <w:spacing w:val="20"/>
          <w:sz w:val="24"/>
        </w:rPr>
        <w:t>4.5.3套管安装：结构施工时钢筋绑扎完成后，根据本专业的设计图纸确定套管的位置和标高，现场调整钢筋的位置，使套管置于钢筋网中，找正几何尺寸将套管牢固地焊接在钢筋网中，尽量避免损坏钢筋和切断钢筋，特别注意不能破坏预应力钢筋，如钢筋过密，安装套管有困难且必须切割时事先与结构工程师取得联系，确定加强筋方案，并取得建设方监理工程师的同意后方可进行，在混凝土浇筑工程中，委派专人看护，发现问题及时处理。</w:t>
      </w:r>
    </w:p>
    <w:p>
      <w:pPr>
        <w:spacing w:line="360" w:lineRule="auto"/>
        <w:ind w:firstLine="480" w:firstLineChars="200"/>
        <w:rPr>
          <w:rFonts w:ascii="宋体" w:hAnsi="宋体" w:hint="eastAsia"/>
          <w:spacing w:val="20"/>
          <w:sz w:val="24"/>
        </w:rPr>
      </w:pPr>
      <w:r>
        <w:rPr>
          <w:rFonts w:ascii="宋体" w:hAnsi="宋体" w:hint="eastAsia"/>
          <w:spacing w:val="20"/>
          <w:sz w:val="24"/>
        </w:rPr>
        <w:t>4.5.4孔洞预留主要配合土建专业编制楼板预留孔洞图，做到完整合理，并在现场进行定位，混凝土浇筑前要进行核对。预埋铁件根据施工图的要求绘制预埋现场施工图，交由施工队伍按图施工并及时进行检验，预埋件的尺寸参照设计或标准图集，必要时需进行结构验算，以满足强度和刚度的要求为准。</w:t>
      </w:r>
    </w:p>
    <w:p>
      <w:pPr>
        <w:spacing w:line="360" w:lineRule="auto"/>
        <w:ind w:firstLine="480" w:firstLineChars="200"/>
        <w:rPr>
          <w:rFonts w:ascii="宋体" w:hAnsi="宋体" w:hint="eastAsia"/>
          <w:spacing w:val="20"/>
          <w:sz w:val="24"/>
        </w:rPr>
      </w:pPr>
      <w:r>
        <w:rPr>
          <w:rFonts w:ascii="宋体" w:hAnsi="宋体" w:hint="eastAsia"/>
          <w:spacing w:val="20"/>
          <w:sz w:val="24"/>
        </w:rPr>
        <w:t>4.5.5预留孔洞的位置、尺寸、标高均应符合设计和施工规范要求，预留孔、预留管的中心线位移允许偏差值为</w:t>
      </w:r>
      <w:r>
        <w:rPr>
          <w:rFonts w:ascii="宋体" w:hAnsi="宋体"/>
          <w:spacing w:val="20"/>
          <w:sz w:val="24"/>
        </w:rPr>
        <w:t>3mm</w:t>
      </w:r>
      <w:r>
        <w:rPr>
          <w:rFonts w:ascii="宋体" w:hAnsi="宋体" w:hint="eastAsia"/>
          <w:spacing w:val="20"/>
          <w:sz w:val="24"/>
        </w:rPr>
        <w:t>，预留孔洞中心线位移允许偏差</w:t>
      </w:r>
      <w:r>
        <w:rPr>
          <w:rFonts w:ascii="宋体" w:hAnsi="宋体"/>
          <w:spacing w:val="20"/>
          <w:sz w:val="24"/>
        </w:rPr>
        <w:t>10mm</w:t>
      </w:r>
      <w:r>
        <w:rPr>
          <w:rFonts w:ascii="宋体" w:hAnsi="宋体" w:hint="eastAsia"/>
          <w:spacing w:val="20"/>
          <w:sz w:val="24"/>
        </w:rPr>
        <w:t>，其截面内部尺寸允许偏差为</w:t>
      </w:r>
      <w:r>
        <w:rPr>
          <w:rFonts w:ascii="宋体" w:hAnsi="宋体"/>
          <w:spacing w:val="20"/>
          <w:sz w:val="24"/>
        </w:rPr>
        <w:t xml:space="preserve">+1.0 </w:t>
      </w:r>
      <w:r>
        <w:rPr>
          <w:rFonts w:ascii="宋体" w:hAnsi="宋体" w:hint="eastAsia"/>
          <w:spacing w:val="20"/>
          <w:sz w:val="24"/>
        </w:rPr>
        <w:t>～</w:t>
      </w:r>
      <w:r>
        <w:rPr>
          <w:rFonts w:ascii="宋体" w:hAnsi="宋体" w:hint="eastAsia"/>
          <w:spacing w:val="20"/>
          <w:sz w:val="24"/>
        </w:rPr>
        <w:t>—</w:t>
      </w:r>
      <w:r>
        <w:rPr>
          <w:rFonts w:ascii="宋体" w:hAnsi="宋体"/>
          <w:spacing w:val="20"/>
          <w:sz w:val="24"/>
        </w:rPr>
        <w:t>0 mm</w:t>
      </w:r>
      <w:r>
        <w:rPr>
          <w:rFonts w:ascii="宋体" w:hAnsi="宋体" w:hint="eastAsia"/>
          <w:spacing w:val="20"/>
          <w:sz w:val="24"/>
        </w:rPr>
        <w:t>。</w:t>
      </w:r>
    </w:p>
    <w:p>
      <w:pPr>
        <w:spacing w:line="360" w:lineRule="auto"/>
        <w:ind w:firstLine="480" w:firstLineChars="200"/>
        <w:rPr>
          <w:rFonts w:ascii="宋体" w:hAnsi="宋体" w:hint="eastAsia"/>
          <w:spacing w:val="20"/>
          <w:sz w:val="24"/>
        </w:rPr>
      </w:pPr>
      <w:r>
        <w:rPr>
          <w:rFonts w:ascii="宋体" w:hAnsi="宋体" w:hint="eastAsia"/>
          <w:spacing w:val="20"/>
          <w:sz w:val="24"/>
        </w:rPr>
        <w:t>4.</w:t>
      </w:r>
      <w:r>
        <w:rPr>
          <w:rFonts w:ascii="宋体" w:hAnsi="宋体"/>
          <w:spacing w:val="20"/>
          <w:sz w:val="24"/>
        </w:rPr>
        <w:t>6</w:t>
      </w:r>
      <w:r>
        <w:rPr>
          <w:rFonts w:ascii="宋体" w:hAnsi="宋体" w:hint="eastAsia"/>
          <w:spacing w:val="20"/>
          <w:sz w:val="24"/>
        </w:rPr>
        <w:t>镀锌钢管螺纹连接</w:t>
      </w:r>
    </w:p>
    <w:p>
      <w:pPr>
        <w:spacing w:line="360" w:lineRule="auto"/>
        <w:ind w:firstLine="480" w:firstLineChars="200"/>
        <w:rPr>
          <w:rFonts w:ascii="宋体" w:hAnsi="宋体" w:hint="eastAsia"/>
          <w:spacing w:val="20"/>
          <w:sz w:val="24"/>
        </w:rPr>
      </w:pPr>
      <w:r>
        <w:rPr>
          <w:rFonts w:ascii="宋体" w:hAnsi="宋体" w:hint="eastAsia"/>
          <w:spacing w:val="20"/>
          <w:sz w:val="24"/>
        </w:rPr>
        <w:t>4.6.1镀锌钢管螺纹连接管路施工工艺：选择螺纹形式</w:t>
      </w:r>
      <w:r>
        <w:rPr>
          <w:rFonts w:ascii="宋体" w:hAnsi="宋体" w:hint="eastAsia"/>
          <w:spacing w:val="20"/>
          <w:sz w:val="24"/>
        </w:rPr>
        <w:t>→</w:t>
      </w:r>
      <w:r>
        <w:rPr>
          <w:rFonts w:ascii="宋体" w:hAnsi="宋体" w:hint="eastAsia"/>
          <w:spacing w:val="20"/>
          <w:sz w:val="24"/>
        </w:rPr>
        <w:t>管螺纹加工</w:t>
      </w:r>
      <w:r>
        <w:rPr>
          <w:rFonts w:ascii="宋体" w:hAnsi="宋体" w:hint="eastAsia"/>
          <w:spacing w:val="20"/>
          <w:sz w:val="24"/>
        </w:rPr>
        <w:t>→</w:t>
      </w:r>
      <w:r>
        <w:rPr>
          <w:rFonts w:ascii="宋体" w:hAnsi="宋体" w:hint="eastAsia"/>
          <w:spacing w:val="20"/>
          <w:sz w:val="24"/>
        </w:rPr>
        <w:t>试口</w:t>
      </w:r>
      <w:r>
        <w:rPr>
          <w:rFonts w:ascii="宋体" w:hAnsi="宋体" w:hint="eastAsia"/>
          <w:spacing w:val="20"/>
          <w:sz w:val="24"/>
        </w:rPr>
        <w:t>→</w:t>
      </w:r>
      <w:r>
        <w:rPr>
          <w:rFonts w:ascii="宋体" w:hAnsi="宋体" w:hint="eastAsia"/>
          <w:spacing w:val="20"/>
          <w:sz w:val="24"/>
        </w:rPr>
        <w:t>螺纹连接</w:t>
      </w:r>
    </w:p>
    <w:p>
      <w:pPr>
        <w:spacing w:line="360" w:lineRule="auto"/>
        <w:ind w:firstLine="480" w:firstLineChars="200"/>
        <w:rPr>
          <w:rFonts w:ascii="宋体" w:hAnsi="宋体" w:hint="eastAsia"/>
          <w:spacing w:val="20"/>
          <w:sz w:val="24"/>
        </w:rPr>
        <w:sectPr>
          <w:footerReference w:type="even" r:id="rId18"/>
          <w:footerReference w:type="default" r:id="rId19"/>
          <w:type w:val="nextPage"/>
          <w:pgSz w:w="11906" w:h="16838"/>
          <w:pgMar w:top="1440" w:right="1800" w:bottom="1440" w:left="1800" w:header="851" w:footer="992" w:gutter="0"/>
          <w:pgNumType w:start="7"/>
          <w:cols w:space="708"/>
          <w:titlePg w:val="0"/>
          <w:docGrid w:type="lines" w:linePitch="312"/>
        </w:sectPr>
      </w:pPr>
      <w:r>
        <w:rPr>
          <w:rFonts w:ascii="宋体" w:hAnsi="宋体" w:hint="eastAsia"/>
          <w:spacing w:val="20"/>
          <w:sz w:val="24"/>
        </w:rPr>
        <w:t>4.6.2加工螺纹前必须将管子与其所连接的管件螺纹量准，螺纹加工长度既不可过长，也不能缺扣，应使管子与管件连接后露出螺尾</w:t>
      </w:r>
      <w:r>
        <w:rPr>
          <w:rFonts w:ascii="宋体" w:hAnsi="宋体"/>
          <w:spacing w:val="20"/>
          <w:sz w:val="24"/>
        </w:rPr>
        <w:t>2</w:t>
      </w:r>
      <w:r>
        <w:rPr>
          <w:rFonts w:ascii="宋体" w:hAnsi="宋体" w:hint="eastAsia"/>
          <w:spacing w:val="20"/>
          <w:sz w:val="24"/>
        </w:rPr>
        <w:t>～</w:t>
      </w:r>
      <w:r>
        <w:rPr>
          <w:rFonts w:ascii="宋体" w:hAnsi="宋体"/>
          <w:spacing w:val="20"/>
          <w:sz w:val="24"/>
        </w:rPr>
        <w:t>3</w:t>
      </w:r>
      <w:r>
        <w:rPr>
          <w:rFonts w:ascii="宋体" w:hAnsi="宋体" w:hint="eastAsia"/>
          <w:spacing w:val="20"/>
          <w:sz w:val="24"/>
        </w:rPr>
        <w:t>扣为宜，螺纹套丝加工时不可一次套成，</w:t>
      </w:r>
      <w:r>
        <w:rPr>
          <w:rFonts w:ascii="宋体" w:hAnsi="宋体"/>
          <w:spacing w:val="20"/>
          <w:sz w:val="24"/>
        </w:rPr>
        <w:t>DN15</w:t>
      </w:r>
      <w:r>
        <w:rPr>
          <w:rFonts w:ascii="宋体" w:hAnsi="宋体" w:hint="eastAsia"/>
          <w:spacing w:val="20"/>
          <w:sz w:val="24"/>
        </w:rPr>
        <w:t>～</w:t>
      </w:r>
      <w:r>
        <w:rPr>
          <w:rFonts w:ascii="宋体" w:hAnsi="宋体"/>
          <w:spacing w:val="20"/>
          <w:sz w:val="24"/>
        </w:rPr>
        <w:t>40mm</w:t>
      </w:r>
      <w:r>
        <w:rPr>
          <w:rFonts w:ascii="宋体" w:hAnsi="宋体" w:hint="eastAsia"/>
          <w:spacing w:val="20"/>
          <w:sz w:val="24"/>
        </w:rPr>
        <w:t>时分两次套成，</w:t>
      </w:r>
      <w:r>
        <w:rPr>
          <w:rFonts w:ascii="宋体" w:hAnsi="宋体"/>
          <w:spacing w:val="20"/>
          <w:sz w:val="24"/>
        </w:rPr>
        <w:t>DN</w:t>
      </w:r>
      <w:r>
        <w:rPr>
          <w:rFonts w:ascii="宋体" w:hAnsi="宋体" w:hint="eastAsia"/>
          <w:spacing w:val="20"/>
          <w:sz w:val="24"/>
        </w:rPr>
        <w:t>≥</w:t>
      </w:r>
      <w:r>
        <w:rPr>
          <w:rFonts w:ascii="宋体" w:hAnsi="宋体"/>
          <w:spacing w:val="20"/>
          <w:sz w:val="24"/>
        </w:rPr>
        <w:t>50</w:t>
      </w:r>
    </w:p>
    <w:p>
      <w:pPr>
        <w:spacing w:line="360" w:lineRule="auto"/>
        <w:ind w:firstLine="480" w:firstLineChars="200"/>
        <w:rPr>
          <w:rFonts w:ascii="宋体" w:hAnsi="宋体" w:hint="eastAsia"/>
          <w:spacing w:val="20"/>
          <w:sz w:val="24"/>
        </w:rPr>
      </w:pPr>
      <w:r>
        <w:rPr>
          <w:rFonts w:ascii="宋体" w:hAnsi="宋体" w:hint="eastAsia"/>
          <w:spacing w:val="20"/>
          <w:sz w:val="24"/>
        </w:rPr>
        <w:t>时分三次套成，套完丝扣后随即清理管口，将管子端面毛刺清除掉，使管口保持干净光滑。丝扣连接的管道具体要求详见《螺纹密封的管螺纹》（</w:t>
      </w:r>
      <w:r>
        <w:rPr>
          <w:rFonts w:ascii="宋体" w:hAnsi="宋体"/>
          <w:spacing w:val="20"/>
          <w:sz w:val="24"/>
        </w:rPr>
        <w:t>GB7367</w:t>
      </w:r>
      <w:r>
        <w:rPr>
          <w:rFonts w:ascii="宋体" w:hAnsi="宋体" w:hint="eastAsia"/>
          <w:spacing w:val="20"/>
          <w:sz w:val="24"/>
        </w:rPr>
        <w:t>—</w:t>
      </w:r>
      <w:r>
        <w:rPr>
          <w:rFonts w:ascii="宋体" w:hAnsi="宋体"/>
          <w:spacing w:val="20"/>
          <w:sz w:val="24"/>
        </w:rPr>
        <w:t>87</w:t>
      </w:r>
      <w:r>
        <w:rPr>
          <w:rFonts w:ascii="宋体" w:hAnsi="宋体" w:hint="eastAsia"/>
          <w:spacing w:val="20"/>
          <w:sz w:val="24"/>
        </w:rPr>
        <w:t>）规定，要求螺纹清洁、规整，断丝、缺丝不大于螺纹全扣数</w:t>
      </w:r>
      <w:r>
        <w:rPr>
          <w:rFonts w:ascii="宋体" w:hAnsi="宋体"/>
          <w:spacing w:val="20"/>
          <w:sz w:val="24"/>
        </w:rPr>
        <w:t>10%</w:t>
      </w:r>
      <w:r>
        <w:rPr>
          <w:rFonts w:ascii="宋体" w:hAnsi="宋体" w:hint="eastAsia"/>
          <w:spacing w:val="20"/>
          <w:sz w:val="24"/>
        </w:rPr>
        <w:t>，螺纹连接应牢固，管螺纹根部有外露螺纹不多于</w:t>
      </w:r>
      <w:r>
        <w:rPr>
          <w:rFonts w:ascii="宋体" w:hAnsi="宋体"/>
          <w:spacing w:val="20"/>
          <w:sz w:val="24"/>
        </w:rPr>
        <w:t>2</w:t>
      </w:r>
      <w:r>
        <w:rPr>
          <w:rFonts w:ascii="宋体" w:hAnsi="宋体" w:hint="eastAsia"/>
          <w:spacing w:val="20"/>
          <w:sz w:val="24"/>
        </w:rPr>
        <w:t xml:space="preserve">扣，镀锌碳素钢管和管件的镀锌层无破损，螺纹露出部分防腐蚀良好，接口处无外露麻丝或胶带。                        </w:t>
      </w:r>
    </w:p>
    <w:p>
      <w:pPr>
        <w:spacing w:line="360" w:lineRule="auto"/>
        <w:ind w:firstLine="480" w:firstLineChars="200"/>
        <w:rPr>
          <w:rFonts w:ascii="宋体" w:hAnsi="宋体" w:hint="eastAsia"/>
          <w:spacing w:val="20"/>
          <w:sz w:val="24"/>
        </w:rPr>
      </w:pPr>
      <w:r>
        <w:rPr>
          <w:rFonts w:ascii="宋体" w:hAnsi="宋体" w:hint="eastAsia"/>
          <w:spacing w:val="20"/>
          <w:sz w:val="24"/>
        </w:rPr>
        <w:t>4.</w:t>
      </w:r>
      <w:r>
        <w:rPr>
          <w:rFonts w:ascii="宋体" w:hAnsi="宋体"/>
          <w:spacing w:val="20"/>
          <w:sz w:val="24"/>
        </w:rPr>
        <w:t>7</w:t>
      </w:r>
      <w:r>
        <w:rPr>
          <w:rFonts w:ascii="宋体" w:hAnsi="宋体" w:hint="eastAsia"/>
          <w:spacing w:val="20"/>
          <w:sz w:val="24"/>
        </w:rPr>
        <w:t>阀门安装：</w:t>
      </w:r>
    </w:p>
    <w:p>
      <w:pPr>
        <w:spacing w:line="360" w:lineRule="auto"/>
        <w:ind w:firstLine="480" w:firstLineChars="200"/>
        <w:rPr>
          <w:rFonts w:ascii="宋体" w:hAnsi="宋体" w:hint="eastAsia"/>
          <w:spacing w:val="20"/>
          <w:sz w:val="24"/>
        </w:rPr>
      </w:pPr>
      <w:r>
        <w:rPr>
          <w:rFonts w:ascii="宋体" w:hAnsi="宋体" w:hint="eastAsia"/>
          <w:spacing w:val="20"/>
          <w:sz w:val="24"/>
        </w:rPr>
        <w:t>阀门安装前后应作强度和严密性实验，试验应在每批（</w:t>
      </w:r>
      <w:r>
        <w:rPr>
          <w:rFonts w:ascii="宋体" w:hAnsi="宋体"/>
          <w:spacing w:val="20"/>
          <w:sz w:val="24"/>
        </w:rPr>
        <w:t xml:space="preserve"> </w:t>
      </w:r>
      <w:r>
        <w:rPr>
          <w:rFonts w:ascii="宋体" w:hAnsi="宋体" w:hint="eastAsia"/>
          <w:spacing w:val="20"/>
          <w:sz w:val="24"/>
        </w:rPr>
        <w:t>同牌号、同型号、同规格数量中抽查</w:t>
      </w:r>
      <w:r>
        <w:rPr>
          <w:rFonts w:ascii="宋体" w:hAnsi="宋体"/>
          <w:spacing w:val="20"/>
          <w:sz w:val="24"/>
        </w:rPr>
        <w:t>10%</w:t>
      </w:r>
      <w:r>
        <w:rPr>
          <w:rFonts w:ascii="宋体" w:hAnsi="宋体" w:hint="eastAsia"/>
          <w:spacing w:val="20"/>
          <w:sz w:val="24"/>
        </w:rPr>
        <w:t>，且不少于一个，对于安装在主干管上起切断作用的闭路阀门应逐个作试验。阀门的强度试验为公称压力的</w:t>
      </w:r>
      <w:r>
        <w:rPr>
          <w:rFonts w:ascii="宋体" w:hAnsi="宋体"/>
          <w:spacing w:val="20"/>
          <w:sz w:val="24"/>
        </w:rPr>
        <w:t xml:space="preserve"> 1.5</w:t>
      </w:r>
      <w:r>
        <w:rPr>
          <w:rFonts w:ascii="宋体" w:hAnsi="宋体" w:hint="eastAsia"/>
          <w:spacing w:val="20"/>
          <w:sz w:val="24"/>
        </w:rPr>
        <w:t>倍，严密性试验及公称压力的</w:t>
      </w:r>
      <w:r>
        <w:rPr>
          <w:rFonts w:ascii="宋体" w:hAnsi="宋体"/>
          <w:spacing w:val="20"/>
          <w:sz w:val="24"/>
        </w:rPr>
        <w:t>1.1</w:t>
      </w:r>
      <w:r>
        <w:rPr>
          <w:rFonts w:ascii="宋体" w:hAnsi="宋体" w:hint="eastAsia"/>
          <w:spacing w:val="20"/>
          <w:sz w:val="24"/>
        </w:rPr>
        <w:t xml:space="preserve">倍，试验压力在持续时间内应保持不变，且壳体填料及阀瓣密封面无渗漏，阀门实验持续时间应不少于下表的规定：       </w:t>
      </w:r>
    </w:p>
    <w:tbl>
      <w:tblPr>
        <w:tblStyle w:val="TableNormal"/>
        <w:tblW w:w="89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108" w:type="dxa"/>
          <w:bottom w:w="0" w:type="dxa"/>
          <w:right w:w="108" w:type="dxa"/>
        </w:tblCellMar>
        <w:tblLook w:val="0000"/>
      </w:tblPr>
      <w:tblGrid>
        <w:gridCol w:w="1578"/>
        <w:gridCol w:w="2640"/>
        <w:gridCol w:w="2730"/>
        <w:gridCol w:w="1960"/>
      </w:tblGrid>
      <w:tr>
        <w:tblPrEx>
          <w:tblW w:w="89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340"/>
        </w:trPr>
        <w:tc>
          <w:tcPr>
            <w:tcW w:w="1578" w:type="dxa"/>
            <w:vMerge w:val="restart"/>
            <w:vAlign w:val="center"/>
          </w:tcPr>
          <w:p>
            <w:pPr>
              <w:spacing w:line="360" w:lineRule="auto"/>
              <w:jc w:val="center"/>
              <w:rPr>
                <w:rFonts w:hint="eastAsia"/>
                <w:color w:val="000000"/>
              </w:rPr>
            </w:pPr>
            <w:r>
              <w:rPr>
                <w:rFonts w:hint="eastAsia"/>
                <w:color w:val="000000"/>
              </w:rPr>
              <w:t>公称直径（</w:t>
            </w:r>
            <w:r>
              <w:rPr>
                <w:color w:val="000000"/>
              </w:rPr>
              <w:t>mm</w:t>
            </w:r>
            <w:r>
              <w:rPr>
                <w:rFonts w:hint="eastAsia"/>
                <w:color w:val="000000"/>
              </w:rPr>
              <w:t>）</w:t>
            </w:r>
          </w:p>
        </w:tc>
        <w:tc>
          <w:tcPr>
            <w:tcW w:w="7330" w:type="dxa"/>
            <w:gridSpan w:val="3"/>
            <w:vAlign w:val="center"/>
          </w:tcPr>
          <w:p>
            <w:pPr>
              <w:spacing w:line="360" w:lineRule="auto"/>
              <w:jc w:val="center"/>
              <w:rPr>
                <w:rFonts w:hint="eastAsia"/>
                <w:color w:val="000000"/>
              </w:rPr>
            </w:pPr>
            <w:r>
              <w:rPr>
                <w:rFonts w:hint="eastAsia"/>
                <w:color w:val="000000"/>
              </w:rPr>
              <w:t>最短试验持续时间（</w:t>
            </w:r>
            <w:r>
              <w:rPr>
                <w:color w:val="000000"/>
              </w:rPr>
              <w:t>s</w:t>
            </w:r>
            <w:r>
              <w:rPr>
                <w:rFonts w:hint="eastAsia"/>
                <w:color w:val="000000"/>
              </w:rPr>
              <w:t>）</w:t>
            </w:r>
          </w:p>
        </w:tc>
      </w:tr>
      <w:tr>
        <w:tblPrEx>
          <w:tblW w:w="8908" w:type="dxa"/>
          <w:tblCellMar>
            <w:top w:w="0" w:type="dxa"/>
            <w:left w:w="108" w:type="dxa"/>
            <w:bottom w:w="0" w:type="dxa"/>
            <w:right w:w="108" w:type="dxa"/>
          </w:tblCellMar>
          <w:tblLook w:val="0000"/>
        </w:tblPrEx>
        <w:trPr>
          <w:cantSplit/>
          <w:trHeight w:val="340"/>
        </w:trPr>
        <w:tc>
          <w:tcPr>
            <w:tcW w:w="1578" w:type="dxa"/>
            <w:vMerge/>
            <w:vAlign w:val="center"/>
          </w:tcPr>
          <w:p>
            <w:pPr>
              <w:spacing w:line="360" w:lineRule="auto"/>
              <w:jc w:val="center"/>
              <w:rPr>
                <w:color w:val="000000"/>
              </w:rPr>
            </w:pPr>
          </w:p>
        </w:tc>
        <w:tc>
          <w:tcPr>
            <w:tcW w:w="5370" w:type="dxa"/>
            <w:gridSpan w:val="2"/>
            <w:vAlign w:val="center"/>
          </w:tcPr>
          <w:p>
            <w:pPr>
              <w:spacing w:line="360" w:lineRule="auto"/>
              <w:jc w:val="center"/>
              <w:rPr>
                <w:rFonts w:hint="eastAsia"/>
                <w:color w:val="000000"/>
              </w:rPr>
            </w:pPr>
            <w:r>
              <w:rPr>
                <w:rFonts w:hint="eastAsia"/>
                <w:color w:val="000000"/>
              </w:rPr>
              <w:t>严密性试验</w:t>
            </w:r>
          </w:p>
        </w:tc>
        <w:tc>
          <w:tcPr>
            <w:tcW w:w="1960" w:type="dxa"/>
            <w:vMerge w:val="restart"/>
            <w:vAlign w:val="center"/>
          </w:tcPr>
          <w:p>
            <w:pPr>
              <w:spacing w:line="360" w:lineRule="auto"/>
              <w:jc w:val="center"/>
              <w:rPr>
                <w:rFonts w:hint="eastAsia"/>
                <w:color w:val="000000"/>
              </w:rPr>
            </w:pPr>
            <w:r>
              <w:rPr>
                <w:rFonts w:hint="eastAsia"/>
                <w:color w:val="000000"/>
              </w:rPr>
              <w:t>强度试验</w:t>
            </w:r>
          </w:p>
        </w:tc>
      </w:tr>
      <w:tr>
        <w:tblPrEx>
          <w:tblW w:w="8908" w:type="dxa"/>
          <w:tblCellMar>
            <w:top w:w="0" w:type="dxa"/>
            <w:left w:w="108" w:type="dxa"/>
            <w:bottom w:w="0" w:type="dxa"/>
            <w:right w:w="108" w:type="dxa"/>
          </w:tblCellMar>
          <w:tblLook w:val="0000"/>
        </w:tblPrEx>
        <w:trPr>
          <w:cantSplit/>
          <w:trHeight w:val="340"/>
        </w:trPr>
        <w:tc>
          <w:tcPr>
            <w:tcW w:w="1578" w:type="dxa"/>
            <w:vMerge/>
            <w:vAlign w:val="center"/>
          </w:tcPr>
          <w:p>
            <w:pPr>
              <w:spacing w:line="360" w:lineRule="auto"/>
              <w:jc w:val="center"/>
              <w:rPr>
                <w:color w:val="000000"/>
              </w:rPr>
            </w:pPr>
          </w:p>
        </w:tc>
        <w:tc>
          <w:tcPr>
            <w:tcW w:w="2640" w:type="dxa"/>
            <w:vAlign w:val="center"/>
          </w:tcPr>
          <w:p>
            <w:pPr>
              <w:spacing w:line="360" w:lineRule="auto"/>
              <w:jc w:val="center"/>
              <w:rPr>
                <w:rFonts w:hint="eastAsia"/>
                <w:color w:val="000000"/>
              </w:rPr>
            </w:pPr>
            <w:r>
              <w:rPr>
                <w:rFonts w:hint="eastAsia"/>
                <w:color w:val="000000"/>
              </w:rPr>
              <w:t>金属密封</w:t>
            </w:r>
          </w:p>
        </w:tc>
        <w:tc>
          <w:tcPr>
            <w:tcW w:w="2730" w:type="dxa"/>
            <w:vAlign w:val="center"/>
          </w:tcPr>
          <w:p>
            <w:pPr>
              <w:spacing w:line="360" w:lineRule="auto"/>
              <w:jc w:val="center"/>
              <w:rPr>
                <w:rFonts w:hint="eastAsia"/>
                <w:color w:val="000000"/>
              </w:rPr>
            </w:pPr>
            <w:r>
              <w:rPr>
                <w:rFonts w:hint="eastAsia"/>
                <w:color w:val="000000"/>
              </w:rPr>
              <w:t>非金属密封</w:t>
            </w:r>
          </w:p>
        </w:tc>
        <w:tc>
          <w:tcPr>
            <w:tcW w:w="1960" w:type="dxa"/>
            <w:vMerge/>
            <w:vAlign w:val="center"/>
          </w:tcPr>
          <w:p>
            <w:pPr>
              <w:spacing w:line="360" w:lineRule="auto"/>
              <w:jc w:val="center"/>
              <w:rPr>
                <w:color w:val="000000"/>
              </w:rPr>
            </w:pPr>
          </w:p>
        </w:tc>
      </w:tr>
      <w:tr>
        <w:tblPrEx>
          <w:tblW w:w="8908" w:type="dxa"/>
          <w:tblCellMar>
            <w:top w:w="0" w:type="dxa"/>
            <w:left w:w="108" w:type="dxa"/>
            <w:bottom w:w="0" w:type="dxa"/>
            <w:right w:w="108" w:type="dxa"/>
          </w:tblCellMar>
          <w:tblLook w:val="0000"/>
        </w:tblPrEx>
        <w:trPr>
          <w:trHeight w:val="340"/>
        </w:trPr>
        <w:tc>
          <w:tcPr>
            <w:tcW w:w="1578" w:type="dxa"/>
            <w:vAlign w:val="center"/>
          </w:tcPr>
          <w:p>
            <w:pPr>
              <w:spacing w:line="360" w:lineRule="auto"/>
              <w:jc w:val="center"/>
              <w:rPr>
                <w:rFonts w:hint="eastAsia"/>
                <w:color w:val="000000"/>
              </w:rPr>
            </w:pPr>
            <w:r>
              <w:rPr>
                <w:rFonts w:hint="eastAsia"/>
                <w:color w:val="000000"/>
              </w:rPr>
              <w:t>≤</w:t>
            </w:r>
            <w:r>
              <w:rPr>
                <w:color w:val="000000"/>
              </w:rPr>
              <w:t>50</w:t>
            </w:r>
          </w:p>
        </w:tc>
        <w:tc>
          <w:tcPr>
            <w:tcW w:w="2640" w:type="dxa"/>
            <w:vAlign w:val="center"/>
          </w:tcPr>
          <w:p>
            <w:pPr>
              <w:spacing w:line="360" w:lineRule="auto"/>
              <w:jc w:val="center"/>
              <w:rPr>
                <w:rFonts w:hint="eastAsia"/>
                <w:color w:val="000000"/>
              </w:rPr>
            </w:pPr>
            <w:r>
              <w:rPr>
                <w:color w:val="000000"/>
              </w:rPr>
              <w:t>15</w:t>
            </w:r>
          </w:p>
        </w:tc>
        <w:tc>
          <w:tcPr>
            <w:tcW w:w="2730" w:type="dxa"/>
            <w:vAlign w:val="center"/>
          </w:tcPr>
          <w:p>
            <w:pPr>
              <w:spacing w:line="360" w:lineRule="auto"/>
              <w:jc w:val="center"/>
              <w:rPr>
                <w:rFonts w:hint="eastAsia"/>
                <w:color w:val="000000"/>
              </w:rPr>
            </w:pPr>
            <w:r>
              <w:rPr>
                <w:color w:val="000000"/>
              </w:rPr>
              <w:t>15</w:t>
            </w:r>
          </w:p>
        </w:tc>
        <w:tc>
          <w:tcPr>
            <w:tcW w:w="1960" w:type="dxa"/>
            <w:vAlign w:val="center"/>
          </w:tcPr>
          <w:p>
            <w:pPr>
              <w:spacing w:line="360" w:lineRule="auto"/>
              <w:jc w:val="center"/>
              <w:rPr>
                <w:rFonts w:hint="eastAsia"/>
                <w:color w:val="000000"/>
              </w:rPr>
            </w:pPr>
            <w:r>
              <w:rPr>
                <w:color w:val="000000"/>
              </w:rPr>
              <w:t>15</w:t>
            </w:r>
          </w:p>
        </w:tc>
      </w:tr>
      <w:tr>
        <w:tblPrEx>
          <w:tblW w:w="8908" w:type="dxa"/>
          <w:tblCellMar>
            <w:top w:w="0" w:type="dxa"/>
            <w:left w:w="108" w:type="dxa"/>
            <w:bottom w:w="0" w:type="dxa"/>
            <w:right w:w="108" w:type="dxa"/>
          </w:tblCellMar>
          <w:tblLook w:val="0000"/>
        </w:tblPrEx>
        <w:trPr>
          <w:trHeight w:val="340"/>
        </w:trPr>
        <w:tc>
          <w:tcPr>
            <w:tcW w:w="1578" w:type="dxa"/>
            <w:vAlign w:val="center"/>
          </w:tcPr>
          <w:p>
            <w:pPr>
              <w:spacing w:line="360" w:lineRule="auto"/>
              <w:jc w:val="center"/>
              <w:rPr>
                <w:rFonts w:eastAsia="宋体" w:hint="eastAsia"/>
                <w:color w:val="000000"/>
              </w:rPr>
            </w:pPr>
            <w:r>
              <w:rPr>
                <w:color w:val="000000"/>
              </w:rPr>
              <w:t>65</w:t>
            </w:r>
            <w:r>
              <w:rPr>
                <w:rFonts w:hint="eastAsia"/>
              </w:rPr>
              <w:t>～</w:t>
            </w:r>
            <w:r>
              <w:rPr>
                <w:rFonts w:hint="eastAsia"/>
                <w:lang w:eastAsia="zh-CN"/>
              </w:rPr>
              <w:t>201</w:t>
            </w:r>
          </w:p>
        </w:tc>
        <w:tc>
          <w:tcPr>
            <w:tcW w:w="2640" w:type="dxa"/>
            <w:vAlign w:val="center"/>
          </w:tcPr>
          <w:p>
            <w:pPr>
              <w:spacing w:line="360" w:lineRule="auto"/>
              <w:jc w:val="center"/>
              <w:rPr>
                <w:rFonts w:hint="eastAsia"/>
                <w:color w:val="000000"/>
              </w:rPr>
            </w:pPr>
            <w:r>
              <w:rPr>
                <w:color w:val="000000"/>
              </w:rPr>
              <w:t>30</w:t>
            </w:r>
          </w:p>
        </w:tc>
        <w:tc>
          <w:tcPr>
            <w:tcW w:w="2730" w:type="dxa"/>
            <w:vAlign w:val="center"/>
          </w:tcPr>
          <w:p>
            <w:pPr>
              <w:spacing w:line="360" w:lineRule="auto"/>
              <w:jc w:val="center"/>
              <w:rPr>
                <w:rFonts w:hint="eastAsia"/>
                <w:color w:val="000000"/>
              </w:rPr>
            </w:pPr>
            <w:r>
              <w:rPr>
                <w:color w:val="000000"/>
              </w:rPr>
              <w:t>15</w:t>
            </w:r>
          </w:p>
        </w:tc>
        <w:tc>
          <w:tcPr>
            <w:tcW w:w="1960" w:type="dxa"/>
            <w:vAlign w:val="center"/>
          </w:tcPr>
          <w:p>
            <w:pPr>
              <w:spacing w:line="360" w:lineRule="auto"/>
              <w:jc w:val="center"/>
              <w:rPr>
                <w:rFonts w:hint="eastAsia"/>
                <w:color w:val="000000"/>
              </w:rPr>
            </w:pPr>
            <w:r>
              <w:rPr>
                <w:color w:val="000000"/>
              </w:rPr>
              <w:t>60</w:t>
            </w:r>
          </w:p>
        </w:tc>
      </w:tr>
      <w:tr>
        <w:tblPrEx>
          <w:tblW w:w="8908" w:type="dxa"/>
          <w:tblCellMar>
            <w:top w:w="0" w:type="dxa"/>
            <w:left w:w="108" w:type="dxa"/>
            <w:bottom w:w="0" w:type="dxa"/>
            <w:right w:w="108" w:type="dxa"/>
          </w:tblCellMar>
          <w:tblLook w:val="0000"/>
        </w:tblPrEx>
        <w:trPr>
          <w:trHeight w:val="340"/>
        </w:trPr>
        <w:tc>
          <w:tcPr>
            <w:tcW w:w="1578" w:type="dxa"/>
            <w:vAlign w:val="center"/>
          </w:tcPr>
          <w:p>
            <w:pPr>
              <w:spacing w:line="360" w:lineRule="auto"/>
              <w:jc w:val="center"/>
              <w:rPr>
                <w:rFonts w:hint="eastAsia"/>
                <w:color w:val="000000"/>
              </w:rPr>
            </w:pPr>
            <w:r>
              <w:rPr>
                <w:color w:val="000000"/>
              </w:rPr>
              <w:t>250</w:t>
            </w:r>
            <w:r>
              <w:rPr>
                <w:rFonts w:hint="eastAsia"/>
              </w:rPr>
              <w:t>～</w:t>
            </w:r>
            <w:r>
              <w:t>450</w:t>
            </w:r>
          </w:p>
        </w:tc>
        <w:tc>
          <w:tcPr>
            <w:tcW w:w="2640" w:type="dxa"/>
            <w:vAlign w:val="center"/>
          </w:tcPr>
          <w:p>
            <w:pPr>
              <w:spacing w:line="360" w:lineRule="auto"/>
              <w:jc w:val="center"/>
              <w:rPr>
                <w:rFonts w:hint="eastAsia"/>
                <w:color w:val="000000"/>
              </w:rPr>
            </w:pPr>
            <w:r>
              <w:rPr>
                <w:color w:val="000000"/>
              </w:rPr>
              <w:t>60</w:t>
            </w:r>
          </w:p>
        </w:tc>
        <w:tc>
          <w:tcPr>
            <w:tcW w:w="2730" w:type="dxa"/>
            <w:vAlign w:val="center"/>
          </w:tcPr>
          <w:p>
            <w:pPr>
              <w:spacing w:line="360" w:lineRule="auto"/>
              <w:jc w:val="center"/>
              <w:rPr>
                <w:rFonts w:hint="eastAsia"/>
                <w:color w:val="000000"/>
              </w:rPr>
            </w:pPr>
            <w:r>
              <w:rPr>
                <w:color w:val="000000"/>
              </w:rPr>
              <w:t>30</w:t>
            </w:r>
          </w:p>
        </w:tc>
        <w:tc>
          <w:tcPr>
            <w:tcW w:w="1960" w:type="dxa"/>
            <w:vAlign w:val="center"/>
          </w:tcPr>
          <w:p>
            <w:pPr>
              <w:spacing w:line="360" w:lineRule="auto"/>
              <w:jc w:val="center"/>
              <w:rPr>
                <w:rFonts w:hint="eastAsia"/>
                <w:color w:val="000000"/>
              </w:rPr>
            </w:pPr>
            <w:r>
              <w:rPr>
                <w:color w:val="000000"/>
              </w:rPr>
              <w:t>180</w:t>
            </w:r>
          </w:p>
        </w:tc>
      </w:tr>
    </w:tbl>
    <w:p>
      <w:pPr>
        <w:spacing w:line="360" w:lineRule="auto"/>
        <w:ind w:firstLine="480" w:firstLineChars="200"/>
        <w:rPr>
          <w:rFonts w:ascii="宋体" w:hAnsi="宋体" w:hint="eastAsia"/>
          <w:spacing w:val="20"/>
          <w:sz w:val="24"/>
        </w:rPr>
      </w:pPr>
      <w:r>
        <w:rPr>
          <w:rFonts w:ascii="宋体" w:hAnsi="宋体" w:hint="eastAsia"/>
          <w:spacing w:val="20"/>
          <w:sz w:val="24"/>
        </w:rPr>
        <w:t>4</w:t>
      </w:r>
      <w:r>
        <w:rPr>
          <w:rFonts w:ascii="宋体" w:hAnsi="宋体"/>
          <w:spacing w:val="20"/>
          <w:sz w:val="24"/>
        </w:rPr>
        <w:t>.8</w:t>
      </w:r>
      <w:r>
        <w:rPr>
          <w:rFonts w:ascii="宋体" w:hAnsi="宋体" w:hint="eastAsia"/>
          <w:spacing w:val="20"/>
          <w:sz w:val="24"/>
        </w:rPr>
        <w:t>焊接钢管安装：</w:t>
      </w:r>
    </w:p>
    <w:p>
      <w:pPr>
        <w:spacing w:line="360" w:lineRule="auto"/>
        <w:ind w:firstLine="480" w:firstLineChars="200"/>
        <w:rPr>
          <w:rFonts w:ascii="宋体" w:hAnsi="宋体" w:hint="eastAsia"/>
          <w:spacing w:val="20"/>
          <w:sz w:val="24"/>
        </w:rPr>
      </w:pPr>
      <w:r>
        <w:rPr>
          <w:rFonts w:ascii="宋体" w:hAnsi="宋体" w:hint="eastAsia"/>
          <w:spacing w:val="20"/>
          <w:sz w:val="24"/>
        </w:rPr>
        <w:t>4.8.1钢管焊接的工艺流程：钢管坡口</w:t>
      </w:r>
      <w:r>
        <w:rPr>
          <w:rFonts w:ascii="宋体" w:hAnsi="宋体" w:hint="eastAsia"/>
          <w:spacing w:val="20"/>
          <w:sz w:val="24"/>
        </w:rPr>
        <w:t>→</w:t>
      </w:r>
      <w:r>
        <w:rPr>
          <w:rFonts w:ascii="宋体" w:hAnsi="宋体" w:hint="eastAsia"/>
          <w:spacing w:val="20"/>
          <w:sz w:val="24"/>
        </w:rPr>
        <w:t>对口</w:t>
      </w:r>
      <w:r>
        <w:rPr>
          <w:rFonts w:ascii="宋体" w:hAnsi="宋体" w:hint="eastAsia"/>
          <w:spacing w:val="20"/>
          <w:sz w:val="24"/>
        </w:rPr>
        <w:t>→</w:t>
      </w:r>
      <w:r>
        <w:rPr>
          <w:rFonts w:ascii="宋体" w:hAnsi="宋体" w:hint="eastAsia"/>
          <w:spacing w:val="20"/>
          <w:sz w:val="24"/>
        </w:rPr>
        <w:t>点焊定位</w:t>
      </w:r>
      <w:r>
        <w:rPr>
          <w:rFonts w:ascii="宋体" w:hAnsi="宋体" w:hint="eastAsia"/>
          <w:spacing w:val="20"/>
          <w:sz w:val="24"/>
        </w:rPr>
        <w:t>→</w:t>
      </w:r>
      <w:r>
        <w:rPr>
          <w:rFonts w:ascii="宋体" w:hAnsi="宋体" w:hint="eastAsia"/>
          <w:spacing w:val="20"/>
          <w:sz w:val="24"/>
        </w:rPr>
        <w:t>施焊</w:t>
      </w:r>
      <w:r>
        <w:rPr>
          <w:rFonts w:ascii="宋体" w:hAnsi="宋体" w:hint="eastAsia"/>
          <w:spacing w:val="20"/>
          <w:sz w:val="24"/>
        </w:rPr>
        <w:t>→</w:t>
      </w:r>
      <w:r>
        <w:rPr>
          <w:rFonts w:ascii="宋体" w:hAnsi="宋体" w:hint="eastAsia"/>
          <w:spacing w:val="20"/>
          <w:sz w:val="24"/>
        </w:rPr>
        <w:t>电焊</w:t>
      </w:r>
      <w:r>
        <w:rPr>
          <w:rFonts w:ascii="宋体" w:hAnsi="宋体" w:hint="eastAsia"/>
          <w:spacing w:val="20"/>
          <w:sz w:val="24"/>
        </w:rPr>
        <w:t>→</w:t>
      </w:r>
      <w:r>
        <w:rPr>
          <w:rFonts w:ascii="宋体" w:hAnsi="宋体" w:hint="eastAsia"/>
          <w:spacing w:val="20"/>
          <w:sz w:val="24"/>
        </w:rPr>
        <w:t>焊口清理</w:t>
      </w:r>
      <w:r>
        <w:rPr>
          <w:rFonts w:ascii="宋体" w:hAnsi="宋体" w:hint="eastAsia"/>
          <w:spacing w:val="20"/>
          <w:sz w:val="24"/>
        </w:rPr>
        <w:t>→</w:t>
      </w:r>
      <w:r>
        <w:rPr>
          <w:rFonts w:ascii="宋体" w:hAnsi="宋体" w:hint="eastAsia"/>
          <w:spacing w:val="20"/>
          <w:sz w:val="24"/>
        </w:rPr>
        <w:t>试压</w:t>
      </w:r>
    </w:p>
    <w:p>
      <w:pPr>
        <w:spacing w:line="360" w:lineRule="auto"/>
        <w:ind w:firstLine="480" w:firstLineChars="200"/>
        <w:rPr>
          <w:rFonts w:ascii="宋体" w:hAnsi="宋体" w:hint="eastAsia"/>
          <w:spacing w:val="20"/>
          <w:sz w:val="24"/>
        </w:rPr>
        <w:sectPr>
          <w:footerReference w:type="even" r:id="rId20"/>
          <w:footerReference w:type="default" r:id="rId21"/>
          <w:type w:val="nextPage"/>
          <w:pgSz w:w="11906" w:h="16838"/>
          <w:pgMar w:top="1440" w:right="1800" w:bottom="1440" w:left="1800" w:header="851" w:footer="992" w:gutter="0"/>
          <w:pgNumType w:start="8"/>
          <w:cols w:space="708"/>
          <w:titlePg w:val="0"/>
          <w:docGrid w:type="lines" w:linePitch="312"/>
        </w:sectPr>
      </w:pPr>
      <w:r>
        <w:rPr>
          <w:rFonts w:ascii="宋体" w:hAnsi="宋体" w:hint="eastAsia"/>
          <w:spacing w:val="20"/>
          <w:sz w:val="24"/>
        </w:rPr>
        <w:t>4.8.2焊接所采用的焊条的规格应与母材相匹配，质量符合现行《碳钢焊条》的规定，焊条使用前应干燥。管道焊接前先修口、清根、管端端面的坡口角度、钝边、间隙符合规定要求，对口时应使内壁齐平，对口时纵向焊缝应错开，环向焊缝距支架净距不应小于</w:t>
      </w:r>
      <w:r>
        <w:rPr>
          <w:rFonts w:ascii="宋体" w:hAnsi="宋体" w:hint="eastAsia"/>
          <w:spacing w:val="20"/>
          <w:sz w:val="24"/>
          <w:lang w:eastAsia="zh-CN"/>
        </w:rPr>
        <w:t>201</w:t>
      </w:r>
      <w:r>
        <w:rPr>
          <w:rFonts w:ascii="宋体" w:hAnsi="宋体"/>
          <w:spacing w:val="20"/>
          <w:sz w:val="24"/>
        </w:rPr>
        <w:t>mm</w:t>
      </w:r>
      <w:r>
        <w:rPr>
          <w:rFonts w:ascii="宋体" w:hAnsi="宋体" w:hint="eastAsia"/>
          <w:spacing w:val="20"/>
          <w:sz w:val="24"/>
        </w:rPr>
        <w:t>，直管管段两相邻环向焊缝的间距不应小于</w:t>
      </w:r>
      <w:r>
        <w:rPr>
          <w:rFonts w:ascii="宋体" w:hAnsi="宋体" w:hint="eastAsia"/>
          <w:spacing w:val="20"/>
          <w:sz w:val="24"/>
          <w:lang w:eastAsia="zh-CN"/>
        </w:rPr>
        <w:t>201</w:t>
      </w:r>
      <w:r>
        <w:rPr>
          <w:rFonts w:ascii="宋体" w:hAnsi="宋体"/>
          <w:spacing w:val="20"/>
          <w:sz w:val="24"/>
        </w:rPr>
        <w:t>mm</w:t>
      </w:r>
      <w:r>
        <w:rPr>
          <w:rFonts w:ascii="宋体" w:hAnsi="宋体" w:hint="eastAsia"/>
          <w:spacing w:val="20"/>
          <w:sz w:val="24"/>
        </w:rPr>
        <w:t>。不同管径的管节连接，当两管径相差大于小管管径的</w:t>
      </w:r>
      <w:r>
        <w:rPr>
          <w:rFonts w:ascii="宋体" w:hAnsi="宋体"/>
          <w:spacing w:val="20"/>
          <w:sz w:val="24"/>
        </w:rPr>
        <w:t>15%</w:t>
      </w:r>
      <w:r>
        <w:rPr>
          <w:rFonts w:ascii="宋体" w:hAnsi="宋体" w:hint="eastAsia"/>
          <w:spacing w:val="20"/>
          <w:sz w:val="24"/>
        </w:rPr>
        <w:t>时，可用渐缩管连接，渐缩管的长度不应小于两管径差值的两倍，且不应小于</w:t>
      </w:r>
      <w:r>
        <w:rPr>
          <w:rFonts w:ascii="宋体" w:hAnsi="宋体" w:hint="eastAsia"/>
          <w:spacing w:val="20"/>
          <w:sz w:val="24"/>
          <w:lang w:eastAsia="zh-CN"/>
        </w:rPr>
        <w:t>201</w:t>
      </w:r>
      <w:r>
        <w:rPr>
          <w:rFonts w:ascii="宋体" w:hAnsi="宋体"/>
          <w:spacing w:val="20"/>
          <w:sz w:val="24"/>
        </w:rPr>
        <w:t>mm</w:t>
      </w:r>
    </w:p>
    <w:p>
      <w:pPr>
        <w:spacing w:line="360" w:lineRule="auto"/>
        <w:ind w:firstLine="480" w:firstLineChars="200"/>
        <w:rPr>
          <w:rFonts w:ascii="宋体" w:hAnsi="宋体" w:hint="eastAsia"/>
          <w:spacing w:val="20"/>
          <w:sz w:val="24"/>
        </w:rPr>
      </w:pPr>
      <w:r>
        <w:rPr>
          <w:rFonts w:ascii="宋体" w:hAnsi="宋体" w:hint="eastAsia"/>
          <w:spacing w:val="20"/>
          <w:sz w:val="24"/>
        </w:rPr>
        <w:t>。钢管对口合格后方可进行点焊，点焊采用的焊条与焊口焊接的焊条应相同，应对称点焊，厚度与第一层焊接厚度一致，钢管的纵向焊缝及螺旋焊缝处不得点焊。当工作环境的风力大于</w:t>
      </w:r>
      <w:r>
        <w:rPr>
          <w:rFonts w:ascii="宋体" w:hAnsi="宋体"/>
          <w:spacing w:val="20"/>
          <w:sz w:val="24"/>
        </w:rPr>
        <w:t>5</w:t>
      </w:r>
      <w:r>
        <w:rPr>
          <w:rFonts w:ascii="宋体" w:hAnsi="宋体" w:hint="eastAsia"/>
          <w:spacing w:val="20"/>
          <w:sz w:val="24"/>
        </w:rPr>
        <w:t>级、雪天或相对湿度大于</w:t>
      </w:r>
      <w:r>
        <w:rPr>
          <w:rFonts w:ascii="宋体" w:hAnsi="宋体"/>
          <w:spacing w:val="20"/>
          <w:sz w:val="24"/>
        </w:rPr>
        <w:t>90%</w:t>
      </w:r>
      <w:r>
        <w:rPr>
          <w:rFonts w:ascii="宋体" w:hAnsi="宋体" w:hint="eastAsia"/>
          <w:spacing w:val="20"/>
          <w:sz w:val="24"/>
        </w:rPr>
        <w:t>时，应采取保护措施施焊，焊接中必须把握好引弧、运条、结尾三要素，每层焊缝必须细致清理，以免造成层间夹渣、气孔等缺陷、焊口的平直度、焊缝加强面应符合施工规范规定，表面无烧穿、裂纹和明显结瘤夹渣及气孔等缺陷，焊波均匀一致，管道试压合格后焊缝应作防腐处理。</w:t>
      </w:r>
    </w:p>
    <w:p>
      <w:pPr>
        <w:spacing w:line="360" w:lineRule="auto"/>
        <w:ind w:firstLine="480" w:firstLineChars="200"/>
        <w:rPr>
          <w:rFonts w:ascii="宋体" w:hAnsi="宋体" w:hint="eastAsia"/>
          <w:spacing w:val="20"/>
          <w:sz w:val="24"/>
        </w:rPr>
      </w:pPr>
      <w:r>
        <w:rPr>
          <w:rFonts w:ascii="宋体" w:hAnsi="宋体" w:hint="eastAsia"/>
          <w:spacing w:val="20"/>
          <w:sz w:val="24"/>
        </w:rPr>
        <w:t>4.8.3膨胀水箱的膨胀管和循环管上，不得安装阀类，膨胀水箱的检查管（信号管），应接到便于检查的地方。</w:t>
      </w:r>
    </w:p>
    <w:p>
      <w:pPr>
        <w:spacing w:line="360" w:lineRule="auto"/>
        <w:ind w:firstLine="480" w:firstLineChars="200"/>
        <w:rPr>
          <w:rFonts w:ascii="宋体" w:hAnsi="宋体" w:hint="eastAsia"/>
          <w:spacing w:val="20"/>
          <w:sz w:val="24"/>
        </w:rPr>
      </w:pPr>
      <w:r>
        <w:rPr>
          <w:rFonts w:ascii="宋体" w:hAnsi="宋体" w:hint="eastAsia"/>
          <w:spacing w:val="20"/>
          <w:sz w:val="24"/>
        </w:rPr>
        <w:t>4.8.4管道的对口焊缝或弯曲部位不得焊接支管，弯曲部位不得有缝，界面焊缝距管道支、吊架边缘应不小于</w:t>
      </w:r>
      <w:r>
        <w:rPr>
          <w:rFonts w:ascii="宋体" w:hAnsi="宋体"/>
          <w:spacing w:val="20"/>
          <w:sz w:val="24"/>
        </w:rPr>
        <w:t>50mm</w:t>
      </w:r>
      <w:r>
        <w:rPr>
          <w:rFonts w:ascii="宋体" w:hAnsi="宋体" w:hint="eastAsia"/>
          <w:spacing w:val="20"/>
          <w:sz w:val="24"/>
        </w:rPr>
        <w:t>。</w:t>
      </w:r>
    </w:p>
    <w:p>
      <w:pPr>
        <w:spacing w:line="360" w:lineRule="auto"/>
        <w:ind w:firstLine="480" w:firstLineChars="200"/>
        <w:rPr>
          <w:rFonts w:ascii="宋体" w:hAnsi="宋体" w:hint="eastAsia"/>
          <w:spacing w:val="20"/>
          <w:sz w:val="24"/>
        </w:rPr>
      </w:pPr>
      <w:r>
        <w:rPr>
          <w:rFonts w:ascii="宋体" w:hAnsi="宋体" w:hint="eastAsia"/>
          <w:spacing w:val="20"/>
          <w:sz w:val="24"/>
        </w:rPr>
        <w:t>4.8.5焊接管道分支管，端面与主管表面间隙不得大与</w:t>
      </w:r>
      <w:r>
        <w:rPr>
          <w:rFonts w:ascii="宋体" w:hAnsi="宋体"/>
          <w:spacing w:val="20"/>
          <w:sz w:val="24"/>
        </w:rPr>
        <w:t>2mm</w:t>
      </w:r>
      <w:r>
        <w:rPr>
          <w:rFonts w:ascii="宋体" w:hAnsi="宋体" w:hint="eastAsia"/>
          <w:spacing w:val="20"/>
          <w:sz w:val="24"/>
        </w:rPr>
        <w:t>，并不得将分支管插入主管的管孔中。分支管管端应加工成马鞍形。</w:t>
      </w:r>
    </w:p>
    <w:p>
      <w:pPr>
        <w:spacing w:line="360" w:lineRule="auto"/>
        <w:ind w:firstLine="480" w:firstLineChars="200"/>
        <w:rPr>
          <w:rFonts w:ascii="宋体" w:hAnsi="宋体" w:hint="eastAsia"/>
          <w:spacing w:val="20"/>
          <w:sz w:val="24"/>
        </w:rPr>
      </w:pPr>
      <w:r>
        <w:rPr>
          <w:rFonts w:ascii="宋体" w:hAnsi="宋体" w:hint="eastAsia"/>
          <w:spacing w:val="20"/>
          <w:sz w:val="24"/>
        </w:rPr>
        <w:t>4.8.6双面焊接管道法兰，法兰内侧的焊缝不得凸出法兰密封面。</w:t>
      </w:r>
    </w:p>
    <w:p>
      <w:pPr>
        <w:spacing w:line="360" w:lineRule="auto"/>
        <w:ind w:firstLine="480" w:firstLineChars="200"/>
        <w:rPr>
          <w:rFonts w:ascii="宋体" w:hAnsi="宋体" w:hint="eastAsia"/>
          <w:spacing w:val="20"/>
          <w:sz w:val="24"/>
        </w:rPr>
      </w:pPr>
      <w:r>
        <w:rPr>
          <w:rFonts w:ascii="宋体" w:hAnsi="宋体" w:hint="eastAsia"/>
          <w:spacing w:val="20"/>
          <w:sz w:val="24"/>
        </w:rPr>
        <w:t>4</w:t>
      </w:r>
      <w:r>
        <w:rPr>
          <w:rFonts w:ascii="宋体" w:hAnsi="宋体"/>
          <w:spacing w:val="20"/>
          <w:sz w:val="24"/>
        </w:rPr>
        <w:t>.9</w:t>
      </w:r>
      <w:r>
        <w:rPr>
          <w:rFonts w:ascii="宋体" w:hAnsi="宋体" w:hint="eastAsia"/>
          <w:spacing w:val="20"/>
          <w:sz w:val="24"/>
        </w:rPr>
        <w:t>空调水系统的绝热施工</w:t>
      </w:r>
    </w:p>
    <w:p>
      <w:pPr>
        <w:spacing w:line="360" w:lineRule="auto"/>
        <w:ind w:firstLine="480" w:firstLineChars="200"/>
        <w:rPr>
          <w:rFonts w:ascii="宋体" w:hAnsi="宋体" w:hint="eastAsia"/>
          <w:spacing w:val="20"/>
          <w:sz w:val="24"/>
        </w:rPr>
      </w:pPr>
      <w:r>
        <w:rPr>
          <w:rFonts w:ascii="宋体" w:hAnsi="宋体" w:hint="eastAsia"/>
          <w:spacing w:val="20"/>
          <w:sz w:val="24"/>
        </w:rPr>
        <w:t>4.9.1空调水系统的绝热施工应在水管路强度和严密性检验合格和防腐处理完成后进行，绝热材料必须符合设计和消防要求的材质和规格以保证绝热效果。阀门过滤器及法兰处的绝热结构应能单独拆卸，管道穿墙、穿楼板套管处的绝热应采用不然或难燃的软、松材料填实。</w:t>
      </w:r>
    </w:p>
    <w:p>
      <w:pPr>
        <w:spacing w:line="360" w:lineRule="auto"/>
        <w:ind w:firstLine="480" w:firstLineChars="200"/>
        <w:rPr>
          <w:rFonts w:ascii="宋体" w:hAnsi="宋体" w:hint="eastAsia"/>
          <w:spacing w:val="20"/>
          <w:sz w:val="24"/>
        </w:rPr>
      </w:pPr>
      <w:r>
        <w:rPr>
          <w:rFonts w:ascii="宋体" w:hAnsi="宋体" w:hint="eastAsia"/>
          <w:spacing w:val="20"/>
          <w:sz w:val="24"/>
        </w:rPr>
        <w:t>4.9.2管道绝热层应符合下列规定：</w:t>
      </w:r>
    </w:p>
    <w:p>
      <w:pPr>
        <w:spacing w:line="360" w:lineRule="auto"/>
        <w:ind w:firstLine="480" w:firstLineChars="200"/>
        <w:rPr>
          <w:rFonts w:ascii="宋体" w:hAnsi="宋体" w:hint="eastAsia"/>
          <w:spacing w:val="20"/>
          <w:sz w:val="24"/>
        </w:rPr>
      </w:pPr>
      <w:r>
        <w:rPr>
          <w:rFonts w:ascii="宋体" w:hAnsi="宋体" w:hint="eastAsia"/>
          <w:spacing w:val="20"/>
          <w:sz w:val="24"/>
        </w:rPr>
        <w:t>绝热制品的材质和规格应符合设计要求，粘贴应牢固，铺设平整，绑扎紧密，无滑动、松弛、端裂现象。硬质或半硬质绝热管壳应用金属丝或难腐织带捆扎，其间距为</w:t>
      </w:r>
      <w:r>
        <w:rPr>
          <w:rFonts w:ascii="宋体" w:hAnsi="宋体"/>
          <w:spacing w:val="20"/>
          <w:sz w:val="24"/>
        </w:rPr>
        <w:t>300</w:t>
      </w:r>
      <w:r>
        <w:rPr>
          <w:rFonts w:ascii="宋体" w:hAnsi="宋体" w:hint="eastAsia"/>
          <w:spacing w:val="20"/>
          <w:sz w:val="24"/>
        </w:rPr>
        <w:t>～</w:t>
      </w:r>
      <w:r>
        <w:rPr>
          <w:rFonts w:ascii="宋体" w:hAnsi="宋体"/>
          <w:spacing w:val="20"/>
          <w:sz w:val="24"/>
        </w:rPr>
        <w:t>500</w:t>
      </w:r>
      <w:r>
        <w:rPr>
          <w:rFonts w:ascii="宋体" w:hAnsi="宋体" w:hint="eastAsia"/>
          <w:spacing w:val="20"/>
          <w:sz w:val="24"/>
        </w:rPr>
        <w:t>㎜，且每节至少捆扎两道。绝热层的端部应做封闭处理。垂直管道作保温层时当层高小于等于</w:t>
      </w:r>
      <w:r>
        <w:rPr>
          <w:rFonts w:ascii="宋体" w:hAnsi="宋体"/>
          <w:spacing w:val="20"/>
          <w:sz w:val="24"/>
        </w:rPr>
        <w:t>5</w:t>
      </w:r>
      <w:r>
        <w:rPr>
          <w:rFonts w:ascii="宋体" w:hAnsi="宋体" w:hint="eastAsia"/>
          <w:spacing w:val="20"/>
          <w:sz w:val="24"/>
        </w:rPr>
        <w:t>米每层应设一个支撑托板，层高大于</w:t>
      </w:r>
      <w:r>
        <w:rPr>
          <w:rFonts w:ascii="宋体" w:hAnsi="宋体"/>
          <w:spacing w:val="20"/>
          <w:sz w:val="24"/>
        </w:rPr>
        <w:t>5</w:t>
      </w:r>
      <w:r>
        <w:rPr>
          <w:rFonts w:ascii="宋体" w:hAnsi="宋体" w:hint="eastAsia"/>
          <w:spacing w:val="20"/>
          <w:sz w:val="24"/>
        </w:rPr>
        <w:t>米每层不少于</w:t>
      </w:r>
      <w:r>
        <w:rPr>
          <w:rFonts w:ascii="宋体" w:hAnsi="宋体"/>
          <w:spacing w:val="20"/>
          <w:sz w:val="24"/>
        </w:rPr>
        <w:t>2</w:t>
      </w:r>
      <w:r>
        <w:rPr>
          <w:rFonts w:ascii="宋体" w:hAnsi="宋体" w:hint="eastAsia"/>
          <w:spacing w:val="20"/>
          <w:sz w:val="24"/>
        </w:rPr>
        <w:t>个。支撑托板应焊接在管壁上，其位置应在立管卡的上部</w:t>
      </w:r>
      <w:r>
        <w:rPr>
          <w:rFonts w:ascii="宋体" w:hAnsi="宋体" w:hint="eastAsia"/>
          <w:spacing w:val="20"/>
          <w:sz w:val="24"/>
          <w:lang w:eastAsia="zh-CN"/>
        </w:rPr>
        <w:t>201</w:t>
      </w:r>
      <w:r>
        <w:rPr>
          <w:rFonts w:ascii="宋体" w:hAnsi="宋体" w:hint="eastAsia"/>
          <w:spacing w:val="20"/>
          <w:sz w:val="24"/>
        </w:rPr>
        <w:t>㎜。保温管道的支架处应留膨胀伸缩缝，并用石棉绳或玻璃棉填塞。</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5.低温地板辐射供暖系统</w:t>
      </w:r>
    </w:p>
    <w:p>
      <w:pPr>
        <w:spacing w:line="360" w:lineRule="auto"/>
        <w:ind w:firstLine="480" w:firstLineChars="200"/>
        <w:jc w:val="left"/>
        <w:rPr>
          <w:rFonts w:ascii="宋体" w:hAnsi="宋体" w:hint="eastAsia"/>
          <w:spacing w:val="20"/>
          <w:sz w:val="24"/>
        </w:rPr>
      </w:pPr>
      <w:r>
        <w:rPr>
          <w:rFonts w:ascii="宋体" w:hAnsi="宋体" w:hint="eastAsia"/>
          <w:spacing w:val="20"/>
          <w:sz w:val="24"/>
        </w:rPr>
        <w:t>5.1工艺流程</w:t>
      </w:r>
      <w:r>
        <w:rPr>
          <w:rFonts w:ascii="宋体" w:hAnsi="宋体" w:hint="eastAsia"/>
          <w:spacing w:val="20"/>
          <w:sz w:val="24"/>
        </w:rPr>
        <w:br/>
      </w:r>
      <w:r>
        <w:rPr>
          <w:rFonts w:ascii="宋体" w:hAnsi="宋体" w:hint="eastAsia"/>
          <w:spacing w:val="2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 w:history="1">
        <w:r>
          <w:rPr>
            <w:rFonts w:ascii="SimSun" w:eastAsia="SimSun" w:hAnsi="SimSun" w:cs="SimSun"/>
            <w:b/>
            <w:bCs/>
            <w:color w:val="0000EE"/>
            <w:kern w:val="0"/>
            <w:sz w:val="30"/>
            <w:szCs w:val="30"/>
            <w:u w:val="single" w:color="0000EE"/>
          </w:rPr>
          <w:t>https://d.book118.com/365234334024011040</w:t>
        </w:r>
      </w:hyperlink>
    </w:p>
    <w:p>
      <w:pPr>
        <w:spacing w:line="360" w:lineRule="auto"/>
        <w:ind w:firstLine="480" w:firstLineChars="200"/>
        <w:jc w:val="left"/>
        <w:rPr>
          <w:rFonts w:ascii="宋体" w:hAnsi="宋体" w:hint="eastAsia"/>
          <w:spacing w:val="20"/>
          <w:sz w:val="24"/>
        </w:rPr>
      </w:pPr>
    </w:p>
    <w:sectPr>
      <w:footerReference w:type="even" r:id="rId23"/>
      <w:footerReference w:type="default" r:id="rId24"/>
      <w:type w:val="nextPage"/>
      <w:pgSz w:w="11906" w:h="16838"/>
      <w:pgMar w:top="1440" w:right="1800" w:bottom="1440" w:left="1800" w:header="851" w:footer="992" w:gutter="0"/>
      <w:pgNumType w:start="9"/>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pPr>
      <w:pStyle w:val="Footer"/>
      <w:tabs>
        <w:tab w:val="center" w:pos="4153"/>
        <w:tab w:val="right" w:pos="8306"/>
      </w:tabs>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70D1C"/>
    <w:rsid w:val="00087AF4"/>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70679"/>
    <w:rsid w:val="00296E89"/>
    <w:rsid w:val="002B0116"/>
    <w:rsid w:val="002B58CE"/>
    <w:rsid w:val="002E0BB1"/>
    <w:rsid w:val="002E19E8"/>
    <w:rsid w:val="003074D6"/>
    <w:rsid w:val="00311975"/>
    <w:rsid w:val="003278F5"/>
    <w:rsid w:val="003348E4"/>
    <w:rsid w:val="00340FBB"/>
    <w:rsid w:val="00341769"/>
    <w:rsid w:val="00350FD7"/>
    <w:rsid w:val="003523BD"/>
    <w:rsid w:val="00354AA8"/>
    <w:rsid w:val="00354C78"/>
    <w:rsid w:val="00371A7C"/>
    <w:rsid w:val="003742AD"/>
    <w:rsid w:val="0037712A"/>
    <w:rsid w:val="00381A4A"/>
    <w:rsid w:val="003845D6"/>
    <w:rsid w:val="003854A9"/>
    <w:rsid w:val="0039451D"/>
    <w:rsid w:val="0039562B"/>
    <w:rsid w:val="003B15D2"/>
    <w:rsid w:val="003F0C0B"/>
    <w:rsid w:val="004258A3"/>
    <w:rsid w:val="0043640A"/>
    <w:rsid w:val="00464B24"/>
    <w:rsid w:val="00472621"/>
    <w:rsid w:val="004976DD"/>
    <w:rsid w:val="004A5C57"/>
    <w:rsid w:val="004A732D"/>
    <w:rsid w:val="004B6A04"/>
    <w:rsid w:val="004E6333"/>
    <w:rsid w:val="004E7137"/>
    <w:rsid w:val="00500165"/>
    <w:rsid w:val="0050527C"/>
    <w:rsid w:val="005529E7"/>
    <w:rsid w:val="00554327"/>
    <w:rsid w:val="00554DC0"/>
    <w:rsid w:val="00566A61"/>
    <w:rsid w:val="005958C7"/>
    <w:rsid w:val="005A39B3"/>
    <w:rsid w:val="005A3FB7"/>
    <w:rsid w:val="005A4495"/>
    <w:rsid w:val="005B5199"/>
    <w:rsid w:val="005E3454"/>
    <w:rsid w:val="005F3A3C"/>
    <w:rsid w:val="00607CFB"/>
    <w:rsid w:val="00622877"/>
    <w:rsid w:val="006452BA"/>
    <w:rsid w:val="00647C93"/>
    <w:rsid w:val="00655C95"/>
    <w:rsid w:val="00667E98"/>
    <w:rsid w:val="00670472"/>
    <w:rsid w:val="00670C53"/>
    <w:rsid w:val="00675A0B"/>
    <w:rsid w:val="0068609D"/>
    <w:rsid w:val="006875F8"/>
    <w:rsid w:val="006A07F8"/>
    <w:rsid w:val="006A0D2E"/>
    <w:rsid w:val="006D3EF2"/>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6142E"/>
    <w:rsid w:val="0087078F"/>
    <w:rsid w:val="00871685"/>
    <w:rsid w:val="00871C04"/>
    <w:rsid w:val="008749F7"/>
    <w:rsid w:val="008752FB"/>
    <w:rsid w:val="00876F10"/>
    <w:rsid w:val="00884B38"/>
    <w:rsid w:val="00891CFE"/>
    <w:rsid w:val="008A669E"/>
    <w:rsid w:val="008A6848"/>
    <w:rsid w:val="008B7BCB"/>
    <w:rsid w:val="008D6CA4"/>
    <w:rsid w:val="008F158C"/>
    <w:rsid w:val="00903D8C"/>
    <w:rsid w:val="00920643"/>
    <w:rsid w:val="0092572D"/>
    <w:rsid w:val="0093079D"/>
    <w:rsid w:val="009319F9"/>
    <w:rsid w:val="00940006"/>
    <w:rsid w:val="00955B5E"/>
    <w:rsid w:val="00972539"/>
    <w:rsid w:val="00973A7E"/>
    <w:rsid w:val="009772B4"/>
    <w:rsid w:val="00986076"/>
    <w:rsid w:val="009B54C8"/>
    <w:rsid w:val="009D4B42"/>
    <w:rsid w:val="009F1FA3"/>
    <w:rsid w:val="009F5581"/>
    <w:rsid w:val="009F633D"/>
    <w:rsid w:val="00A03DA4"/>
    <w:rsid w:val="00A05F80"/>
    <w:rsid w:val="00A072FC"/>
    <w:rsid w:val="00A60D8A"/>
    <w:rsid w:val="00A63B0E"/>
    <w:rsid w:val="00A85239"/>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D404A"/>
    <w:rsid w:val="00BF4A4C"/>
    <w:rsid w:val="00C11A54"/>
    <w:rsid w:val="00C3243E"/>
    <w:rsid w:val="00C328C0"/>
    <w:rsid w:val="00C32D7B"/>
    <w:rsid w:val="00C529DF"/>
    <w:rsid w:val="00C54C4D"/>
    <w:rsid w:val="00C80A63"/>
    <w:rsid w:val="00C80E86"/>
    <w:rsid w:val="00C87E8F"/>
    <w:rsid w:val="00CA2F7D"/>
    <w:rsid w:val="00CB1B83"/>
    <w:rsid w:val="00CB1EE0"/>
    <w:rsid w:val="00CC444D"/>
    <w:rsid w:val="00CC4E64"/>
    <w:rsid w:val="00CD6780"/>
    <w:rsid w:val="00D036BF"/>
    <w:rsid w:val="00D31451"/>
    <w:rsid w:val="00D46576"/>
    <w:rsid w:val="00D71A4A"/>
    <w:rsid w:val="00D74320"/>
    <w:rsid w:val="00DC6272"/>
    <w:rsid w:val="00DC7889"/>
    <w:rsid w:val="00E2338E"/>
    <w:rsid w:val="00E42760"/>
    <w:rsid w:val="00E63F2E"/>
    <w:rsid w:val="00E669EE"/>
    <w:rsid w:val="00E81C2D"/>
    <w:rsid w:val="00E93460"/>
    <w:rsid w:val="00E95055"/>
    <w:rsid w:val="00E96C94"/>
    <w:rsid w:val="00EA5F5A"/>
    <w:rsid w:val="00EB3FC3"/>
    <w:rsid w:val="00EC4E1A"/>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D4B280C"/>
    <w:rsid w:val="0E330C5D"/>
    <w:rsid w:val="15BE1AC7"/>
    <w:rsid w:val="18DB2CF7"/>
    <w:rsid w:val="1B1D2E24"/>
    <w:rsid w:val="25BE71D5"/>
    <w:rsid w:val="29417969"/>
    <w:rsid w:val="2B7038A0"/>
    <w:rsid w:val="2CE671C0"/>
    <w:rsid w:val="31243230"/>
    <w:rsid w:val="31BE1FC9"/>
    <w:rsid w:val="3F70041E"/>
    <w:rsid w:val="3FD84540"/>
    <w:rsid w:val="47ED3310"/>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spacing w:after="240"/>
      <w:jc w:val="right"/>
      <w:outlineLvl w:val="0"/>
    </w:pPr>
    <w:rPr>
      <w:rFonts w:ascii="Times New Roman" w:eastAsia="微软雅黑" w:hAnsi="Times New Roman" w:cs="Times New Roman"/>
      <w:b/>
      <w:sz w:val="28"/>
      <w:szCs w:val="20"/>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NormalIndent">
    <w:name w:val="Normal Indent"/>
    <w:basedOn w:val="Normal"/>
    <w:pPr>
      <w:ind w:firstLine="420"/>
    </w:pPr>
    <w:rPr>
      <w:rFonts w:ascii="宋体" w:hAnsi="宋体"/>
      <w:kern w:val="0"/>
      <w:szCs w:val="21"/>
    </w:r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rFonts w:ascii="宋体" w:eastAsia="宋体" w:hAnsi="宋体" w:cs="Times New Roman"/>
      <w:szCs w:val="20"/>
    </w:rPr>
  </w:style>
  <w:style w:type="paragraph" w:styleId="BodyTextIndent">
    <w:name w:val="Body Text Indent"/>
    <w:basedOn w:val="Normal"/>
    <w:pPr>
      <w:ind w:left="3990" w:hanging="1260" w:leftChars="1300" w:hangingChars="600"/>
    </w:pPr>
    <w:rPr>
      <w:rFonts w:ascii="Times New Roman" w:eastAsia="宋体" w:hAnsi="Times New Roman" w:cs="Times New Roman"/>
      <w:szCs w:val="20"/>
    </w:r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50" w:line="360" w:lineRule="auto"/>
      <w:jc w:val="left"/>
    </w:pPr>
    <w:rPr>
      <w:rFonts w:ascii="宋体" w:eastAsia="宋体" w:hAnsi="宋体" w:cs="宋体"/>
      <w:kern w:val="0"/>
      <w:sz w:val="24"/>
    </w:r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footer" Target="footer7.xml" /><Relationship Id="rId13" Type="http://schemas.openxmlformats.org/officeDocument/2006/relationships/footer" Target="footer8.xml" /><Relationship Id="rId14" Type="http://schemas.openxmlformats.org/officeDocument/2006/relationships/footer" Target="footer9.xml" /><Relationship Id="rId15" Type="http://schemas.openxmlformats.org/officeDocument/2006/relationships/footer" Target="footer10.xml" /><Relationship Id="rId16" Type="http://schemas.openxmlformats.org/officeDocument/2006/relationships/footer" Target="footer11.xml" /><Relationship Id="rId17" Type="http://schemas.openxmlformats.org/officeDocument/2006/relationships/footer" Target="footer12.xml" /><Relationship Id="rId18" Type="http://schemas.openxmlformats.org/officeDocument/2006/relationships/footer" Target="footer13.xml" /><Relationship Id="rId19" Type="http://schemas.openxmlformats.org/officeDocument/2006/relationships/footer" Target="footer14.xml" /><Relationship Id="rId2" Type="http://schemas.openxmlformats.org/officeDocument/2006/relationships/webSettings" Target="webSettings.xml" /><Relationship Id="rId20" Type="http://schemas.openxmlformats.org/officeDocument/2006/relationships/footer" Target="footer15.xml" /><Relationship Id="rId21" Type="http://schemas.openxmlformats.org/officeDocument/2006/relationships/footer" Target="footer16.xml" /><Relationship Id="rId22" Type="http://schemas.openxmlformats.org/officeDocument/2006/relationships/hyperlink" Target="https://d.book118.com/365234334024011040" TargetMode="External" /><Relationship Id="rId23" Type="http://schemas.openxmlformats.org/officeDocument/2006/relationships/footer" Target="footer17.xml" /><Relationship Id="rId24" Type="http://schemas.openxmlformats.org/officeDocument/2006/relationships/footer" Target="footer18.xml" /><Relationship Id="rId25" Type="http://schemas.openxmlformats.org/officeDocument/2006/relationships/theme" Target="theme/theme1.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oleObject" Target="embeddings/oleObject1.bin"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1367</Words>
  <Characters>7794</Characters>
  <Application>Microsoft Office Word</Application>
  <DocSecurity>0</DocSecurity>
  <Lines>64</Lines>
  <Paragraphs>18</Paragraphs>
  <ScaleCrop>false</ScaleCrop>
  <Company>WwW.YlmF.CoM</Company>
  <LinksUpToDate>false</LinksUpToDate>
  <CharactersWithSpaces>9143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dc:title>
  <dc:creator>张 新  袁晶; wangbo</dc:creator>
  <cp:lastModifiedBy>张新</cp:lastModifiedBy>
  <cp:revision>20</cp:revision>
  <dcterms:created xsi:type="dcterms:W3CDTF">2006-06-16T08:31:00Z</dcterms:created>
  <dcterms:modified xsi:type="dcterms:W3CDTF">2023-12-27T00:23:33Z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CF67E1343F5C4D8F9B8B47C733673EA9_13</vt:lpwstr>
  </property>
  <property fmtid="{D5CDD505-2E9C-101B-9397-08002B2CF9AE}" pid="3" name="KSOProductBuildVer">
    <vt:lpwstr>2052-12.1.0.16120</vt:lpwstr>
  </property>
</Properties>
</file>