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37" w:line="222" w:lineRule="auto"/>
        <w:ind w:left="555"/>
        <w:rPr>
          <w:rFonts w:ascii="SimHei" w:eastAsia="SimHei" w:hAnsi="SimHei" w:cs="SimHei"/>
          <w:sz w:val="37"/>
          <w:szCs w:val="37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9632899</wp:posOffset>
            </wp:positionH>
            <wp:positionV relativeFrom="page">
              <wp:posOffset>158762</wp:posOffset>
            </wp:positionV>
            <wp:extent cx="2298802" cy="419092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98802" cy="419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-254551</wp:posOffset>
            </wp:positionV>
            <wp:extent cx="12192000" cy="68580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color w:val="BF0000"/>
          <w:spacing w:val="-10"/>
          <w:sz w:val="37"/>
          <w:szCs w:val="37"/>
        </w:rPr>
        <w:t>证券研究报告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341" w:line="221" w:lineRule="auto"/>
        <w:ind w:left="4765"/>
        <w:outlineLvl w:val="0"/>
        <w:rPr>
          <w:rFonts w:ascii="SimHei" w:eastAsia="SimHei" w:hAnsi="SimHei" w:cs="SimHei"/>
          <w:sz w:val="105"/>
          <w:szCs w:val="105"/>
        </w:rPr>
      </w:pPr>
      <w:r>
        <w:rPr>
          <w:rFonts w:ascii="SimHei" w:eastAsia="SimHei" w:hAnsi="SimHei" w:cs="SimHei"/>
          <w:b/>
          <w:bCs/>
          <w:color w:val="AA0000"/>
          <w:spacing w:val="11"/>
          <w:sz w:val="105"/>
          <w:szCs w:val="105"/>
        </w:rPr>
        <w:t>锂板块供需拆解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63" w:line="221" w:lineRule="auto"/>
        <w:ind w:left="6879"/>
        <w:rPr>
          <w:rFonts w:ascii="SimHei" w:eastAsia="SimHei" w:hAnsi="SimHei" w:cs="SimHei"/>
          <w:sz w:val="50"/>
          <w:szCs w:val="50"/>
        </w:rPr>
      </w:pPr>
      <w:r>
        <w:rPr>
          <w:rFonts w:ascii="SimHei" w:eastAsia="SimHei" w:hAnsi="SimHei" w:cs="SimHei"/>
          <w:color w:val="A90000"/>
          <w:spacing w:val="-14"/>
          <w:sz w:val="50"/>
          <w:szCs w:val="50"/>
        </w:rPr>
        <w:t>行业评级：看好</w:t>
      </w:r>
    </w:p>
    <w:p>
      <w:pPr>
        <w:spacing w:line="358" w:lineRule="auto"/>
        <w:rPr>
          <w:rFonts w:ascii="Arial"/>
          <w:sz w:val="21"/>
        </w:rPr>
      </w:pPr>
    </w:p>
    <w:p>
      <w:pPr>
        <w:spacing w:line="359" w:lineRule="auto"/>
        <w:rPr>
          <w:rFonts w:ascii="Arial"/>
          <w:sz w:val="21"/>
        </w:rPr>
      </w:pPr>
    </w:p>
    <w:p>
      <w:pPr>
        <w:spacing w:before="143" w:line="223" w:lineRule="auto"/>
        <w:ind w:left="6979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color w:val="A90000"/>
          <w:spacing w:val="52"/>
          <w:sz w:val="44"/>
          <w:szCs w:val="44"/>
        </w:rPr>
        <w:t>2024年3月6日</w:t>
      </w:r>
    </w:p>
    <w:p>
      <w:pPr>
        <w:spacing w:before="5"/>
      </w:pPr>
    </w:p>
    <w:p>
      <w:pPr>
        <w:spacing w:before="5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ectPr>
          <w:headerReference w:type="default" r:id="rId6"/>
          <w:pgSz w:w="19200" w:h="10800"/>
          <w:pgMar w:top="400" w:right="0" w:bottom="0" w:left="0" w:header="0" w:footer="0" w:gutter="0"/>
          <w:cols w:num="1" w:space="708" w:equalWidth="0">
            <w:col w:w="19200" w:space="0"/>
          </w:cols>
        </w:sectPr>
      </w:pPr>
    </w:p>
    <w:p>
      <w:pPr>
        <w:spacing w:before="61" w:line="222" w:lineRule="auto"/>
        <w:ind w:left="7449"/>
        <w:rPr>
          <w:rFonts w:ascii="SimHei" w:eastAsia="SimHei" w:hAnsi="SimHei" w:cs="SimHei"/>
          <w:sz w:val="29"/>
          <w:szCs w:val="29"/>
        </w:rPr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44500</wp:posOffset>
                </wp:positionH>
                <wp:positionV relativeFrom="paragraph">
                  <wp:posOffset>-482744</wp:posOffset>
                </wp:positionV>
                <wp:extent cx="12103100" cy="1758950"/>
                <wp:effectExtent l="0" t="0" r="0" b="0"/>
                <wp:wrapNone/>
                <wp:docPr id="6" name="Rect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44500" y="-482744"/>
                          <a:ext cx="12103100" cy="1758950"/>
                        </a:xfrm>
                        <a:prstGeom prst="rect">
                          <a:avLst/>
                        </a:prstGeom>
                        <a:solidFill>
                          <a:srgbClr val="AA0001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6" o:spid="_x0000_s1025" style="width:953pt;height:138.5pt;margin-top:-38.01pt;margin-left:3.5pt;mso-wrap-distance-bottom:0;mso-wrap-distance-left:0;mso-wrap-distance-right:0;mso-wrap-distance-top:0;position:absolute;v-text-anchor:top;z-index:-251656192" fillcolor="#aa0001" stroked="f"/>
            </w:pict>
          </mc:Fallback>
        </mc:AlternateContent>
      </w:r>
      <w:r>
        <w:rPr>
          <w:rFonts w:ascii="SimHei" w:eastAsia="SimHei" w:hAnsi="SimHei" w:cs="SimHei"/>
          <w:color w:val="FFFFFF"/>
          <w:spacing w:val="4"/>
          <w:sz w:val="29"/>
          <w:szCs w:val="29"/>
        </w:rPr>
        <w:t>分析师</w:t>
      </w:r>
    </w:p>
    <w:p>
      <w:pPr>
        <w:spacing w:before="79" w:line="222" w:lineRule="auto"/>
        <w:ind w:left="7449"/>
        <w:rPr>
          <w:rFonts w:ascii="SimHei" w:eastAsia="SimHei" w:hAnsi="SimHei" w:cs="SimHei"/>
          <w:sz w:val="29"/>
          <w:szCs w:val="29"/>
        </w:rPr>
        <w:sectPr>
          <w:headerReference w:type="default" r:id="rId7"/>
          <w:type w:val="continuous"/>
          <w:pgSz w:w="19200" w:h="10800"/>
          <w:pgMar w:top="400" w:right="0" w:bottom="0" w:left="0" w:header="0" w:footer="0" w:gutter="0"/>
          <w:pgNumType w:start="2"/>
          <w:cols w:num="2" w:space="708" w:equalWidth="0">
            <w:col w:w="8891" w:space="100"/>
            <w:col w:w="10210" w:space="0"/>
          </w:cols>
        </w:sectPr>
      </w:pPr>
      <w:r>
        <w:rPr>
          <w:rFonts w:ascii="SimHei" w:eastAsia="SimHei" w:hAnsi="SimHei" w:cs="SimHei"/>
          <w:color w:val="FFFFFF"/>
          <w:spacing w:val="7"/>
          <w:sz w:val="29"/>
          <w:szCs w:val="29"/>
        </w:rPr>
        <w:t>邮箱</w:t>
      </w:r>
    </w:p>
    <w:p>
      <w:pPr>
        <w:spacing w:before="32" w:line="187" w:lineRule="auto"/>
        <w:ind w:left="7449"/>
        <w:rPr>
          <w:rFonts w:ascii="SimHei" w:eastAsia="SimHei" w:hAnsi="SimHei" w:cs="SimHei"/>
          <w:sz w:val="29"/>
          <w:szCs w:val="29"/>
        </w:rPr>
      </w:pPr>
      <w:r>
        <w:rPr>
          <w:rFonts w:ascii="SimHei" w:eastAsia="SimHei" w:hAnsi="SimHei" w:cs="SimHei"/>
          <w:color w:val="FFFFFF"/>
          <w:spacing w:val="-2"/>
          <w:sz w:val="29"/>
          <w:szCs w:val="29"/>
        </w:rPr>
        <w:t>证书编号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6" w:line="216" w:lineRule="auto"/>
        <w:rPr>
          <w:rFonts w:ascii="SimHei" w:eastAsia="SimHei" w:hAnsi="SimHei" w:cs="SimHei"/>
          <w:sz w:val="29"/>
          <w:szCs w:val="29"/>
        </w:rPr>
      </w:pPr>
      <w:r>
        <w:rPr>
          <w:rFonts w:ascii="SimHei" w:eastAsia="SimHei" w:hAnsi="SimHei" w:cs="SimHei"/>
          <w:color w:val="FFFFFF"/>
          <w:spacing w:val="9"/>
          <w:sz w:val="29"/>
          <w:szCs w:val="29"/>
        </w:rPr>
        <w:t>施毅</w:t>
      </w:r>
    </w:p>
    <w:p>
      <w:pPr>
        <w:spacing w:line="548" w:lineRule="exact"/>
        <w:rPr>
          <w:rFonts w:ascii="Arial" w:eastAsia="Arial" w:hAnsi="Arial" w:cs="Arial"/>
          <w:sz w:val="29"/>
          <w:szCs w:val="29"/>
        </w:rPr>
      </w:pPr>
      <w:r>
        <w:rPr>
          <w:rFonts w:ascii="Arial" w:eastAsia="Arial" w:hAnsi="Arial" w:cs="Arial"/>
          <w:color w:val="FFFFFF"/>
          <w:spacing w:val="-7"/>
          <w:position w:val="17"/>
          <w:sz w:val="29"/>
          <w:szCs w:val="29"/>
        </w:rPr>
        <w:t>shiyi @stocke.com.cn</w:t>
      </w:r>
    </w:p>
    <w:p>
      <w:pPr>
        <w:spacing w:line="218" w:lineRule="exact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color w:val="FFFFFF"/>
          <w:spacing w:val="-1"/>
          <w:position w:val="-4"/>
          <w:sz w:val="29"/>
          <w:szCs w:val="29"/>
        </w:rPr>
        <w:t>S1230522100002</w:t>
      </w:r>
    </w:p>
    <w:p>
      <w:pPr>
        <w:spacing w:line="218" w:lineRule="exact"/>
        <w:rPr>
          <w:rFonts w:ascii="SimSun" w:eastAsia="SimSun" w:hAnsi="SimSun" w:cs="SimSun"/>
          <w:sz w:val="29"/>
          <w:szCs w:val="29"/>
        </w:rPr>
        <w:sectPr>
          <w:headerReference w:type="default" r:id="rId8"/>
          <w:type w:val="nextPage"/>
          <w:pgSz w:w="19200" w:h="10800"/>
          <w:pgMar w:top="400" w:right="0" w:bottom="0" w:left="0" w:header="0" w:footer="0" w:gutter="0"/>
          <w:pgNumType w:start="3"/>
          <w:cols w:num="2" w:space="708" w:equalWidth="0">
            <w:col w:w="8891" w:space="100"/>
            <w:col w:w="10210" w:space="0"/>
          </w:cols>
          <w:titlePg w:val="0"/>
        </w:sectPr>
      </w:pPr>
    </w:p>
    <w:p>
      <w:pPr>
        <w:pStyle w:val="BodyText"/>
        <w:spacing w:before="73" w:line="222" w:lineRule="auto"/>
        <w:ind w:left="1497"/>
        <w:rPr>
          <w:sz w:val="50"/>
          <w:szCs w:val="50"/>
        </w:rPr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9639361</wp:posOffset>
            </wp:positionH>
            <wp:positionV relativeFrom="page">
              <wp:posOffset>158762</wp:posOffset>
            </wp:positionV>
            <wp:extent cx="2286000" cy="419092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19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A90000"/>
          <w:spacing w:val="-10"/>
          <w:sz w:val="50"/>
          <w:szCs w:val="50"/>
        </w:rPr>
        <w:t>摘要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123" w:line="222" w:lineRule="auto"/>
        <w:ind w:left="5"/>
        <w:outlineLvl w:val="0"/>
      </w:pPr>
      <w:r>
        <w:rPr>
          <w:b/>
          <w:bCs/>
          <w:color w:val="A90000"/>
          <w:spacing w:val="6"/>
        </w:rPr>
        <w:t>1、锂行业供需平衡表</w:t>
      </w:r>
    </w:p>
    <w:p>
      <w:pPr>
        <w:pStyle w:val="BodyText"/>
        <w:spacing w:before="131" w:line="213" w:lineRule="auto"/>
      </w:pPr>
      <w:r>
        <w:rPr>
          <w:spacing w:val="-16"/>
        </w:rPr>
        <w:t>·</w:t>
      </w:r>
      <w:r>
        <w:rPr>
          <w:spacing w:val="-16"/>
        </w:rPr>
        <w:t xml:space="preserve"> </w:t>
      </w:r>
      <w:r>
        <w:rPr>
          <w:spacing w:val="-16"/>
        </w:rPr>
        <w:t>我们预计2023年锂行业供需端或将出现-1.7万吨</w:t>
      </w:r>
      <w:r>
        <w:rPr>
          <w:rFonts w:ascii="SimSun" w:eastAsia="SimSun" w:hAnsi="SimSun" w:cs="SimSun"/>
          <w:spacing w:val="-16"/>
        </w:rPr>
        <w:t>LCE</w:t>
      </w:r>
      <w:r>
        <w:rPr>
          <w:rFonts w:ascii="SimSun" w:eastAsia="SimSun" w:hAnsi="SimSun" w:cs="SimSun"/>
          <w:spacing w:val="-54"/>
        </w:rPr>
        <w:t xml:space="preserve"> </w:t>
      </w:r>
      <w:r>
        <w:rPr>
          <w:spacing w:val="-16"/>
        </w:rPr>
        <w:t>短缺，2024-25年将出现24.6、32.6万吨</w:t>
      </w:r>
      <w:r>
        <w:rPr>
          <w:rFonts w:ascii="SimSun" w:eastAsia="SimSun" w:hAnsi="SimSun" w:cs="SimSun"/>
          <w:spacing w:val="-16"/>
        </w:rPr>
        <w:t>LCE</w:t>
      </w:r>
      <w:r>
        <w:rPr>
          <w:rFonts w:ascii="SimSun" w:eastAsia="SimSun" w:hAnsi="SimSun" w:cs="SimSun"/>
          <w:spacing w:val="-88"/>
        </w:rPr>
        <w:t xml:space="preserve"> </w:t>
      </w:r>
      <w:r>
        <w:rPr>
          <w:spacing w:val="-16"/>
        </w:rPr>
        <w:t>过剩。</w:t>
      </w:r>
    </w:p>
    <w:p>
      <w:pPr>
        <w:pStyle w:val="BodyText"/>
        <w:spacing w:before="126" w:line="213" w:lineRule="auto"/>
        <w:ind w:left="4"/>
        <w:outlineLvl w:val="0"/>
      </w:pPr>
      <w:r>
        <w:rPr>
          <w:b/>
          <w:bCs/>
          <w:color w:val="A90000"/>
          <w:spacing w:val="-25"/>
        </w:rPr>
        <w:t>2、</w:t>
      </w:r>
      <w:r>
        <w:rPr>
          <w:color w:val="A90000"/>
          <w:spacing w:val="-39"/>
        </w:rPr>
        <w:t xml:space="preserve"> </w:t>
      </w:r>
      <w:r>
        <w:rPr>
          <w:b/>
          <w:bCs/>
          <w:color w:val="A90000"/>
          <w:spacing w:val="-25"/>
        </w:rPr>
        <w:t>产量端：未来几年内，澳洲仍是第一大生产地，非洲项目快速放量</w:t>
      </w:r>
    </w:p>
    <w:p>
      <w:pPr>
        <w:pStyle w:val="BodyText"/>
        <w:spacing w:before="207" w:line="218" w:lineRule="auto"/>
        <w:ind w:left="450" w:right="970" w:hanging="450"/>
        <w:rPr>
          <w:sz w:val="29"/>
          <w:szCs w:val="29"/>
        </w:rPr>
      </w:pPr>
      <w:r>
        <w:rPr>
          <w:spacing w:val="35"/>
          <w:sz w:val="29"/>
          <w:szCs w:val="29"/>
        </w:rPr>
        <w:t>·</w:t>
      </w:r>
      <w:r>
        <w:rPr>
          <w:spacing w:val="117"/>
          <w:sz w:val="29"/>
          <w:szCs w:val="29"/>
        </w:rPr>
        <w:t xml:space="preserve"> </w:t>
      </w:r>
      <w:r>
        <w:rPr>
          <w:spacing w:val="35"/>
          <w:sz w:val="29"/>
          <w:szCs w:val="29"/>
        </w:rPr>
        <w:t>2023-25年间，澳洲是锂供给第一大产地，占比分别</w:t>
      </w:r>
      <w:r>
        <w:rPr>
          <w:spacing w:val="34"/>
          <w:sz w:val="29"/>
          <w:szCs w:val="29"/>
        </w:rPr>
        <w:t>为39%/33%/32%;津巴布韦、马里、埃塞俄比亚等国锂矿逐渐投产</w:t>
      </w:r>
      <w:r>
        <w:rPr>
          <w:sz w:val="29"/>
          <w:szCs w:val="29"/>
        </w:rPr>
        <w:t xml:space="preserve"> </w:t>
      </w:r>
      <w:r>
        <w:rPr>
          <w:spacing w:val="31"/>
          <w:sz w:val="29"/>
          <w:szCs w:val="29"/>
        </w:rPr>
        <w:t>促使非洲成增长幅度最大产地，占比分别为4%/13%/15%。</w:t>
      </w:r>
    </w:p>
    <w:p>
      <w:pPr>
        <w:pStyle w:val="BodyText"/>
        <w:spacing w:before="175" w:line="221" w:lineRule="auto"/>
        <w:ind w:left="5"/>
        <w:outlineLvl w:val="0"/>
      </w:pPr>
      <w:r>
        <w:rPr>
          <w:b/>
          <w:bCs/>
          <w:color w:val="A90000"/>
          <w:spacing w:val="-26"/>
        </w:rPr>
        <w:t>3、</w:t>
      </w:r>
      <w:r>
        <w:rPr>
          <w:color w:val="A90000"/>
          <w:spacing w:val="-37"/>
        </w:rPr>
        <w:t xml:space="preserve"> </w:t>
      </w:r>
      <w:r>
        <w:rPr>
          <w:b/>
          <w:bCs/>
          <w:color w:val="A90000"/>
          <w:spacing w:val="-26"/>
        </w:rPr>
        <w:t>需求端：储能将保持较高速增长</w:t>
      </w:r>
    </w:p>
    <w:p>
      <w:pPr>
        <w:pStyle w:val="BodyText"/>
        <w:spacing w:before="158" w:line="215" w:lineRule="auto"/>
        <w:rPr>
          <w:sz w:val="32"/>
          <w:szCs w:val="32"/>
        </w:rPr>
      </w:pPr>
      <w:r>
        <w:rPr>
          <w:spacing w:val="4"/>
          <w:sz w:val="32"/>
          <w:szCs w:val="32"/>
        </w:rPr>
        <w:t>·</w:t>
      </w:r>
      <w:r>
        <w:rPr>
          <w:spacing w:val="46"/>
          <w:sz w:val="32"/>
          <w:szCs w:val="32"/>
        </w:rPr>
        <w:t xml:space="preserve"> </w:t>
      </w:r>
      <w:r>
        <w:rPr>
          <w:spacing w:val="4"/>
          <w:sz w:val="32"/>
          <w:szCs w:val="32"/>
        </w:rPr>
        <w:t>2021-2024全球储能电池出货量及预测量分别为66/159/230/295</w:t>
      </w:r>
      <w:r>
        <w:rPr>
          <w:rFonts w:ascii="Arial" w:eastAsia="Arial" w:hAnsi="Arial" w:cs="Arial"/>
          <w:sz w:val="32"/>
          <w:szCs w:val="32"/>
        </w:rPr>
        <w:t>GWh</w:t>
      </w:r>
      <w:r>
        <w:rPr>
          <w:rFonts w:ascii="Arial" w:eastAsia="Arial" w:hAnsi="Arial" w:cs="Arial"/>
          <w:spacing w:val="4"/>
          <w:sz w:val="32"/>
          <w:szCs w:val="32"/>
        </w:rPr>
        <w:t>,</w:t>
      </w:r>
      <w:r>
        <w:rPr>
          <w:rFonts w:ascii="Arial" w:eastAsia="Arial" w:hAnsi="Arial" w:cs="Arial"/>
          <w:spacing w:val="27"/>
          <w:sz w:val="32"/>
          <w:szCs w:val="32"/>
        </w:rPr>
        <w:t xml:space="preserve">   </w:t>
      </w:r>
      <w:r>
        <w:rPr>
          <w:spacing w:val="4"/>
          <w:sz w:val="32"/>
          <w:szCs w:val="32"/>
        </w:rPr>
        <w:t>2022-24</w:t>
      </w:r>
      <w:r>
        <w:rPr>
          <w:spacing w:val="-88"/>
          <w:sz w:val="32"/>
          <w:szCs w:val="32"/>
        </w:rPr>
        <w:t xml:space="preserve"> </w:t>
      </w:r>
      <w:r>
        <w:rPr>
          <w:spacing w:val="4"/>
          <w:sz w:val="32"/>
          <w:szCs w:val="32"/>
        </w:rPr>
        <w:t>年同比增长率分别为141%/45%/28%</w:t>
      </w:r>
    </w:p>
    <w:p>
      <w:pPr>
        <w:pStyle w:val="BodyText"/>
        <w:spacing w:before="175" w:line="222" w:lineRule="auto"/>
        <w:ind w:left="5"/>
        <w:outlineLvl w:val="0"/>
      </w:pPr>
      <w:r>
        <w:rPr>
          <w:b/>
          <w:bCs/>
          <w:color w:val="A90000"/>
          <w:spacing w:val="-20"/>
        </w:rPr>
        <w:t>4、</w:t>
      </w:r>
      <w:r>
        <w:rPr>
          <w:color w:val="A90000"/>
          <w:spacing w:val="-58"/>
        </w:rPr>
        <w:t xml:space="preserve"> </w:t>
      </w:r>
      <w:r>
        <w:rPr>
          <w:b/>
          <w:bCs/>
          <w:color w:val="A90000"/>
          <w:spacing w:val="-20"/>
        </w:rPr>
        <w:t>风险提示</w:t>
      </w:r>
    </w:p>
    <w:p>
      <w:pPr>
        <w:pStyle w:val="BodyText"/>
        <w:spacing w:before="112" w:line="213" w:lineRule="auto"/>
        <w:rPr>
          <w:sz w:val="32"/>
          <w:szCs w:val="32"/>
        </w:rPr>
      </w:pPr>
      <w:r>
        <w:rPr>
          <w:spacing w:val="-9"/>
          <w:sz w:val="32"/>
          <w:szCs w:val="32"/>
        </w:rPr>
        <w:t>·</w:t>
      </w:r>
      <w:r>
        <w:rPr>
          <w:spacing w:val="89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1、供给释放不及预期；2、需求增长不及预期。</w:t>
      </w:r>
    </w:p>
    <w:p>
      <w:pPr>
        <w:spacing w:line="213" w:lineRule="auto"/>
        <w:rPr>
          <w:sz w:val="32"/>
          <w:szCs w:val="32"/>
        </w:rPr>
        <w:sectPr>
          <w:headerReference w:type="default" r:id="rId10"/>
          <w:footerReference w:type="default" r:id="rId11"/>
          <w:pgSz w:w="19200" w:h="10800"/>
          <w:pgMar w:top="400" w:right="419" w:bottom="757" w:left="509" w:header="0" w:footer="549" w:gutter="0"/>
          <w:pgNumType w:start="4"/>
          <w:cols w:space="708"/>
        </w:sectPr>
      </w:pPr>
    </w:p>
    <w:p>
      <w:pPr>
        <w:pStyle w:val="BodyText"/>
        <w:spacing w:before="79" w:line="222" w:lineRule="auto"/>
        <w:ind w:left="2036"/>
        <w:rPr>
          <w:sz w:val="48"/>
          <w:szCs w:val="48"/>
        </w:rPr>
      </w:pP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196900</wp:posOffset>
            </wp:positionH>
            <wp:positionV relativeFrom="page">
              <wp:posOffset>203202</wp:posOffset>
            </wp:positionV>
            <wp:extent cx="742858" cy="742927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2858" cy="742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9626559</wp:posOffset>
            </wp:positionH>
            <wp:positionV relativeFrom="page">
              <wp:posOffset>158762</wp:posOffset>
            </wp:positionV>
            <wp:extent cx="2279660" cy="412714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9660" cy="412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-254714</wp:posOffset>
            </wp:positionV>
            <wp:extent cx="12192000" cy="68580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A90000"/>
          <w:spacing w:val="-9"/>
          <w:sz w:val="48"/>
          <w:szCs w:val="48"/>
        </w:rPr>
        <w:t>锂行业供需平衡表</w:t>
      </w:r>
    </w:p>
    <w:p>
      <w:pPr>
        <w:spacing w:before="261" w:line="219" w:lineRule="auto"/>
        <w:ind w:left="147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z w:val="23"/>
          <w:szCs w:val="23"/>
        </w:rPr>
        <w:t>图表：锂行业供需平衡表</w:t>
      </w:r>
    </w:p>
    <w:tbl>
      <w:tblPr>
        <w:tblStyle w:val="TableNormal0"/>
        <w:tblW w:w="18700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631"/>
        <w:gridCol w:w="2438"/>
        <w:gridCol w:w="2469"/>
        <w:gridCol w:w="2439"/>
        <w:gridCol w:w="2479"/>
        <w:gridCol w:w="2244"/>
      </w:tblGrid>
      <w:tr>
        <w:tblPrEx>
          <w:tblW w:w="18700" w:type="dxa"/>
          <w:tblInd w:w="22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24"/>
        </w:trPr>
        <w:tc>
          <w:tcPr>
            <w:tcW w:w="6631" w:type="dxa"/>
            <w:vAlign w:val="top"/>
          </w:tcPr>
          <w:p>
            <w:pPr>
              <w:pStyle w:val="TableText"/>
              <w:spacing w:before="107" w:line="220" w:lineRule="auto"/>
              <w:ind w:left="2401"/>
            </w:pPr>
            <w:r>
              <w:rPr>
                <w:b/>
                <w:bCs/>
                <w:color w:val="FFFFFF"/>
                <w:spacing w:val="-1"/>
              </w:rPr>
              <w:t>消费结构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spacing w:before="215" w:line="175" w:lineRule="auto"/>
              <w:ind w:left="699"/>
            </w:pPr>
            <w:r>
              <w:rPr>
                <w:b/>
                <w:bCs/>
                <w:color w:val="FFFFFF"/>
                <w:spacing w:val="-9"/>
              </w:rPr>
              <w:t>2021</w:t>
            </w:r>
          </w:p>
        </w:tc>
        <w:tc>
          <w:tcPr>
            <w:tcW w:w="2469" w:type="dxa"/>
            <w:vAlign w:val="top"/>
          </w:tcPr>
          <w:p>
            <w:pPr>
              <w:pStyle w:val="TableText"/>
              <w:spacing w:before="218" w:line="174" w:lineRule="auto"/>
              <w:ind w:left="711"/>
            </w:pPr>
            <w:r>
              <w:rPr>
                <w:b/>
                <w:bCs/>
                <w:color w:val="FFFFFF"/>
                <w:spacing w:val="-9"/>
              </w:rPr>
              <w:t>2022</w:t>
            </w:r>
          </w:p>
        </w:tc>
        <w:tc>
          <w:tcPr>
            <w:tcW w:w="2439" w:type="dxa"/>
            <w:vAlign w:val="top"/>
          </w:tcPr>
          <w:p>
            <w:pPr>
              <w:pStyle w:val="TableText"/>
              <w:spacing w:before="218" w:line="174" w:lineRule="auto"/>
              <w:ind w:left="563"/>
            </w:pPr>
            <w:r>
              <w:rPr>
                <w:b/>
                <w:bCs/>
                <w:color w:val="FFFFFF"/>
                <w:spacing w:val="-8"/>
              </w:rPr>
              <w:t>2023E</w:t>
            </w:r>
          </w:p>
        </w:tc>
        <w:tc>
          <w:tcPr>
            <w:tcW w:w="2479" w:type="dxa"/>
            <w:vAlign w:val="top"/>
          </w:tcPr>
          <w:p>
            <w:pPr>
              <w:pStyle w:val="TableText"/>
              <w:spacing w:before="218" w:line="174" w:lineRule="auto"/>
              <w:ind w:left="603"/>
            </w:pPr>
            <w:r>
              <w:rPr>
                <w:b/>
                <w:bCs/>
                <w:color w:val="FFFFFF"/>
                <w:spacing w:val="-8"/>
              </w:rPr>
              <w:t>2024E</w:t>
            </w:r>
          </w:p>
        </w:tc>
        <w:tc>
          <w:tcPr>
            <w:tcW w:w="2244" w:type="dxa"/>
            <w:vAlign w:val="top"/>
          </w:tcPr>
          <w:p>
            <w:pPr>
              <w:pStyle w:val="TableText"/>
              <w:spacing w:before="218" w:line="174" w:lineRule="auto"/>
              <w:ind w:left="455"/>
            </w:pPr>
            <w:r>
              <w:rPr>
                <w:b/>
                <w:bCs/>
                <w:color w:val="FFFFFF"/>
                <w:spacing w:val="-8"/>
              </w:rPr>
              <w:t>2025E</w:t>
            </w:r>
          </w:p>
        </w:tc>
      </w:tr>
      <w:tr>
        <w:tblPrEx>
          <w:tblW w:w="18700" w:type="dxa"/>
          <w:tblInd w:w="220" w:type="dxa"/>
          <w:tblLayout w:type="fixed"/>
        </w:tblPrEx>
        <w:trPr>
          <w:trHeight w:val="2906"/>
        </w:trPr>
        <w:tc>
          <w:tcPr>
            <w:tcW w:w="6631" w:type="dxa"/>
            <w:tcBorders>
              <w:right w:val="nil"/>
            </w:tcBorders>
            <w:vAlign w:val="top"/>
          </w:tcPr>
          <w:p>
            <w:pPr>
              <w:pStyle w:val="TableText"/>
              <w:spacing w:before="148" w:line="219" w:lineRule="auto"/>
              <w:ind w:left="105"/>
            </w:pPr>
            <w:r>
              <w:rPr>
                <w:spacing w:val="7"/>
              </w:rPr>
              <w:t>全球新能源销量合计(万辆)</w:t>
            </w:r>
          </w:p>
          <w:p>
            <w:pPr>
              <w:pStyle w:val="TableText"/>
              <w:spacing w:before="101" w:line="219" w:lineRule="auto"/>
              <w:ind w:left="2784"/>
            </w:pPr>
            <w:r>
              <w:rPr>
                <w:color w:val="362600"/>
                <w:spacing w:val="10"/>
              </w:rPr>
              <w:t>纯电车合计(万辆)</w:t>
            </w:r>
          </w:p>
          <w:p>
            <w:pPr>
              <w:pStyle w:val="TableText"/>
              <w:spacing w:before="71" w:line="219" w:lineRule="auto"/>
              <w:ind w:left="2784"/>
            </w:pPr>
            <w:r>
              <w:rPr>
                <w:color w:val="322100"/>
                <w:spacing w:val="10"/>
              </w:rPr>
              <w:t>插混车合计(万辆)</w:t>
            </w:r>
          </w:p>
          <w:p>
            <w:pPr>
              <w:pStyle w:val="TableText"/>
              <w:spacing w:before="82" w:line="220" w:lineRule="auto"/>
              <w:ind w:left="144"/>
            </w:pPr>
            <w:r>
              <w:rPr>
                <w:spacing w:val="13"/>
              </w:rPr>
              <w:t>电池需求量(</w:t>
            </w:r>
            <w:r>
              <w:t>GWh</w:t>
            </w:r>
            <w:r>
              <w:rPr>
                <w:spacing w:val="13"/>
              </w:rPr>
              <w:t>)</w:t>
            </w:r>
          </w:p>
          <w:p>
            <w:pPr>
              <w:pStyle w:val="TableText"/>
              <w:spacing w:before="73" w:line="186" w:lineRule="auto"/>
              <w:ind w:left="70"/>
            </w:pPr>
            <w:r>
              <w:rPr>
                <w:b/>
                <w:bCs/>
                <w:spacing w:val="1"/>
              </w:rPr>
              <w:t>对应碳酸锂需求量(万吨</w:t>
            </w:r>
            <w:r>
              <w:rPr>
                <w:b/>
                <w:bCs/>
              </w:rPr>
              <w:t>LCE</w:t>
            </w:r>
            <w:r>
              <w:rPr>
                <w:b/>
                <w:bCs/>
                <w:spacing w:val="1"/>
              </w:rPr>
              <w:t>)</w:t>
            </w:r>
          </w:p>
        </w:tc>
        <w:tc>
          <w:tcPr>
            <w:tcW w:w="2438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276" w:line="183" w:lineRule="auto"/>
              <w:ind w:left="799"/>
            </w:pPr>
            <w:r>
              <w:rPr>
                <w:spacing w:val="-5"/>
              </w:rPr>
              <w:t>669</w:t>
            </w:r>
          </w:p>
          <w:p>
            <w:pPr>
              <w:pStyle w:val="TableText"/>
              <w:spacing w:before="180" w:line="579" w:lineRule="exact"/>
              <w:ind w:left="785"/>
            </w:pPr>
            <w:r>
              <w:rPr>
                <w:b/>
                <w:bCs/>
                <w:spacing w:val="-8"/>
                <w:position w:val="17"/>
              </w:rPr>
              <w:t>473</w:t>
            </w:r>
          </w:p>
          <w:p>
            <w:pPr>
              <w:pStyle w:val="TableText"/>
              <w:spacing w:before="1" w:line="183" w:lineRule="auto"/>
              <w:ind w:left="815"/>
            </w:pPr>
            <w:r>
              <w:rPr>
                <w:b/>
                <w:bCs/>
                <w:spacing w:val="-15"/>
              </w:rPr>
              <w:t>196</w:t>
            </w:r>
          </w:p>
          <w:p>
            <w:pPr>
              <w:pStyle w:val="TableText"/>
              <w:spacing w:before="171" w:line="184" w:lineRule="auto"/>
              <w:ind w:left="805"/>
            </w:pPr>
            <w:r>
              <w:rPr>
                <w:b/>
                <w:bCs/>
                <w:spacing w:val="-10"/>
              </w:rPr>
              <w:t>371</w:t>
            </w:r>
          </w:p>
          <w:p>
            <w:pPr>
              <w:pStyle w:val="TableText"/>
              <w:spacing w:before="101" w:line="334" w:lineRule="exact"/>
              <w:ind w:left="795"/>
            </w:pPr>
            <w:r>
              <w:rPr>
                <w:b/>
                <w:bCs/>
                <w:spacing w:val="-9"/>
                <w:position w:val="-5"/>
              </w:rPr>
              <w:t>29.8</w:t>
            </w:r>
          </w:p>
        </w:tc>
        <w:tc>
          <w:tcPr>
            <w:tcW w:w="2469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95" w:line="184" w:lineRule="auto"/>
              <w:ind w:left="651"/>
            </w:pPr>
            <w:r>
              <w:rPr>
                <w:spacing w:val="-8"/>
              </w:rPr>
              <w:t>1,087</w:t>
            </w:r>
          </w:p>
          <w:p>
            <w:pPr>
              <w:pStyle w:val="TableText"/>
              <w:spacing w:before="212" w:line="183" w:lineRule="auto"/>
              <w:ind w:left="780"/>
            </w:pPr>
            <w:r>
              <w:rPr>
                <w:spacing w:val="-6"/>
              </w:rPr>
              <w:t>795</w:t>
            </w:r>
          </w:p>
          <w:p>
            <w:pPr>
              <w:pStyle w:val="TableText"/>
              <w:spacing w:before="213" w:line="183" w:lineRule="auto"/>
              <w:ind w:left="780"/>
            </w:pPr>
            <w:r>
              <w:rPr>
                <w:spacing w:val="-5"/>
              </w:rPr>
              <w:t>292</w:t>
            </w:r>
          </w:p>
          <w:p>
            <w:pPr>
              <w:pStyle w:val="TableText"/>
              <w:spacing w:before="173" w:line="183" w:lineRule="auto"/>
              <w:ind w:left="800"/>
            </w:pPr>
            <w:r>
              <w:rPr>
                <w:spacing w:val="-5"/>
              </w:rPr>
              <w:t>684</w:t>
            </w:r>
          </w:p>
          <w:p>
            <w:pPr>
              <w:pStyle w:val="TableText"/>
              <w:spacing w:before="119" w:line="314" w:lineRule="exact"/>
              <w:ind w:left="796"/>
            </w:pPr>
            <w:r>
              <w:rPr>
                <w:b/>
                <w:bCs/>
                <w:spacing w:val="-10"/>
                <w:position w:val="-5"/>
              </w:rPr>
              <w:t>55.0</w:t>
            </w:r>
          </w:p>
        </w:tc>
        <w:tc>
          <w:tcPr>
            <w:tcW w:w="2439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89" w:line="184" w:lineRule="auto"/>
              <w:ind w:left="637"/>
            </w:pPr>
            <w:r>
              <w:rPr>
                <w:b/>
                <w:bCs/>
                <w:spacing w:val="-13"/>
              </w:rPr>
              <w:t>1,467</w:t>
            </w:r>
          </w:p>
          <w:p>
            <w:pPr>
              <w:pStyle w:val="TableText"/>
              <w:spacing w:before="181" w:line="184" w:lineRule="auto"/>
              <w:ind w:left="637"/>
            </w:pPr>
            <w:r>
              <w:rPr>
                <w:b/>
                <w:bCs/>
                <w:spacing w:val="-13"/>
              </w:rPr>
              <w:t>1,116</w:t>
            </w:r>
          </w:p>
          <w:p>
            <w:pPr>
              <w:pStyle w:val="TableText"/>
              <w:spacing w:before="236" w:line="184" w:lineRule="auto"/>
              <w:ind w:left="792"/>
            </w:pPr>
            <w:r>
              <w:rPr>
                <w:spacing w:val="-6"/>
              </w:rPr>
              <w:t>351</w:t>
            </w:r>
          </w:p>
          <w:p>
            <w:pPr>
              <w:pStyle w:val="TableText"/>
              <w:spacing w:before="133" w:line="183" w:lineRule="auto"/>
              <w:ind w:left="761"/>
            </w:pPr>
            <w:r>
              <w:rPr>
                <w:spacing w:val="-6"/>
              </w:rPr>
              <w:t>704</w:t>
            </w:r>
          </w:p>
          <w:p>
            <w:pPr>
              <w:pStyle w:val="TableText"/>
              <w:spacing w:before="149" w:line="334" w:lineRule="exact"/>
              <w:ind w:left="798"/>
            </w:pPr>
            <w:r>
              <w:rPr>
                <w:b/>
                <w:bCs/>
                <w:spacing w:val="-10"/>
                <w:position w:val="-5"/>
              </w:rPr>
              <w:t>56.6</w:t>
            </w:r>
          </w:p>
        </w:tc>
        <w:tc>
          <w:tcPr>
            <w:tcW w:w="2479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95" w:line="184" w:lineRule="auto"/>
              <w:ind w:left="582"/>
            </w:pPr>
            <w:r>
              <w:rPr>
                <w:spacing w:val="-8"/>
              </w:rPr>
              <w:t>1,831</w:t>
            </w:r>
          </w:p>
          <w:p>
            <w:pPr>
              <w:pStyle w:val="TableText"/>
              <w:spacing w:before="161" w:line="184" w:lineRule="auto"/>
              <w:ind w:left="582"/>
            </w:pPr>
            <w:r>
              <w:rPr>
                <w:spacing w:val="-8"/>
              </w:rPr>
              <w:t>1,419</w:t>
            </w:r>
          </w:p>
          <w:p>
            <w:pPr>
              <w:pStyle w:val="TableText"/>
              <w:spacing w:before="250" w:line="184" w:lineRule="auto"/>
              <w:ind w:left="1009"/>
            </w:pPr>
            <w:r>
              <w:rPr>
                <w:b/>
                <w:bCs/>
                <w:spacing w:val="-8"/>
              </w:rPr>
              <w:t>412</w:t>
            </w:r>
          </w:p>
          <w:p>
            <w:pPr>
              <w:pStyle w:val="TableText"/>
              <w:spacing w:before="183" w:line="183" w:lineRule="auto"/>
              <w:ind w:left="1003"/>
            </w:pPr>
            <w:r>
              <w:rPr>
                <w:spacing w:val="-5"/>
              </w:rPr>
              <w:t>879</w:t>
            </w:r>
          </w:p>
          <w:p>
            <w:pPr>
              <w:pStyle w:val="TableText"/>
              <w:spacing w:before="99" w:line="334" w:lineRule="exact"/>
              <w:ind w:left="798"/>
            </w:pPr>
            <w:r>
              <w:rPr>
                <w:b/>
                <w:bCs/>
                <w:spacing w:val="-10"/>
                <w:position w:val="-5"/>
              </w:rPr>
              <w:t>70.7</w:t>
            </w:r>
          </w:p>
        </w:tc>
        <w:tc>
          <w:tcPr>
            <w:tcW w:w="2244" w:type="dxa"/>
            <w:tcBorders>
              <w:left w:val="nil"/>
            </w:tcBorders>
            <w:vAlign w:val="top"/>
          </w:tcPr>
          <w:p>
            <w:pPr>
              <w:pStyle w:val="TableText"/>
              <w:spacing w:before="189" w:line="184" w:lineRule="auto"/>
              <w:ind w:left="519"/>
            </w:pPr>
            <w:r>
              <w:rPr>
                <w:b/>
                <w:bCs/>
                <w:spacing w:val="-8"/>
              </w:rPr>
              <w:t>2,187</w:t>
            </w:r>
          </w:p>
          <w:p>
            <w:pPr>
              <w:pStyle w:val="TableText"/>
              <w:spacing w:before="167" w:line="184" w:lineRule="auto"/>
              <w:ind w:left="533"/>
            </w:pPr>
            <w:r>
              <w:rPr>
                <w:spacing w:val="-8"/>
              </w:rPr>
              <w:t>1,731</w:t>
            </w:r>
          </w:p>
          <w:p>
            <w:pPr>
              <w:pStyle w:val="TableText"/>
              <w:spacing w:before="252" w:line="183" w:lineRule="auto"/>
              <w:ind w:left="674"/>
            </w:pPr>
            <w:r>
              <w:rPr>
                <w:spacing w:val="-4"/>
              </w:rPr>
              <w:t>456</w:t>
            </w:r>
          </w:p>
          <w:p>
            <w:pPr>
              <w:pStyle w:val="TableText"/>
              <w:spacing w:before="92" w:line="184" w:lineRule="auto"/>
              <w:ind w:left="513"/>
            </w:pPr>
            <w:r>
              <w:rPr>
                <w:spacing w:val="-8"/>
              </w:rPr>
              <w:t>1,050</w:t>
            </w:r>
          </w:p>
          <w:p>
            <w:pPr>
              <w:pStyle w:val="TableText"/>
              <w:spacing w:before="188" w:line="334" w:lineRule="exact"/>
              <w:ind w:left="670"/>
            </w:pPr>
            <w:r>
              <w:rPr>
                <w:b/>
                <w:bCs/>
                <w:spacing w:val="-8"/>
                <w:position w:val="-5"/>
              </w:rPr>
              <w:t>84.4</w:t>
            </w:r>
          </w:p>
        </w:tc>
      </w:tr>
      <w:tr>
        <w:tblPrEx>
          <w:tblW w:w="18700" w:type="dxa"/>
          <w:tblInd w:w="220" w:type="dxa"/>
          <w:tblLayout w:type="fixed"/>
        </w:tblPrEx>
        <w:trPr>
          <w:trHeight w:val="1199"/>
        </w:trPr>
        <w:tc>
          <w:tcPr>
            <w:tcW w:w="6631" w:type="dxa"/>
            <w:tcBorders>
              <w:right w:val="nil"/>
            </w:tcBorders>
            <w:vAlign w:val="top"/>
          </w:tcPr>
          <w:p>
            <w:pPr>
              <w:pStyle w:val="TableText"/>
              <w:spacing w:before="163" w:line="220" w:lineRule="auto"/>
              <w:ind w:left="75"/>
            </w:pPr>
            <w:r>
              <w:rPr>
                <w:spacing w:val="15"/>
              </w:rPr>
              <w:t>储能需求(</w:t>
            </w:r>
            <w:r>
              <w:t>GWh</w:t>
            </w:r>
            <w:r>
              <w:rPr>
                <w:spacing w:val="15"/>
              </w:rPr>
              <w:t>)</w:t>
            </w:r>
          </w:p>
          <w:p>
            <w:pPr>
              <w:pStyle w:val="TableText"/>
              <w:spacing w:before="83" w:line="194" w:lineRule="auto"/>
              <w:ind w:left="81"/>
            </w:pPr>
            <w:r>
              <w:rPr>
                <w:b/>
                <w:bCs/>
                <w:spacing w:val="1"/>
              </w:rPr>
              <w:t>对应碳酸锂需求量(万吨</w:t>
            </w:r>
            <w:r>
              <w:rPr>
                <w:b/>
                <w:bCs/>
              </w:rPr>
              <w:t>LCE</w:t>
            </w:r>
            <w:r>
              <w:rPr>
                <w:b/>
                <w:bCs/>
                <w:spacing w:val="1"/>
              </w:rPr>
              <w:t>)</w:t>
            </w:r>
          </w:p>
        </w:tc>
        <w:tc>
          <w:tcPr>
            <w:tcW w:w="2438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266" w:line="598" w:lineRule="exact"/>
              <w:ind w:left="954"/>
            </w:pPr>
            <w:r>
              <w:rPr>
                <w:b/>
                <w:bCs/>
                <w:spacing w:val="-12"/>
                <w:position w:val="18"/>
              </w:rPr>
              <w:t>71</w:t>
            </w:r>
          </w:p>
          <w:p>
            <w:pPr>
              <w:pStyle w:val="TableText"/>
              <w:spacing w:line="324" w:lineRule="exact"/>
              <w:ind w:left="895"/>
            </w:pPr>
            <w:r>
              <w:rPr>
                <w:b/>
                <w:bCs/>
                <w:spacing w:val="-10"/>
                <w:position w:val="-5"/>
              </w:rPr>
              <w:t>5.1</w:t>
            </w:r>
          </w:p>
        </w:tc>
        <w:tc>
          <w:tcPr>
            <w:tcW w:w="2469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296" w:line="558" w:lineRule="exact"/>
              <w:ind w:left="906"/>
            </w:pPr>
            <w:r>
              <w:rPr>
                <w:b/>
                <w:bCs/>
                <w:spacing w:val="-15"/>
                <w:position w:val="15"/>
              </w:rPr>
              <w:t>159</w:t>
            </w:r>
          </w:p>
          <w:p>
            <w:pPr>
              <w:pStyle w:val="TableText"/>
              <w:spacing w:line="334" w:lineRule="exact"/>
              <w:ind w:left="836"/>
            </w:pPr>
            <w:r>
              <w:rPr>
                <w:b/>
                <w:bCs/>
                <w:spacing w:val="-14"/>
                <w:position w:val="-5"/>
              </w:rPr>
              <w:t>11.4</w:t>
            </w:r>
          </w:p>
        </w:tc>
        <w:tc>
          <w:tcPr>
            <w:tcW w:w="2439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297" w:line="557" w:lineRule="exact"/>
              <w:ind w:left="857"/>
            </w:pPr>
            <w:r>
              <w:rPr>
                <w:b/>
                <w:bCs/>
                <w:spacing w:val="-10"/>
                <w:position w:val="15"/>
              </w:rPr>
              <w:t>230</w:t>
            </w:r>
          </w:p>
          <w:p>
            <w:pPr>
              <w:pStyle w:val="TableText"/>
              <w:spacing w:line="334" w:lineRule="exact"/>
              <w:ind w:left="818"/>
            </w:pPr>
            <w:r>
              <w:rPr>
                <w:b/>
                <w:bCs/>
                <w:spacing w:val="-14"/>
                <w:position w:val="-5"/>
              </w:rPr>
              <w:t>15.2</w:t>
            </w:r>
          </w:p>
        </w:tc>
        <w:tc>
          <w:tcPr>
            <w:tcW w:w="2479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297" w:line="557" w:lineRule="exact"/>
              <w:ind w:left="1009"/>
            </w:pPr>
            <w:r>
              <w:rPr>
                <w:b/>
                <w:bCs/>
                <w:spacing w:val="-10"/>
                <w:position w:val="15"/>
              </w:rPr>
              <w:t>295</w:t>
            </w:r>
          </w:p>
          <w:p>
            <w:pPr>
              <w:pStyle w:val="TableText"/>
              <w:spacing w:line="334" w:lineRule="exact"/>
              <w:ind w:left="798"/>
            </w:pPr>
            <w:r>
              <w:rPr>
                <w:b/>
                <w:bCs/>
                <w:spacing w:val="-14"/>
                <w:position w:val="-5"/>
              </w:rPr>
              <w:t>19.5</w:t>
            </w:r>
          </w:p>
        </w:tc>
        <w:tc>
          <w:tcPr>
            <w:tcW w:w="2244" w:type="dxa"/>
            <w:tcBorders>
              <w:left w:val="nil"/>
            </w:tcBorders>
            <w:vAlign w:val="top"/>
          </w:tcPr>
          <w:p>
            <w:pPr>
              <w:pStyle w:val="TableText"/>
              <w:spacing w:before="297" w:line="567" w:lineRule="exact"/>
              <w:ind w:left="749"/>
            </w:pPr>
            <w:r>
              <w:rPr>
                <w:b/>
                <w:bCs/>
                <w:spacing w:val="-8"/>
                <w:position w:val="16"/>
              </w:rPr>
              <w:t>460</w:t>
            </w:r>
          </w:p>
          <w:p>
            <w:pPr>
              <w:pStyle w:val="TableText"/>
              <w:spacing w:line="324" w:lineRule="exact"/>
              <w:ind w:left="700"/>
            </w:pPr>
            <w:r>
              <w:rPr>
                <w:b/>
                <w:bCs/>
                <w:spacing w:val="-10"/>
                <w:position w:val="-5"/>
              </w:rPr>
              <w:t>33.1</w:t>
            </w:r>
          </w:p>
        </w:tc>
      </w:tr>
      <w:tr>
        <w:tblPrEx>
          <w:tblW w:w="18700" w:type="dxa"/>
          <w:tblInd w:w="220" w:type="dxa"/>
          <w:tblLayout w:type="fixed"/>
        </w:tblPrEx>
        <w:trPr>
          <w:trHeight w:val="1128"/>
        </w:trPr>
        <w:tc>
          <w:tcPr>
            <w:tcW w:w="6631" w:type="dxa"/>
            <w:tcBorders>
              <w:right w:val="nil"/>
            </w:tcBorders>
            <w:vAlign w:val="top"/>
          </w:tcPr>
          <w:p>
            <w:pPr>
              <w:pStyle w:val="TableText"/>
              <w:spacing w:before="132" w:line="221" w:lineRule="auto"/>
              <w:ind w:left="101"/>
            </w:pPr>
            <w:r>
              <w:rPr>
                <w:b/>
                <w:bCs/>
                <w:color w:val="2F1E00"/>
                <w:spacing w:val="6"/>
              </w:rPr>
              <w:t>小型电池(</w:t>
            </w:r>
            <w:r>
              <w:rPr>
                <w:b/>
                <w:bCs/>
                <w:color w:val="2F1E00"/>
              </w:rPr>
              <w:t>GWh</w:t>
            </w:r>
            <w:r>
              <w:rPr>
                <w:b/>
                <w:bCs/>
                <w:color w:val="2F1E00"/>
                <w:spacing w:val="6"/>
              </w:rPr>
              <w:t>)</w:t>
            </w:r>
          </w:p>
          <w:p>
            <w:pPr>
              <w:pStyle w:val="TableText"/>
              <w:spacing w:before="43" w:line="193" w:lineRule="auto"/>
              <w:ind w:left="111"/>
            </w:pPr>
            <w:r>
              <w:rPr>
                <w:b/>
                <w:bCs/>
                <w:spacing w:val="1"/>
              </w:rPr>
              <w:t>对应碳酸锂需求量(万吨</w:t>
            </w:r>
            <w:r>
              <w:rPr>
                <w:b/>
                <w:bCs/>
              </w:rPr>
              <w:t>LCE</w:t>
            </w:r>
            <w:r>
              <w:rPr>
                <w:b/>
                <w:bCs/>
                <w:spacing w:val="1"/>
              </w:rPr>
              <w:t>)</w:t>
            </w:r>
          </w:p>
        </w:tc>
        <w:tc>
          <w:tcPr>
            <w:tcW w:w="2438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266" w:line="229" w:lineRule="auto"/>
              <w:ind w:left="905"/>
            </w:pPr>
            <w:r>
              <w:rPr>
                <w:b/>
                <w:bCs/>
                <w:spacing w:val="-15"/>
              </w:rPr>
              <w:t>125</w:t>
            </w:r>
          </w:p>
          <w:p>
            <w:pPr>
              <w:pStyle w:val="TableText"/>
              <w:spacing w:line="330" w:lineRule="exact"/>
              <w:ind w:left="915"/>
            </w:pPr>
            <w:r>
              <w:rPr>
                <w:b/>
                <w:bCs/>
                <w:spacing w:val="-9"/>
                <w:position w:val="-5"/>
              </w:rPr>
              <w:t>9.6</w:t>
            </w:r>
          </w:p>
        </w:tc>
        <w:tc>
          <w:tcPr>
            <w:tcW w:w="2469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229" w:line="558" w:lineRule="exact"/>
              <w:ind w:left="887"/>
            </w:pPr>
            <w:r>
              <w:rPr>
                <w:b/>
                <w:bCs/>
                <w:spacing w:val="-15"/>
                <w:position w:val="15"/>
              </w:rPr>
              <w:t>114</w:t>
            </w:r>
          </w:p>
          <w:p>
            <w:pPr>
              <w:pStyle w:val="TableText"/>
              <w:spacing w:line="330" w:lineRule="exact"/>
              <w:ind w:left="936"/>
            </w:pPr>
            <w:r>
              <w:rPr>
                <w:b/>
                <w:bCs/>
                <w:spacing w:val="-9"/>
                <w:position w:val="-5"/>
              </w:rPr>
              <w:t>8.8</w:t>
            </w:r>
          </w:p>
        </w:tc>
        <w:tc>
          <w:tcPr>
            <w:tcW w:w="2439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268" w:line="237" w:lineRule="auto"/>
              <w:ind w:left="897"/>
            </w:pPr>
            <w:r>
              <w:rPr>
                <w:b/>
                <w:bCs/>
                <w:spacing w:val="-15"/>
              </w:rPr>
              <w:t>127</w:t>
            </w:r>
          </w:p>
          <w:p>
            <w:pPr>
              <w:pStyle w:val="TableText"/>
              <w:spacing w:line="310" w:lineRule="exact"/>
              <w:ind w:left="867"/>
            </w:pPr>
            <w:r>
              <w:rPr>
                <w:b/>
                <w:bCs/>
                <w:spacing w:val="-9"/>
                <w:position w:val="-5"/>
              </w:rPr>
              <w:t>9.8</w:t>
            </w:r>
          </w:p>
        </w:tc>
        <w:tc>
          <w:tcPr>
            <w:tcW w:w="2479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269" w:line="227" w:lineRule="auto"/>
              <w:ind w:left="1009"/>
            </w:pPr>
            <w:r>
              <w:rPr>
                <w:b/>
                <w:bCs/>
                <w:spacing w:val="-15"/>
              </w:rPr>
              <w:t>142</w:t>
            </w:r>
          </w:p>
          <w:p>
            <w:pPr>
              <w:pStyle w:val="TableText"/>
              <w:spacing w:line="332" w:lineRule="exact"/>
              <w:ind w:left="798"/>
            </w:pPr>
            <w:r>
              <w:rPr>
                <w:b/>
                <w:bCs/>
                <w:spacing w:val="-14"/>
                <w:position w:val="-5"/>
              </w:rPr>
              <w:t>10.9</w:t>
            </w:r>
          </w:p>
        </w:tc>
        <w:tc>
          <w:tcPr>
            <w:tcW w:w="2244" w:type="dxa"/>
            <w:tcBorders>
              <w:left w:val="nil"/>
            </w:tcBorders>
            <w:vAlign w:val="top"/>
          </w:tcPr>
          <w:p>
            <w:pPr>
              <w:pStyle w:val="TableText"/>
              <w:spacing w:before="266" w:line="228" w:lineRule="auto"/>
              <w:ind w:left="769"/>
            </w:pPr>
            <w:r>
              <w:rPr>
                <w:b/>
                <w:bCs/>
                <w:spacing w:val="-15"/>
              </w:rPr>
              <w:t>158</w:t>
            </w:r>
          </w:p>
          <w:p>
            <w:pPr>
              <w:pStyle w:val="TableText"/>
              <w:spacing w:line="332" w:lineRule="exact"/>
              <w:ind w:left="690"/>
            </w:pPr>
            <w:r>
              <w:rPr>
                <w:b/>
                <w:bCs/>
                <w:spacing w:val="-14"/>
                <w:position w:val="-5"/>
              </w:rPr>
              <w:t>12.2</w:t>
            </w:r>
          </w:p>
        </w:tc>
      </w:tr>
      <w:tr>
        <w:tblPrEx>
          <w:tblW w:w="18700" w:type="dxa"/>
          <w:tblInd w:w="220" w:type="dxa"/>
          <w:tblLayout w:type="fixed"/>
        </w:tblPrEx>
        <w:trPr>
          <w:trHeight w:val="609"/>
        </w:trPr>
        <w:tc>
          <w:tcPr>
            <w:tcW w:w="18700" w:type="dxa"/>
            <w:gridSpan w:val="6"/>
            <w:vAlign w:val="top"/>
          </w:tcPr>
          <w:p>
            <w:pPr>
              <w:pStyle w:val="TableText"/>
              <w:spacing w:before="161" w:line="166" w:lineRule="auto"/>
              <w:ind w:left="81"/>
            </w:pPr>
            <w:r>
              <w:rPr>
                <w:b/>
                <w:bCs/>
                <w:spacing w:val="-3"/>
                <w:position w:val="2"/>
              </w:rPr>
              <w:t>其他(万吨LCE)</w:t>
            </w:r>
            <w:r>
              <w:rPr>
                <w:spacing w:val="4"/>
                <w:position w:val="2"/>
              </w:rPr>
              <w:t xml:space="preserve">                     </w:t>
            </w:r>
            <w:r>
              <w:rPr>
                <w:b/>
                <w:bCs/>
                <w:spacing w:val="-3"/>
                <w:position w:val="-1"/>
              </w:rPr>
              <w:t>17.1</w:t>
            </w:r>
            <w:r>
              <w:rPr>
                <w:spacing w:val="-3"/>
                <w:position w:val="-1"/>
              </w:rPr>
              <w:t xml:space="preserve">        </w:t>
            </w:r>
            <w:r>
              <w:rPr>
                <w:b/>
                <w:bCs/>
                <w:spacing w:val="-3"/>
                <w:position w:val="-1"/>
              </w:rPr>
              <w:t>18.</w:t>
            </w:r>
            <w:r>
              <w:rPr>
                <w:b/>
                <w:bCs/>
                <w:spacing w:val="-4"/>
                <w:position w:val="-1"/>
              </w:rPr>
              <w:t>0</w:t>
            </w:r>
            <w:r>
              <w:rPr>
                <w:spacing w:val="-4"/>
                <w:position w:val="-1"/>
              </w:rPr>
              <w:t xml:space="preserve">        </w:t>
            </w:r>
            <w:r>
              <w:rPr>
                <w:b/>
                <w:bCs/>
                <w:spacing w:val="-4"/>
                <w:position w:val="-1"/>
              </w:rPr>
              <w:t>18.9</w:t>
            </w:r>
            <w:r>
              <w:rPr>
                <w:spacing w:val="-4"/>
                <w:position w:val="-1"/>
              </w:rPr>
              <w:t xml:space="preserve">        </w:t>
            </w:r>
            <w:r>
              <w:rPr>
                <w:b/>
                <w:bCs/>
                <w:spacing w:val="-4"/>
                <w:position w:val="-4"/>
              </w:rPr>
              <w:t>20.8</w:t>
            </w:r>
            <w:r>
              <w:rPr>
                <w:spacing w:val="-4"/>
                <w:position w:val="-4"/>
              </w:rPr>
              <w:t xml:space="preserve">       </w:t>
            </w:r>
            <w:r>
              <w:rPr>
                <w:b/>
                <w:bCs/>
                <w:spacing w:val="-4"/>
                <w:position w:val="-1"/>
              </w:rPr>
              <w:t>22.8</w:t>
            </w:r>
          </w:p>
        </w:tc>
      </w:tr>
    </w:tbl>
    <w:p>
      <w:pPr>
        <w:sectPr>
          <w:headerReference w:type="default" r:id="rId15"/>
          <w:footerReference w:type="default" r:id="rId16"/>
          <w:pgSz w:w="19200" w:h="10800"/>
          <w:pgMar w:top="400" w:right="0" w:bottom="130" w:left="0" w:header="0" w:footer="0" w:gutter="0"/>
          <w:pgNumType w:start="5"/>
          <w:cols w:space="708"/>
        </w:sectPr>
      </w:pPr>
    </w:p>
    <w:tbl>
      <w:tblPr>
        <w:tblStyle w:val="TableNormal1"/>
        <w:tblW w:w="18700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8700"/>
      </w:tblGrid>
      <w:tr>
        <w:tblPrEx>
          <w:tblW w:w="18700" w:type="dxa"/>
          <w:tblInd w:w="22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733"/>
        </w:trPr>
        <w:tc>
          <w:tcPr>
            <w:tcW w:w="18700" w:type="dxa"/>
            <w:vAlign w:val="top"/>
          </w:tcPr>
          <w:p>
            <w:pPr>
              <w:pStyle w:val="TableText"/>
              <w:spacing w:before="210" w:line="216" w:lineRule="auto"/>
              <w:ind w:left="91"/>
            </w:pPr>
            <w:r>
              <w:rPr>
                <w:b/>
                <w:bCs/>
                <w:color w:val="FFFFFF"/>
                <w:spacing w:val="-5"/>
              </w:rPr>
              <w:t>合计消费量(万吨LCE)</w:t>
            </w:r>
            <w:r>
              <w:rPr>
                <w:color w:val="FFFFFF"/>
                <w:spacing w:val="8"/>
              </w:rPr>
              <w:t xml:space="preserve">               </w:t>
            </w:r>
            <w:r>
              <w:rPr>
                <w:b/>
                <w:bCs/>
                <w:color w:val="FFFFFF"/>
                <w:spacing w:val="-5"/>
                <w:position w:val="-1"/>
              </w:rPr>
              <w:t>61.7</w:t>
            </w:r>
            <w:r>
              <w:rPr>
                <w:color w:val="FFFFFF"/>
                <w:spacing w:val="23"/>
                <w:position w:val="-1"/>
              </w:rPr>
              <w:t xml:space="preserve">       </w:t>
            </w:r>
            <w:r>
              <w:rPr>
                <w:b/>
                <w:bCs/>
                <w:color w:val="FFFFFF"/>
                <w:spacing w:val="-5"/>
              </w:rPr>
              <w:t>93.2</w:t>
            </w:r>
            <w:r>
              <w:rPr>
                <w:color w:val="FFFFFF"/>
                <w:spacing w:val="11"/>
              </w:rPr>
              <w:t xml:space="preserve">       </w:t>
            </w:r>
            <w:r>
              <w:rPr>
                <w:b/>
                <w:bCs/>
                <w:color w:val="FFFFFF"/>
                <w:spacing w:val="-5"/>
              </w:rPr>
              <w:t>100.5</w:t>
            </w:r>
            <w:r>
              <w:rPr>
                <w:color w:val="FFFFFF"/>
                <w:spacing w:val="-5"/>
              </w:rPr>
              <w:t xml:space="preserve">      </w:t>
            </w:r>
            <w:r>
              <w:rPr>
                <w:b/>
                <w:bCs/>
                <w:color w:val="FFFFFF"/>
                <w:spacing w:val="-5"/>
                <w:position w:val="1"/>
              </w:rPr>
              <w:t>121.8</w:t>
            </w:r>
            <w:r>
              <w:rPr>
                <w:color w:val="FFFFFF"/>
                <w:spacing w:val="4"/>
                <w:position w:val="1"/>
              </w:rPr>
              <w:t xml:space="preserve">       </w:t>
            </w:r>
            <w:r>
              <w:rPr>
                <w:b/>
                <w:bCs/>
                <w:color w:val="FFFFFF"/>
                <w:spacing w:val="-5"/>
                <w:position w:val="1"/>
              </w:rPr>
              <w:t>152.6</w:t>
            </w:r>
          </w:p>
          <w:p>
            <w:pPr>
              <w:pStyle w:val="TableText"/>
              <w:spacing w:before="46" w:line="211" w:lineRule="auto"/>
              <w:ind w:left="91"/>
            </w:pPr>
            <w:r>
              <w:rPr>
                <w:b/>
                <w:bCs/>
                <w:color w:val="FFFFFF"/>
                <w:spacing w:val="-4"/>
                <w:position w:val="1"/>
              </w:rPr>
              <w:t>全球锂供给量(万吨LCE)</w:t>
            </w:r>
            <w:r>
              <w:rPr>
                <w:color w:val="FFFFFF"/>
                <w:spacing w:val="6"/>
                <w:position w:val="1"/>
              </w:rPr>
              <w:t xml:space="preserve">             </w:t>
            </w:r>
            <w:r>
              <w:rPr>
                <w:b/>
                <w:bCs/>
                <w:color w:val="FFFFFF"/>
                <w:spacing w:val="-4"/>
              </w:rPr>
              <w:t>60.4</w:t>
            </w:r>
            <w:r>
              <w:rPr>
                <w:color w:val="FFFFFF"/>
                <w:spacing w:val="-4"/>
              </w:rPr>
              <w:t xml:space="preserve">        </w:t>
            </w:r>
            <w:r>
              <w:rPr>
                <w:b/>
                <w:bCs/>
                <w:color w:val="FFFFFF"/>
                <w:spacing w:val="-4"/>
                <w:position w:val="-4"/>
              </w:rPr>
              <w:t>83.7</w:t>
            </w:r>
            <w:r>
              <w:rPr>
                <w:color w:val="FFFFFF"/>
                <w:spacing w:val="24"/>
                <w:position w:val="-4"/>
              </w:rPr>
              <w:t xml:space="preserve">       </w:t>
            </w:r>
            <w:r>
              <w:rPr>
                <w:b/>
                <w:bCs/>
                <w:color w:val="FFFFFF"/>
                <w:spacing w:val="-4"/>
                <w:position w:val="-3"/>
              </w:rPr>
              <w:t>98.8</w:t>
            </w:r>
            <w:r>
              <w:rPr>
                <w:color w:val="FFFFFF"/>
                <w:spacing w:val="21"/>
                <w:position w:val="-3"/>
              </w:rPr>
              <w:t xml:space="preserve">      </w:t>
            </w:r>
            <w:r>
              <w:rPr>
                <w:b/>
                <w:bCs/>
                <w:color w:val="FFFFFF"/>
                <w:spacing w:val="-4"/>
                <w:position w:val="-1"/>
              </w:rPr>
              <w:t>146.4</w:t>
            </w:r>
            <w:r>
              <w:rPr>
                <w:color w:val="FFFFFF"/>
                <w:spacing w:val="-4"/>
                <w:position w:val="-1"/>
              </w:rPr>
              <w:t xml:space="preserve">  </w:t>
            </w:r>
            <w:r>
              <w:rPr>
                <w:color w:val="FFFFFF"/>
                <w:spacing w:val="-5"/>
                <w:position w:val="-1"/>
              </w:rPr>
              <w:t xml:space="preserve">     </w:t>
            </w:r>
            <w:r>
              <w:rPr>
                <w:b/>
                <w:bCs/>
                <w:color w:val="FFFFFF"/>
                <w:spacing w:val="-5"/>
              </w:rPr>
              <w:t>185.1</w:t>
            </w:r>
          </w:p>
          <w:p>
            <w:pPr>
              <w:pStyle w:val="TableText"/>
              <w:spacing w:line="182" w:lineRule="auto"/>
              <w:ind w:left="40"/>
            </w:pPr>
            <w:r>
              <w:rPr>
                <w:b/>
                <w:bCs/>
                <w:color w:val="FFFFFF"/>
                <w:spacing w:val="-6"/>
                <w:position w:val="1"/>
              </w:rPr>
              <w:t>供需平衡</w:t>
            </w:r>
            <w:r>
              <w:rPr>
                <w:color w:val="FFFFFF"/>
                <w:spacing w:val="3"/>
                <w:position w:val="1"/>
              </w:rPr>
              <w:t xml:space="preserve">                        </w:t>
            </w:r>
            <w:r>
              <w:rPr>
                <w:color w:val="FFFFFF"/>
                <w:spacing w:val="2"/>
                <w:position w:val="1"/>
              </w:rPr>
              <w:t xml:space="preserve">   </w:t>
            </w:r>
            <w:r>
              <w:rPr>
                <w:b/>
                <w:bCs/>
                <w:color w:val="FFFFFF"/>
                <w:spacing w:val="-6"/>
              </w:rPr>
              <w:t>-1.3</w:t>
            </w:r>
            <w:r>
              <w:rPr>
                <w:color w:val="FFFFFF"/>
                <w:spacing w:val="20"/>
              </w:rPr>
              <w:t xml:space="preserve">       </w:t>
            </w:r>
            <w:r>
              <w:rPr>
                <w:b/>
                <w:bCs/>
                <w:color w:val="FFFFFF"/>
                <w:spacing w:val="-6"/>
              </w:rPr>
              <w:t>-9.5</w:t>
            </w:r>
            <w:r>
              <w:rPr>
                <w:color w:val="FFFFFF"/>
                <w:spacing w:val="-6"/>
              </w:rPr>
              <w:t xml:space="preserve">        </w:t>
            </w:r>
            <w:r>
              <w:rPr>
                <w:b/>
                <w:bCs/>
                <w:color w:val="FFFFFF"/>
                <w:spacing w:val="-6"/>
              </w:rPr>
              <w:t>-1.7</w:t>
            </w:r>
            <w:r>
              <w:rPr>
                <w:color w:val="FFFFFF"/>
                <w:spacing w:val="9"/>
              </w:rPr>
              <w:t xml:space="preserve">       </w:t>
            </w:r>
            <w:r>
              <w:rPr>
                <w:b/>
                <w:bCs/>
                <w:color w:val="FFFFFF"/>
                <w:spacing w:val="-6"/>
              </w:rPr>
              <w:t>24.6</w:t>
            </w:r>
            <w:r>
              <w:rPr>
                <w:color w:val="FFFFFF"/>
                <w:spacing w:val="15"/>
              </w:rPr>
              <w:t xml:space="preserve">       </w:t>
            </w:r>
            <w:r>
              <w:rPr>
                <w:b/>
                <w:bCs/>
                <w:color w:val="FFFFFF"/>
                <w:spacing w:val="-6"/>
              </w:rPr>
              <w:t>32.6</w:t>
            </w:r>
          </w:p>
        </w:tc>
      </w:tr>
    </w:tbl>
    <w:p>
      <w:pPr>
        <w:spacing w:before="143" w:line="183" w:lineRule="auto"/>
        <w:ind w:left="1858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z w:val="23"/>
          <w:szCs w:val="23"/>
        </w:rPr>
        <w:t>3</w:t>
      </w:r>
    </w:p>
    <w:p>
      <w:pPr>
        <w:spacing w:before="203" w:line="184" w:lineRule="auto"/>
        <w:ind w:left="1160"/>
        <w:rPr>
          <w:rFonts w:ascii="KaiTi" w:eastAsia="KaiTi" w:hAnsi="KaiTi" w:cs="KaiTi"/>
          <w:sz w:val="22"/>
          <w:szCs w:val="22"/>
        </w:rPr>
      </w:pPr>
      <w:r>
        <w:rPr>
          <w:rFonts w:ascii="KaiTi" w:eastAsia="KaiTi" w:hAnsi="KaiTi" w:cs="KaiTi"/>
          <w:color w:val="A90000"/>
          <w:spacing w:val="-4"/>
          <w:sz w:val="22"/>
          <w:szCs w:val="22"/>
        </w:rPr>
        <w:t>资料来源：</w:t>
      </w:r>
      <w:r>
        <w:rPr>
          <w:rFonts w:ascii="KaiTi" w:eastAsia="KaiTi" w:hAnsi="KaiTi" w:cs="KaiTi"/>
          <w:color w:val="A90000"/>
          <w:spacing w:val="-36"/>
          <w:sz w:val="22"/>
          <w:szCs w:val="22"/>
        </w:rPr>
        <w:t xml:space="preserve"> </w:t>
      </w:r>
      <w:r>
        <w:rPr>
          <w:rFonts w:ascii="Arial" w:eastAsia="Arial" w:hAnsi="Arial" w:cs="Arial"/>
          <w:color w:val="A90000"/>
          <w:spacing w:val="-4"/>
          <w:sz w:val="22"/>
          <w:szCs w:val="22"/>
        </w:rPr>
        <w:t xml:space="preserve">Marklines,   </w:t>
      </w:r>
      <w:r>
        <w:rPr>
          <w:rFonts w:ascii="KaiTi" w:eastAsia="KaiTi" w:hAnsi="KaiTi" w:cs="KaiTi"/>
          <w:color w:val="A90000"/>
          <w:spacing w:val="-4"/>
          <w:sz w:val="22"/>
          <w:szCs w:val="22"/>
        </w:rPr>
        <w:t>安泰科，</w:t>
      </w:r>
      <w:r>
        <w:rPr>
          <w:rFonts w:ascii="KaiTi" w:eastAsia="KaiTi" w:hAnsi="KaiTi" w:cs="KaiTi"/>
          <w:color w:val="A90000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color w:val="A90000"/>
          <w:spacing w:val="-4"/>
          <w:sz w:val="22"/>
          <w:szCs w:val="22"/>
        </w:rPr>
        <w:t>EV    Tank,</w:t>
      </w:r>
      <w:r>
        <w:rPr>
          <w:rFonts w:ascii="KaiTi" w:eastAsia="KaiTi" w:hAnsi="KaiTi" w:cs="KaiTi"/>
          <w:color w:val="A90000"/>
          <w:spacing w:val="-4"/>
          <w:sz w:val="22"/>
          <w:szCs w:val="22"/>
        </w:rPr>
        <w:t>中国产业研究院，</w:t>
      </w:r>
      <w:r>
        <w:rPr>
          <w:rFonts w:ascii="Arial" w:eastAsia="Arial" w:hAnsi="Arial" w:cs="Arial"/>
          <w:color w:val="A90000"/>
          <w:spacing w:val="-4"/>
          <w:sz w:val="22"/>
          <w:szCs w:val="22"/>
        </w:rPr>
        <w:t>QY</w:t>
      </w:r>
      <w:r>
        <w:rPr>
          <w:rFonts w:ascii="Arial" w:eastAsia="Arial" w:hAnsi="Arial" w:cs="Arial"/>
          <w:color w:val="A90000"/>
          <w:spacing w:val="22"/>
          <w:sz w:val="22"/>
          <w:szCs w:val="22"/>
        </w:rPr>
        <w:t xml:space="preserve">  </w:t>
      </w:r>
      <w:r>
        <w:rPr>
          <w:rFonts w:ascii="Arial" w:eastAsia="Arial" w:hAnsi="Arial" w:cs="Arial"/>
          <w:color w:val="A90000"/>
          <w:spacing w:val="-4"/>
          <w:sz w:val="22"/>
          <w:szCs w:val="22"/>
        </w:rPr>
        <w:t>R</w:t>
      </w:r>
      <w:r>
        <w:rPr>
          <w:rFonts w:ascii="Arial" w:eastAsia="Arial" w:hAnsi="Arial" w:cs="Arial"/>
          <w:color w:val="A90000"/>
          <w:spacing w:val="-5"/>
          <w:sz w:val="22"/>
          <w:szCs w:val="22"/>
        </w:rPr>
        <w:t>esearch,</w:t>
      </w:r>
      <w:r>
        <w:rPr>
          <w:rFonts w:ascii="Arial" w:eastAsia="Arial" w:hAnsi="Arial" w:cs="Arial"/>
          <w:color w:val="A90000"/>
          <w:spacing w:val="40"/>
          <w:w w:val="101"/>
          <w:sz w:val="22"/>
          <w:szCs w:val="22"/>
        </w:rPr>
        <w:t xml:space="preserve"> </w:t>
      </w:r>
      <w:r>
        <w:rPr>
          <w:rFonts w:ascii="KaiTi" w:eastAsia="KaiTi" w:hAnsi="KaiTi" w:cs="KaiTi"/>
          <w:color w:val="A90000"/>
          <w:spacing w:val="-5"/>
          <w:sz w:val="22"/>
          <w:szCs w:val="22"/>
        </w:rPr>
        <w:t>普华有策，</w:t>
      </w:r>
      <w:r>
        <w:rPr>
          <w:rFonts w:ascii="Arial" w:eastAsia="Arial" w:hAnsi="Arial" w:cs="Arial"/>
          <w:color w:val="A90000"/>
          <w:spacing w:val="-5"/>
          <w:sz w:val="22"/>
          <w:szCs w:val="22"/>
        </w:rPr>
        <w:t xml:space="preserve">Wind,   </w:t>
      </w:r>
      <w:r>
        <w:rPr>
          <w:rFonts w:ascii="KaiTi" w:eastAsia="KaiTi" w:hAnsi="KaiTi" w:cs="KaiTi"/>
          <w:color w:val="A90000"/>
          <w:spacing w:val="-5"/>
          <w:sz w:val="22"/>
          <w:szCs w:val="22"/>
        </w:rPr>
        <w:t>公司公告，浙商证券研究所</w:t>
      </w:r>
    </w:p>
    <w:p>
      <w:pPr>
        <w:spacing w:line="184" w:lineRule="auto"/>
        <w:rPr>
          <w:rFonts w:ascii="KaiTi" w:eastAsia="KaiTi" w:hAnsi="KaiTi" w:cs="KaiTi"/>
          <w:sz w:val="22"/>
          <w:szCs w:val="22"/>
        </w:rPr>
        <w:sectPr>
          <w:headerReference w:type="default" r:id="rId17"/>
          <w:footerReference w:type="default" r:id="rId18"/>
          <w:type w:val="nextPage"/>
          <w:pgSz w:w="19200" w:h="10800"/>
          <w:pgMar w:top="400" w:right="0" w:bottom="130" w:left="0" w:header="0" w:footer="0" w:gutter="0"/>
          <w:pgNumType w:start="6"/>
          <w:cols w:space="708"/>
          <w:titlePg w:val="0"/>
        </w:sectPr>
      </w:pPr>
    </w:p>
    <w:p>
      <w:pPr>
        <w:spacing w:line="659" w:lineRule="exact"/>
        <w:ind w:firstLine="14839"/>
      </w:pPr>
      <w:r>
        <w:pict>
          <v:group id="_x0000_s1026" style="width:57.5pt;height:58.5pt;margin-top:16pt;margin-left:16.5pt;mso-position-horizontal-relative:page;mso-position-vertical-relative:page;position:absolute;z-index:-251650048" coordorigin="0,0" coordsize="1150,1170" o:allowincell="f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1150;height:1170;position:absolute" filled="f" stroked="f">
              <v:imagedata r:id="rId1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1190;height:137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78" w:line="184" w:lineRule="auto"/>
                      <w:ind w:left="227"/>
                      <w:rPr>
                        <w:rFonts w:ascii="SimSun" w:eastAsia="SimSun" w:hAnsi="SimSun" w:cs="SimSun"/>
                        <w:sz w:val="55"/>
                        <w:szCs w:val="55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spacing w:val="-13"/>
                        <w:sz w:val="55"/>
                        <w:szCs w:val="55"/>
                      </w:rPr>
                      <w:t>01</w:t>
                    </w:r>
                  </w:p>
                </w:txbxContent>
              </v:textbox>
            </v:shape>
          </v:group>
        </w:pict>
      </w:r>
      <w:r>
        <w:pict>
          <v:shape id="_x0000_s1029" type="#_x0000_t202" style="width:117.25pt;height:29.25pt;margin-top:23.02pt;margin-left:101.33pt;mso-position-horizontal-relative:page;mso-position-vertical-relative:page;position:absolute;z-index:251667456" o:allowincell="f" filled="f" stroked="f">
            <o:lock v:ext="edit" aspectratio="f"/>
            <v:textbox inset="0,0,0,0">
              <w:txbxContent>
                <w:p>
                  <w:pPr>
                    <w:spacing w:before="19" w:line="219" w:lineRule="auto"/>
                    <w:ind w:left="20"/>
                    <w:rPr>
                      <w:rFonts w:ascii="SimSun" w:eastAsia="SimSun" w:hAnsi="SimSun" w:cs="SimSun"/>
                      <w:sz w:val="46"/>
                      <w:szCs w:val="46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spacing w:val="-4"/>
                      <w:sz w:val="46"/>
                      <w:szCs w:val="46"/>
                    </w:rPr>
                    <w:t>全球锂供给</w:t>
                  </w:r>
                </w:p>
              </w:txbxContent>
            </v:textbox>
          </v:shape>
        </w:pict>
      </w:r>
      <w:r>
        <w:rPr>
          <w:position w:val="-13"/>
        </w:rPr>
        <w:pict>
          <v:group id="_x0000_i1030" style="width:179.55pt;height:33pt;mso-position-horizontal-relative:char;mso-position-vertical-relative:line" coordorigin="0,0" coordsize="3591,660" filled="f" stroked="f">
            <v:shape id="_x0000_s1031" type="#_x0000_t75" style="width:3591;height:660;position:absolute" filled="f" stroked="f">
              <v:imagedata r:id="rId20" o:title=""/>
            </v:shape>
            <v:shape id="_x0000_s1032" type="#_x0000_t202" style="width:3631;height:700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40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8" w:line="184" w:lineRule="auto"/>
                      <w:ind w:left="80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21"/>
                        <w:szCs w:val="21"/>
                      </w:rPr>
                      <w:t>ZHESHANG SECURITIES CO.LTD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1"/>
      </w:pPr>
    </w:p>
    <w:p>
      <w:pPr>
        <w:spacing w:before="20"/>
      </w:pPr>
    </w:p>
    <w:tbl>
      <w:tblPr>
        <w:tblStyle w:val="TableNormal2"/>
        <w:tblW w:w="18410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</w:tblPr>
      <w:tblGrid>
        <w:gridCol w:w="18410"/>
      </w:tblGrid>
      <w:tr>
        <w:tblPrEx>
          <w:tblW w:w="18410" w:type="dxa"/>
          <w:tblInd w:w="3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  <w:tblLayout w:type="fixed"/>
        </w:tblPrEx>
        <w:trPr>
          <w:trHeight w:val="2390"/>
        </w:trPr>
        <w:tc>
          <w:tcPr>
            <w:tcW w:w="18410" w:type="dxa"/>
            <w:vAlign w:val="top"/>
          </w:tcPr>
          <w:p>
            <w:pPr>
              <w:pStyle w:val="TableText"/>
              <w:spacing w:before="276" w:line="579" w:lineRule="exact"/>
              <w:ind w:left="154"/>
              <w:rPr>
                <w:sz w:val="32"/>
                <w:szCs w:val="32"/>
              </w:rPr>
            </w:pPr>
            <w:r>
              <w:rPr>
                <w:spacing w:val="-2"/>
                <w:position w:val="19"/>
                <w:sz w:val="32"/>
                <w:szCs w:val="32"/>
              </w:rPr>
              <w:t>2021-2025年全球锂产量及预测量分别为57.0/75.7/98.8/146.4/185.1万吨。澳洲是锂供给第一大产地，   占比分别为</w:t>
            </w:r>
          </w:p>
          <w:p>
            <w:pPr>
              <w:pStyle w:val="TableText"/>
              <w:spacing w:before="1" w:line="217" w:lineRule="auto"/>
              <w:ind w:left="15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38%/40%/39%/33%/32%;津巴布韦、马里、埃塞俄比亚等国锂矿逐渐投产，促使非洲成增长幅度最大产地，占比分别为</w:t>
            </w:r>
          </w:p>
          <w:p>
            <w:pPr>
              <w:pStyle w:val="TableText"/>
              <w:spacing w:before="193" w:line="591" w:lineRule="exact"/>
              <w:ind w:left="175"/>
              <w:rPr>
                <w:sz w:val="32"/>
                <w:szCs w:val="32"/>
              </w:rPr>
            </w:pPr>
            <w:r>
              <w:rPr>
                <w:position w:val="20"/>
                <w:sz w:val="32"/>
                <w:szCs w:val="32"/>
              </w:rPr>
              <w:t>0%/1%/4%/13%/15%。按来源分类，锂辉石是锂供给最主要来源，锂辉石与盐湖相对成本较低，产量占比有望逐渐提升，挤占锂</w:t>
            </w:r>
          </w:p>
          <w:p>
            <w:pPr>
              <w:pStyle w:val="TableText"/>
              <w:spacing w:before="1" w:line="208" w:lineRule="auto"/>
              <w:ind w:left="15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云母份额。</w:t>
            </w:r>
          </w:p>
        </w:tc>
      </w:tr>
    </w:tbl>
    <w:p>
      <w:pPr>
        <w:spacing w:line="144" w:lineRule="exact"/>
        <w:rPr>
          <w:rFonts w:ascii="Arial"/>
          <w:sz w:val="12"/>
        </w:rPr>
      </w:pPr>
    </w:p>
    <w:p>
      <w:pPr>
        <w:spacing w:line="144" w:lineRule="exact"/>
        <w:rPr>
          <w:rFonts w:ascii="Arial" w:eastAsia="Arial" w:hAnsi="Arial" w:cs="Arial"/>
          <w:sz w:val="12"/>
          <w:szCs w:val="12"/>
        </w:rPr>
        <w:sectPr>
          <w:headerReference w:type="default" r:id="rId21"/>
          <w:footerReference w:type="default" r:id="rId22"/>
          <w:pgSz w:w="19200" w:h="10800"/>
          <w:pgMar w:top="250" w:right="414" w:bottom="400" w:left="330" w:header="0" w:footer="0" w:gutter="0"/>
          <w:pgNumType w:start="7"/>
          <w:cols w:num="1" w:space="708" w:equalWidth="0">
            <w:col w:w="18456" w:space="0"/>
          </w:cols>
        </w:sectPr>
      </w:pPr>
    </w:p>
    <w:p>
      <w:pPr>
        <w:spacing w:before="64" w:line="223" w:lineRule="auto"/>
        <w:ind w:left="189"/>
        <w:rPr>
          <w:rFonts w:ascii="SimSun" w:eastAsia="SimSun" w:hAnsi="SimSun" w:cs="SimSun"/>
          <w:sz w:val="21"/>
          <w:szCs w:val="21"/>
        </w:rPr>
      </w:pPr>
      <w:r>
        <w:rPr>
          <w:rFonts w:ascii="KaiTi" w:eastAsia="KaiTi" w:hAnsi="KaiTi" w:cs="KaiTi"/>
          <w:spacing w:val="-6"/>
          <w:sz w:val="21"/>
          <w:szCs w:val="21"/>
        </w:rPr>
        <w:t>图：锂供给各产地占比(左轴：万吨</w:t>
      </w:r>
      <w:r>
        <w:rPr>
          <w:rFonts w:ascii="SimSun" w:eastAsia="SimSun" w:hAnsi="SimSun" w:cs="SimSun"/>
          <w:spacing w:val="-6"/>
          <w:sz w:val="21"/>
          <w:szCs w:val="21"/>
        </w:rPr>
        <w:t>LCE)</w:t>
      </w:r>
    </w:p>
    <w:p>
      <w:pPr>
        <w:spacing w:before="169" w:line="225" w:lineRule="auto"/>
        <w:ind w:left="2319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5"/>
          <w:sz w:val="21"/>
          <w:szCs w:val="21"/>
        </w:rPr>
        <w:t>■澳洲</w:t>
      </w:r>
      <w:r>
        <w:rPr>
          <w:rFonts w:ascii="KaiTi" w:eastAsia="KaiTi" w:hAnsi="KaiTi" w:cs="KaiTi"/>
          <w:spacing w:val="83"/>
          <w:sz w:val="21"/>
          <w:szCs w:val="21"/>
        </w:rPr>
        <w:t xml:space="preserve"> </w:t>
      </w:r>
      <w:r>
        <w:rPr>
          <w:rFonts w:ascii="KaiTi" w:eastAsia="KaiTi" w:hAnsi="KaiTi" w:cs="KaiTi"/>
          <w:spacing w:val="-5"/>
          <w:sz w:val="21"/>
          <w:szCs w:val="21"/>
        </w:rPr>
        <w:t>■北美洲</w:t>
      </w:r>
      <w:r>
        <w:rPr>
          <w:rFonts w:ascii="KaiTi" w:eastAsia="KaiTi" w:hAnsi="KaiTi" w:cs="KaiTi"/>
          <w:spacing w:val="63"/>
          <w:sz w:val="21"/>
          <w:szCs w:val="21"/>
        </w:rPr>
        <w:t xml:space="preserve"> </w:t>
      </w:r>
      <w:r>
        <w:rPr>
          <w:rFonts w:ascii="KaiTi" w:eastAsia="KaiTi" w:hAnsi="KaiTi" w:cs="KaiTi"/>
          <w:spacing w:val="-5"/>
          <w:sz w:val="21"/>
          <w:szCs w:val="21"/>
        </w:rPr>
        <w:t>■非洲</w:t>
      </w:r>
      <w:r>
        <w:rPr>
          <w:rFonts w:ascii="KaiTi" w:eastAsia="KaiTi" w:hAnsi="KaiTi" w:cs="KaiTi"/>
          <w:spacing w:val="93"/>
          <w:sz w:val="21"/>
          <w:szCs w:val="21"/>
        </w:rPr>
        <w:t xml:space="preserve"> </w:t>
      </w:r>
      <w:r>
        <w:rPr>
          <w:rFonts w:ascii="KaiTi" w:eastAsia="KaiTi" w:hAnsi="KaiTi" w:cs="KaiTi"/>
          <w:spacing w:val="-5"/>
          <w:sz w:val="21"/>
          <w:szCs w:val="21"/>
        </w:rPr>
        <w:t>■南美洲</w:t>
      </w:r>
      <w:r>
        <w:rPr>
          <w:rFonts w:ascii="KaiTi" w:eastAsia="KaiTi" w:hAnsi="KaiTi" w:cs="KaiTi"/>
          <w:spacing w:val="53"/>
          <w:sz w:val="21"/>
          <w:szCs w:val="21"/>
        </w:rPr>
        <w:t xml:space="preserve"> </w:t>
      </w:r>
      <w:r>
        <w:rPr>
          <w:rFonts w:ascii="KaiTi" w:eastAsia="KaiTi" w:hAnsi="KaiTi" w:cs="KaiTi"/>
          <w:spacing w:val="-5"/>
          <w:sz w:val="21"/>
          <w:szCs w:val="21"/>
        </w:rPr>
        <w:t>■亚洲</w:t>
      </w:r>
    </w:p>
    <w:p>
      <w:pPr>
        <w:spacing w:before="98" w:line="4850" w:lineRule="exact"/>
        <w:ind w:firstLine="59"/>
      </w:pPr>
      <w:r>
        <w:rPr>
          <w:position w:val="-97"/>
        </w:rPr>
        <w:drawing>
          <wp:inline distT="0" distB="0" distL="0" distR="0">
            <wp:extent cx="5435681" cy="307979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35681" cy="307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9" w:lineRule="auto"/>
        <w:rPr>
          <w:rFonts w:ascii="Arial"/>
          <w:sz w:val="21"/>
        </w:rPr>
        <w:sectPr>
          <w:headerReference w:type="default" r:id="rId24"/>
          <w:footerReference w:type="default" r:id="rId25"/>
          <w:type w:val="continuous"/>
          <w:pgSz w:w="19200" w:h="10800"/>
          <w:pgMar w:top="250" w:right="414" w:bottom="400" w:left="330" w:header="0" w:footer="0" w:gutter="0"/>
          <w:pgNumType w:start="8"/>
          <w:cols w:num="2" w:space="708" w:equalWidth="0">
            <w:col w:w="8930" w:space="100"/>
            <w:col w:w="9426" w:space="0"/>
          </w:cols>
        </w:sectPr>
      </w:pPr>
    </w:p>
    <w:p>
      <w:pPr>
        <w:spacing w:before="69" w:line="192" w:lineRule="auto"/>
        <w:ind w:left="210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color w:val="AA0000"/>
          <w:spacing w:val="2"/>
          <w:sz w:val="21"/>
          <w:szCs w:val="21"/>
        </w:rPr>
        <w:t>资料来源：安泰科，</w:t>
      </w:r>
      <w:r>
        <w:rPr>
          <w:rFonts w:ascii="KaiTi" w:eastAsia="KaiTi" w:hAnsi="KaiTi" w:cs="KaiTi"/>
          <w:color w:val="AA0000"/>
          <w:spacing w:val="2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AA0000"/>
          <w:sz w:val="21"/>
          <w:szCs w:val="21"/>
        </w:rPr>
        <w:t>Wind</w:t>
      </w:r>
      <w:r>
        <w:rPr>
          <w:rFonts w:ascii="SimSun" w:eastAsia="SimSun" w:hAnsi="SimSun" w:cs="SimSun"/>
          <w:color w:val="AA0000"/>
          <w:spacing w:val="2"/>
          <w:sz w:val="21"/>
          <w:szCs w:val="21"/>
        </w:rPr>
        <w:t xml:space="preserve">,  </w:t>
      </w:r>
      <w:r>
        <w:rPr>
          <w:rFonts w:ascii="KaiTi" w:eastAsia="KaiTi" w:hAnsi="KaiTi" w:cs="KaiTi"/>
          <w:color w:val="AA0000"/>
          <w:spacing w:val="2"/>
          <w:sz w:val="21"/>
          <w:szCs w:val="21"/>
        </w:rPr>
        <w:t>公司公告，浙商证券研究所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4" w:line="212" w:lineRule="auto"/>
        <w:ind w:left="9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KaiTi" w:eastAsia="KaiTi" w:hAnsi="KaiTi" w:cs="KaiTi"/>
          <w:spacing w:val="-5"/>
          <w:sz w:val="21"/>
          <w:szCs w:val="21"/>
        </w:rPr>
        <w:t>图：锂供给各来源占比(左轴：万吨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LCE)</w:t>
      </w:r>
    </w:p>
    <w:p>
      <w:pPr>
        <w:spacing w:before="223" w:line="227" w:lineRule="auto"/>
        <w:ind w:left="3359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color w:val="BF0600"/>
          <w:spacing w:val="-6"/>
          <w:sz w:val="21"/>
          <w:szCs w:val="21"/>
        </w:rPr>
        <w:t>■</w:t>
      </w:r>
      <w:r>
        <w:rPr>
          <w:rFonts w:ascii="KaiTi" w:eastAsia="KaiTi" w:hAnsi="KaiTi" w:cs="KaiTi"/>
          <w:spacing w:val="-6"/>
          <w:sz w:val="21"/>
          <w:szCs w:val="21"/>
        </w:rPr>
        <w:t>锂辉石</w:t>
      </w:r>
      <w:r>
        <w:rPr>
          <w:rFonts w:ascii="KaiTi" w:eastAsia="KaiTi" w:hAnsi="KaiTi" w:cs="KaiTi"/>
          <w:spacing w:val="83"/>
          <w:sz w:val="21"/>
          <w:szCs w:val="21"/>
        </w:rPr>
        <w:t xml:space="preserve"> </w:t>
      </w:r>
      <w:r>
        <w:rPr>
          <w:rFonts w:ascii="KaiTi" w:eastAsia="KaiTi" w:hAnsi="KaiTi" w:cs="KaiTi"/>
          <w:color w:val="DCA203"/>
          <w:spacing w:val="-6"/>
          <w:sz w:val="21"/>
          <w:szCs w:val="21"/>
        </w:rPr>
        <w:t>■</w:t>
      </w:r>
      <w:r>
        <w:rPr>
          <w:rFonts w:ascii="KaiTi" w:eastAsia="KaiTi" w:hAnsi="KaiTi" w:cs="KaiTi"/>
          <w:spacing w:val="-6"/>
          <w:sz w:val="21"/>
          <w:szCs w:val="21"/>
        </w:rPr>
        <w:t>盐湖</w:t>
      </w:r>
      <w:r>
        <w:rPr>
          <w:rFonts w:ascii="KaiTi" w:eastAsia="KaiTi" w:hAnsi="KaiTi" w:cs="KaiTi"/>
          <w:spacing w:val="75"/>
          <w:sz w:val="21"/>
          <w:szCs w:val="21"/>
        </w:rPr>
        <w:t xml:space="preserve"> </w:t>
      </w:r>
      <w:r>
        <w:rPr>
          <w:rFonts w:ascii="KaiTi" w:eastAsia="KaiTi" w:hAnsi="KaiTi" w:cs="KaiTi"/>
          <w:color w:val="DCA203"/>
          <w:spacing w:val="-6"/>
          <w:sz w:val="21"/>
          <w:szCs w:val="21"/>
        </w:rPr>
        <w:t>■</w:t>
      </w:r>
      <w:r>
        <w:rPr>
          <w:rFonts w:ascii="KaiTi" w:eastAsia="KaiTi" w:hAnsi="KaiTi" w:cs="KaiTi"/>
          <w:spacing w:val="-6"/>
          <w:sz w:val="21"/>
          <w:szCs w:val="21"/>
        </w:rPr>
        <w:t>锂云母</w:t>
      </w:r>
    </w:p>
    <w:p>
      <w:pPr>
        <w:spacing w:before="183" w:line="4790" w:lineRule="exact"/>
      </w:pPr>
      <w:r>
        <w:rPr>
          <w:position w:val="-95"/>
        </w:rPr>
        <w:drawing>
          <wp:inline distT="0" distB="0" distL="0" distR="0">
            <wp:extent cx="5886419" cy="304166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86419" cy="304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34" w:lineRule="auto"/>
        <w:rPr>
          <w:rFonts w:ascii="Arial"/>
          <w:sz w:val="21"/>
        </w:rPr>
      </w:pPr>
    </w:p>
    <w:p>
      <w:pPr>
        <w:spacing w:before="69" w:line="197" w:lineRule="auto"/>
        <w:ind w:left="100"/>
        <w:rPr>
          <w:rFonts w:ascii="KaiTi" w:eastAsia="KaiTi" w:hAnsi="KaiTi" w:cs="KaiTi"/>
          <w:sz w:val="21"/>
          <w:szCs w:val="21"/>
        </w:rPr>
      </w:pPr>
      <w:r>
        <w:pict>
          <v:shape id="_x0000_s1033" type="#_x0000_t202" style="width:6.9pt;height:12.45pt;margin-top:-2.16pt;margin-left:460pt;position:absolute;z-index:251668480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0"/>
                    <w:rPr>
                      <w:rFonts w:ascii="SimSun" w:eastAsia="SimSun" w:hAnsi="SimSun" w:cs="SimSun"/>
                      <w:sz w:val="21"/>
                      <w:szCs w:val="21"/>
                    </w:rPr>
                  </w:pPr>
                  <w:r>
                    <w:rPr>
                      <w:rFonts w:ascii="SimSun" w:eastAsia="SimSun" w:hAnsi="SimSun" w:cs="SimSun"/>
                      <w:sz w:val="21"/>
                      <w:szCs w:val="21"/>
                    </w:rPr>
                    <w:t>4</w:t>
                  </w:r>
                </w:p>
              </w:txbxContent>
            </v:textbox>
          </v:shape>
        </w:pict>
      </w:r>
      <w:r>
        <w:rPr>
          <w:rFonts w:ascii="KaiTi" w:eastAsia="KaiTi" w:hAnsi="KaiTi" w:cs="KaiTi"/>
          <w:color w:val="AA0000"/>
          <w:spacing w:val="2"/>
          <w:sz w:val="21"/>
          <w:szCs w:val="21"/>
        </w:rPr>
        <w:t>资料来源：安泰科，</w:t>
      </w:r>
      <w:r>
        <w:rPr>
          <w:rFonts w:ascii="KaiTi" w:eastAsia="KaiTi" w:hAnsi="KaiTi" w:cs="KaiTi"/>
          <w:color w:val="AA0000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AA0000"/>
          <w:sz w:val="21"/>
          <w:szCs w:val="21"/>
        </w:rPr>
        <w:t>Wind</w:t>
      </w:r>
      <w:r>
        <w:rPr>
          <w:rFonts w:ascii="Times New Roman" w:eastAsia="Times New Roman" w:hAnsi="Times New Roman" w:cs="Times New Roman"/>
          <w:color w:val="AA0000"/>
          <w:spacing w:val="2"/>
          <w:sz w:val="21"/>
          <w:szCs w:val="21"/>
        </w:rPr>
        <w:t xml:space="preserve">,    </w:t>
      </w:r>
      <w:r>
        <w:rPr>
          <w:rFonts w:ascii="KaiTi" w:eastAsia="KaiTi" w:hAnsi="KaiTi" w:cs="KaiTi"/>
          <w:color w:val="AA0000"/>
          <w:spacing w:val="2"/>
          <w:sz w:val="21"/>
          <w:szCs w:val="21"/>
        </w:rPr>
        <w:t>公司公告，浙商证券研究所</w:t>
      </w:r>
    </w:p>
    <w:p>
      <w:pPr>
        <w:spacing w:line="197" w:lineRule="auto"/>
        <w:rPr>
          <w:rFonts w:ascii="KaiTi" w:eastAsia="KaiTi" w:hAnsi="KaiTi" w:cs="KaiTi"/>
          <w:sz w:val="21"/>
          <w:szCs w:val="21"/>
        </w:rPr>
        <w:sectPr>
          <w:headerReference w:type="default" r:id="rId27"/>
          <w:footerReference w:type="default" r:id="rId28"/>
          <w:type w:val="nextPage"/>
          <w:pgSz w:w="19200" w:h="10800"/>
          <w:pgMar w:top="250" w:right="414" w:bottom="400" w:left="330" w:header="0" w:footer="0" w:gutter="0"/>
          <w:pgNumType w:start="9"/>
          <w:cols w:num="2" w:space="708" w:equalWidth="0">
            <w:col w:w="8930" w:space="100"/>
            <w:col w:w="9426" w:space="0"/>
          </w:cols>
          <w:titlePg w:val="0"/>
        </w:sectPr>
      </w:pPr>
    </w:p>
    <w:p>
      <w:pPr>
        <w:pStyle w:val="BodyText"/>
        <w:spacing w:before="1" w:line="200" w:lineRule="auto"/>
        <w:ind w:right="76"/>
        <w:jc w:val="right"/>
        <w:rPr>
          <w:rFonts w:ascii="SimSun" w:eastAsia="SimSun" w:hAnsi="SimSun" w:cs="SimSun"/>
          <w:sz w:val="27"/>
          <w:szCs w:val="27"/>
        </w:rPr>
      </w:pPr>
      <w:r>
        <w:pict>
          <v:shape id="_x0000_s1034" type="#_x0000_t202" style="width:137.4pt;height:11.5pt;margin-top:14.35pt;margin-left:780.5pt;position:absolute;z-index:251671552" filled="f" stroked="f">
            <o:lock v:ext="edit" aspectratio="f"/>
            <v:textbox inset="0,0,0,0">
              <w:txbxContent>
                <w:p>
                  <w:pPr>
                    <w:spacing w:before="19" w:line="189" w:lineRule="auto"/>
                    <w:jc w:val="right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4"/>
                      <w:w w:val="90"/>
                      <w:sz w:val="21"/>
                      <w:szCs w:val="21"/>
                    </w:rPr>
                    <w:t>ZHES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3"/>
                      <w:w w:val="90"/>
                      <w:sz w:val="21"/>
                      <w:szCs w:val="21"/>
                    </w:rPr>
                    <w:t>HANG SECURITIES CO.LT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9"/>
                      <w:w w:val="90"/>
                      <w:sz w:val="21"/>
                      <w:szCs w:val="21"/>
                    </w:rPr>
                    <w:t>D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9504" behindDoc="1" locked="0" layoutInCell="0" allowOverlap="1">
            <wp:simplePos x="0" y="0"/>
            <wp:positionH relativeFrom="page">
              <wp:posOffset>209580</wp:posOffset>
            </wp:positionH>
            <wp:positionV relativeFrom="page">
              <wp:posOffset>203202</wp:posOffset>
            </wp:positionV>
            <wp:extent cx="730179" cy="742927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30179" cy="742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0" allowOverlap="1">
            <wp:simplePos x="0" y="0"/>
            <wp:positionH relativeFrom="page">
              <wp:posOffset>9721901</wp:posOffset>
            </wp:positionH>
            <wp:positionV relativeFrom="page">
              <wp:posOffset>158762</wp:posOffset>
            </wp:positionV>
            <wp:extent cx="387339" cy="400027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7339" cy="400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A90000"/>
          <w:spacing w:val="5"/>
          <w:position w:val="-6"/>
          <w:sz w:val="47"/>
          <w:szCs w:val="47"/>
        </w:rPr>
        <w:t>碳酸锂产量及地区分布</w:t>
      </w:r>
      <w:r>
        <w:rPr>
          <w:color w:val="A90000"/>
          <w:spacing w:val="5"/>
          <w:position w:val="-6"/>
          <w:sz w:val="47"/>
          <w:szCs w:val="47"/>
        </w:rPr>
        <w:t xml:space="preserve">                        </w:t>
      </w:r>
      <w:r>
        <w:rPr>
          <w:color w:val="A90000"/>
          <w:spacing w:val="4"/>
          <w:position w:val="-6"/>
          <w:sz w:val="47"/>
          <w:szCs w:val="47"/>
        </w:rPr>
        <w:t xml:space="preserve">              </w:t>
      </w:r>
      <w:r>
        <w:rPr>
          <w:rFonts w:ascii="SimSun" w:eastAsia="SimSun" w:hAnsi="SimSun" w:cs="SimSun"/>
          <w:spacing w:val="-124"/>
          <w:position w:val="19"/>
          <w:sz w:val="27"/>
          <w:szCs w:val="27"/>
          <w:u w:val="single" w:color="auto"/>
        </w:rPr>
        <w:t xml:space="preserve"> </w:t>
      </w:r>
      <w:r>
        <w:rPr>
          <w:rFonts w:ascii="SimSun" w:eastAsia="SimSun" w:hAnsi="SimSun" w:cs="SimSun"/>
          <w:b/>
          <w:bCs/>
          <w:spacing w:val="4"/>
          <w:position w:val="19"/>
          <w:sz w:val="27"/>
          <w:szCs w:val="27"/>
          <w:u w:val="single" w:color="auto"/>
        </w:rPr>
        <w:t>浙商证券股份有限公司</w:t>
      </w:r>
    </w:p>
    <w:p>
      <w:pPr>
        <w:spacing w:before="172"/>
      </w:pPr>
    </w:p>
    <w:tbl>
      <w:tblPr>
        <w:tblStyle w:val="TableNormal3"/>
        <w:tblW w:w="18465" w:type="dxa"/>
        <w:tblInd w:w="2" w:type="dxa"/>
        <w:tblBorders>
          <w:left w:val="single" w:sz="2" w:space="0" w:color="000000"/>
          <w:bottom w:val="single" w:sz="8" w:space="0" w:color="000000"/>
          <w:right w:val="single" w:sz="2" w:space="0" w:color="000000"/>
        </w:tblBorders>
        <w:tblLayout w:type="fixed"/>
      </w:tblPr>
      <w:tblGrid>
        <w:gridCol w:w="18465"/>
      </w:tblGrid>
      <w:tr>
        <w:tblPrEx>
          <w:tblW w:w="18465" w:type="dxa"/>
          <w:tblInd w:w="2" w:type="dxa"/>
          <w:tblBorders>
            <w:left w:val="single" w:sz="2" w:space="0" w:color="000000"/>
            <w:bottom w:val="single" w:sz="8" w:space="0" w:color="000000"/>
            <w:right w:val="single" w:sz="2" w:space="0" w:color="000000"/>
          </w:tblBorders>
          <w:tblLayout w:type="fixed"/>
        </w:tblPrEx>
        <w:trPr>
          <w:trHeight w:val="1509"/>
        </w:trPr>
        <w:tc>
          <w:tcPr>
            <w:tcW w:w="18465" w:type="dxa"/>
            <w:vAlign w:val="top"/>
          </w:tcPr>
          <w:p>
            <w:pPr>
              <w:spacing w:before="306" w:line="605" w:lineRule="exact"/>
              <w:ind w:left="194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5"/>
                <w:position w:val="21"/>
                <w:sz w:val="32"/>
                <w:szCs w:val="32"/>
              </w:rPr>
              <w:t>2021-2023年中国碳酸锂全年产量分别为20.96/30.13/37.56万吨，2022-2023年同比增速分别为44%/25%;2023年分地区产量中，</w:t>
            </w:r>
          </w:p>
          <w:p>
            <w:pPr>
              <w:spacing w:line="221" w:lineRule="auto"/>
              <w:ind w:left="194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28"/>
                <w:sz w:val="32"/>
                <w:szCs w:val="32"/>
              </w:rPr>
              <w:t>前五名省份分别为江西占比40%,青海占比24%,四川占比14%,江苏占比7%,山东占</w:t>
            </w:r>
            <w:r>
              <w:rPr>
                <w:rFonts w:ascii="SimHei" w:eastAsia="SimHei" w:hAnsi="SimHei" w:cs="SimHei"/>
                <w:spacing w:val="27"/>
                <w:sz w:val="32"/>
                <w:szCs w:val="32"/>
              </w:rPr>
              <w:t>比3%,其余省份合计占比12%。</w:t>
            </w:r>
          </w:p>
        </w:tc>
      </w:tr>
    </w:tbl>
    <w:p>
      <w:pPr>
        <w:rPr>
          <w:rFonts w:ascii="Arial"/>
          <w:sz w:val="21"/>
        </w:rPr>
      </w:pPr>
    </w:p>
    <w:p>
      <w:pPr>
        <w:spacing w:before="51"/>
      </w:pPr>
    </w:p>
    <w:p>
      <w:pPr>
        <w:spacing w:before="51"/>
      </w:pPr>
    </w:p>
    <w:p>
      <w:pPr>
        <w:spacing w:before="51"/>
      </w:pPr>
    </w:p>
    <w:p>
      <w:pPr>
        <w:sectPr>
          <w:headerReference w:type="default" r:id="rId31"/>
          <w:footerReference w:type="default" r:id="rId32"/>
          <w:pgSz w:w="19200" w:h="10800"/>
          <w:pgMar w:top="386" w:right="409" w:bottom="400" w:left="320" w:header="0" w:footer="0" w:gutter="0"/>
          <w:pgNumType w:start="10"/>
          <w:cols w:num="1" w:space="708" w:equalWidth="0">
            <w:col w:w="18471" w:space="0"/>
          </w:cols>
        </w:sectPr>
      </w:pPr>
    </w:p>
    <w:p>
      <w:pPr>
        <w:spacing w:before="53" w:line="223" w:lineRule="auto"/>
        <w:ind w:left="199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5"/>
          <w:sz w:val="21"/>
          <w:szCs w:val="21"/>
        </w:rPr>
        <w:t>图：中国碳酸锂全年产量(吨)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" w:line="4220" w:lineRule="exact"/>
        <w:ind w:firstLine="69"/>
      </w:pPr>
      <w:r>
        <w:rPr>
          <w:position w:val="-84"/>
        </w:rPr>
        <w:drawing>
          <wp:inline distT="0" distB="0" distL="0" distR="0">
            <wp:extent cx="5384840" cy="2679694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84840" cy="2679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66" w:line="234" w:lineRule="auto"/>
        <w:ind w:left="2329"/>
        <w:rPr>
          <w:sz w:val="21"/>
          <w:szCs w:val="21"/>
        </w:rPr>
      </w:pPr>
      <w:r>
        <w:rPr>
          <w:color w:val="CA6004"/>
          <w:spacing w:val="10"/>
          <w:sz w:val="21"/>
          <w:szCs w:val="21"/>
        </w:rPr>
        <w:t>■</w:t>
      </w:r>
      <w:r>
        <w:rPr>
          <w:spacing w:val="10"/>
          <w:sz w:val="21"/>
          <w:szCs w:val="21"/>
        </w:rPr>
        <w:t>中国碳酸锂全年产量(吨)</w:t>
      </w:r>
      <w:r>
        <w:rPr>
          <w:spacing w:val="6"/>
          <w:sz w:val="21"/>
          <w:szCs w:val="21"/>
        </w:rPr>
        <w:t xml:space="preserve">    </w:t>
      </w:r>
      <w:r>
        <w:rPr>
          <w:spacing w:val="10"/>
          <w:position w:val="-1"/>
          <w:sz w:val="21"/>
          <w:szCs w:val="21"/>
        </w:rPr>
        <w:t>——同比增速</w:t>
      </w:r>
    </w:p>
    <w:p>
      <w:pPr>
        <w:spacing w:line="14" w:lineRule="auto"/>
        <w:rPr>
          <w:rFonts w:ascii="Arial"/>
          <w:sz w:val="2"/>
        </w:rPr>
        <w:sectPr>
          <w:headerReference w:type="default" r:id="rId34"/>
          <w:footerReference w:type="default" r:id="rId35"/>
          <w:type w:val="continuous"/>
          <w:pgSz w:w="19200" w:h="10800"/>
          <w:pgMar w:top="386" w:right="409" w:bottom="400" w:left="320" w:header="0" w:footer="0" w:gutter="0"/>
          <w:pgNumType w:start="11"/>
          <w:cols w:num="2" w:space="708" w:equalWidth="0">
            <w:col w:w="9020" w:space="100"/>
            <w:col w:w="9351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2" w:line="223" w:lineRule="auto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11"/>
          <w:sz w:val="21"/>
          <w:szCs w:val="21"/>
        </w:rPr>
        <w:t>图：2023年碳酸锂分地区产量占比</w:t>
      </w:r>
    </w:p>
    <w:p>
      <w:pPr>
        <w:spacing w:line="330" w:lineRule="auto"/>
        <w:rPr>
          <w:rFonts w:ascii="Arial"/>
          <w:sz w:val="21"/>
        </w:rPr>
      </w:pPr>
    </w:p>
    <w:p>
      <w:pPr>
        <w:spacing w:before="1" w:line="4110" w:lineRule="exact"/>
        <w:ind w:firstLine="1459"/>
      </w:pPr>
      <w:r>
        <w:rPr>
          <w:position w:val="-82"/>
        </w:rPr>
        <w:drawing>
          <wp:inline distT="0" distB="0" distL="0" distR="0">
            <wp:extent cx="3060679" cy="260988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60679" cy="260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5" w:lineRule="auto"/>
        <w:rPr>
          <w:rFonts w:ascii="Arial"/>
          <w:sz w:val="21"/>
        </w:rPr>
      </w:pPr>
    </w:p>
    <w:p>
      <w:pPr>
        <w:pStyle w:val="BodyText"/>
        <w:spacing w:before="69" w:line="197" w:lineRule="auto"/>
        <w:ind w:left="669"/>
        <w:rPr>
          <w:sz w:val="21"/>
          <w:szCs w:val="21"/>
        </w:rPr>
      </w:pPr>
      <w:r>
        <w:rPr>
          <w:color w:val="ED5E00"/>
          <w:spacing w:val="9"/>
          <w:position w:val="-3"/>
          <w:sz w:val="21"/>
          <w:szCs w:val="21"/>
        </w:rPr>
        <w:t>■</w:t>
      </w:r>
      <w:r>
        <w:rPr>
          <w:spacing w:val="9"/>
          <w:position w:val="-3"/>
          <w:sz w:val="21"/>
          <w:szCs w:val="21"/>
        </w:rPr>
        <w:t>江西</w:t>
      </w:r>
      <w:r>
        <w:rPr>
          <w:spacing w:val="60"/>
          <w:position w:val="-3"/>
          <w:sz w:val="21"/>
          <w:szCs w:val="21"/>
        </w:rPr>
        <w:t xml:space="preserve"> </w:t>
      </w:r>
      <w:r>
        <w:rPr>
          <w:color w:val="ED5E00"/>
          <w:spacing w:val="9"/>
          <w:position w:val="-3"/>
          <w:sz w:val="21"/>
          <w:szCs w:val="21"/>
        </w:rPr>
        <w:t>■</w:t>
      </w:r>
      <w:r>
        <w:rPr>
          <w:spacing w:val="9"/>
          <w:position w:val="-3"/>
          <w:sz w:val="21"/>
          <w:szCs w:val="21"/>
        </w:rPr>
        <w:t>青海</w:t>
      </w:r>
      <w:r>
        <w:rPr>
          <w:spacing w:val="62"/>
          <w:position w:val="-3"/>
          <w:sz w:val="21"/>
          <w:szCs w:val="21"/>
        </w:rPr>
        <w:t xml:space="preserve"> </w:t>
      </w:r>
      <w:r>
        <w:rPr>
          <w:spacing w:val="9"/>
          <w:sz w:val="21"/>
          <w:szCs w:val="21"/>
        </w:rPr>
        <w:t>■四川</w:t>
      </w:r>
      <w:r>
        <w:rPr>
          <w:spacing w:val="76"/>
          <w:sz w:val="21"/>
          <w:szCs w:val="21"/>
        </w:rPr>
        <w:t xml:space="preserve"> </w:t>
      </w:r>
      <w:r>
        <w:rPr>
          <w:spacing w:val="9"/>
          <w:sz w:val="21"/>
          <w:szCs w:val="21"/>
        </w:rPr>
        <w:t>■江苏</w:t>
      </w:r>
      <w:r>
        <w:rPr>
          <w:spacing w:val="84"/>
          <w:sz w:val="21"/>
          <w:szCs w:val="21"/>
        </w:rPr>
        <w:t xml:space="preserve"> </w:t>
      </w:r>
      <w:r>
        <w:rPr>
          <w:spacing w:val="9"/>
          <w:sz w:val="21"/>
          <w:szCs w:val="21"/>
        </w:rPr>
        <w:t>■山东</w:t>
      </w:r>
      <w:r>
        <w:rPr>
          <w:spacing w:val="61"/>
          <w:sz w:val="21"/>
          <w:szCs w:val="21"/>
        </w:rPr>
        <w:t xml:space="preserve"> </w:t>
      </w:r>
      <w:r>
        <w:rPr>
          <w:spacing w:val="9"/>
          <w:sz w:val="21"/>
          <w:szCs w:val="21"/>
        </w:rPr>
        <w:t>■湖南</w:t>
      </w:r>
      <w:r>
        <w:rPr>
          <w:spacing w:val="82"/>
          <w:sz w:val="21"/>
          <w:szCs w:val="21"/>
        </w:rPr>
        <w:t xml:space="preserve"> </w:t>
      </w:r>
      <w:r>
        <w:rPr>
          <w:spacing w:val="9"/>
          <w:sz w:val="21"/>
          <w:szCs w:val="21"/>
        </w:rPr>
        <w:t>■浙</w:t>
      </w:r>
      <w:r>
        <w:rPr>
          <w:spacing w:val="8"/>
          <w:sz w:val="21"/>
          <w:szCs w:val="21"/>
        </w:rPr>
        <w:t>江■河北</w:t>
      </w:r>
      <w:r>
        <w:rPr>
          <w:spacing w:val="69"/>
          <w:sz w:val="21"/>
          <w:szCs w:val="21"/>
        </w:rPr>
        <w:t xml:space="preserve"> </w:t>
      </w:r>
      <w:r>
        <w:rPr>
          <w:spacing w:val="8"/>
          <w:sz w:val="21"/>
          <w:szCs w:val="21"/>
        </w:rPr>
        <w:t>■其他地区</w:t>
      </w:r>
    </w:p>
    <w:p>
      <w:pPr>
        <w:spacing w:line="197" w:lineRule="auto"/>
        <w:rPr>
          <w:sz w:val="21"/>
          <w:szCs w:val="21"/>
        </w:rPr>
        <w:sectPr>
          <w:headerReference w:type="default" r:id="rId37"/>
          <w:footerReference w:type="default" r:id="rId38"/>
          <w:type w:val="nextPage"/>
          <w:pgSz w:w="19200" w:h="10800"/>
          <w:pgMar w:top="386" w:right="409" w:bottom="400" w:left="320" w:header="0" w:footer="0" w:gutter="0"/>
          <w:pgNumType w:start="12"/>
          <w:cols w:num="2" w:space="708" w:equalWidth="0">
            <w:col w:w="9020" w:space="100"/>
            <w:col w:w="9351" w:space="0"/>
          </w:cols>
          <w:titlePg w:val="0"/>
        </w:sectPr>
      </w:pPr>
    </w:p>
    <w:p>
      <w:pPr>
        <w:spacing w:before="218"/>
      </w:pPr>
    </w:p>
    <w:p>
      <w:pPr>
        <w:sectPr>
          <w:headerReference w:type="default" r:id="rId39"/>
          <w:footerReference w:type="default" r:id="rId40"/>
          <w:type w:val="continuous"/>
          <w:pgSz w:w="19200" w:h="10800"/>
          <w:pgMar w:top="386" w:right="409" w:bottom="400" w:left="320" w:header="0" w:footer="0" w:gutter="0"/>
          <w:pgNumType w:start="13"/>
          <w:cols w:num="1" w:space="708" w:equalWidth="0">
            <w:col w:w="18471" w:space="0"/>
          </w:cols>
        </w:sectPr>
      </w:pPr>
    </w:p>
    <w:p>
      <w:pPr>
        <w:spacing w:before="132" w:line="192" w:lineRule="auto"/>
        <w:ind w:left="202"/>
        <w:rPr>
          <w:rFonts w:ascii="SimSun" w:eastAsia="SimSun" w:hAnsi="SimSun" w:cs="SimSun"/>
          <w:sz w:val="21"/>
          <w:szCs w:val="21"/>
        </w:rPr>
      </w:pPr>
      <w:r>
        <w:rPr>
          <w:rFonts w:ascii="KaiTi" w:eastAsia="KaiTi" w:hAnsi="KaiTi" w:cs="KaiTi"/>
          <w:b/>
          <w:bCs/>
          <w:color w:val="A90000"/>
          <w:spacing w:val="-19"/>
          <w:sz w:val="21"/>
          <w:szCs w:val="21"/>
        </w:rPr>
        <w:t>资料来源：</w:t>
      </w:r>
      <w:r>
        <w:rPr>
          <w:rFonts w:ascii="KaiTi" w:eastAsia="KaiTi" w:hAnsi="KaiTi" w:cs="KaiTi"/>
          <w:color w:val="A90000"/>
          <w:spacing w:val="38"/>
          <w:sz w:val="21"/>
          <w:szCs w:val="21"/>
        </w:rPr>
        <w:t xml:space="preserve"> </w:t>
      </w:r>
      <w:r>
        <w:rPr>
          <w:rFonts w:ascii="SimSun" w:eastAsia="SimSun" w:hAnsi="SimSun" w:cs="SimSun"/>
          <w:b/>
          <w:bCs/>
          <w:color w:val="A90000"/>
          <w:spacing w:val="-19"/>
          <w:sz w:val="21"/>
          <w:szCs w:val="21"/>
        </w:rPr>
        <w:t>SMM,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31" w:line="192" w:lineRule="auto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b/>
          <w:bCs/>
          <w:color w:val="A90000"/>
          <w:spacing w:val="9"/>
          <w:sz w:val="21"/>
          <w:szCs w:val="21"/>
        </w:rPr>
        <w:t>浙商证券研究所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31" w:line="192" w:lineRule="auto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b/>
          <w:bCs/>
          <w:color w:val="A90000"/>
          <w:spacing w:val="-6"/>
          <w:sz w:val="21"/>
          <w:szCs w:val="21"/>
        </w:rPr>
        <w:t>资料来源：</w:t>
      </w:r>
      <w:r>
        <w:rPr>
          <w:rFonts w:ascii="KaiTi" w:eastAsia="KaiTi" w:hAnsi="KaiTi" w:cs="KaiTi"/>
          <w:color w:val="A90000"/>
          <w:spacing w:val="-6"/>
          <w:sz w:val="21"/>
          <w:szCs w:val="21"/>
        </w:rPr>
        <w:t xml:space="preserve"> </w:t>
      </w:r>
      <w:r>
        <w:rPr>
          <w:rFonts w:ascii="SimSun" w:eastAsia="SimSun" w:hAnsi="SimSun" w:cs="SimSun"/>
          <w:b/>
          <w:bCs/>
          <w:color w:val="A90000"/>
          <w:spacing w:val="-6"/>
          <w:sz w:val="21"/>
          <w:szCs w:val="21"/>
        </w:rPr>
        <w:t>SMM,</w:t>
      </w:r>
      <w:r>
        <w:rPr>
          <w:rFonts w:ascii="SimSun" w:eastAsia="SimSun" w:hAnsi="SimSun" w:cs="SimSun"/>
          <w:color w:val="A90000"/>
          <w:spacing w:val="11"/>
          <w:sz w:val="21"/>
          <w:szCs w:val="21"/>
        </w:rPr>
        <w:t xml:space="preserve">   </w:t>
      </w:r>
      <w:r>
        <w:rPr>
          <w:rFonts w:ascii="KaiTi" w:eastAsia="KaiTi" w:hAnsi="KaiTi" w:cs="KaiTi"/>
          <w:b/>
          <w:bCs/>
          <w:color w:val="A90000"/>
          <w:spacing w:val="-6"/>
          <w:sz w:val="21"/>
          <w:szCs w:val="21"/>
        </w:rPr>
        <w:t>浙商证券研究所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2" w:line="182" w:lineRule="auto"/>
        <w:ind w:left="5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5</w:t>
      </w:r>
    </w:p>
    <w:p>
      <w:pPr>
        <w:spacing w:line="182" w:lineRule="auto"/>
        <w:rPr>
          <w:rFonts w:ascii="SimSun" w:eastAsia="SimSun" w:hAnsi="SimSun" w:cs="SimSun"/>
          <w:sz w:val="21"/>
          <w:szCs w:val="21"/>
        </w:rPr>
        <w:sectPr>
          <w:headerReference w:type="default" r:id="rId41"/>
          <w:footerReference w:type="default" r:id="rId42"/>
          <w:type w:val="continuous"/>
          <w:pgSz w:w="19200" w:h="10800"/>
          <w:pgMar w:top="386" w:right="409" w:bottom="400" w:left="320" w:header="0" w:footer="0" w:gutter="0"/>
          <w:pgNumType w:start="14"/>
          <w:cols w:num="4" w:space="708" w:equalWidth="0">
            <w:col w:w="1893" w:space="100"/>
            <w:col w:w="7051" w:space="100"/>
            <w:col w:w="8508" w:space="100"/>
            <w:col w:w="720" w:space="0"/>
          </w:cols>
        </w:sectPr>
      </w:pPr>
    </w:p>
    <w:p>
      <w:pPr>
        <w:pStyle w:val="BodyText"/>
        <w:spacing w:before="67" w:line="220" w:lineRule="auto"/>
        <w:ind w:left="1706"/>
        <w:rPr>
          <w:sz w:val="47"/>
          <w:szCs w:val="47"/>
        </w:rPr>
      </w:pPr>
      <w:r>
        <w:pict>
          <v:shape id="_x0000_s1035" type="#_x0000_t202" style="width:139.95pt;height:30.95pt;margin-top:-2.19pt;margin-left:780.5pt;position:absolute;z-index:251673600" filled="f" stroked="f">
            <o:lock v:ext="edit" aspectratio="f"/>
            <v:textbox inset="0,0,0,0">
              <w:txbxContent>
                <w:p>
                  <w:pPr>
                    <w:spacing w:before="20" w:line="424" w:lineRule="exact"/>
                    <w:ind w:left="23"/>
                    <w:rPr>
                      <w:rFonts w:ascii="SimSun" w:eastAsia="SimSun" w:hAnsi="SimSun" w:cs="SimSun"/>
                      <w:sz w:val="23"/>
                      <w:szCs w:val="23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spacing w:val="43"/>
                      <w:position w:val="14"/>
                      <w:sz w:val="23"/>
                      <w:szCs w:val="23"/>
                    </w:rPr>
                    <w:t>浙商证券股份有限公司</w:t>
                  </w:r>
                </w:p>
                <w:p>
                  <w:pPr>
                    <w:spacing w:line="188" w:lineRule="auto"/>
                    <w:ind w:left="2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17"/>
                      <w:szCs w:val="17"/>
                    </w:rPr>
                    <w:t>ZHESHANG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39"/>
                      <w:w w:val="102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17"/>
                      <w:szCs w:val="17"/>
                    </w:rPr>
                    <w:t>SECURITIES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36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17"/>
                      <w:szCs w:val="17"/>
                    </w:rPr>
                    <w:t>COLTD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2576" behindDoc="1" locked="0" layoutInCell="0" allowOverlap="1">
            <wp:simplePos x="0" y="0"/>
            <wp:positionH relativeFrom="page">
              <wp:posOffset>203240</wp:posOffset>
            </wp:positionH>
            <wp:positionV relativeFrom="page">
              <wp:posOffset>209580</wp:posOffset>
            </wp:positionV>
            <wp:extent cx="736518" cy="736549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36518" cy="736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9721901</wp:posOffset>
            </wp:positionH>
            <wp:positionV relativeFrom="page">
              <wp:posOffset>158762</wp:posOffset>
            </wp:positionV>
            <wp:extent cx="387339" cy="406405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87339" cy="40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A90000"/>
          <w:spacing w:val="2"/>
          <w:sz w:val="47"/>
          <w:szCs w:val="47"/>
        </w:rPr>
        <w:t>氢氧化锂产量及地区分布</w:t>
      </w:r>
    </w:p>
    <w:p>
      <w:pPr>
        <w:spacing w:before="91"/>
      </w:pPr>
    </w:p>
    <w:tbl>
      <w:tblPr>
        <w:tblStyle w:val="TableNormal4"/>
        <w:tblW w:w="18465" w:type="dxa"/>
        <w:tblInd w:w="2" w:type="dxa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</w:tblPr>
      <w:tblGrid>
        <w:gridCol w:w="18465"/>
      </w:tblGrid>
      <w:tr>
        <w:tblPrEx>
          <w:tblW w:w="18465" w:type="dxa"/>
          <w:tblInd w:w="2" w:type="dxa"/>
          <w:tblBorders>
            <w:left w:val="single" w:sz="2" w:space="0" w:color="000000"/>
            <w:bottom w:val="single" w:sz="2" w:space="0" w:color="000000"/>
            <w:right w:val="single" w:sz="2" w:space="0" w:color="000000"/>
          </w:tblBorders>
          <w:tblLayout w:type="fixed"/>
        </w:tblPrEx>
        <w:trPr>
          <w:trHeight w:val="1494"/>
        </w:trPr>
        <w:tc>
          <w:tcPr>
            <w:tcW w:w="18465" w:type="dxa"/>
            <w:vAlign w:val="top"/>
          </w:tcPr>
          <w:p>
            <w:pPr>
              <w:spacing w:before="316" w:line="580" w:lineRule="exact"/>
              <w:ind w:left="184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6"/>
                <w:position w:val="19"/>
                <w:sz w:val="32"/>
                <w:szCs w:val="32"/>
              </w:rPr>
              <w:t>2021-2023年中国氢氧化锂全年产量分别为16.67/24.51/28.30万吨，2022-2023年同比增速分别为47%/</w:t>
            </w:r>
            <w:r>
              <w:rPr>
                <w:rFonts w:ascii="SimHei" w:eastAsia="SimHei" w:hAnsi="SimHei" w:cs="SimHei"/>
                <w:spacing w:val="5"/>
                <w:position w:val="19"/>
                <w:sz w:val="32"/>
                <w:szCs w:val="32"/>
              </w:rPr>
              <w:t>15%;</w:t>
            </w:r>
            <w:r>
              <w:rPr>
                <w:rFonts w:ascii="SimHei" w:eastAsia="SimHei" w:hAnsi="SimHei" w:cs="SimHei"/>
                <w:spacing w:val="62"/>
                <w:position w:val="19"/>
                <w:sz w:val="32"/>
                <w:szCs w:val="32"/>
              </w:rPr>
              <w:t xml:space="preserve"> </w:t>
            </w:r>
            <w:r>
              <w:rPr>
                <w:rFonts w:ascii="SimHei" w:eastAsia="SimHei" w:hAnsi="SimHei" w:cs="SimHei"/>
                <w:spacing w:val="5"/>
                <w:position w:val="19"/>
                <w:sz w:val="32"/>
                <w:szCs w:val="32"/>
              </w:rPr>
              <w:t>2023年分地区产</w:t>
            </w:r>
          </w:p>
          <w:p>
            <w:pPr>
              <w:spacing w:before="1" w:line="212" w:lineRule="auto"/>
              <w:ind w:left="184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27"/>
                <w:sz w:val="32"/>
                <w:szCs w:val="32"/>
              </w:rPr>
              <w:t>量中，前五名省份分别为江西占比42%,四川占比38%,广西占比5%,浙江占比4%,山东占比2%,其他省份合计</w:t>
            </w:r>
            <w:r>
              <w:rPr>
                <w:rFonts w:ascii="SimHei" w:eastAsia="SimHei" w:hAnsi="SimHei" w:cs="SimHei"/>
                <w:spacing w:val="26"/>
                <w:sz w:val="32"/>
                <w:szCs w:val="32"/>
              </w:rPr>
              <w:t>占比9%。</w:t>
            </w:r>
          </w:p>
        </w:tc>
      </w:tr>
    </w:tbl>
    <w:p>
      <w:pPr>
        <w:rPr>
          <w:rFonts w:ascii="Arial"/>
          <w:sz w:val="21"/>
        </w:rPr>
      </w:pPr>
    </w:p>
    <w:p>
      <w:pPr>
        <w:spacing w:before="61"/>
      </w:pPr>
    </w:p>
    <w:p>
      <w:pPr>
        <w:spacing w:before="61"/>
      </w:pPr>
    </w:p>
    <w:p>
      <w:pPr>
        <w:spacing w:before="61"/>
      </w:pPr>
    </w:p>
    <w:p>
      <w:pPr>
        <w:sectPr>
          <w:headerReference w:type="default" r:id="rId45"/>
          <w:footerReference w:type="default" r:id="rId46"/>
          <w:pgSz w:w="19200" w:h="10800"/>
          <w:pgMar w:top="400" w:right="409" w:bottom="400" w:left="320" w:header="0" w:footer="0" w:gutter="0"/>
          <w:pgNumType w:start="15"/>
          <w:cols w:num="1" w:space="708" w:equalWidth="0">
            <w:col w:w="18471" w:space="0"/>
          </w:cols>
        </w:sectPr>
      </w:pPr>
    </w:p>
    <w:p>
      <w:pPr>
        <w:spacing w:before="44" w:line="192" w:lineRule="auto"/>
        <w:ind w:left="189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4"/>
          <w:sz w:val="21"/>
          <w:szCs w:val="21"/>
        </w:rPr>
        <w:t>图：中国氢氧化锂全年产量(吨)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2" w:line="192" w:lineRule="auto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11"/>
          <w:sz w:val="21"/>
          <w:szCs w:val="21"/>
        </w:rPr>
        <w:t>图：2023年氢氧化锂分地区产量占比</w:t>
      </w:r>
    </w:p>
    <w:p>
      <w:pPr>
        <w:spacing w:line="192" w:lineRule="auto"/>
        <w:rPr>
          <w:rFonts w:ascii="KaiTi" w:eastAsia="KaiTi" w:hAnsi="KaiTi" w:cs="KaiTi"/>
          <w:sz w:val="21"/>
          <w:szCs w:val="21"/>
        </w:rPr>
        <w:sectPr>
          <w:headerReference w:type="default" r:id="rId47"/>
          <w:footerReference w:type="default" r:id="rId48"/>
          <w:type w:val="continuous"/>
          <w:pgSz w:w="19200" w:h="10800"/>
          <w:pgMar w:top="400" w:right="409" w:bottom="400" w:left="320" w:header="0" w:footer="0" w:gutter="0"/>
          <w:pgNumType w:start="16"/>
          <w:cols w:num="2" w:space="708" w:equalWidth="0">
            <w:col w:w="9030" w:space="100"/>
            <w:col w:w="9341" w:space="0"/>
          </w:cols>
        </w:sectPr>
      </w:pPr>
    </w:p>
    <w:p>
      <w:pPr>
        <w:spacing w:before="92"/>
      </w:pPr>
    </w:p>
    <w:p>
      <w:pPr>
        <w:spacing w:before="92"/>
      </w:pP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https://d.book118.com/365240234242011120</w:t>
        </w:r>
      </w:hyperlink>
    </w:p>
    <w:p/>
    <w:sectPr>
      <w:headerReference w:type="default" r:id="rId50"/>
      <w:footerReference w:type="default" r:id="rId51"/>
      <w:type w:val="continuous"/>
      <w:pgSz w:w="19200" w:h="10800"/>
      <w:pgMar w:top="400" w:right="409" w:bottom="400" w:left="320" w:header="0" w:footer="0" w:gutter="0"/>
      <w:pgNumType w:start="17"/>
      <w:cols w:num="1" w:space="708" w:equalWidth="0">
        <w:col w:w="1847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18070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sz w:val="21"/>
        <w:szCs w:val="21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Hei" w:eastAsia="SimHei" w:hAnsi="SimHei" w:cs="SimHei"/>
      <w:sz w:val="38"/>
      <w:szCs w:val="38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42"/>
      <w:szCs w:val="42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1.xml" /><Relationship Id="rId12" Type="http://schemas.openxmlformats.org/officeDocument/2006/relationships/image" Target="media/image4.jpeg" /><Relationship Id="rId13" Type="http://schemas.openxmlformats.org/officeDocument/2006/relationships/image" Target="media/image5.jpeg" /><Relationship Id="rId14" Type="http://schemas.openxmlformats.org/officeDocument/2006/relationships/image" Target="media/image6.png" /><Relationship Id="rId15" Type="http://schemas.openxmlformats.org/officeDocument/2006/relationships/header" Target="header5.xml" /><Relationship Id="rId16" Type="http://schemas.openxmlformats.org/officeDocument/2006/relationships/footer" Target="footer2.xml" /><Relationship Id="rId17" Type="http://schemas.openxmlformats.org/officeDocument/2006/relationships/header" Target="header6.xml" /><Relationship Id="rId18" Type="http://schemas.openxmlformats.org/officeDocument/2006/relationships/footer" Target="footer3.xml" /><Relationship Id="rId19" Type="http://schemas.openxmlformats.org/officeDocument/2006/relationships/image" Target="media/image7.jpeg" /><Relationship Id="rId2" Type="http://schemas.openxmlformats.org/officeDocument/2006/relationships/webSettings" Target="webSettings.xml" /><Relationship Id="rId20" Type="http://schemas.openxmlformats.org/officeDocument/2006/relationships/image" Target="media/image8.jpeg" /><Relationship Id="rId21" Type="http://schemas.openxmlformats.org/officeDocument/2006/relationships/header" Target="header7.xml" /><Relationship Id="rId22" Type="http://schemas.openxmlformats.org/officeDocument/2006/relationships/footer" Target="footer4.xml" /><Relationship Id="rId23" Type="http://schemas.openxmlformats.org/officeDocument/2006/relationships/image" Target="media/image9.png" /><Relationship Id="rId24" Type="http://schemas.openxmlformats.org/officeDocument/2006/relationships/header" Target="header8.xml" /><Relationship Id="rId25" Type="http://schemas.openxmlformats.org/officeDocument/2006/relationships/footer" Target="footer5.xml" /><Relationship Id="rId26" Type="http://schemas.openxmlformats.org/officeDocument/2006/relationships/image" Target="media/image10.png" /><Relationship Id="rId27" Type="http://schemas.openxmlformats.org/officeDocument/2006/relationships/header" Target="header9.xml" /><Relationship Id="rId28" Type="http://schemas.openxmlformats.org/officeDocument/2006/relationships/footer" Target="footer6.xml" /><Relationship Id="rId29" Type="http://schemas.openxmlformats.org/officeDocument/2006/relationships/image" Target="media/image11.jpeg" /><Relationship Id="rId3" Type="http://schemas.openxmlformats.org/officeDocument/2006/relationships/fontTable" Target="fontTable.xml" /><Relationship Id="rId30" Type="http://schemas.openxmlformats.org/officeDocument/2006/relationships/image" Target="media/image12.jpeg" /><Relationship Id="rId31" Type="http://schemas.openxmlformats.org/officeDocument/2006/relationships/header" Target="header10.xml" /><Relationship Id="rId32" Type="http://schemas.openxmlformats.org/officeDocument/2006/relationships/footer" Target="footer7.xml" /><Relationship Id="rId33" Type="http://schemas.openxmlformats.org/officeDocument/2006/relationships/image" Target="media/image13.jpeg" /><Relationship Id="rId34" Type="http://schemas.openxmlformats.org/officeDocument/2006/relationships/header" Target="header11.xml" /><Relationship Id="rId35" Type="http://schemas.openxmlformats.org/officeDocument/2006/relationships/footer" Target="footer8.xml" /><Relationship Id="rId36" Type="http://schemas.openxmlformats.org/officeDocument/2006/relationships/image" Target="media/image14.jpeg" /><Relationship Id="rId37" Type="http://schemas.openxmlformats.org/officeDocument/2006/relationships/header" Target="header12.xml" /><Relationship Id="rId38" Type="http://schemas.openxmlformats.org/officeDocument/2006/relationships/footer" Target="footer9.xml" /><Relationship Id="rId39" Type="http://schemas.openxmlformats.org/officeDocument/2006/relationships/header" Target="header13.xml" /><Relationship Id="rId4" Type="http://schemas.openxmlformats.org/officeDocument/2006/relationships/image" Target="media/image1.jpeg" /><Relationship Id="rId40" Type="http://schemas.openxmlformats.org/officeDocument/2006/relationships/footer" Target="footer10.xml" /><Relationship Id="rId41" Type="http://schemas.openxmlformats.org/officeDocument/2006/relationships/header" Target="header14.xml" /><Relationship Id="rId42" Type="http://schemas.openxmlformats.org/officeDocument/2006/relationships/footer" Target="footer11.xml" /><Relationship Id="rId43" Type="http://schemas.openxmlformats.org/officeDocument/2006/relationships/image" Target="media/image15.jpeg" /><Relationship Id="rId44" Type="http://schemas.openxmlformats.org/officeDocument/2006/relationships/image" Target="media/image16.jpeg" /><Relationship Id="rId45" Type="http://schemas.openxmlformats.org/officeDocument/2006/relationships/header" Target="header15.xml" /><Relationship Id="rId46" Type="http://schemas.openxmlformats.org/officeDocument/2006/relationships/footer" Target="footer12.xml" /><Relationship Id="rId47" Type="http://schemas.openxmlformats.org/officeDocument/2006/relationships/header" Target="header16.xml" /><Relationship Id="rId48" Type="http://schemas.openxmlformats.org/officeDocument/2006/relationships/footer" Target="footer13.xml" /><Relationship Id="rId49" Type="http://schemas.openxmlformats.org/officeDocument/2006/relationships/hyperlink" Target="https://d.book118.com/365240234242011120" TargetMode="External" /><Relationship Id="rId5" Type="http://schemas.openxmlformats.org/officeDocument/2006/relationships/image" Target="media/image2.jpeg" /><Relationship Id="rId50" Type="http://schemas.openxmlformats.org/officeDocument/2006/relationships/header" Target="header17.xml" /><Relationship Id="rId51" Type="http://schemas.openxmlformats.org/officeDocument/2006/relationships/footer" Target="footer14.xml" /><Relationship Id="rId52" Type="http://schemas.openxmlformats.org/officeDocument/2006/relationships/theme" Target="theme/theme1.xml" /><Relationship Id="rId53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2024-03-08T22:57:38Z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2024-03-08T22:57:41Z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65eb275f8a3849001f5d5da7wl</vt:lpwstr>
  </property>
</Properties>
</file>