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代用燃料汽车转换装置项目招商引资报告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一、技术贸易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4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_Toc29136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" w:history="1">
        <w:r>
          <w:rPr>
            <w:rFonts w:ascii="仿宋" w:eastAsia="仿宋" w:hAnsi="仿宋" w:cs="仿宋" w:hint="eastAsia"/>
            <w:lang w:eastAsia="zh-CN"/>
          </w:rPr>
          <w:t>二、代用燃料汽车转换装置生产计划的含义与指标</w:t>
        </w:r>
        <w:r>
          <w:tab/>
        </w:r>
        <w:r>
          <w:fldChar w:fldCharType="begin"/>
        </w:r>
        <w:r>
          <w:instrText xml:space="preserve"> PAGEREF _Toc2239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5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_Toc10195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8" w:history="1">
        <w:r>
          <w:rPr>
            <w:rFonts w:ascii="仿宋" w:eastAsia="仿宋" w:hAnsi="仿宋" w:cs="仿宋" w:hint="eastAsia"/>
            <w:lang w:eastAsia="zh-CN"/>
          </w:rPr>
          <w:t>三、建筑物技术方案</w:t>
        </w:r>
        <w:r>
          <w:tab/>
        </w:r>
        <w:r>
          <w:fldChar w:fldCharType="begin"/>
        </w:r>
        <w:r>
          <w:instrText xml:space="preserve"> PAGEREF _Toc25838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_Toc16157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_Toc23710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1" w:history="1">
        <w:r>
          <w:rPr>
            <w:rFonts w:ascii="仿宋" w:eastAsia="仿宋" w:hAnsi="仿宋" w:cs="仿宋" w:hint="eastAsia"/>
            <w:lang w:eastAsia="zh-CN"/>
          </w:rPr>
          <w:t>四、土建方案</w:t>
        </w:r>
        <w:r>
          <w:tab/>
        </w:r>
        <w:r>
          <w:fldChar w:fldCharType="begin"/>
        </w:r>
        <w:r>
          <w:instrText xml:space="preserve"> PAGEREF _Toc4131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1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_Toc29321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_Toc2310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9" w:history="1">
        <w:r>
          <w:rPr>
            <w:rFonts w:ascii="仿宋" w:eastAsia="仿宋" w:hAnsi="仿宋" w:cs="仿宋" w:hint="eastAsia"/>
            <w:lang w:eastAsia="zh-CN"/>
          </w:rPr>
          <w:t>五、运营与管理</w:t>
        </w:r>
        <w:r>
          <w:tab/>
        </w:r>
        <w:r>
          <w:fldChar w:fldCharType="begin"/>
        </w:r>
        <w:r>
          <w:instrText xml:space="preserve"> PAGEREF _Toc10309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8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_Toc24808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_Toc1879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eastAsia="zh-CN"/>
          </w:rPr>
          <w:t>六、重点企业调研分析</w:t>
        </w:r>
        <w:r>
          <w:tab/>
        </w:r>
        <w:r>
          <w:fldChar w:fldCharType="begin"/>
        </w:r>
        <w:r>
          <w:instrText xml:space="preserve"> PAGEREF _Toc4430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4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_Toc16754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七、代用燃料汽车转换装置项目建设主要内容和规模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9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_Toc12209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2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_Toc29952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_Toc12221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八、实施计划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9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(五)、代用燃料汽车转换装置项目实施保障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九、网络分销渠道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3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_Toc27233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0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_Toc20090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86" w:history="1">
        <w:r>
          <w:rPr>
            <w:rFonts w:ascii="仿宋" w:eastAsia="仿宋" w:hAnsi="仿宋" w:cs="仿宋" w:hint="eastAsia"/>
            <w:lang w:eastAsia="zh-CN"/>
          </w:rPr>
          <w:t>十、第二十六章人才留存与流失管理</w:t>
        </w:r>
        <w:r>
          <w:tab/>
        </w:r>
        <w:r>
          <w:fldChar w:fldCharType="begin"/>
        </w:r>
        <w:r>
          <w:instrText xml:space="preserve"> PAGEREF _Toc24686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5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_Toc17225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6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_Toc6546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_Toc15803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9" w:history="1">
        <w:r>
          <w:rPr>
            <w:rFonts w:ascii="仿宋" w:eastAsia="仿宋" w:hAnsi="仿宋" w:cs="仿宋" w:hint="eastAsia"/>
            <w:lang w:eastAsia="zh-CN"/>
          </w:rPr>
          <w:t>十二、代用燃料汽车转换装置制度建设与执行</w:t>
        </w:r>
        <w:r>
          <w:tab/>
        </w:r>
        <w:r>
          <w:fldChar w:fldCharType="begin"/>
        </w:r>
        <w:r>
          <w:instrText xml:space="preserve"> PAGEREF _Toc4299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_Toc24293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6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_Toc21866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1" w:history="1">
        <w:r>
          <w:rPr>
            <w:rFonts w:ascii="仿宋" w:eastAsia="仿宋" w:hAnsi="仿宋" w:cs="仿宋" w:hint="eastAsia"/>
            <w:lang w:eastAsia="zh-CN"/>
          </w:rPr>
          <w:t>十三、环境影响分析</w:t>
        </w:r>
        <w:r>
          <w:tab/>
        </w:r>
        <w:r>
          <w:fldChar w:fldCharType="begin"/>
        </w:r>
        <w:r>
          <w:instrText xml:space="preserve"> PAGEREF _Toc28091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0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_Toc31240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_Toc3108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4" w:history="1">
        <w:r>
          <w:rPr>
            <w:rFonts w:ascii="仿宋" w:eastAsia="仿宋" w:hAnsi="仿宋" w:cs="仿宋" w:hint="eastAsia"/>
            <w:lang w:eastAsia="zh-CN"/>
          </w:rPr>
          <w:t>十四、法律与合规事项</w:t>
        </w:r>
        <w:r>
          <w:tab/>
        </w:r>
        <w:r>
          <w:fldChar w:fldCharType="begin"/>
        </w:r>
        <w:r>
          <w:instrText xml:space="preserve"> PAGEREF _Toc8964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7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_Toc23197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6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_Toc15516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_Toc1262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eastAsia="zh-CN"/>
          </w:rPr>
          <w:t>十五、 环境保护可行性</w:t>
        </w:r>
        <w:r>
          <w:tab/>
        </w:r>
        <w:r>
          <w:fldChar w:fldCharType="begin"/>
        </w:r>
        <w:r>
          <w:instrText xml:space="preserve"> PAGEREF _Toc1781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_Toc13952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_Toc13198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eastAsia="zh-CN"/>
          </w:rPr>
          <w:t>(四)、代用燃料汽车转换装置项目建设对区域经济的影响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_Toc18253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十六、社会责任管理与可持续发展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3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9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_Toc22229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" w:history="1">
        <w:r>
          <w:rPr>
            <w:rFonts w:ascii="仿宋" w:eastAsia="仿宋" w:hAnsi="仿宋" w:cs="仿宋" w:hint="eastAsia"/>
            <w:lang w:eastAsia="zh-CN"/>
          </w:rPr>
          <w:t>十七、战略的定性评价决策方法</w:t>
        </w:r>
        <w:r>
          <w:tab/>
        </w:r>
        <w:r>
          <w:fldChar w:fldCharType="begin"/>
        </w:r>
        <w:r>
          <w:instrText xml:space="preserve"> PAGEREF _Toc3054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7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0" w:history="1">
        <w:r>
          <w:rPr>
            <w:rFonts w:ascii="仿宋" w:eastAsia="仿宋" w:hAnsi="仿宋" w:cs="仿宋" w:hint="eastAsia"/>
            <w:lang w:eastAsia="zh-CN"/>
          </w:rPr>
          <w:t>十八、差异化战略</w:t>
        </w:r>
        <w:r>
          <w:tab/>
        </w:r>
        <w:r>
          <w:fldChar w:fldCharType="begin"/>
        </w:r>
        <w:r>
          <w:instrText xml:space="preserve"> PAGEREF _Toc13190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eastAsia="zh-CN"/>
          </w:rPr>
          <w:t>十九、战略退出计划</w:t>
        </w:r>
        <w:r>
          <w:tab/>
        </w:r>
        <w:r>
          <w:fldChar w:fldCharType="begin"/>
        </w:r>
        <w:r>
          <w:instrText xml:space="preserve"> PAGEREF _Toc914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" w:history="1">
        <w:r>
          <w:rPr>
            <w:rFonts w:ascii="仿宋" w:eastAsia="仿宋" w:hAnsi="仿宋" w:cs="仿宋" w:hint="eastAsia"/>
            <w:lang w:eastAsia="zh-CN"/>
          </w:rPr>
          <w:t>(一)、代用燃料汽车转换装置项目退出战略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2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_Toc25292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eastAsia="zh-CN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_Toc32241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6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_Toc7696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4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_Toc4744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6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_Toc22296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8" w:history="1">
        <w:r>
          <w:rPr>
            <w:rFonts w:ascii="仿宋" w:eastAsia="仿宋" w:hAnsi="仿宋" w:cs="仿宋" w:hint="eastAsia"/>
            <w:lang w:eastAsia="zh-CN"/>
          </w:rPr>
          <w:t>二十一、代用燃料汽车转换装置项目可行性风险分析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(一)、代用燃料汽车转换装置项目风险识别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5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_Toc7275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50"/>
      <w:r>
        <w:rPr>
          <w:rFonts w:ascii="仿宋" w:eastAsia="仿宋" w:hAnsi="仿宋" w:cs="仿宋" w:hint="eastAsia"/>
          <w:sz w:val="28"/>
          <w:lang w:eastAsia="zh-CN"/>
        </w:rPr>
        <w:t>一、技术贸易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84"/>
      <w:r>
        <w:rPr>
          <w:rFonts w:ascii="仿宋" w:eastAsia="仿宋" w:hAnsi="仿宋" w:cs="仿宋" w:hint="eastAsia"/>
          <w:lang w:eastAsia="zh-CN"/>
        </w:rPr>
        <w:t>(一)、技术贸易概述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技术贸易的定义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技术贸易是指在不同国家之间以技术、专业知识和专利权为基础进行的跨境交易。这种交易形式包括但不限于以下几个方面：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技术转让：一国企业将其所拥有的技术、专利或专业知识转让给另一国企业，以达到商业目标。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技术许可：一方以许可的形式向另一方授予使用其技术、专利、商标、著作权等知识产权的权利，通常以费用或其他约定条件作为交换。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技术服务：一国企业向另一国提供技术咨询、工程服务、培训等专业服务。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https://d.book118.com/365240304123011122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代用燃料汽车转换装置项目招商引资报告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代用燃料汽车转换装置项目招商引资报告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代用燃料汽车转换装置项目招商引资报告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代用燃料汽车转换装置项目招商引资报告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代用燃料汽车转换装置项目招商引资报告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A10BC9"/>
    <w:rsid w:val="4593521B"/>
    <w:rsid w:val="4BA10BC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5240304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2024-03-13T11:38:00Z</dcterms:created>
  <dcterms:modified xsi:type="dcterms:W3CDTF">2024-03-13T11:38:38Z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E4EA0B76982246E4812CCF1DB624CA52_11</vt:lpwstr>
  </property>
  <property fmtid="{D5CDD505-2E9C-101B-9397-08002B2CF9AE}" pid="3" name="KSOProductBuildVer">
    <vt:lpwstr>2052-12.1.0.16399</vt:lpwstr>
  </property>
</Properties>
</file>