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非临床安全性评价服务项目规划设计纲要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918" w:history="1">
        <w:r>
          <w:rPr>
            <w:rFonts w:ascii="仿宋" w:eastAsia="仿宋" w:hAnsi="仿宋" w:cs="仿宋" w:hint="eastAsia"/>
            <w:lang w:eastAsia="zh-CN"/>
          </w:rPr>
          <w:t>概论</w:t>
        </w:r>
        <w:r>
          <w:tab/>
        </w:r>
        <w:r>
          <w:fldChar w:fldCharType="begin"/>
        </w:r>
        <w:r>
          <w:instrText xml:space="preserve"> PAGEREF _Toc23918 \h </w:instrText>
        </w:r>
        <w:r>
          <w:fldChar w:fldCharType="separate"/>
        </w:r>
        <w:r>
          <w:t>3</w:t>
        </w:r>
        <w:r>
          <w:fldChar w:fldCharType="end"/>
        </w:r>
      </w:hyperlink>
    </w:p>
    <w:p>
      <w:pPr>
        <w:pStyle w:val="TOC1"/>
        <w:tabs>
          <w:tab w:val="right" w:leader="dot" w:pos="8306"/>
        </w:tabs>
      </w:pPr>
      <w:hyperlink w:anchor="_Toc2540" w:history="1">
        <w:r>
          <w:rPr>
            <w:rFonts w:ascii="仿宋" w:eastAsia="仿宋" w:hAnsi="仿宋" w:cs="仿宋" w:hint="eastAsia"/>
            <w:lang w:eastAsia="zh-CN"/>
          </w:rPr>
          <w:t>一、非临床安全性评价服务项目文档管理</w:t>
        </w:r>
        <w:r>
          <w:tab/>
        </w:r>
        <w:r>
          <w:fldChar w:fldCharType="begin"/>
        </w:r>
        <w:r>
          <w:instrText xml:space="preserve"> PAGEREF _Toc2540 \h </w:instrText>
        </w:r>
        <w:r>
          <w:fldChar w:fldCharType="separate"/>
        </w:r>
        <w:r>
          <w:t>3</w:t>
        </w:r>
        <w:r>
          <w:fldChar w:fldCharType="end"/>
        </w:r>
      </w:hyperlink>
    </w:p>
    <w:p>
      <w:pPr>
        <w:pStyle w:val="TOC2"/>
        <w:tabs>
          <w:tab w:val="right" w:leader="dot" w:pos="8306"/>
        </w:tabs>
      </w:pPr>
      <w:hyperlink w:anchor="_Toc30578" w:history="1">
        <w:r>
          <w:rPr>
            <w:rFonts w:ascii="仿宋" w:eastAsia="仿宋" w:hAnsi="仿宋" w:cs="仿宋" w:hint="eastAsia"/>
            <w:lang w:eastAsia="zh-CN"/>
          </w:rPr>
          <w:t>(一)、文档编制与审查</w:t>
        </w:r>
        <w:r>
          <w:tab/>
        </w:r>
        <w:r>
          <w:fldChar w:fldCharType="begin"/>
        </w:r>
        <w:r>
          <w:instrText xml:space="preserve"> PAGEREF _Toc30578 \h </w:instrText>
        </w:r>
        <w:r>
          <w:fldChar w:fldCharType="separate"/>
        </w:r>
        <w:r>
          <w:t>3</w:t>
        </w:r>
        <w:r>
          <w:fldChar w:fldCharType="end"/>
        </w:r>
      </w:hyperlink>
    </w:p>
    <w:p>
      <w:pPr>
        <w:pStyle w:val="TOC2"/>
        <w:tabs>
          <w:tab w:val="right" w:leader="dot" w:pos="8306"/>
        </w:tabs>
      </w:pPr>
      <w:hyperlink w:anchor="_Toc3278" w:history="1">
        <w:r>
          <w:rPr>
            <w:rFonts w:ascii="仿宋" w:eastAsia="仿宋" w:hAnsi="仿宋" w:cs="仿宋" w:hint="eastAsia"/>
            <w:lang w:eastAsia="zh-CN"/>
          </w:rPr>
          <w:t>(二)、文档发布与分发</w:t>
        </w:r>
        <w:r>
          <w:tab/>
        </w:r>
        <w:r>
          <w:fldChar w:fldCharType="begin"/>
        </w:r>
        <w:r>
          <w:instrText xml:space="preserve"> PAGEREF _Toc3278 \h </w:instrText>
        </w:r>
        <w:r>
          <w:fldChar w:fldCharType="separate"/>
        </w:r>
        <w:r>
          <w:t>4</w:t>
        </w:r>
        <w:r>
          <w:fldChar w:fldCharType="end"/>
        </w:r>
      </w:hyperlink>
    </w:p>
    <w:p>
      <w:pPr>
        <w:pStyle w:val="TOC2"/>
        <w:tabs>
          <w:tab w:val="right" w:leader="dot" w:pos="8306"/>
        </w:tabs>
      </w:pPr>
      <w:hyperlink w:anchor="_Toc20002" w:history="1">
        <w:r>
          <w:rPr>
            <w:rFonts w:ascii="仿宋" w:eastAsia="仿宋" w:hAnsi="仿宋" w:cs="仿宋" w:hint="eastAsia"/>
            <w:lang w:eastAsia="zh-CN"/>
          </w:rPr>
          <w:t>(三)、文档存档与归档</w:t>
        </w:r>
        <w:r>
          <w:tab/>
        </w:r>
        <w:r>
          <w:fldChar w:fldCharType="begin"/>
        </w:r>
        <w:r>
          <w:instrText xml:space="preserve"> PAGEREF _Toc20002 \h </w:instrText>
        </w:r>
        <w:r>
          <w:fldChar w:fldCharType="separate"/>
        </w:r>
        <w:r>
          <w:t>5</w:t>
        </w:r>
        <w:r>
          <w:fldChar w:fldCharType="end"/>
        </w:r>
      </w:hyperlink>
    </w:p>
    <w:p>
      <w:pPr>
        <w:pStyle w:val="TOC1"/>
        <w:tabs>
          <w:tab w:val="right" w:leader="dot" w:pos="8306"/>
        </w:tabs>
      </w:pPr>
      <w:hyperlink w:anchor="_Toc29787" w:history="1">
        <w:r>
          <w:rPr>
            <w:rFonts w:ascii="仿宋" w:eastAsia="仿宋" w:hAnsi="仿宋" w:cs="仿宋" w:hint="eastAsia"/>
            <w:lang w:eastAsia="zh-CN"/>
          </w:rPr>
          <w:t>二、工艺说明</w:t>
        </w:r>
        <w:r>
          <w:tab/>
        </w:r>
        <w:r>
          <w:fldChar w:fldCharType="begin"/>
        </w:r>
        <w:r>
          <w:instrText xml:space="preserve"> PAGEREF _Toc29787 \h </w:instrText>
        </w:r>
        <w:r>
          <w:fldChar w:fldCharType="separate"/>
        </w:r>
        <w:r>
          <w:t>7</w:t>
        </w:r>
        <w:r>
          <w:fldChar w:fldCharType="end"/>
        </w:r>
      </w:hyperlink>
    </w:p>
    <w:p>
      <w:pPr>
        <w:pStyle w:val="TOC2"/>
        <w:tabs>
          <w:tab w:val="right" w:leader="dot" w:pos="8306"/>
        </w:tabs>
      </w:pPr>
      <w:hyperlink w:anchor="_Toc14273" w:history="1">
        <w:r>
          <w:rPr>
            <w:rFonts w:ascii="仿宋" w:eastAsia="仿宋" w:hAnsi="仿宋" w:cs="仿宋" w:hint="eastAsia"/>
            <w:lang w:eastAsia="zh-CN"/>
          </w:rPr>
          <w:t>(一)、技术管理特点</w:t>
        </w:r>
        <w:r>
          <w:tab/>
        </w:r>
        <w:r>
          <w:fldChar w:fldCharType="begin"/>
        </w:r>
        <w:r>
          <w:instrText xml:space="preserve"> PAGEREF _Toc14273 \h </w:instrText>
        </w:r>
        <w:r>
          <w:fldChar w:fldCharType="separate"/>
        </w:r>
        <w:r>
          <w:t>7</w:t>
        </w:r>
        <w:r>
          <w:fldChar w:fldCharType="end"/>
        </w:r>
      </w:hyperlink>
    </w:p>
    <w:p>
      <w:pPr>
        <w:pStyle w:val="TOC2"/>
        <w:tabs>
          <w:tab w:val="right" w:leader="dot" w:pos="8306"/>
        </w:tabs>
      </w:pPr>
      <w:hyperlink w:anchor="_Toc11599" w:history="1">
        <w:r>
          <w:rPr>
            <w:rFonts w:ascii="仿宋" w:eastAsia="仿宋" w:hAnsi="仿宋" w:cs="仿宋" w:hint="eastAsia"/>
            <w:lang w:eastAsia="zh-CN"/>
          </w:rPr>
          <w:t>(二)、非临床安全性评价服务项目工艺技术设计方案</w:t>
        </w:r>
        <w:r>
          <w:tab/>
        </w:r>
        <w:r>
          <w:fldChar w:fldCharType="begin"/>
        </w:r>
        <w:r>
          <w:instrText xml:space="preserve"> PAGEREF _Toc11599 \h </w:instrText>
        </w:r>
        <w:r>
          <w:fldChar w:fldCharType="separate"/>
        </w:r>
        <w:r>
          <w:t>8</w:t>
        </w:r>
        <w:r>
          <w:fldChar w:fldCharType="end"/>
        </w:r>
      </w:hyperlink>
    </w:p>
    <w:p>
      <w:pPr>
        <w:pStyle w:val="TOC2"/>
        <w:tabs>
          <w:tab w:val="right" w:leader="dot" w:pos="8306"/>
        </w:tabs>
      </w:pPr>
      <w:hyperlink w:anchor="_Toc10132" w:history="1">
        <w:r>
          <w:rPr>
            <w:rFonts w:ascii="仿宋" w:eastAsia="仿宋" w:hAnsi="仿宋" w:cs="仿宋" w:hint="eastAsia"/>
            <w:lang w:eastAsia="zh-CN"/>
          </w:rPr>
          <w:t>(三)、设备选型方案</w:t>
        </w:r>
        <w:r>
          <w:tab/>
        </w:r>
        <w:r>
          <w:fldChar w:fldCharType="begin"/>
        </w:r>
        <w:r>
          <w:instrText xml:space="preserve"> PAGEREF _Toc10132 \h </w:instrText>
        </w:r>
        <w:r>
          <w:fldChar w:fldCharType="separate"/>
        </w:r>
        <w:r>
          <w:t>9</w:t>
        </w:r>
        <w:r>
          <w:fldChar w:fldCharType="end"/>
        </w:r>
      </w:hyperlink>
    </w:p>
    <w:p>
      <w:pPr>
        <w:pStyle w:val="TOC1"/>
        <w:tabs>
          <w:tab w:val="right" w:leader="dot" w:pos="8306"/>
        </w:tabs>
      </w:pPr>
      <w:hyperlink w:anchor="_Toc6506" w:history="1">
        <w:r>
          <w:rPr>
            <w:rFonts w:ascii="仿宋" w:eastAsia="仿宋" w:hAnsi="仿宋" w:cs="仿宋" w:hint="eastAsia"/>
            <w:lang w:eastAsia="zh-CN"/>
          </w:rPr>
          <w:t>三、非临床安全性评价服务项目绩效评估</w:t>
        </w:r>
        <w:r>
          <w:tab/>
        </w:r>
        <w:r>
          <w:fldChar w:fldCharType="begin"/>
        </w:r>
        <w:r>
          <w:instrText xml:space="preserve"> PAGEREF _Toc6506 \h </w:instrText>
        </w:r>
        <w:r>
          <w:fldChar w:fldCharType="separate"/>
        </w:r>
        <w:r>
          <w:t>11</w:t>
        </w:r>
        <w:r>
          <w:fldChar w:fldCharType="end"/>
        </w:r>
      </w:hyperlink>
    </w:p>
    <w:p>
      <w:pPr>
        <w:pStyle w:val="TOC2"/>
        <w:tabs>
          <w:tab w:val="right" w:leader="dot" w:pos="8306"/>
        </w:tabs>
      </w:pPr>
      <w:hyperlink w:anchor="_Toc3491" w:history="1">
        <w:r>
          <w:rPr>
            <w:rFonts w:ascii="仿宋" w:eastAsia="仿宋" w:hAnsi="仿宋" w:cs="仿宋" w:hint="eastAsia"/>
            <w:lang w:eastAsia="zh-CN"/>
          </w:rPr>
          <w:t>(一)、绩效评估指标</w:t>
        </w:r>
        <w:r>
          <w:tab/>
        </w:r>
        <w:r>
          <w:fldChar w:fldCharType="begin"/>
        </w:r>
        <w:r>
          <w:instrText xml:space="preserve"> PAGEREF _Toc3491 \h </w:instrText>
        </w:r>
        <w:r>
          <w:fldChar w:fldCharType="separate"/>
        </w:r>
        <w:r>
          <w:t>11</w:t>
        </w:r>
        <w:r>
          <w:fldChar w:fldCharType="end"/>
        </w:r>
      </w:hyperlink>
    </w:p>
    <w:p>
      <w:pPr>
        <w:pStyle w:val="TOC2"/>
        <w:tabs>
          <w:tab w:val="right" w:leader="dot" w:pos="8306"/>
        </w:tabs>
      </w:pPr>
      <w:hyperlink w:anchor="_Toc20665" w:history="1">
        <w:r>
          <w:rPr>
            <w:rFonts w:ascii="仿宋" w:eastAsia="仿宋" w:hAnsi="仿宋" w:cs="仿宋" w:hint="eastAsia"/>
            <w:lang w:eastAsia="zh-CN"/>
          </w:rPr>
          <w:t>(二)、绩效评估方法</w:t>
        </w:r>
        <w:r>
          <w:tab/>
        </w:r>
        <w:r>
          <w:fldChar w:fldCharType="begin"/>
        </w:r>
        <w:r>
          <w:instrText xml:space="preserve"> PAGEREF _Toc20665 \h </w:instrText>
        </w:r>
        <w:r>
          <w:fldChar w:fldCharType="separate"/>
        </w:r>
        <w:r>
          <w:t>12</w:t>
        </w:r>
        <w:r>
          <w:fldChar w:fldCharType="end"/>
        </w:r>
      </w:hyperlink>
    </w:p>
    <w:p>
      <w:pPr>
        <w:pStyle w:val="TOC2"/>
        <w:tabs>
          <w:tab w:val="right" w:leader="dot" w:pos="8306"/>
        </w:tabs>
      </w:pPr>
      <w:hyperlink w:anchor="_Toc29030" w:history="1">
        <w:r>
          <w:rPr>
            <w:rFonts w:ascii="仿宋" w:eastAsia="仿宋" w:hAnsi="仿宋" w:cs="仿宋" w:hint="eastAsia"/>
            <w:lang w:eastAsia="zh-CN"/>
          </w:rPr>
          <w:t>(三)、绩效评估周期</w:t>
        </w:r>
        <w:r>
          <w:tab/>
        </w:r>
        <w:r>
          <w:fldChar w:fldCharType="begin"/>
        </w:r>
        <w:r>
          <w:instrText xml:space="preserve"> PAGEREF _Toc29030 \h </w:instrText>
        </w:r>
        <w:r>
          <w:fldChar w:fldCharType="separate"/>
        </w:r>
        <w:r>
          <w:t>13</w:t>
        </w:r>
        <w:r>
          <w:fldChar w:fldCharType="end"/>
        </w:r>
      </w:hyperlink>
    </w:p>
    <w:p>
      <w:pPr>
        <w:pStyle w:val="TOC1"/>
        <w:tabs>
          <w:tab w:val="right" w:leader="dot" w:pos="8306"/>
        </w:tabs>
      </w:pPr>
      <w:hyperlink w:anchor="_Toc13826" w:history="1">
        <w:r>
          <w:rPr>
            <w:rFonts w:ascii="仿宋" w:eastAsia="仿宋" w:hAnsi="仿宋" w:cs="仿宋" w:hint="eastAsia"/>
            <w:lang w:eastAsia="zh-CN"/>
          </w:rPr>
          <w:t>四、非临床安全性评价服务项目土建工程</w:t>
        </w:r>
        <w:r>
          <w:tab/>
        </w:r>
        <w:r>
          <w:fldChar w:fldCharType="begin"/>
        </w:r>
        <w:r>
          <w:instrText xml:space="preserve"> PAGEREF _Toc13826 \h </w:instrText>
        </w:r>
        <w:r>
          <w:fldChar w:fldCharType="separate"/>
        </w:r>
        <w:r>
          <w:t>14</w:t>
        </w:r>
        <w:r>
          <w:fldChar w:fldCharType="end"/>
        </w:r>
      </w:hyperlink>
    </w:p>
    <w:p>
      <w:pPr>
        <w:pStyle w:val="TOC2"/>
        <w:tabs>
          <w:tab w:val="right" w:leader="dot" w:pos="8306"/>
        </w:tabs>
      </w:pPr>
      <w:hyperlink w:anchor="_Toc1776" w:history="1">
        <w:r>
          <w:rPr>
            <w:rFonts w:ascii="仿宋" w:eastAsia="仿宋" w:hAnsi="仿宋" w:cs="仿宋" w:hint="eastAsia"/>
            <w:lang w:eastAsia="zh-CN"/>
          </w:rPr>
          <w:t>(一)、建筑工程设计原则</w:t>
        </w:r>
        <w:r>
          <w:tab/>
        </w:r>
        <w:r>
          <w:fldChar w:fldCharType="begin"/>
        </w:r>
        <w:r>
          <w:instrText xml:space="preserve"> PAGEREF _Toc1776 \h </w:instrText>
        </w:r>
        <w:r>
          <w:fldChar w:fldCharType="separate"/>
        </w:r>
        <w:r>
          <w:t>14</w:t>
        </w:r>
        <w:r>
          <w:fldChar w:fldCharType="end"/>
        </w:r>
      </w:hyperlink>
    </w:p>
    <w:p>
      <w:pPr>
        <w:pStyle w:val="TOC2"/>
        <w:tabs>
          <w:tab w:val="right" w:leader="dot" w:pos="8306"/>
        </w:tabs>
      </w:pPr>
      <w:hyperlink w:anchor="_Toc16340" w:history="1">
        <w:r>
          <w:rPr>
            <w:rFonts w:ascii="仿宋" w:eastAsia="仿宋" w:hAnsi="仿宋" w:cs="仿宋" w:hint="eastAsia"/>
            <w:lang w:eastAsia="zh-CN"/>
          </w:rPr>
          <w:t>(二)、土建工程设计年限及安全等级</w:t>
        </w:r>
        <w:r>
          <w:tab/>
        </w:r>
        <w:r>
          <w:fldChar w:fldCharType="begin"/>
        </w:r>
        <w:r>
          <w:instrText xml:space="preserve"> PAGEREF _Toc16340 \h </w:instrText>
        </w:r>
        <w:r>
          <w:fldChar w:fldCharType="separate"/>
        </w:r>
        <w:r>
          <w:t>15</w:t>
        </w:r>
        <w:r>
          <w:fldChar w:fldCharType="end"/>
        </w:r>
      </w:hyperlink>
    </w:p>
    <w:p>
      <w:pPr>
        <w:pStyle w:val="TOC2"/>
        <w:tabs>
          <w:tab w:val="right" w:leader="dot" w:pos="8306"/>
        </w:tabs>
      </w:pPr>
      <w:hyperlink w:anchor="_Toc14932" w:history="1">
        <w:r>
          <w:rPr>
            <w:rFonts w:ascii="仿宋" w:eastAsia="仿宋" w:hAnsi="仿宋" w:cs="仿宋" w:hint="eastAsia"/>
            <w:lang w:eastAsia="zh-CN"/>
          </w:rPr>
          <w:t>(三)、建筑工程设计总体要求</w:t>
        </w:r>
        <w:r>
          <w:tab/>
        </w:r>
        <w:r>
          <w:fldChar w:fldCharType="begin"/>
        </w:r>
        <w:r>
          <w:instrText xml:space="preserve"> PAGEREF _Toc14932 \h </w:instrText>
        </w:r>
        <w:r>
          <w:fldChar w:fldCharType="separate"/>
        </w:r>
        <w:r>
          <w:t>17</w:t>
        </w:r>
        <w:r>
          <w:fldChar w:fldCharType="end"/>
        </w:r>
      </w:hyperlink>
    </w:p>
    <w:p>
      <w:pPr>
        <w:pStyle w:val="TOC2"/>
        <w:tabs>
          <w:tab w:val="right" w:leader="dot" w:pos="8306"/>
        </w:tabs>
      </w:pPr>
      <w:hyperlink w:anchor="_Toc8898" w:history="1">
        <w:r>
          <w:rPr>
            <w:rFonts w:ascii="仿宋" w:eastAsia="仿宋" w:hAnsi="仿宋" w:cs="仿宋" w:hint="eastAsia"/>
            <w:lang w:eastAsia="zh-CN"/>
          </w:rPr>
          <w:t>(四)、土建工程建设指标</w:t>
        </w:r>
        <w:r>
          <w:tab/>
        </w:r>
        <w:r>
          <w:fldChar w:fldCharType="begin"/>
        </w:r>
        <w:r>
          <w:instrText xml:space="preserve"> PAGEREF _Toc8898 \h </w:instrText>
        </w:r>
        <w:r>
          <w:fldChar w:fldCharType="separate"/>
        </w:r>
        <w:r>
          <w:t>17</w:t>
        </w:r>
        <w:r>
          <w:fldChar w:fldCharType="end"/>
        </w:r>
      </w:hyperlink>
    </w:p>
    <w:p>
      <w:pPr>
        <w:pStyle w:val="TOC1"/>
        <w:tabs>
          <w:tab w:val="right" w:leader="dot" w:pos="8306"/>
        </w:tabs>
      </w:pPr>
      <w:hyperlink w:anchor="_Toc19290" w:history="1">
        <w:r>
          <w:rPr>
            <w:rFonts w:ascii="仿宋" w:eastAsia="仿宋" w:hAnsi="仿宋" w:cs="仿宋" w:hint="eastAsia"/>
            <w:lang w:eastAsia="zh-CN"/>
          </w:rPr>
          <w:t>五、非临床安全性评价服务项目可持续发展</w:t>
        </w:r>
        <w:r>
          <w:tab/>
        </w:r>
        <w:r>
          <w:fldChar w:fldCharType="begin"/>
        </w:r>
        <w:r>
          <w:instrText xml:space="preserve"> PAGEREF _Toc19290 \h </w:instrText>
        </w:r>
        <w:r>
          <w:fldChar w:fldCharType="separate"/>
        </w:r>
        <w:r>
          <w:t>18</w:t>
        </w:r>
        <w:r>
          <w:fldChar w:fldCharType="end"/>
        </w:r>
      </w:hyperlink>
    </w:p>
    <w:p>
      <w:pPr>
        <w:pStyle w:val="TOC2"/>
        <w:tabs>
          <w:tab w:val="right" w:leader="dot" w:pos="8306"/>
        </w:tabs>
      </w:pPr>
      <w:hyperlink w:anchor="_Toc11991" w:history="1">
        <w:r>
          <w:rPr>
            <w:rFonts w:ascii="仿宋" w:eastAsia="仿宋" w:hAnsi="仿宋" w:cs="仿宋" w:hint="eastAsia"/>
            <w:lang w:eastAsia="zh-CN"/>
          </w:rPr>
          <w:t>(一)、可持续战略与实践</w:t>
        </w:r>
        <w:r>
          <w:tab/>
        </w:r>
        <w:r>
          <w:fldChar w:fldCharType="begin"/>
        </w:r>
        <w:r>
          <w:instrText xml:space="preserve"> PAGEREF _Toc11991 \h </w:instrText>
        </w:r>
        <w:r>
          <w:fldChar w:fldCharType="separate"/>
        </w:r>
        <w:r>
          <w:t>18</w:t>
        </w:r>
        <w:r>
          <w:fldChar w:fldCharType="end"/>
        </w:r>
      </w:hyperlink>
    </w:p>
    <w:p>
      <w:pPr>
        <w:pStyle w:val="TOC2"/>
        <w:tabs>
          <w:tab w:val="right" w:leader="dot" w:pos="8306"/>
        </w:tabs>
      </w:pPr>
      <w:hyperlink w:anchor="_Toc9155" w:history="1">
        <w:r>
          <w:rPr>
            <w:rFonts w:ascii="仿宋" w:eastAsia="仿宋" w:hAnsi="仿宋" w:cs="仿宋" w:hint="eastAsia"/>
            <w:lang w:eastAsia="zh-CN"/>
          </w:rPr>
          <w:t>(二)、环保与社会责任</w:t>
        </w:r>
        <w:r>
          <w:tab/>
        </w:r>
        <w:r>
          <w:fldChar w:fldCharType="begin"/>
        </w:r>
        <w:r>
          <w:instrText xml:space="preserve"> PAGEREF _Toc9155 \h </w:instrText>
        </w:r>
        <w:r>
          <w:fldChar w:fldCharType="separate"/>
        </w:r>
        <w:r>
          <w:t>18</w:t>
        </w:r>
        <w:r>
          <w:fldChar w:fldCharType="end"/>
        </w:r>
      </w:hyperlink>
    </w:p>
    <w:p>
      <w:pPr>
        <w:pStyle w:val="TOC1"/>
        <w:tabs>
          <w:tab w:val="right" w:leader="dot" w:pos="8306"/>
        </w:tabs>
      </w:pPr>
      <w:hyperlink w:anchor="_Toc325" w:history="1">
        <w:r>
          <w:rPr>
            <w:rFonts w:ascii="仿宋" w:eastAsia="仿宋" w:hAnsi="仿宋" w:cs="仿宋" w:hint="eastAsia"/>
            <w:lang w:eastAsia="zh-CN"/>
          </w:rPr>
          <w:t>六、非临床安全性评价服务项目建设背景及必要性分析</w:t>
        </w:r>
        <w:r>
          <w:tab/>
        </w:r>
        <w:r>
          <w:fldChar w:fldCharType="begin"/>
        </w:r>
        <w:r>
          <w:instrText xml:space="preserve"> PAGEREF _Toc325 \h </w:instrText>
        </w:r>
        <w:r>
          <w:fldChar w:fldCharType="separate"/>
        </w:r>
        <w:r>
          <w:t>19</w:t>
        </w:r>
        <w:r>
          <w:fldChar w:fldCharType="end"/>
        </w:r>
      </w:hyperlink>
    </w:p>
    <w:p>
      <w:pPr>
        <w:pStyle w:val="TOC2"/>
        <w:tabs>
          <w:tab w:val="right" w:leader="dot" w:pos="8306"/>
        </w:tabs>
      </w:pPr>
      <w:hyperlink w:anchor="_Toc9378" w:history="1">
        <w:r>
          <w:rPr>
            <w:rFonts w:ascii="仿宋" w:eastAsia="仿宋" w:hAnsi="仿宋" w:cs="仿宋" w:hint="eastAsia"/>
            <w:lang w:eastAsia="zh-CN"/>
          </w:rPr>
          <w:t>(一)、非临床安全性评价服务项目背景分析</w:t>
        </w:r>
        <w:r>
          <w:tab/>
        </w:r>
        <w:r>
          <w:fldChar w:fldCharType="begin"/>
        </w:r>
        <w:r>
          <w:instrText xml:space="preserve"> PAGEREF _Toc9378 \h </w:instrText>
        </w:r>
        <w:r>
          <w:fldChar w:fldCharType="separate"/>
        </w:r>
        <w:r>
          <w:t>19</w:t>
        </w:r>
        <w:r>
          <w:fldChar w:fldCharType="end"/>
        </w:r>
      </w:hyperlink>
    </w:p>
    <w:p>
      <w:pPr>
        <w:pStyle w:val="TOC2"/>
        <w:tabs>
          <w:tab w:val="right" w:leader="dot" w:pos="8306"/>
        </w:tabs>
      </w:pPr>
      <w:hyperlink w:anchor="_Toc29905" w:history="1">
        <w:r>
          <w:rPr>
            <w:rFonts w:ascii="仿宋" w:eastAsia="仿宋" w:hAnsi="仿宋" w:cs="仿宋" w:hint="eastAsia"/>
            <w:lang w:eastAsia="zh-CN"/>
          </w:rPr>
          <w:t>(二)、非临床安全性评价服务项目建设必要性分析</w:t>
        </w:r>
        <w:r>
          <w:tab/>
        </w:r>
        <w:r>
          <w:fldChar w:fldCharType="begin"/>
        </w:r>
        <w:r>
          <w:instrText xml:space="preserve"> PAGEREF _Toc29905 \h </w:instrText>
        </w:r>
        <w:r>
          <w:fldChar w:fldCharType="separate"/>
        </w:r>
        <w:r>
          <w:t>21</w:t>
        </w:r>
        <w:r>
          <w:fldChar w:fldCharType="end"/>
        </w:r>
      </w:hyperlink>
    </w:p>
    <w:p>
      <w:pPr>
        <w:pStyle w:val="TOC1"/>
        <w:tabs>
          <w:tab w:val="right" w:leader="dot" w:pos="8306"/>
        </w:tabs>
      </w:pPr>
      <w:hyperlink w:anchor="_Toc19356" w:history="1">
        <w:r>
          <w:rPr>
            <w:rFonts w:ascii="仿宋" w:eastAsia="仿宋" w:hAnsi="仿宋" w:cs="仿宋" w:hint="eastAsia"/>
            <w:lang w:eastAsia="zh-CN"/>
          </w:rPr>
          <w:t>七、非临床安全性评价服务项目投资规划</w:t>
        </w:r>
        <w:r>
          <w:tab/>
        </w:r>
        <w:r>
          <w:fldChar w:fldCharType="begin"/>
        </w:r>
        <w:r>
          <w:instrText xml:space="preserve"> PAGEREF _Toc19356 \h </w:instrText>
        </w:r>
        <w:r>
          <w:fldChar w:fldCharType="separate"/>
        </w:r>
        <w:r>
          <w:t>23</w:t>
        </w:r>
        <w:r>
          <w:fldChar w:fldCharType="end"/>
        </w:r>
      </w:hyperlink>
    </w:p>
    <w:p>
      <w:pPr>
        <w:pStyle w:val="TOC2"/>
        <w:tabs>
          <w:tab w:val="right" w:leader="dot" w:pos="8306"/>
        </w:tabs>
      </w:pPr>
      <w:hyperlink w:anchor="_Toc20131" w:history="1">
        <w:r>
          <w:rPr>
            <w:rFonts w:ascii="仿宋" w:eastAsia="仿宋" w:hAnsi="仿宋" w:cs="仿宋" w:hint="eastAsia"/>
            <w:lang w:eastAsia="zh-CN"/>
          </w:rPr>
          <w:t>(一)、非临床安全性评价服务项目总投资估算</w:t>
        </w:r>
        <w:r>
          <w:tab/>
        </w:r>
        <w:r>
          <w:fldChar w:fldCharType="begin"/>
        </w:r>
        <w:r>
          <w:instrText xml:space="preserve"> PAGEREF _Toc20131 \h </w:instrText>
        </w:r>
        <w:r>
          <w:fldChar w:fldCharType="separate"/>
        </w:r>
        <w:r>
          <w:t>23</w:t>
        </w:r>
        <w:r>
          <w:fldChar w:fldCharType="end"/>
        </w:r>
      </w:hyperlink>
    </w:p>
    <w:p>
      <w:pPr>
        <w:pStyle w:val="TOC2"/>
        <w:tabs>
          <w:tab w:val="right" w:leader="dot" w:pos="8306"/>
        </w:tabs>
      </w:pPr>
      <w:hyperlink w:anchor="_Toc22284" w:history="1">
        <w:r>
          <w:rPr>
            <w:rFonts w:ascii="仿宋" w:eastAsia="仿宋" w:hAnsi="仿宋" w:cs="仿宋" w:hint="eastAsia"/>
            <w:lang w:eastAsia="zh-CN"/>
          </w:rPr>
          <w:t>(二)、资金筹措</w:t>
        </w:r>
        <w:r>
          <w:tab/>
        </w:r>
        <w:r>
          <w:fldChar w:fldCharType="begin"/>
        </w:r>
        <w:r>
          <w:instrText xml:space="preserve"> PAGEREF _Toc22284 \h </w:instrText>
        </w:r>
        <w:r>
          <w:fldChar w:fldCharType="separate"/>
        </w:r>
        <w:r>
          <w:t>24</w:t>
        </w:r>
        <w:r>
          <w:fldChar w:fldCharType="end"/>
        </w:r>
      </w:hyperlink>
    </w:p>
    <w:p>
      <w:pPr>
        <w:pStyle w:val="TOC1"/>
        <w:tabs>
          <w:tab w:val="right" w:leader="dot" w:pos="8306"/>
        </w:tabs>
      </w:pPr>
      <w:hyperlink w:anchor="_Toc21065" w:history="1">
        <w:r>
          <w:rPr>
            <w:rFonts w:ascii="仿宋" w:eastAsia="仿宋" w:hAnsi="仿宋" w:cs="仿宋" w:hint="eastAsia"/>
            <w:lang w:eastAsia="zh-CN"/>
          </w:rPr>
          <w:t>八、非临床安全性评价服务项目人力资源培养与发展</w:t>
        </w:r>
        <w:r>
          <w:tab/>
        </w:r>
        <w:r>
          <w:fldChar w:fldCharType="begin"/>
        </w:r>
        <w:r>
          <w:instrText xml:space="preserve"> PAGEREF _Toc21065 \h </w:instrText>
        </w:r>
        <w:r>
          <w:fldChar w:fldCharType="separate"/>
        </w:r>
        <w:r>
          <w:t>25</w:t>
        </w:r>
        <w:r>
          <w:fldChar w:fldCharType="end"/>
        </w:r>
      </w:hyperlink>
    </w:p>
    <w:p>
      <w:pPr>
        <w:pStyle w:val="TOC2"/>
        <w:tabs>
          <w:tab w:val="right" w:leader="dot" w:pos="8306"/>
        </w:tabs>
      </w:pPr>
      <w:hyperlink w:anchor="_Toc2138" w:history="1">
        <w:r>
          <w:rPr>
            <w:rFonts w:ascii="仿宋" w:eastAsia="仿宋" w:hAnsi="仿宋" w:cs="仿宋" w:hint="eastAsia"/>
            <w:lang w:eastAsia="zh-CN"/>
          </w:rPr>
          <w:t>(一)、人才需求与规划</w:t>
        </w:r>
        <w:r>
          <w:tab/>
        </w:r>
        <w:r>
          <w:fldChar w:fldCharType="begin"/>
        </w:r>
        <w:r>
          <w:instrText xml:space="preserve"> PAGEREF _Toc2138 \h </w:instrText>
        </w:r>
        <w:r>
          <w:fldChar w:fldCharType="separate"/>
        </w:r>
        <w:r>
          <w:t>25</w:t>
        </w:r>
        <w:r>
          <w:fldChar w:fldCharType="end"/>
        </w:r>
      </w:hyperlink>
    </w:p>
    <w:p>
      <w:pPr>
        <w:pStyle w:val="TOC2"/>
        <w:tabs>
          <w:tab w:val="right" w:leader="dot" w:pos="8306"/>
        </w:tabs>
      </w:pPr>
      <w:hyperlink w:anchor="_Toc32570" w:history="1">
        <w:r>
          <w:rPr>
            <w:rFonts w:ascii="仿宋" w:eastAsia="仿宋" w:hAnsi="仿宋" w:cs="仿宋" w:hint="eastAsia"/>
            <w:lang w:eastAsia="zh-CN"/>
          </w:rPr>
          <w:t>(二)、培训与发展计划</w:t>
        </w:r>
        <w:r>
          <w:tab/>
        </w:r>
        <w:r>
          <w:fldChar w:fldCharType="begin"/>
        </w:r>
        <w:r>
          <w:instrText xml:space="preserve"> PAGEREF _Toc32570 \h </w:instrText>
        </w:r>
        <w:r>
          <w:fldChar w:fldCharType="separate"/>
        </w:r>
        <w:r>
          <w:t>25</w:t>
        </w:r>
        <w:r>
          <w:fldChar w:fldCharType="end"/>
        </w:r>
      </w:hyperlink>
    </w:p>
    <w:p>
      <w:pPr>
        <w:pStyle w:val="TOC1"/>
        <w:tabs>
          <w:tab w:val="right" w:leader="dot" w:pos="8306"/>
        </w:tabs>
      </w:pPr>
      <w:hyperlink w:anchor="_Toc24080" w:history="1">
        <w:r>
          <w:rPr>
            <w:rFonts w:ascii="仿宋" w:eastAsia="仿宋" w:hAnsi="仿宋" w:cs="仿宋" w:hint="eastAsia"/>
            <w:lang w:eastAsia="zh-CN"/>
          </w:rPr>
          <w:t>九、非临床安全性评价服务项目技术管理</w:t>
        </w:r>
        <w:r>
          <w:tab/>
        </w:r>
        <w:r>
          <w:fldChar w:fldCharType="begin"/>
        </w:r>
        <w:r>
          <w:instrText xml:space="preserve"> PAGEREF _Toc24080 \h </w:instrText>
        </w:r>
        <w:r>
          <w:fldChar w:fldCharType="separate"/>
        </w:r>
        <w:r>
          <w:t>26</w:t>
        </w:r>
        <w:r>
          <w:fldChar w:fldCharType="end"/>
        </w:r>
      </w:hyperlink>
    </w:p>
    <w:p>
      <w:pPr>
        <w:pStyle w:val="TOC2"/>
        <w:tabs>
          <w:tab w:val="right" w:leader="dot" w:pos="8306"/>
        </w:tabs>
      </w:pPr>
      <w:hyperlink w:anchor="_Toc2849" w:history="1">
        <w:r>
          <w:rPr>
            <w:rFonts w:ascii="仿宋" w:eastAsia="仿宋" w:hAnsi="仿宋" w:cs="仿宋" w:hint="eastAsia"/>
            <w:lang w:eastAsia="zh-CN"/>
          </w:rPr>
          <w:t>(一)、技术方案选用方向</w:t>
        </w:r>
        <w:r>
          <w:tab/>
        </w:r>
        <w:r>
          <w:fldChar w:fldCharType="begin"/>
        </w:r>
        <w:r>
          <w:instrText xml:space="preserve"> PAGEREF _Toc2849 \h </w:instrText>
        </w:r>
        <w:r>
          <w:fldChar w:fldCharType="separate"/>
        </w:r>
        <w:r>
          <w:t>26</w:t>
        </w:r>
        <w:r>
          <w:fldChar w:fldCharType="end"/>
        </w:r>
      </w:hyperlink>
    </w:p>
    <w:p>
      <w:pPr>
        <w:pStyle w:val="TOC2"/>
        <w:tabs>
          <w:tab w:val="right" w:leader="dot" w:pos="8306"/>
        </w:tabs>
      </w:pPr>
      <w:hyperlink w:anchor="_Toc11106" w:history="1">
        <w:r>
          <w:rPr>
            <w:rFonts w:ascii="仿宋" w:eastAsia="仿宋" w:hAnsi="仿宋" w:cs="仿宋" w:hint="eastAsia"/>
            <w:lang w:eastAsia="zh-CN"/>
          </w:rPr>
          <w:t>(二)、工艺技术方案选用原则</w:t>
        </w:r>
        <w:r>
          <w:tab/>
        </w:r>
        <w:r>
          <w:fldChar w:fldCharType="begin"/>
        </w:r>
        <w:r>
          <w:instrText xml:space="preserve"> PAGEREF _Toc11106 \h </w:instrText>
        </w:r>
        <w:r>
          <w:fldChar w:fldCharType="separate"/>
        </w:r>
        <w:r>
          <w:t>28</w:t>
        </w:r>
        <w:r>
          <w:fldChar w:fldCharType="end"/>
        </w:r>
      </w:hyperlink>
    </w:p>
    <w:p>
      <w:pPr>
        <w:pStyle w:val="TOC2"/>
        <w:tabs>
          <w:tab w:val="right" w:leader="dot" w:pos="8306"/>
        </w:tabs>
      </w:pPr>
      <w:hyperlink w:anchor="_Toc1966" w:history="1">
        <w:r>
          <w:rPr>
            <w:rFonts w:ascii="仿宋" w:eastAsia="仿宋" w:hAnsi="仿宋" w:cs="仿宋" w:hint="eastAsia"/>
            <w:lang w:eastAsia="zh-CN"/>
          </w:rPr>
          <w:t>(三)、工艺技术方案要求</w:t>
        </w:r>
        <w:r>
          <w:tab/>
        </w:r>
        <w:r>
          <w:fldChar w:fldCharType="begin"/>
        </w:r>
        <w:r>
          <w:instrText xml:space="preserve"> PAGEREF _Toc1966 \h </w:instrText>
        </w:r>
        <w:r>
          <w:fldChar w:fldCharType="separate"/>
        </w:r>
        <w:r>
          <w:t>30</w:t>
        </w:r>
        <w:r>
          <w:fldChar w:fldCharType="end"/>
        </w:r>
      </w:hyperlink>
    </w:p>
    <w:p>
      <w:pPr>
        <w:pStyle w:val="TOC1"/>
        <w:tabs>
          <w:tab w:val="right" w:leader="dot" w:pos="8306"/>
        </w:tabs>
      </w:pPr>
      <w:hyperlink w:anchor="_Toc24914" w:history="1">
        <w:r>
          <w:rPr>
            <w:rFonts w:ascii="仿宋" w:eastAsia="仿宋" w:hAnsi="仿宋" w:cs="仿宋" w:hint="eastAsia"/>
            <w:lang w:eastAsia="zh-CN"/>
          </w:rPr>
          <w:t>十、非临床安全性评价服务项目创新与研发</w:t>
        </w:r>
        <w:r>
          <w:tab/>
        </w:r>
        <w:r>
          <w:fldChar w:fldCharType="begin"/>
        </w:r>
        <w:r>
          <w:instrText xml:space="preserve"> PAGEREF _Toc24914 \h </w:instrText>
        </w:r>
        <w:r>
          <w:fldChar w:fldCharType="separate"/>
        </w:r>
        <w:r>
          <w:t>32</w:t>
        </w:r>
        <w:r>
          <w:fldChar w:fldCharType="end"/>
        </w:r>
      </w:hyperlink>
    </w:p>
    <w:p>
      <w:pPr>
        <w:pStyle w:val="TOC2"/>
        <w:tabs>
          <w:tab w:val="right" w:leader="dot" w:pos="8306"/>
        </w:tabs>
      </w:pPr>
      <w:hyperlink w:anchor="_Toc22465" w:history="1">
        <w:r>
          <w:rPr>
            <w:rFonts w:ascii="仿宋" w:eastAsia="仿宋" w:hAnsi="仿宋" w:cs="仿宋" w:hint="eastAsia"/>
            <w:lang w:eastAsia="zh-CN"/>
          </w:rPr>
          <w:t>(一)、创新策略与方向</w:t>
        </w:r>
        <w:r>
          <w:tab/>
        </w:r>
        <w:r>
          <w:fldChar w:fldCharType="begin"/>
        </w:r>
        <w:r>
          <w:instrText xml:space="preserve"> PAGEREF _Toc22465 \h </w:instrText>
        </w:r>
        <w:r>
          <w:fldChar w:fldCharType="separate"/>
        </w:r>
        <w:r>
          <w:t>32</w:t>
        </w:r>
        <w:r>
          <w:fldChar w:fldCharType="end"/>
        </w:r>
      </w:hyperlink>
    </w:p>
    <w:p>
      <w:pPr>
        <w:pStyle w:val="TOC2"/>
        <w:tabs>
          <w:tab w:val="right" w:leader="dot" w:pos="8306"/>
        </w:tabs>
      </w:pPr>
      <w:hyperlink w:anchor="_Toc15763" w:history="1">
        <w:r>
          <w:rPr>
            <w:rFonts w:ascii="仿宋" w:eastAsia="仿宋" w:hAnsi="仿宋" w:cs="仿宋" w:hint="eastAsia"/>
            <w:lang w:eastAsia="zh-CN"/>
          </w:rPr>
          <w:t>(二)、研发规划与投入</w:t>
        </w:r>
        <w:r>
          <w:tab/>
        </w:r>
        <w:r>
          <w:fldChar w:fldCharType="begin"/>
        </w:r>
        <w:r>
          <w:instrText xml:space="preserve"> PAGEREF _Toc15763 \h </w:instrText>
        </w:r>
        <w:r>
          <w:fldChar w:fldCharType="separate"/>
        </w:r>
        <w:r>
          <w:t>34</w:t>
        </w:r>
        <w:r>
          <w:fldChar w:fldCharType="end"/>
        </w:r>
      </w:hyperlink>
    </w:p>
    <w:p>
      <w:pPr>
        <w:pStyle w:val="TOC1"/>
        <w:tabs>
          <w:tab w:val="right" w:leader="dot" w:pos="8306"/>
        </w:tabs>
      </w:pPr>
      <w:hyperlink w:anchor="_Toc30510" w:history="1">
        <w:r>
          <w:rPr>
            <w:rFonts w:ascii="仿宋" w:eastAsia="仿宋" w:hAnsi="仿宋" w:cs="仿宋" w:hint="eastAsia"/>
            <w:lang w:eastAsia="zh-CN"/>
          </w:rPr>
          <w:t>十一、非临床安全性评价服务项目财务管理</w:t>
        </w:r>
        <w:r>
          <w:tab/>
        </w:r>
        <w:r>
          <w:fldChar w:fldCharType="begin"/>
        </w:r>
        <w:r>
          <w:instrText xml:space="preserve"> PAGEREF _Toc30510 \h </w:instrText>
        </w:r>
        <w:r>
          <w:fldChar w:fldCharType="separate"/>
        </w:r>
        <w:r>
          <w:t>35</w:t>
        </w:r>
        <w:r>
          <w:fldChar w:fldCharType="end"/>
        </w:r>
      </w:hyperlink>
    </w:p>
    <w:p>
      <w:pPr>
        <w:pStyle w:val="TOC2"/>
        <w:tabs>
          <w:tab w:val="right" w:leader="dot" w:pos="8306"/>
        </w:tabs>
      </w:pPr>
      <w:hyperlink w:anchor="_Toc30164" w:history="1">
        <w:r>
          <w:rPr>
            <w:rFonts w:ascii="仿宋" w:eastAsia="仿宋" w:hAnsi="仿宋" w:cs="仿宋" w:hint="eastAsia"/>
            <w:lang w:eastAsia="zh-CN"/>
          </w:rPr>
          <w:t>(一)、资金需求大</w:t>
        </w:r>
        <w:r>
          <w:tab/>
        </w:r>
        <w:r>
          <w:fldChar w:fldCharType="begin"/>
        </w:r>
        <w:r>
          <w:instrText xml:space="preserve"> PAGEREF _Toc30164 \h </w:instrText>
        </w:r>
        <w:r>
          <w:fldChar w:fldCharType="separate"/>
        </w:r>
        <w:r>
          <w:t>35</w:t>
        </w:r>
        <w:r>
          <w:fldChar w:fldCharType="end"/>
        </w:r>
      </w:hyperlink>
    </w:p>
    <w:p>
      <w:pPr>
        <w:pStyle w:val="TOC2"/>
        <w:tabs>
          <w:tab w:val="right" w:leader="dot" w:pos="8306"/>
        </w:tabs>
      </w:pPr>
      <w:hyperlink w:anchor="_Toc29041" w:history="1">
        <w:r>
          <w:rPr>
            <w:rFonts w:ascii="仿宋" w:eastAsia="仿宋" w:hAnsi="仿宋" w:cs="仿宋" w:hint="eastAsia"/>
            <w:lang w:eastAsia="zh-CN"/>
          </w:rPr>
          <w:t>(二)、研发周期长</w:t>
        </w:r>
        <w:r>
          <w:tab/>
        </w:r>
        <w:r>
          <w:fldChar w:fldCharType="begin"/>
        </w:r>
        <w:r>
          <w:instrText xml:space="preserve"> PAGEREF _Toc29041 \h </w:instrText>
        </w:r>
        <w:r>
          <w:fldChar w:fldCharType="separate"/>
        </w:r>
        <w:r>
          <w:t>37</w:t>
        </w:r>
        <w:r>
          <w:fldChar w:fldCharType="end"/>
        </w:r>
      </w:hyperlink>
    </w:p>
    <w:p>
      <w:pPr>
        <w:pStyle w:val="TOC2"/>
        <w:tabs>
          <w:tab w:val="right" w:leader="dot" w:pos="8306"/>
        </w:tabs>
      </w:pPr>
      <w:hyperlink w:anchor="_Toc27167" w:history="1">
        <w:r>
          <w:rPr>
            <w:rFonts w:ascii="仿宋" w:eastAsia="仿宋" w:hAnsi="仿宋" w:cs="仿宋" w:hint="eastAsia"/>
            <w:lang w:eastAsia="zh-CN"/>
          </w:rPr>
          <w:t>(三)、市场风险大</w:t>
        </w:r>
        <w:r>
          <w:tab/>
        </w:r>
        <w:r>
          <w:fldChar w:fldCharType="begin"/>
        </w:r>
        <w:r>
          <w:instrText xml:space="preserve"> PAGEREF _Toc27167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85" w:history="1">
        <w:r>
          <w:rPr>
            <w:rFonts w:ascii="仿宋" w:eastAsia="仿宋" w:hAnsi="仿宋" w:cs="仿宋" w:hint="eastAsia"/>
            <w:lang w:eastAsia="zh-CN"/>
          </w:rPr>
          <w:t>(四)、利润率高</w:t>
        </w:r>
        <w:r>
          <w:tab/>
        </w:r>
        <w:r>
          <w:fldChar w:fldCharType="begin"/>
        </w:r>
        <w:r>
          <w:instrText xml:space="preserve"> PAGEREF _Toc1785 \h </w:instrText>
        </w:r>
        <w:r>
          <w:fldChar w:fldCharType="separate"/>
        </w:r>
        <w:r>
          <w:t>41</w:t>
        </w:r>
        <w:r>
          <w:fldChar w:fldCharType="end"/>
        </w:r>
      </w:hyperlink>
    </w:p>
    <w:p>
      <w:pPr>
        <w:pStyle w:val="TOC1"/>
        <w:tabs>
          <w:tab w:val="right" w:leader="dot" w:pos="8306"/>
        </w:tabs>
      </w:pPr>
      <w:hyperlink w:anchor="_Toc32618" w:history="1">
        <w:r>
          <w:rPr>
            <w:rFonts w:ascii="仿宋" w:eastAsia="仿宋" w:hAnsi="仿宋" w:cs="仿宋" w:hint="eastAsia"/>
            <w:lang w:eastAsia="zh-CN"/>
          </w:rPr>
          <w:t>十二、非临床安全性评价服务项目人力资源管理</w:t>
        </w:r>
        <w:r>
          <w:tab/>
        </w:r>
        <w:r>
          <w:fldChar w:fldCharType="begin"/>
        </w:r>
        <w:r>
          <w:instrText xml:space="preserve"> PAGEREF _Toc32618 \h </w:instrText>
        </w:r>
        <w:r>
          <w:fldChar w:fldCharType="separate"/>
        </w:r>
        <w:r>
          <w:t>43</w:t>
        </w:r>
        <w:r>
          <w:fldChar w:fldCharType="end"/>
        </w:r>
      </w:hyperlink>
    </w:p>
    <w:p>
      <w:pPr>
        <w:pStyle w:val="TOC2"/>
        <w:tabs>
          <w:tab w:val="right" w:leader="dot" w:pos="8306"/>
        </w:tabs>
      </w:pPr>
      <w:hyperlink w:anchor="_Toc15877" w:history="1">
        <w:r>
          <w:rPr>
            <w:rFonts w:ascii="仿宋" w:eastAsia="仿宋" w:hAnsi="仿宋" w:cs="仿宋" w:hint="eastAsia"/>
            <w:lang w:eastAsia="zh-CN"/>
          </w:rPr>
          <w:t>(一)、建立健全的预算管理制度</w:t>
        </w:r>
        <w:r>
          <w:tab/>
        </w:r>
        <w:r>
          <w:fldChar w:fldCharType="begin"/>
        </w:r>
        <w:r>
          <w:instrText xml:space="preserve"> PAGEREF _Toc15877 \h </w:instrText>
        </w:r>
        <w:r>
          <w:fldChar w:fldCharType="separate"/>
        </w:r>
        <w:r>
          <w:t>43</w:t>
        </w:r>
        <w:r>
          <w:fldChar w:fldCharType="end"/>
        </w:r>
      </w:hyperlink>
    </w:p>
    <w:p>
      <w:pPr>
        <w:pStyle w:val="TOC2"/>
        <w:tabs>
          <w:tab w:val="right" w:leader="dot" w:pos="8306"/>
        </w:tabs>
      </w:pPr>
      <w:hyperlink w:anchor="_Toc2969" w:history="1">
        <w:r>
          <w:rPr>
            <w:rFonts w:ascii="仿宋" w:eastAsia="仿宋" w:hAnsi="仿宋" w:cs="仿宋" w:hint="eastAsia"/>
            <w:lang w:eastAsia="zh-CN"/>
          </w:rPr>
          <w:t>(二)、加强资金流动监控</w:t>
        </w:r>
        <w:r>
          <w:tab/>
        </w:r>
        <w:r>
          <w:fldChar w:fldCharType="begin"/>
        </w:r>
        <w:r>
          <w:instrText xml:space="preserve"> PAGEREF _Toc2969 \h </w:instrText>
        </w:r>
        <w:r>
          <w:fldChar w:fldCharType="separate"/>
        </w:r>
        <w:r>
          <w:t>45</w:t>
        </w:r>
        <w:r>
          <w:fldChar w:fldCharType="end"/>
        </w:r>
      </w:hyperlink>
    </w:p>
    <w:p>
      <w:pPr>
        <w:pStyle w:val="TOC2"/>
        <w:tabs>
          <w:tab w:val="right" w:leader="dot" w:pos="8306"/>
        </w:tabs>
      </w:pPr>
      <w:hyperlink w:anchor="_Toc17185" w:history="1">
        <w:r>
          <w:rPr>
            <w:rFonts w:ascii="仿宋" w:eastAsia="仿宋" w:hAnsi="仿宋" w:cs="仿宋" w:hint="eastAsia"/>
            <w:lang w:eastAsia="zh-CN"/>
          </w:rPr>
          <w:t>(三)、制定完善的风险控制机制</w:t>
        </w:r>
        <w:r>
          <w:tab/>
        </w:r>
        <w:r>
          <w:fldChar w:fldCharType="begin"/>
        </w:r>
        <w:r>
          <w:instrText xml:space="preserve"> PAGEREF _Toc17185 \h </w:instrText>
        </w:r>
        <w:r>
          <w:fldChar w:fldCharType="separate"/>
        </w:r>
        <w:r>
          <w:t>46</w:t>
        </w:r>
        <w:r>
          <w:fldChar w:fldCharType="end"/>
        </w:r>
      </w:hyperlink>
    </w:p>
    <w:p>
      <w:pPr>
        <w:pStyle w:val="TOC2"/>
        <w:tabs>
          <w:tab w:val="right" w:leader="dot" w:pos="8306"/>
        </w:tabs>
      </w:pPr>
      <w:hyperlink w:anchor="_Toc18031" w:history="1">
        <w:r>
          <w:rPr>
            <w:rFonts w:ascii="仿宋" w:eastAsia="仿宋" w:hAnsi="仿宋" w:cs="仿宋" w:hint="eastAsia"/>
            <w:lang w:eastAsia="zh-CN"/>
          </w:rPr>
          <w:t>(四)、优化成本管理</w:t>
        </w:r>
        <w:r>
          <w:tab/>
        </w:r>
        <w:r>
          <w:fldChar w:fldCharType="begin"/>
        </w:r>
        <w:r>
          <w:instrText xml:space="preserve"> PAGEREF _Toc18031 \h </w:instrText>
        </w:r>
        <w:r>
          <w:fldChar w:fldCharType="separate"/>
        </w:r>
        <w:r>
          <w:t>47</w:t>
        </w:r>
        <w:r>
          <w:fldChar w:fldCharType="end"/>
        </w:r>
      </w:hyperlink>
    </w:p>
    <w:p>
      <w:pPr>
        <w:pStyle w:val="TOC1"/>
        <w:tabs>
          <w:tab w:val="right" w:leader="dot" w:pos="8306"/>
        </w:tabs>
      </w:pPr>
      <w:hyperlink w:anchor="_Toc24256" w:history="1">
        <w:r>
          <w:rPr>
            <w:rFonts w:ascii="仿宋" w:eastAsia="仿宋" w:hAnsi="仿宋" w:cs="仿宋" w:hint="eastAsia"/>
            <w:lang w:eastAsia="zh-CN"/>
          </w:rPr>
          <w:t>十三、非临床安全性评价服务项目实施保障措施</w:t>
        </w:r>
        <w:r>
          <w:tab/>
        </w:r>
        <w:r>
          <w:fldChar w:fldCharType="begin"/>
        </w:r>
        <w:r>
          <w:instrText xml:space="preserve"> PAGEREF _Toc24256 \h </w:instrText>
        </w:r>
        <w:r>
          <w:fldChar w:fldCharType="separate"/>
        </w:r>
        <w:r>
          <w:t>49</w:t>
        </w:r>
        <w:r>
          <w:fldChar w:fldCharType="end"/>
        </w:r>
      </w:hyperlink>
    </w:p>
    <w:p>
      <w:pPr>
        <w:pStyle w:val="TOC2"/>
        <w:tabs>
          <w:tab w:val="right" w:leader="dot" w:pos="8306"/>
        </w:tabs>
      </w:pPr>
      <w:hyperlink w:anchor="_Toc3919" w:history="1">
        <w:r>
          <w:rPr>
            <w:rFonts w:ascii="仿宋" w:eastAsia="仿宋" w:hAnsi="仿宋" w:cs="仿宋" w:hint="eastAsia"/>
            <w:lang w:eastAsia="zh-CN"/>
          </w:rPr>
          <w:t>(一)、非临床安全性评价服务项目实施保障机制</w:t>
        </w:r>
        <w:r>
          <w:tab/>
        </w:r>
        <w:r>
          <w:fldChar w:fldCharType="begin"/>
        </w:r>
        <w:r>
          <w:instrText xml:space="preserve"> PAGEREF _Toc3919 \h </w:instrText>
        </w:r>
        <w:r>
          <w:fldChar w:fldCharType="separate"/>
        </w:r>
        <w:r>
          <w:t>49</w:t>
        </w:r>
        <w:r>
          <w:fldChar w:fldCharType="end"/>
        </w:r>
      </w:hyperlink>
    </w:p>
    <w:p>
      <w:pPr>
        <w:pStyle w:val="TOC2"/>
        <w:tabs>
          <w:tab w:val="right" w:leader="dot" w:pos="8306"/>
        </w:tabs>
      </w:pPr>
      <w:hyperlink w:anchor="_Toc12431" w:history="1">
        <w:r>
          <w:rPr>
            <w:rFonts w:ascii="仿宋" w:eastAsia="仿宋" w:hAnsi="仿宋" w:cs="仿宋" w:hint="eastAsia"/>
            <w:lang w:eastAsia="zh-CN"/>
          </w:rPr>
          <w:t>(二)、非临床安全性评价服务项目法律合规要求</w:t>
        </w:r>
        <w:r>
          <w:tab/>
        </w:r>
        <w:r>
          <w:fldChar w:fldCharType="begin"/>
        </w:r>
        <w:r>
          <w:instrText xml:space="preserve"> PAGEREF _Toc12431 \h </w:instrText>
        </w:r>
        <w:r>
          <w:fldChar w:fldCharType="separate"/>
        </w:r>
        <w:r>
          <w:t>53</w:t>
        </w:r>
        <w:r>
          <w:fldChar w:fldCharType="end"/>
        </w:r>
      </w:hyperlink>
    </w:p>
    <w:p>
      <w:pPr>
        <w:pStyle w:val="TOC2"/>
        <w:tabs>
          <w:tab w:val="right" w:leader="dot" w:pos="8306"/>
        </w:tabs>
      </w:pPr>
      <w:hyperlink w:anchor="_Toc5559" w:history="1">
        <w:r>
          <w:rPr>
            <w:rFonts w:ascii="仿宋" w:eastAsia="仿宋" w:hAnsi="仿宋" w:cs="仿宋" w:hint="eastAsia"/>
            <w:lang w:eastAsia="zh-CN"/>
          </w:rPr>
          <w:t>(三)、非临床安全性评价服务项目合同管理与法律事务</w:t>
        </w:r>
        <w:r>
          <w:tab/>
        </w:r>
        <w:r>
          <w:fldChar w:fldCharType="begin"/>
        </w:r>
        <w:r>
          <w:instrText xml:space="preserve"> PAGEREF _Toc5559 \h </w:instrText>
        </w:r>
        <w:r>
          <w:fldChar w:fldCharType="separate"/>
        </w:r>
        <w:r>
          <w:t>58</w:t>
        </w:r>
        <w:r>
          <w:fldChar w:fldCharType="end"/>
        </w:r>
      </w:hyperlink>
    </w:p>
    <w:p>
      <w:pPr>
        <w:pStyle w:val="TOC2"/>
        <w:tabs>
          <w:tab w:val="right" w:leader="dot" w:pos="8306"/>
        </w:tabs>
      </w:pPr>
      <w:hyperlink w:anchor="_Toc9843" w:history="1">
        <w:r>
          <w:rPr>
            <w:rFonts w:ascii="仿宋" w:eastAsia="仿宋" w:hAnsi="仿宋" w:cs="仿宋" w:hint="eastAsia"/>
            <w:lang w:eastAsia="zh-CN"/>
          </w:rPr>
          <w:t>(四)、非临床安全性评价服务项目知识产权保护策略</w:t>
        </w:r>
        <w:r>
          <w:tab/>
        </w:r>
        <w:r>
          <w:fldChar w:fldCharType="begin"/>
        </w:r>
        <w:r>
          <w:instrText xml:space="preserve"> PAGEREF _Toc9843 \h </w:instrText>
        </w:r>
        <w:r>
          <w:fldChar w:fldCharType="separate"/>
        </w:r>
        <w:r>
          <w:t>64</w:t>
        </w:r>
        <w:r>
          <w:fldChar w:fldCharType="end"/>
        </w:r>
      </w:hyperlink>
    </w:p>
    <w:p>
      <w:pPr>
        <w:pStyle w:val="TOC1"/>
        <w:tabs>
          <w:tab w:val="right" w:leader="dot" w:pos="8306"/>
        </w:tabs>
      </w:pPr>
      <w:hyperlink w:anchor="_Toc8921" w:history="1">
        <w:r>
          <w:rPr>
            <w:rFonts w:ascii="仿宋" w:eastAsia="仿宋" w:hAnsi="仿宋" w:cs="仿宋" w:hint="eastAsia"/>
            <w:lang w:eastAsia="zh-CN"/>
          </w:rPr>
          <w:t>十四、风险识别与分类</w:t>
        </w:r>
        <w:r>
          <w:tab/>
        </w:r>
        <w:r>
          <w:fldChar w:fldCharType="begin"/>
        </w:r>
        <w:r>
          <w:instrText xml:space="preserve"> PAGEREF _Toc8921 \h </w:instrText>
        </w:r>
        <w:r>
          <w:fldChar w:fldCharType="separate"/>
        </w:r>
        <w:r>
          <w:t>67</w:t>
        </w:r>
        <w:r>
          <w:fldChar w:fldCharType="end"/>
        </w:r>
      </w:hyperlink>
    </w:p>
    <w:p>
      <w:pPr>
        <w:pStyle w:val="TOC2"/>
        <w:tabs>
          <w:tab w:val="right" w:leader="dot" w:pos="8306"/>
        </w:tabs>
      </w:pPr>
      <w:hyperlink w:anchor="_Toc5192" w:history="1">
        <w:r>
          <w:rPr>
            <w:rFonts w:ascii="仿宋" w:eastAsia="仿宋" w:hAnsi="仿宋" w:cs="仿宋" w:hint="eastAsia"/>
            <w:lang w:eastAsia="zh-CN"/>
          </w:rPr>
          <w:t>(一)、风险识别</w:t>
        </w:r>
        <w:r>
          <w:tab/>
        </w:r>
        <w:r>
          <w:fldChar w:fldCharType="begin"/>
        </w:r>
        <w:r>
          <w:instrText xml:space="preserve"> PAGEREF _Toc5192 \h </w:instrText>
        </w:r>
        <w:r>
          <w:fldChar w:fldCharType="separate"/>
        </w:r>
        <w:r>
          <w:t>67</w:t>
        </w:r>
        <w:r>
          <w:fldChar w:fldCharType="end"/>
        </w:r>
      </w:hyperlink>
    </w:p>
    <w:p>
      <w:pPr>
        <w:pStyle w:val="TOC2"/>
        <w:tabs>
          <w:tab w:val="right" w:leader="dot" w:pos="8306"/>
        </w:tabs>
      </w:pPr>
      <w:hyperlink w:anchor="_Toc29892" w:history="1">
        <w:r>
          <w:rPr>
            <w:rFonts w:ascii="仿宋" w:eastAsia="仿宋" w:hAnsi="仿宋" w:cs="仿宋" w:hint="eastAsia"/>
            <w:lang w:eastAsia="zh-CN"/>
          </w:rPr>
          <w:t>(二)、风险分类</w:t>
        </w:r>
        <w:r>
          <w:tab/>
        </w:r>
        <w:r>
          <w:fldChar w:fldCharType="begin"/>
        </w:r>
        <w:r>
          <w:instrText xml:space="preserve"> PAGEREF _Toc29892 \h </w:instrText>
        </w:r>
        <w:r>
          <w:fldChar w:fldCharType="separate"/>
        </w:r>
        <w:r>
          <w:t>68</w:t>
        </w:r>
        <w:r>
          <w:fldChar w:fldCharType="end"/>
        </w:r>
      </w:hyperlink>
    </w:p>
    <w:p>
      <w:pPr>
        <w:pStyle w:val="TOC1"/>
        <w:tabs>
          <w:tab w:val="right" w:leader="dot" w:pos="8306"/>
        </w:tabs>
      </w:pPr>
      <w:hyperlink w:anchor="_Toc15077" w:history="1">
        <w:r>
          <w:rPr>
            <w:rFonts w:ascii="仿宋" w:eastAsia="仿宋" w:hAnsi="仿宋" w:cs="仿宋" w:hint="eastAsia"/>
            <w:lang w:eastAsia="zh-CN"/>
          </w:rPr>
          <w:t>十五、非临床安全性评价服务项目变更管理</w:t>
        </w:r>
        <w:r>
          <w:tab/>
        </w:r>
        <w:r>
          <w:fldChar w:fldCharType="begin"/>
        </w:r>
        <w:r>
          <w:instrText xml:space="preserve"> PAGEREF _Toc15077 \h </w:instrText>
        </w:r>
        <w:r>
          <w:fldChar w:fldCharType="separate"/>
        </w:r>
        <w:r>
          <w:t>70</w:t>
        </w:r>
        <w:r>
          <w:fldChar w:fldCharType="end"/>
        </w:r>
      </w:hyperlink>
    </w:p>
    <w:p>
      <w:pPr>
        <w:pStyle w:val="TOC2"/>
        <w:tabs>
          <w:tab w:val="right" w:leader="dot" w:pos="8306"/>
        </w:tabs>
      </w:pPr>
      <w:hyperlink w:anchor="_Toc24562" w:history="1">
        <w:r>
          <w:rPr>
            <w:rFonts w:ascii="仿宋" w:eastAsia="仿宋" w:hAnsi="仿宋" w:cs="仿宋" w:hint="eastAsia"/>
            <w:lang w:eastAsia="zh-CN"/>
          </w:rPr>
          <w:t>(一)、变更申请与评估</w:t>
        </w:r>
        <w:r>
          <w:tab/>
        </w:r>
        <w:r>
          <w:fldChar w:fldCharType="begin"/>
        </w:r>
        <w:r>
          <w:instrText xml:space="preserve"> PAGEREF _Toc24562 \h </w:instrText>
        </w:r>
        <w:r>
          <w:fldChar w:fldCharType="separate"/>
        </w:r>
        <w:r>
          <w:t>70</w:t>
        </w:r>
        <w:r>
          <w:fldChar w:fldCharType="end"/>
        </w:r>
      </w:hyperlink>
    </w:p>
    <w:p>
      <w:pPr>
        <w:pStyle w:val="TOC2"/>
        <w:tabs>
          <w:tab w:val="right" w:leader="dot" w:pos="8306"/>
        </w:tabs>
      </w:pPr>
      <w:hyperlink w:anchor="_Toc16367" w:history="1">
        <w:r>
          <w:rPr>
            <w:rFonts w:ascii="仿宋" w:eastAsia="仿宋" w:hAnsi="仿宋" w:cs="仿宋" w:hint="eastAsia"/>
            <w:lang w:eastAsia="zh-CN"/>
          </w:rPr>
          <w:t>(二)、变更实施与控制</w:t>
        </w:r>
        <w:r>
          <w:tab/>
        </w:r>
        <w:r>
          <w:fldChar w:fldCharType="begin"/>
        </w:r>
        <w:r>
          <w:instrText xml:space="preserve"> PAGEREF _Toc16367 \h </w:instrText>
        </w:r>
        <w:r>
          <w:fldChar w:fldCharType="separate"/>
        </w:r>
        <w:r>
          <w:t>70</w:t>
        </w:r>
        <w:r>
          <w:fldChar w:fldCharType="end"/>
        </w:r>
      </w:hyperlink>
    </w:p>
    <w:p>
      <w:pPr>
        <w:pStyle w:val="TOC1"/>
        <w:tabs>
          <w:tab w:val="right" w:leader="dot" w:pos="8306"/>
        </w:tabs>
      </w:pPr>
      <w:hyperlink w:anchor="_Toc21053" w:history="1">
        <w:r>
          <w:rPr>
            <w:rFonts w:ascii="仿宋" w:eastAsia="仿宋" w:hAnsi="仿宋" w:cs="仿宋" w:hint="eastAsia"/>
            <w:lang w:eastAsia="zh-CN"/>
          </w:rPr>
          <w:t>十六、质量管理体系</w:t>
        </w:r>
        <w:r>
          <w:tab/>
        </w:r>
        <w:r>
          <w:fldChar w:fldCharType="begin"/>
        </w:r>
        <w:r>
          <w:instrText xml:space="preserve"> PAGEREF _Toc21053 \h </w:instrText>
        </w:r>
        <w:r>
          <w:fldChar w:fldCharType="separate"/>
        </w:r>
        <w:r>
          <w:t>71</w:t>
        </w:r>
        <w:r>
          <w:fldChar w:fldCharType="end"/>
        </w:r>
      </w:hyperlink>
    </w:p>
    <w:p>
      <w:pPr>
        <w:pStyle w:val="TOC2"/>
        <w:tabs>
          <w:tab w:val="right" w:leader="dot" w:pos="8306"/>
        </w:tabs>
      </w:pPr>
      <w:hyperlink w:anchor="_Toc25975" w:history="1">
        <w:r>
          <w:rPr>
            <w:rFonts w:ascii="仿宋" w:eastAsia="仿宋" w:hAnsi="仿宋" w:cs="仿宋" w:hint="eastAsia"/>
            <w:lang w:eastAsia="zh-CN"/>
          </w:rPr>
          <w:t>(一)、质量目标与方针</w:t>
        </w:r>
        <w:r>
          <w:tab/>
        </w:r>
        <w:r>
          <w:fldChar w:fldCharType="begin"/>
        </w:r>
        <w:r>
          <w:instrText xml:space="preserve"> PAGEREF _Toc25975 \h </w:instrText>
        </w:r>
        <w:r>
          <w:fldChar w:fldCharType="separate"/>
        </w:r>
        <w:r>
          <w:t>71</w:t>
        </w:r>
        <w:r>
          <w:fldChar w:fldCharType="end"/>
        </w:r>
      </w:hyperlink>
    </w:p>
    <w:p>
      <w:pPr>
        <w:pStyle w:val="TOC2"/>
        <w:tabs>
          <w:tab w:val="right" w:leader="dot" w:pos="8306"/>
        </w:tabs>
      </w:pPr>
      <w:hyperlink w:anchor="_Toc27271" w:history="1">
        <w:r>
          <w:rPr>
            <w:rFonts w:ascii="仿宋" w:eastAsia="仿宋" w:hAnsi="仿宋" w:cs="仿宋" w:hint="eastAsia"/>
            <w:lang w:eastAsia="zh-CN"/>
          </w:rPr>
          <w:t>(二)、质量管理责任</w:t>
        </w:r>
        <w:r>
          <w:tab/>
        </w:r>
        <w:r>
          <w:fldChar w:fldCharType="begin"/>
        </w:r>
        <w:r>
          <w:instrText xml:space="preserve"> PAGEREF _Toc27271 \h </w:instrText>
        </w:r>
        <w:r>
          <w:fldChar w:fldCharType="separate"/>
        </w:r>
        <w:r>
          <w:t>72</w:t>
        </w:r>
        <w:r>
          <w:fldChar w:fldCharType="end"/>
        </w:r>
      </w:hyperlink>
    </w:p>
    <w:p>
      <w:pPr>
        <w:pStyle w:val="TOC2"/>
        <w:tabs>
          <w:tab w:val="right" w:leader="dot" w:pos="8306"/>
        </w:tabs>
      </w:pPr>
      <w:hyperlink w:anchor="_Toc1930" w:history="1">
        <w:r>
          <w:rPr>
            <w:rFonts w:ascii="仿宋" w:eastAsia="仿宋" w:hAnsi="仿宋" w:cs="仿宋" w:hint="eastAsia"/>
            <w:lang w:eastAsia="zh-CN"/>
          </w:rPr>
          <w:t>(三)、质量管理体系文件</w:t>
        </w:r>
        <w:r>
          <w:tab/>
        </w:r>
        <w:r>
          <w:fldChar w:fldCharType="begin"/>
        </w:r>
        <w:r>
          <w:instrText xml:space="preserve"> PAGEREF _Toc1930 \h </w:instrText>
        </w:r>
        <w:r>
          <w:fldChar w:fldCharType="separate"/>
        </w:r>
        <w:r>
          <w:t>74</w:t>
        </w:r>
        <w:r>
          <w:fldChar w:fldCharType="end"/>
        </w:r>
      </w:hyperlink>
    </w:p>
    <w:p>
      <w:pPr>
        <w:pStyle w:val="TOC2"/>
        <w:tabs>
          <w:tab w:val="right" w:leader="dot" w:pos="8306"/>
        </w:tabs>
      </w:pPr>
      <w:hyperlink w:anchor="_Toc12955" w:history="1">
        <w:r>
          <w:rPr>
            <w:rFonts w:ascii="仿宋" w:eastAsia="仿宋" w:hAnsi="仿宋" w:cs="仿宋" w:hint="eastAsia"/>
            <w:lang w:eastAsia="zh-CN"/>
          </w:rPr>
          <w:t>(四)、质量培训与教育</w:t>
        </w:r>
        <w:r>
          <w:tab/>
        </w:r>
        <w:r>
          <w:fldChar w:fldCharType="begin"/>
        </w:r>
        <w:r>
          <w:instrText xml:space="preserve"> PAGEREF _Toc12955 \h </w:instrText>
        </w:r>
        <w:r>
          <w:fldChar w:fldCharType="separate"/>
        </w:r>
        <w:r>
          <w:t>76</w:t>
        </w:r>
        <w:r>
          <w:fldChar w:fldCharType="end"/>
        </w:r>
      </w:hyperlink>
    </w:p>
    <w:p>
      <w:pPr>
        <w:pStyle w:val="TOC2"/>
        <w:tabs>
          <w:tab w:val="right" w:leader="dot" w:pos="8306"/>
        </w:tabs>
      </w:pPr>
      <w:hyperlink w:anchor="_Toc22280" w:history="1">
        <w:r>
          <w:rPr>
            <w:rFonts w:ascii="仿宋" w:eastAsia="仿宋" w:hAnsi="仿宋" w:cs="仿宋" w:hint="eastAsia"/>
            <w:lang w:eastAsia="zh-CN"/>
          </w:rPr>
          <w:t>(五)、质量审核与评价</w:t>
        </w:r>
        <w:r>
          <w:tab/>
        </w:r>
        <w:r>
          <w:fldChar w:fldCharType="begin"/>
        </w:r>
        <w:r>
          <w:instrText xml:space="preserve"> PAGEREF _Toc22280 \h </w:instrText>
        </w:r>
        <w:r>
          <w:fldChar w:fldCharType="separate"/>
        </w:r>
        <w:r>
          <w:t>77</w:t>
        </w:r>
        <w:r>
          <w:fldChar w:fldCharType="end"/>
        </w:r>
      </w:hyperlink>
    </w:p>
    <w:p>
      <w:pPr>
        <w:pStyle w:val="TOC2"/>
        <w:tabs>
          <w:tab w:val="right" w:leader="dot" w:pos="8306"/>
        </w:tabs>
      </w:pPr>
      <w:hyperlink w:anchor="_Toc13582" w:history="1">
        <w:r>
          <w:rPr>
            <w:rFonts w:ascii="仿宋" w:eastAsia="仿宋" w:hAnsi="仿宋" w:cs="仿宋" w:hint="eastAsia"/>
            <w:lang w:eastAsia="zh-CN"/>
          </w:rPr>
          <w:t>(六)、不符合与纠正措施</w:t>
        </w:r>
        <w:r>
          <w:tab/>
        </w:r>
        <w:r>
          <w:fldChar w:fldCharType="begin"/>
        </w:r>
        <w:r>
          <w:instrText xml:space="preserve"> PAGEREF _Toc13582 \h </w:instrText>
        </w:r>
        <w:r>
          <w:fldChar w:fldCharType="separate"/>
        </w:r>
        <w:r>
          <w:t>78</w:t>
        </w:r>
        <w:r>
          <w:fldChar w:fldCharType="end"/>
        </w:r>
      </w:hyperlink>
    </w:p>
    <w:p>
      <w:pPr>
        <w:pStyle w:val="TOC1"/>
        <w:tabs>
          <w:tab w:val="right" w:leader="dot" w:pos="8306"/>
        </w:tabs>
      </w:pPr>
      <w:hyperlink w:anchor="_Toc17545" w:history="1">
        <w:r>
          <w:rPr>
            <w:rFonts w:ascii="仿宋" w:eastAsia="仿宋" w:hAnsi="仿宋" w:cs="仿宋" w:hint="eastAsia"/>
            <w:lang w:eastAsia="zh-CN"/>
          </w:rPr>
          <w:t>十七、非临床安全性评价服务项目工程方案分析</w:t>
        </w:r>
        <w:r>
          <w:tab/>
        </w:r>
        <w:r>
          <w:fldChar w:fldCharType="begin"/>
        </w:r>
        <w:r>
          <w:instrText xml:space="preserve"> PAGEREF _Toc17545 \h </w:instrText>
        </w:r>
        <w:r>
          <w:fldChar w:fldCharType="separate"/>
        </w:r>
        <w:r>
          <w:t>80</w:t>
        </w:r>
        <w:r>
          <w:fldChar w:fldCharType="end"/>
        </w:r>
      </w:hyperlink>
    </w:p>
    <w:p>
      <w:pPr>
        <w:pStyle w:val="TOC2"/>
        <w:tabs>
          <w:tab w:val="right" w:leader="dot" w:pos="8306"/>
        </w:tabs>
      </w:pPr>
      <w:hyperlink w:anchor="_Toc14118" w:history="1">
        <w:r>
          <w:rPr>
            <w:rFonts w:ascii="仿宋" w:eastAsia="仿宋" w:hAnsi="仿宋" w:cs="仿宋" w:hint="eastAsia"/>
            <w:lang w:eastAsia="zh-CN"/>
          </w:rPr>
          <w:t>(一)、建筑工程设计原则</w:t>
        </w:r>
        <w:r>
          <w:tab/>
        </w:r>
        <w:r>
          <w:fldChar w:fldCharType="begin"/>
        </w:r>
        <w:r>
          <w:instrText xml:space="preserve"> PAGEREF _Toc14118 \h </w:instrText>
        </w:r>
        <w:r>
          <w:fldChar w:fldCharType="separate"/>
        </w:r>
        <w:r>
          <w:t>80</w:t>
        </w:r>
        <w:r>
          <w:fldChar w:fldCharType="end"/>
        </w:r>
      </w:hyperlink>
    </w:p>
    <w:p>
      <w:pPr>
        <w:pStyle w:val="TOC2"/>
        <w:tabs>
          <w:tab w:val="right" w:leader="dot" w:pos="8306"/>
        </w:tabs>
      </w:pPr>
      <w:hyperlink w:anchor="_Toc25367" w:history="1">
        <w:r>
          <w:rPr>
            <w:rFonts w:ascii="仿宋" w:eastAsia="仿宋" w:hAnsi="仿宋" w:cs="仿宋" w:hint="eastAsia"/>
            <w:lang w:eastAsia="zh-CN"/>
          </w:rPr>
          <w:t>(二)、土建工程建设指标</w:t>
        </w:r>
        <w:r>
          <w:tab/>
        </w:r>
        <w:r>
          <w:fldChar w:fldCharType="begin"/>
        </w:r>
        <w:r>
          <w:instrText xml:space="preserve"> PAGEREF _Toc25367 \h </w:instrText>
        </w:r>
        <w:r>
          <w:fldChar w:fldCharType="separate"/>
        </w:r>
        <w:r>
          <w:t>83</w:t>
        </w:r>
        <w:r>
          <w:fldChar w:fldCharType="end"/>
        </w:r>
      </w:hyperlink>
    </w:p>
    <w:p>
      <w:pPr>
        <w:pStyle w:val="TOC1"/>
        <w:tabs>
          <w:tab w:val="right" w:leader="dot" w:pos="8306"/>
        </w:tabs>
      </w:pPr>
      <w:hyperlink w:anchor="_Toc24345" w:history="1">
        <w:r>
          <w:rPr>
            <w:rFonts w:ascii="仿宋" w:eastAsia="仿宋" w:hAnsi="仿宋" w:cs="仿宋" w:hint="eastAsia"/>
            <w:lang w:eastAsia="zh-CN"/>
          </w:rPr>
          <w:t>十八、营销与推广策略</w:t>
        </w:r>
        <w:r>
          <w:tab/>
        </w:r>
        <w:r>
          <w:fldChar w:fldCharType="begin"/>
        </w:r>
        <w:r>
          <w:instrText xml:space="preserve"> PAGEREF _Toc24345 \h </w:instrText>
        </w:r>
        <w:r>
          <w:fldChar w:fldCharType="separate"/>
        </w:r>
        <w:r>
          <w:t>85</w:t>
        </w:r>
        <w:r>
          <w:fldChar w:fldCharType="end"/>
        </w:r>
      </w:hyperlink>
    </w:p>
    <w:p>
      <w:pPr>
        <w:pStyle w:val="TOC2"/>
        <w:tabs>
          <w:tab w:val="right" w:leader="dot" w:pos="8306"/>
        </w:tabs>
      </w:pPr>
      <w:hyperlink w:anchor="_Toc2564" w:history="1">
        <w:r>
          <w:rPr>
            <w:rFonts w:ascii="仿宋" w:eastAsia="仿宋" w:hAnsi="仿宋" w:cs="仿宋" w:hint="eastAsia"/>
            <w:lang w:eastAsia="zh-CN"/>
          </w:rPr>
          <w:t>(一)、产品/服务定位与特点</w:t>
        </w:r>
        <w:r>
          <w:tab/>
        </w:r>
        <w:r>
          <w:fldChar w:fldCharType="begin"/>
        </w:r>
        <w:r>
          <w:instrText xml:space="preserve"> PAGEREF _Toc2564 \h </w:instrText>
        </w:r>
        <w:r>
          <w:fldChar w:fldCharType="separate"/>
        </w:r>
        <w:r>
          <w:t>85</w:t>
        </w:r>
        <w:r>
          <w:fldChar w:fldCharType="end"/>
        </w:r>
      </w:hyperlink>
    </w:p>
    <w:p>
      <w:pPr>
        <w:pStyle w:val="TOC2"/>
        <w:tabs>
          <w:tab w:val="right" w:leader="dot" w:pos="8306"/>
        </w:tabs>
      </w:pPr>
      <w:hyperlink w:anchor="_Toc4384" w:history="1">
        <w:r>
          <w:rPr>
            <w:rFonts w:ascii="仿宋" w:eastAsia="仿宋" w:hAnsi="仿宋" w:cs="仿宋" w:hint="eastAsia"/>
            <w:lang w:eastAsia="zh-CN"/>
          </w:rPr>
          <w:t>(二)、市场定位与竞争分析</w:t>
        </w:r>
        <w:r>
          <w:tab/>
        </w:r>
        <w:r>
          <w:fldChar w:fldCharType="begin"/>
        </w:r>
        <w:r>
          <w:instrText xml:space="preserve"> PAGEREF _Toc4384 \h </w:instrText>
        </w:r>
        <w:r>
          <w:fldChar w:fldCharType="separate"/>
        </w:r>
        <w:r>
          <w:t>86</w:t>
        </w:r>
        <w:r>
          <w:fldChar w:fldCharType="end"/>
        </w:r>
      </w:hyperlink>
    </w:p>
    <w:p>
      <w:pPr>
        <w:pStyle w:val="TOC2"/>
        <w:tabs>
          <w:tab w:val="right" w:leader="dot" w:pos="8306"/>
        </w:tabs>
      </w:pPr>
      <w:hyperlink w:anchor="_Toc30247" w:history="1">
        <w:r>
          <w:rPr>
            <w:rFonts w:ascii="仿宋" w:eastAsia="仿宋" w:hAnsi="仿宋" w:cs="仿宋" w:hint="eastAsia"/>
            <w:lang w:eastAsia="zh-CN"/>
          </w:rPr>
          <w:t>(三)、营销渠道与策略</w:t>
        </w:r>
        <w:r>
          <w:tab/>
        </w:r>
        <w:r>
          <w:fldChar w:fldCharType="begin"/>
        </w:r>
        <w:r>
          <w:instrText xml:space="preserve"> PAGEREF _Toc30247 \h </w:instrText>
        </w:r>
        <w:r>
          <w:fldChar w:fldCharType="separate"/>
        </w:r>
        <w:r>
          <w:t>87</w:t>
        </w:r>
        <w:r>
          <w:fldChar w:fldCharType="end"/>
        </w:r>
      </w:hyperlink>
    </w:p>
    <w:p>
      <w:pPr>
        <w:pStyle w:val="TOC2"/>
        <w:tabs>
          <w:tab w:val="right" w:leader="dot" w:pos="8306"/>
        </w:tabs>
      </w:pPr>
      <w:hyperlink w:anchor="_Toc25131" w:history="1">
        <w:r>
          <w:rPr>
            <w:rFonts w:ascii="仿宋" w:eastAsia="仿宋" w:hAnsi="仿宋" w:cs="仿宋" w:hint="eastAsia"/>
            <w:lang w:eastAsia="zh-CN"/>
          </w:rPr>
          <w:t>(四)、推广与宣传活动</w:t>
        </w:r>
        <w:r>
          <w:tab/>
        </w:r>
        <w:r>
          <w:fldChar w:fldCharType="begin"/>
        </w:r>
        <w:r>
          <w:instrText xml:space="preserve"> PAGEREF _Toc25131 \h </w:instrText>
        </w:r>
        <w:r>
          <w:fldChar w:fldCharType="separate"/>
        </w:r>
        <w:r>
          <w:t>88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91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540"/>
      <w:r>
        <w:rPr>
          <w:rFonts w:ascii="仿宋" w:eastAsia="仿宋" w:hAnsi="仿宋" w:cs="仿宋" w:hint="eastAsia"/>
          <w:sz w:val="28"/>
          <w:lang w:eastAsia="zh-CN"/>
        </w:rPr>
        <w:t>一、非临床安全性评价服务项目文档管理</w:t>
      </w:r>
      <w:bookmarkEnd w:id="2"/>
    </w:p>
    <w:p>
      <w:pPr>
        <w:pStyle w:val="Heading2"/>
        <w:rPr>
          <w:rFonts w:ascii="仿宋" w:eastAsia="仿宋" w:hAnsi="仿宋" w:cs="仿宋" w:hint="eastAsia"/>
          <w:lang w:eastAsia="zh-CN"/>
        </w:rPr>
      </w:pPr>
      <w:bookmarkStart w:id="3" w:name="_Toc30578"/>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非临床安全性评价服务项目高度重视文档的质量和准确性，以支持非临床安全性评价服务项目的各项活动和决策。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非临床安全性评价服务项目文档的编制始于非临床安全性评价服务项目计划的初期，我们制定了详细的文档编制计划，明确了每个文档的内容、格式和编写责任人。在非临床安全性评价服务项目启动阶段，我们首先编制了非临床安全性评价服务项目章程，明确定义了非临床安全性评价服务项目的目标、范围、风险等关键要素。随后，非临床安全性评价服务项目团队根据计划陆续编制了需求文档、设计文档、测试文档等各类文档，确保非临床安全性评价服务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非临床安全性评价服务项目管理中的重要环节，旨在确保非临床安全性评价服务项目文档符合质量标准和非临床安全性评价服务项目需求。在非临床安全性评价服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非临床安全性评价服务项目相关利益方和专业领域的专家对文档进行独立审查。这有助于获取更全面、客观的反馈，确保非临床安全性评价服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非临床安全性评价服务项目在文档编制与审查方面建立了严格的管理机制，通过规范的流程和多维度的审查，确保非临床安全性评价服务项目文档的质量、准确性和可靠性，为非临床安全性评价服务项目的顺利推进提供了有力支持。</w:t>
      </w:r>
    </w:p>
    <w:p>
      <w:pPr>
        <w:pStyle w:val="Heading2"/>
        <w:ind w:firstLine="560" w:firstLineChars="200"/>
        <w:rPr>
          <w:rFonts w:ascii="仿宋" w:eastAsia="仿宋" w:hAnsi="仿宋" w:cs="仿宋" w:hint="eastAsia"/>
          <w:sz w:val="28"/>
          <w:lang w:eastAsia="zh-CN"/>
        </w:rPr>
      </w:pPr>
      <w:bookmarkStart w:id="4" w:name="_Toc3278"/>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在非临床安全性评价服务项目中，我们致力于优化文档发布与分发过程，以确保信息的高效传递和团队间协作的顺畅进行。以下是我们采取的关键优化策略：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我们通过多渠道发布文档，包括电子邮件、非临床安全性评价服务项目管理平台、内部网站等，以满足不同团队成员的偏好和需求。多渠道发布确保了信息的全面覆盖。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我们采用了精细的权限控制，确保只有授权人员可以访问敏感信息。这种安全措施保护了非临床安全性评价服务项目文档的机密性，防止了未经授权的信息泄露。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0002"/>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档存档与归档是非临床安全性评价服务项目生命周期中一个至关重要的环节，直接关系到非临床安全性评价服务项目信息的长期保存和历史记录的完整性。在非临床安全性评价服务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9787"/>
      <w:r>
        <w:rPr>
          <w:rFonts w:ascii="仿宋" w:eastAsia="仿宋" w:hAnsi="仿宋" w:cs="仿宋" w:hint="eastAsia"/>
          <w:sz w:val="28"/>
          <w:lang w:eastAsia="zh-CN"/>
        </w:rPr>
        <w:t>二、工艺说明</w:t>
      </w:r>
      <w:bookmarkEnd w:id="6"/>
    </w:p>
    <w:p>
      <w:pPr>
        <w:pStyle w:val="Heading2"/>
        <w:rPr>
          <w:rFonts w:ascii="仿宋" w:eastAsia="仿宋" w:hAnsi="仿宋" w:cs="仿宋" w:hint="eastAsia"/>
          <w:lang w:eastAsia="zh-CN"/>
        </w:rPr>
      </w:pPr>
      <w:bookmarkStart w:id="7" w:name="_Toc14273"/>
      <w:r>
        <w:rPr>
          <w:rFonts w:ascii="仿宋" w:eastAsia="仿宋" w:hAnsi="仿宋" w:cs="仿宋" w:hint="eastAsia"/>
          <w:lang w:eastAsia="zh-CN"/>
        </w:rPr>
        <w:t>(一)、技术管理特点</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非临床安全性评价服务项目的技术管理特点体现在其创新导向。通过引入最先进的技术趋势和解决方案，非临床安全性评价服务项目致力于提升科技含量、提高质量和效率水平。这意味着我们将采用最新的工具和方法，确保非临床安全性评价服务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非临床安全性评价服务项目技术管理的显著特征。通过整合不同领域的技术资源，我们实现了跨学科的协同工作。这有助于优化技术架构，提高整体效能。此外，整合性策略还促进了不同技术团队之间的紧密沟通和高效合作，确保非临床安全性评价服务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非临床安全性评价服务项目所采用的技术。通过不断优化技术方案，非临床安全性评价服务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非临床安全性评价服务项目团队将在非临床安全性评价服务项目初期识别可能的技术风险，并采取相应的预防和应对措施。通过建立健全的风险评估机制，非临床安全性评价服务项目能够在实施过程中及时发现并解决潜在的技术问题，保障非临床安全性评价服务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非临床安全性评价服务项目中，技术将成为非临床安全性评价服务项目成功的有力支持。这一深度剖析揭示了技术管理在非临床安全性评价服务项目实施中的关键作用，为非临床安全性评价服务项目的技术基础奠定了坚实的基础。</w:t>
      </w:r>
    </w:p>
    <w:p>
      <w:pPr>
        <w:pStyle w:val="Heading2"/>
        <w:ind w:firstLine="560" w:firstLineChars="200"/>
        <w:rPr>
          <w:rFonts w:ascii="仿宋" w:eastAsia="仿宋" w:hAnsi="仿宋" w:cs="仿宋" w:hint="eastAsia"/>
          <w:sz w:val="28"/>
          <w:lang w:eastAsia="zh-CN"/>
        </w:rPr>
      </w:pPr>
      <w:bookmarkStart w:id="8" w:name="_Toc11599"/>
      <w:r>
        <w:rPr>
          <w:rFonts w:ascii="仿宋" w:eastAsia="仿宋" w:hAnsi="仿宋" w:cs="仿宋" w:hint="eastAsia"/>
          <w:sz w:val="28"/>
          <w:lang w:eastAsia="zh-CN"/>
        </w:rPr>
        <w:t>(二)、非临床安全性评价服务项目工艺技术设计方案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非临床安全性评价服务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非临床安全性评价服务项目将严格按照相关行业规范要求进行组织。通过有效控制产品质量，非临床安全性评价服务项目将致力于为顾客提供优质的非临床安全性评价服务项目产品和良好的服务。这体现了非临床安全性评价服务项目对于生产活动合规性和质量标准的高度重视，为非临床安全性评价服务项目的可持续发展和顾客满意度奠定了基础。</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非临床安全性评价服务项目注重生态效益和清洁生产原则。非临床安全性评价服务项目建设将紧密结合地方特色经济发展，与社会经济发展规划和区域环境保护规划方案相协调一致。通过与当地区域自然生态系统的结合，非临床安全性评价服务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非临床安全性评价服务项目产品具有多样化的客户需求和个性化的特点。因此，非临床安全性评价服务项目产品规格品种多样，且单批生产数量较小。为满足这一特点，非临床安全性评价服务项目承办单位将建设先进的柔性制造生产线。通过广泛应用柔性制造技术，非临床安全性评价服务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非临床安全性评价服务项目采用的技术具有较高的技术含量和自动化水平，处于国内先进水平。这一技术选用不仅体现了对生产效率、质量和环境友好性的高标准要求，同时为非临床安全性评价服务项目的可持续发展奠定了坚实的基础。</w:t>
      </w:r>
    </w:p>
    <w:p>
      <w:pPr>
        <w:pStyle w:val="Heading2"/>
        <w:ind w:firstLine="560" w:firstLineChars="200"/>
        <w:rPr>
          <w:rFonts w:ascii="仿宋" w:eastAsia="仿宋" w:hAnsi="仿宋" w:cs="仿宋" w:hint="eastAsia"/>
          <w:sz w:val="28"/>
          <w:lang w:eastAsia="zh-CN"/>
        </w:rPr>
      </w:pPr>
      <w:bookmarkStart w:id="9" w:name="_Toc10132"/>
      <w:r>
        <w:rPr>
          <w:rFonts w:ascii="仿宋" w:eastAsia="仿宋" w:hAnsi="仿宋" w:cs="仿宋" w:hint="eastAsia"/>
          <w:sz w:val="28"/>
          <w:lang w:eastAsia="zh-CN"/>
        </w:rPr>
        <w:t>(三)、设备选型方案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为确保非临床安全性评价服务项目的高效生产和技术实施，我们制定了一套精心设计的设备选型方案，以满足非临床安全性评价服务项目生产、质量和环保的要求。该方案的主要特点如下：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非临床安全性评价服务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非临床安全性评价服务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0" w:name="_Toc6506"/>
      <w:r>
        <w:rPr>
          <w:rFonts w:ascii="仿宋" w:eastAsia="仿宋" w:hAnsi="仿宋" w:cs="仿宋" w:hint="eastAsia"/>
          <w:sz w:val="28"/>
          <w:lang w:eastAsia="zh-CN"/>
        </w:rPr>
        <w:t>三、非临床安全性评价服务项目绩效评估</w:t>
      </w:r>
      <w:bookmarkEnd w:id="10"/>
    </w:p>
    <w:p>
      <w:pPr>
        <w:pStyle w:val="Heading2"/>
        <w:rPr>
          <w:rFonts w:ascii="仿宋" w:eastAsia="仿宋" w:hAnsi="仿宋" w:cs="仿宋" w:hint="eastAsia"/>
          <w:lang w:eastAsia="zh-CN"/>
        </w:rPr>
      </w:pPr>
      <w:bookmarkStart w:id="11" w:name="_Toc3491"/>
      <w:r>
        <w:rPr>
          <w:rFonts w:ascii="仿宋" w:eastAsia="仿宋" w:hAnsi="仿宋" w:cs="仿宋" w:hint="eastAsia"/>
          <w:lang w:eastAsia="zh-CN"/>
        </w:rPr>
        <w:t>(一)、绩效评估指标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非临床安全性评价服务项目中，我们设计了一套全面的绩效评估指标，以确保非临床安全性评价服务项目的可控和成功交付。这些指标跨足非临床安全性评价服务项目目标、成本、进度和质量等多个维度，为我们提供了全面洞察非临床安全性评价服务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非临床安全性评价服务项目目标达成率是我们关注的首要指标。我们设定了明确的目标，并通过定期监测和评估，迅速发现并应对潜在的目标偏差。这为非临床安全性评价服务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成本绩效是另一个核心关注点。通过实际成本与预算成本的对比分析，我们深入了解成本差异的原因，及时调整资源分配，保持非临床安全性评价服务项目在经济效益方面的合理水平。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非临床安全性评价服务项目进度作为关键的绩效指标之一，得到了精心的关注。我们制定了详细的非临床安全性评价服务项目进度计划，并设立了进度符合度指标，确保实际进度与计划进度保持一致。这使我们能够快速发现和解决潜在的进度问题，保持非临床安全性评价服务项目的正常推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非临床安全性评价服务项目绩效的不可或缺的一环。我们引入了一系列的质量标准和客户满意度指标，以确保非临床安全性评价服务项目交付的成果在质量上达到或超越预期水平。通过持续监测这些指标，我们努力提升非临床安全性评价服务项目整体质量水平，为非临床安全性评价服务项目的成功交付提供有力保障。通过这些科学且全面的绩效评估，我们能够更好地引导非临床安全性评价服务项目的持续改进，确保非临床安全性评价服务项目目标的顺利达成。</w:t>
      </w:r>
    </w:p>
    <w:p>
      <w:pPr>
        <w:pStyle w:val="Heading2"/>
        <w:ind w:firstLine="560" w:firstLineChars="200"/>
        <w:rPr>
          <w:rFonts w:ascii="仿宋" w:eastAsia="仿宋" w:hAnsi="仿宋" w:cs="仿宋" w:hint="eastAsia"/>
          <w:sz w:val="28"/>
          <w:lang w:eastAsia="zh-CN"/>
        </w:rPr>
      </w:pPr>
      <w:bookmarkStart w:id="12" w:name="_Toc20665"/>
      <w:r>
        <w:rPr>
          <w:rFonts w:ascii="仿宋" w:eastAsia="仿宋" w:hAnsi="仿宋" w:cs="仿宋" w:hint="eastAsia"/>
          <w:sz w:val="28"/>
          <w:lang w:eastAsia="zh-CN"/>
        </w:rPr>
        <w:t>(二)、绩效评估方法</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绩效评估是非临床安全性评价服务项目中的关键环节，为确保非临床安全性评价服务项目达到预期目标，我们采用了多层次、多维度的绩效评估方法。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非临床安全性评价服务项目的战略目标对齐，确保每个决策和行动都与非临床安全性评价服务项目整体目标保持一致。团队会定期召开战略对齐会议，审视当前工作与非临床安全性评价服务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非临床安全性评价服务项目进度、质量、成本和风险等方面。这些指标通过数据收集和分析，为非临床安全性评价服务项目管理团队提供了客观的评估依据。例如，我们通过非临床安全性评价服务项目管理软件追踪进度，使用成本绩效分析（CPI）评估成本控制情况。</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非临床安全性评价服务项目内部，还考虑了非临床安全性评价服务项目对外部环境的影响。我们定期进行干系人满意度调查，以了解各利益相关方对非临床安全性评价服务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这种多层次、多角度的绩效评估方法，使得我们能够全面了解非临床安全性评价服务项目的运行状态，及时做出调整，确保非临床安全性评价服务项目在不断变化的环境中保持稳健前行。</w:t>
      </w:r>
    </w:p>
    <w:p>
      <w:pPr>
        <w:pStyle w:val="Heading2"/>
        <w:ind w:firstLine="560" w:firstLineChars="200"/>
        <w:rPr>
          <w:rFonts w:ascii="仿宋" w:eastAsia="仿宋" w:hAnsi="仿宋" w:cs="仿宋" w:hint="eastAsia"/>
          <w:sz w:val="28"/>
          <w:lang w:eastAsia="zh-CN"/>
        </w:rPr>
      </w:pPr>
      <w:bookmarkStart w:id="13" w:name="_Toc29030"/>
      <w:r>
        <w:rPr>
          <w:rFonts w:ascii="仿宋" w:eastAsia="仿宋" w:hAnsi="仿宋" w:cs="仿宋" w:hint="eastAsia"/>
          <w:sz w:val="28"/>
          <w:lang w:eastAsia="zh-CN"/>
        </w:rPr>
        <w:t>(三)、绩效评估周期</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为了确保非临床安全性评价服务项目的有效管理和不断优化，我们采用了精心设计的绩效评估周期。这个周期旨在实现灵活、实时和全面的评估，以适应非临床安全性评价服务项目执行中的各种挑战。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非临床安全性评价服务项目的不同需求，分为短期、中期和长期。短期评估关注每个迭代或工作周期，以及时发现和解决当前任务中的问题。中期评估涵盖几个迭代，深入了解整体非临床安全性评价服务项目的趋势和性能。长期评估则着眼于整个非临床安全性评价服务项目阶段，确保非临床安全性评价服务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非临床安全性评价服务项目管理工具和协作平台，团队成员能够随时更新和分享非临床安全性评价服务项目数据。这种实时性的反馈机制使我们能够及时察觉潜在问题，快速调整，保持非临床安全性评价服务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非临床安全性评价服务项目的决策制定密不可分。每个周期的非临床安全性评价服务项目回顾会议成为集体总结经验、识别问题深层次原因并找到创新解决方案的平台。这种定期的反思与调整机制使非临床安全性评价服务项目能够不断学习、进化，以更好地适应变化的环境。</w:t>
      </w:r>
    </w:p>
    <w:p>
      <w:pPr>
        <w:pStyle w:val="Heading1"/>
        <w:ind w:firstLine="560" w:firstLineChars="200"/>
        <w:rPr>
          <w:rFonts w:ascii="仿宋" w:eastAsia="仿宋" w:hAnsi="仿宋" w:cs="仿宋" w:hint="eastAsia"/>
          <w:sz w:val="28"/>
          <w:lang w:eastAsia="zh-CN"/>
        </w:rPr>
      </w:pPr>
      <w:bookmarkStart w:id="14" w:name="_Toc13826"/>
      <w:r>
        <w:rPr>
          <w:rFonts w:ascii="仿宋" w:eastAsia="仿宋" w:hAnsi="仿宋" w:cs="仿宋" w:hint="eastAsia"/>
          <w:sz w:val="28"/>
          <w:lang w:eastAsia="zh-CN"/>
        </w:rPr>
        <w:t>四、非临床安全性评价服务项目土建工程</w:t>
      </w:r>
      <w:bookmarkEnd w:id="14"/>
    </w:p>
    <w:p>
      <w:pPr>
        <w:pStyle w:val="Heading2"/>
        <w:rPr>
          <w:rFonts w:ascii="仿宋" w:eastAsia="仿宋" w:hAnsi="仿宋" w:cs="仿宋" w:hint="eastAsia"/>
          <w:lang w:eastAsia="zh-CN"/>
        </w:rPr>
      </w:pPr>
      <w:bookmarkStart w:id="15" w:name="_Toc1776"/>
      <w:r>
        <w:rPr>
          <w:rFonts w:ascii="仿宋" w:eastAsia="仿宋" w:hAnsi="仿宋" w:cs="仿宋" w:hint="eastAsia"/>
          <w:lang w:eastAsia="zh-CN"/>
        </w:rPr>
        <w:t>(一)、建筑工程设计原则</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在非临床安全性评价服务项目的建筑工程设计中，我们将秉承一系列重要的设计原则，以确保非临床安全性评价服务项目建筑在功能、美观、可持续性等方面达到最佳效果。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首要原则是确保建筑的功能性得到最大化的发挥。我们将充分理解非临床安全性评价服务项目的实际需求，合理布局各个功能区域，保证建筑在满足业务需求的同时，提供高效的工作环境。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在建筑设计中，我们将综合考虑建设和运营成本。通过精细的经济效益分析，确保设计方案在高效利用资源的同时，对非临床安全性评价服务项目的长期盈利能力有积极的贡献。</w:t>
      </w:r>
    </w:p>
    <w:p>
      <w:pPr>
        <w:pStyle w:val="Heading2"/>
        <w:ind w:firstLine="560" w:firstLineChars="200"/>
        <w:rPr>
          <w:rFonts w:ascii="仿宋" w:eastAsia="仿宋" w:hAnsi="仿宋" w:cs="仿宋" w:hint="eastAsia"/>
          <w:sz w:val="28"/>
          <w:lang w:eastAsia="zh-CN"/>
        </w:rPr>
      </w:pPr>
      <w:bookmarkStart w:id="16" w:name="_Toc16340"/>
      <w:r>
        <w:rPr>
          <w:rFonts w:ascii="仿宋" w:eastAsia="仿宋" w:hAnsi="仿宋" w:cs="仿宋" w:hint="eastAsia"/>
          <w:sz w:val="28"/>
          <w:lang w:eastAsia="zh-CN"/>
        </w:rPr>
        <w:t>(二)、土建工程设计年限及安全等级</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非临床安全性评价服务项目的土建工程设计中，我们将精准设定设计年限，结合非临床安全性评价服务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非临床安全性评价服务项目打造一个具备长期稳定性和安全性的土建工程。</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https://d.book118.com/365301043040011103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非临床安全性评价服务项目规划设计纲要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非临床安全性评价服务项目规划设计纲要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非临床安全性评价服务项目规划设计纲要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非临床安全性评价服务项目规划设计纲要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非临床安全性评价服务项目规划设计纲要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非临床安全性评价服务项目规划设计纲要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非临床安全性评价服务项目规划设计纲要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非临床安全性评价服务项目规划设计纲要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非临床安全性评价服务项目规划设计纲要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非临床安全性评价服务项目规划设计纲要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非临床安全性评价服务项目规划设计纲要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非临床安全性评价服务项目规划设计纲要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非临床安全性评价服务项目规划设计纲要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非临床安全性评价服务项目规划设计纲要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非临床安全性评价服务项目规划设计纲要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非临床安全性评价服务项目规划设计纲要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非临床安全性评价服务项目规划设计纲要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242D6D"/>
    <w:rsid w:val="0A242D6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6530104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2024-02-03T06:39:00Z</dcterms:created>
  <dcterms:modified xsi:type="dcterms:W3CDTF">2024-02-03T06:40:09Z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15A66CE771D746E5801DC66A7B8E835A_11</vt:lpwstr>
  </property>
  <property fmtid="{D5CDD505-2E9C-101B-9397-08002B2CF9AE}" pid="3" name="KSOProductBuildVer">
    <vt:lpwstr>2052-12.1.0.16250</vt:lpwstr>
  </property>
</Properties>
</file>