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体育专用地坪漆项目规划设计纲要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11" w:history="1">
        <w:r>
          <w:rPr>
            <w:rFonts w:ascii="仿宋" w:eastAsia="仿宋" w:hAnsi="仿宋" w:cs="仿宋" w:hint="eastAsia"/>
            <w:lang w:eastAsia="zh-CN"/>
          </w:rPr>
          <w:t>概论</w:t>
        </w:r>
        <w:r>
          <w:tab/>
        </w:r>
        <w:r>
          <w:fldChar w:fldCharType="begin"/>
        </w:r>
        <w:r>
          <w:instrText xml:space="preserve"> PAGEREF _Toc10511 \h </w:instrText>
        </w:r>
        <w:r>
          <w:fldChar w:fldCharType="separate"/>
        </w:r>
        <w:r>
          <w:t>3</w:t>
        </w:r>
        <w:r>
          <w:fldChar w:fldCharType="end"/>
        </w:r>
      </w:hyperlink>
    </w:p>
    <w:p>
      <w:pPr>
        <w:pStyle w:val="TOC1"/>
        <w:tabs>
          <w:tab w:val="right" w:leader="dot" w:pos="8306"/>
        </w:tabs>
      </w:pPr>
      <w:hyperlink w:anchor="_Toc28219" w:history="1">
        <w:r>
          <w:rPr>
            <w:rFonts w:ascii="仿宋" w:eastAsia="仿宋" w:hAnsi="仿宋" w:cs="仿宋" w:hint="eastAsia"/>
            <w:lang w:eastAsia="zh-CN"/>
          </w:rPr>
          <w:t>一、市场分析、调研</w:t>
        </w:r>
        <w:r>
          <w:tab/>
        </w:r>
        <w:r>
          <w:fldChar w:fldCharType="begin"/>
        </w:r>
        <w:r>
          <w:instrText xml:space="preserve"> PAGEREF _Toc28219 \h </w:instrText>
        </w:r>
        <w:r>
          <w:fldChar w:fldCharType="separate"/>
        </w:r>
        <w:r>
          <w:t>3</w:t>
        </w:r>
        <w:r>
          <w:fldChar w:fldCharType="end"/>
        </w:r>
      </w:hyperlink>
    </w:p>
    <w:p>
      <w:pPr>
        <w:pStyle w:val="TOC2"/>
        <w:tabs>
          <w:tab w:val="right" w:leader="dot" w:pos="8306"/>
        </w:tabs>
      </w:pPr>
      <w:hyperlink w:anchor="_Toc31016" w:history="1">
        <w:r>
          <w:rPr>
            <w:rFonts w:ascii="仿宋" w:eastAsia="仿宋" w:hAnsi="仿宋" w:cs="仿宋" w:hint="eastAsia"/>
            <w:lang w:eastAsia="zh-CN"/>
          </w:rPr>
          <w:t>(一)、体育专用地坪漆行业分析</w:t>
        </w:r>
        <w:r>
          <w:tab/>
        </w:r>
        <w:r>
          <w:fldChar w:fldCharType="begin"/>
        </w:r>
        <w:r>
          <w:instrText xml:space="preserve"> PAGEREF _Toc31016 \h </w:instrText>
        </w:r>
        <w:r>
          <w:fldChar w:fldCharType="separate"/>
        </w:r>
        <w:r>
          <w:t>3</w:t>
        </w:r>
        <w:r>
          <w:fldChar w:fldCharType="end"/>
        </w:r>
      </w:hyperlink>
    </w:p>
    <w:p>
      <w:pPr>
        <w:pStyle w:val="TOC2"/>
        <w:tabs>
          <w:tab w:val="right" w:leader="dot" w:pos="8306"/>
        </w:tabs>
      </w:pPr>
      <w:hyperlink w:anchor="_Toc28416" w:history="1">
        <w:r>
          <w:rPr>
            <w:rFonts w:ascii="仿宋" w:eastAsia="仿宋" w:hAnsi="仿宋" w:cs="仿宋" w:hint="eastAsia"/>
            <w:lang w:eastAsia="zh-CN"/>
          </w:rPr>
          <w:t>(二)、体育专用地坪漆市场分析预测</w:t>
        </w:r>
        <w:r>
          <w:tab/>
        </w:r>
        <w:r>
          <w:fldChar w:fldCharType="begin"/>
        </w:r>
        <w:r>
          <w:instrText xml:space="preserve"> PAGEREF _Toc28416 \h </w:instrText>
        </w:r>
        <w:r>
          <w:fldChar w:fldCharType="separate"/>
        </w:r>
        <w:r>
          <w:t>4</w:t>
        </w:r>
        <w:r>
          <w:fldChar w:fldCharType="end"/>
        </w:r>
      </w:hyperlink>
    </w:p>
    <w:p>
      <w:pPr>
        <w:pStyle w:val="TOC1"/>
        <w:tabs>
          <w:tab w:val="right" w:leader="dot" w:pos="8306"/>
        </w:tabs>
      </w:pPr>
      <w:hyperlink w:anchor="_Toc6095" w:history="1">
        <w:r>
          <w:rPr>
            <w:rFonts w:ascii="仿宋" w:eastAsia="仿宋" w:hAnsi="仿宋" w:cs="仿宋" w:hint="eastAsia"/>
            <w:lang w:eastAsia="zh-CN"/>
          </w:rPr>
          <w:t>二、体育专用地坪漆项目土建工程</w:t>
        </w:r>
        <w:r>
          <w:tab/>
        </w:r>
        <w:r>
          <w:fldChar w:fldCharType="begin"/>
        </w:r>
        <w:r>
          <w:instrText xml:space="preserve"> PAGEREF _Toc6095 \h </w:instrText>
        </w:r>
        <w:r>
          <w:fldChar w:fldCharType="separate"/>
        </w:r>
        <w:r>
          <w:t>5</w:t>
        </w:r>
        <w:r>
          <w:fldChar w:fldCharType="end"/>
        </w:r>
      </w:hyperlink>
    </w:p>
    <w:p>
      <w:pPr>
        <w:pStyle w:val="TOC2"/>
        <w:tabs>
          <w:tab w:val="right" w:leader="dot" w:pos="8306"/>
        </w:tabs>
      </w:pPr>
      <w:hyperlink w:anchor="_Toc21455" w:history="1">
        <w:r>
          <w:rPr>
            <w:rFonts w:ascii="仿宋" w:eastAsia="仿宋" w:hAnsi="仿宋" w:cs="仿宋" w:hint="eastAsia"/>
            <w:lang w:eastAsia="zh-CN"/>
          </w:rPr>
          <w:t>(一)、建筑工程设计原则</w:t>
        </w:r>
        <w:r>
          <w:tab/>
        </w:r>
        <w:r>
          <w:fldChar w:fldCharType="begin"/>
        </w:r>
        <w:r>
          <w:instrText xml:space="preserve"> PAGEREF _Toc21455 \h </w:instrText>
        </w:r>
        <w:r>
          <w:fldChar w:fldCharType="separate"/>
        </w:r>
        <w:r>
          <w:t>5</w:t>
        </w:r>
        <w:r>
          <w:fldChar w:fldCharType="end"/>
        </w:r>
      </w:hyperlink>
    </w:p>
    <w:p>
      <w:pPr>
        <w:pStyle w:val="TOC2"/>
        <w:tabs>
          <w:tab w:val="right" w:leader="dot" w:pos="8306"/>
        </w:tabs>
      </w:pPr>
      <w:hyperlink w:anchor="_Toc15416" w:history="1">
        <w:r>
          <w:rPr>
            <w:rFonts w:ascii="仿宋" w:eastAsia="仿宋" w:hAnsi="仿宋" w:cs="仿宋" w:hint="eastAsia"/>
            <w:lang w:eastAsia="zh-CN"/>
          </w:rPr>
          <w:t>(二)、土建工程设计年限及安全等级</w:t>
        </w:r>
        <w:r>
          <w:tab/>
        </w:r>
        <w:r>
          <w:fldChar w:fldCharType="begin"/>
        </w:r>
        <w:r>
          <w:instrText xml:space="preserve"> PAGEREF _Toc15416 \h </w:instrText>
        </w:r>
        <w:r>
          <w:fldChar w:fldCharType="separate"/>
        </w:r>
        <w:r>
          <w:t>6</w:t>
        </w:r>
        <w:r>
          <w:fldChar w:fldCharType="end"/>
        </w:r>
      </w:hyperlink>
    </w:p>
    <w:p>
      <w:pPr>
        <w:pStyle w:val="TOC2"/>
        <w:tabs>
          <w:tab w:val="right" w:leader="dot" w:pos="8306"/>
        </w:tabs>
      </w:pPr>
      <w:hyperlink w:anchor="_Toc11947" w:history="1">
        <w:r>
          <w:rPr>
            <w:rFonts w:ascii="仿宋" w:eastAsia="仿宋" w:hAnsi="仿宋" w:cs="仿宋" w:hint="eastAsia"/>
            <w:lang w:eastAsia="zh-CN"/>
          </w:rPr>
          <w:t>(三)、建筑工程设计总体要求</w:t>
        </w:r>
        <w:r>
          <w:tab/>
        </w:r>
        <w:r>
          <w:fldChar w:fldCharType="begin"/>
        </w:r>
        <w:r>
          <w:instrText xml:space="preserve"> PAGEREF _Toc11947 \h </w:instrText>
        </w:r>
        <w:r>
          <w:fldChar w:fldCharType="separate"/>
        </w:r>
        <w:r>
          <w:t>7</w:t>
        </w:r>
        <w:r>
          <w:fldChar w:fldCharType="end"/>
        </w:r>
      </w:hyperlink>
    </w:p>
    <w:p>
      <w:pPr>
        <w:pStyle w:val="TOC2"/>
        <w:tabs>
          <w:tab w:val="right" w:leader="dot" w:pos="8306"/>
        </w:tabs>
      </w:pPr>
      <w:hyperlink w:anchor="_Toc4475" w:history="1">
        <w:r>
          <w:rPr>
            <w:rFonts w:ascii="仿宋" w:eastAsia="仿宋" w:hAnsi="仿宋" w:cs="仿宋" w:hint="eastAsia"/>
            <w:lang w:eastAsia="zh-CN"/>
          </w:rPr>
          <w:t>(四)、土建工程建设指标</w:t>
        </w:r>
        <w:r>
          <w:tab/>
        </w:r>
        <w:r>
          <w:fldChar w:fldCharType="begin"/>
        </w:r>
        <w:r>
          <w:instrText xml:space="preserve"> PAGEREF _Toc4475 \h </w:instrText>
        </w:r>
        <w:r>
          <w:fldChar w:fldCharType="separate"/>
        </w:r>
        <w:r>
          <w:t>8</w:t>
        </w:r>
        <w:r>
          <w:fldChar w:fldCharType="end"/>
        </w:r>
      </w:hyperlink>
    </w:p>
    <w:p>
      <w:pPr>
        <w:pStyle w:val="TOC1"/>
        <w:tabs>
          <w:tab w:val="right" w:leader="dot" w:pos="8306"/>
        </w:tabs>
      </w:pPr>
      <w:hyperlink w:anchor="_Toc17156" w:history="1">
        <w:r>
          <w:rPr>
            <w:rFonts w:ascii="仿宋" w:eastAsia="仿宋" w:hAnsi="仿宋" w:cs="仿宋" w:hint="eastAsia"/>
            <w:lang w:eastAsia="zh-CN"/>
          </w:rPr>
          <w:t>三、体育专用地坪漆项目建设单位说明</w:t>
        </w:r>
        <w:r>
          <w:tab/>
        </w:r>
        <w:r>
          <w:fldChar w:fldCharType="begin"/>
        </w:r>
        <w:r>
          <w:instrText xml:space="preserve"> PAGEREF _Toc17156 \h </w:instrText>
        </w:r>
        <w:r>
          <w:fldChar w:fldCharType="separate"/>
        </w:r>
        <w:r>
          <w:t>8</w:t>
        </w:r>
        <w:r>
          <w:fldChar w:fldCharType="end"/>
        </w:r>
      </w:hyperlink>
    </w:p>
    <w:p>
      <w:pPr>
        <w:pStyle w:val="TOC2"/>
        <w:tabs>
          <w:tab w:val="right" w:leader="dot" w:pos="8306"/>
        </w:tabs>
      </w:pPr>
      <w:hyperlink w:anchor="_Toc18221" w:history="1">
        <w:r>
          <w:rPr>
            <w:rFonts w:ascii="仿宋" w:eastAsia="仿宋" w:hAnsi="仿宋" w:cs="仿宋" w:hint="eastAsia"/>
            <w:lang w:eastAsia="zh-CN"/>
          </w:rPr>
          <w:t>(一)、体育专用地坪漆项目承办单位基本情况</w:t>
        </w:r>
        <w:r>
          <w:tab/>
        </w:r>
        <w:r>
          <w:fldChar w:fldCharType="begin"/>
        </w:r>
        <w:r>
          <w:instrText xml:space="preserve"> PAGEREF _Toc18221 \h </w:instrText>
        </w:r>
        <w:r>
          <w:fldChar w:fldCharType="separate"/>
        </w:r>
        <w:r>
          <w:t>8</w:t>
        </w:r>
        <w:r>
          <w:fldChar w:fldCharType="end"/>
        </w:r>
      </w:hyperlink>
    </w:p>
    <w:p>
      <w:pPr>
        <w:pStyle w:val="TOC2"/>
        <w:tabs>
          <w:tab w:val="right" w:leader="dot" w:pos="8306"/>
        </w:tabs>
      </w:pPr>
      <w:hyperlink w:anchor="_Toc15451" w:history="1">
        <w:r>
          <w:rPr>
            <w:rFonts w:ascii="仿宋" w:eastAsia="仿宋" w:hAnsi="仿宋" w:cs="仿宋" w:hint="eastAsia"/>
            <w:lang w:eastAsia="zh-CN"/>
          </w:rPr>
          <w:t>(二)、公司经济效益分析</w:t>
        </w:r>
        <w:r>
          <w:tab/>
        </w:r>
        <w:r>
          <w:fldChar w:fldCharType="begin"/>
        </w:r>
        <w:r>
          <w:instrText xml:space="preserve"> PAGEREF _Toc15451 \h </w:instrText>
        </w:r>
        <w:r>
          <w:fldChar w:fldCharType="separate"/>
        </w:r>
        <w:r>
          <w:t>9</w:t>
        </w:r>
        <w:r>
          <w:fldChar w:fldCharType="end"/>
        </w:r>
      </w:hyperlink>
    </w:p>
    <w:p>
      <w:pPr>
        <w:pStyle w:val="TOC1"/>
        <w:tabs>
          <w:tab w:val="right" w:leader="dot" w:pos="8306"/>
        </w:tabs>
      </w:pPr>
      <w:hyperlink w:anchor="_Toc13315" w:history="1">
        <w:r>
          <w:rPr>
            <w:rFonts w:ascii="仿宋" w:eastAsia="仿宋" w:hAnsi="仿宋" w:cs="仿宋" w:hint="eastAsia"/>
            <w:lang w:eastAsia="zh-CN"/>
          </w:rPr>
          <w:t>四、体育专用地坪漆项目危机管理</w:t>
        </w:r>
        <w:r>
          <w:tab/>
        </w:r>
        <w:r>
          <w:fldChar w:fldCharType="begin"/>
        </w:r>
        <w:r>
          <w:instrText xml:space="preserve"> PAGEREF _Toc13315 \h </w:instrText>
        </w:r>
        <w:r>
          <w:fldChar w:fldCharType="separate"/>
        </w:r>
        <w:r>
          <w:t>10</w:t>
        </w:r>
        <w:r>
          <w:fldChar w:fldCharType="end"/>
        </w:r>
      </w:hyperlink>
    </w:p>
    <w:p>
      <w:pPr>
        <w:pStyle w:val="TOC2"/>
        <w:tabs>
          <w:tab w:val="right" w:leader="dot" w:pos="8306"/>
        </w:tabs>
      </w:pPr>
      <w:hyperlink w:anchor="_Toc29407" w:history="1">
        <w:r>
          <w:rPr>
            <w:rFonts w:ascii="仿宋" w:eastAsia="仿宋" w:hAnsi="仿宋" w:cs="仿宋" w:hint="eastAsia"/>
            <w:lang w:eastAsia="zh-CN"/>
          </w:rPr>
          <w:t>(一)、危机预警与识别</w:t>
        </w:r>
        <w:r>
          <w:tab/>
        </w:r>
        <w:r>
          <w:fldChar w:fldCharType="begin"/>
        </w:r>
        <w:r>
          <w:instrText xml:space="preserve"> PAGEREF _Toc29407 \h </w:instrText>
        </w:r>
        <w:r>
          <w:fldChar w:fldCharType="separate"/>
        </w:r>
        <w:r>
          <w:t>10</w:t>
        </w:r>
        <w:r>
          <w:fldChar w:fldCharType="end"/>
        </w:r>
      </w:hyperlink>
    </w:p>
    <w:p>
      <w:pPr>
        <w:pStyle w:val="TOC2"/>
        <w:tabs>
          <w:tab w:val="right" w:leader="dot" w:pos="8306"/>
        </w:tabs>
      </w:pPr>
      <w:hyperlink w:anchor="_Toc642" w:history="1">
        <w:r>
          <w:rPr>
            <w:rFonts w:ascii="仿宋" w:eastAsia="仿宋" w:hAnsi="仿宋" w:cs="仿宋" w:hint="eastAsia"/>
            <w:lang w:eastAsia="zh-CN"/>
          </w:rPr>
          <w:t>(二)、危机应对与恢复</w:t>
        </w:r>
        <w:r>
          <w:tab/>
        </w:r>
        <w:r>
          <w:fldChar w:fldCharType="begin"/>
        </w:r>
        <w:r>
          <w:instrText xml:space="preserve"> PAGEREF _Toc642 \h </w:instrText>
        </w:r>
        <w:r>
          <w:fldChar w:fldCharType="separate"/>
        </w:r>
        <w:r>
          <w:t>11</w:t>
        </w:r>
        <w:r>
          <w:fldChar w:fldCharType="end"/>
        </w:r>
      </w:hyperlink>
    </w:p>
    <w:p>
      <w:pPr>
        <w:pStyle w:val="TOC1"/>
        <w:tabs>
          <w:tab w:val="right" w:leader="dot" w:pos="8306"/>
        </w:tabs>
      </w:pPr>
      <w:hyperlink w:anchor="_Toc30185" w:history="1">
        <w:r>
          <w:rPr>
            <w:rFonts w:ascii="仿宋" w:eastAsia="仿宋" w:hAnsi="仿宋" w:cs="仿宋" w:hint="eastAsia"/>
            <w:lang w:eastAsia="zh-CN"/>
          </w:rPr>
          <w:t>五、体育专用地坪漆项目建设背景及必要性分析</w:t>
        </w:r>
        <w:r>
          <w:tab/>
        </w:r>
        <w:r>
          <w:fldChar w:fldCharType="begin"/>
        </w:r>
        <w:r>
          <w:instrText xml:space="preserve"> PAGEREF _Toc30185 \h </w:instrText>
        </w:r>
        <w:r>
          <w:fldChar w:fldCharType="separate"/>
        </w:r>
        <w:r>
          <w:t>12</w:t>
        </w:r>
        <w:r>
          <w:fldChar w:fldCharType="end"/>
        </w:r>
      </w:hyperlink>
    </w:p>
    <w:p>
      <w:pPr>
        <w:pStyle w:val="TOC2"/>
        <w:tabs>
          <w:tab w:val="right" w:leader="dot" w:pos="8306"/>
        </w:tabs>
      </w:pPr>
      <w:hyperlink w:anchor="_Toc24561" w:history="1">
        <w:r>
          <w:rPr>
            <w:rFonts w:ascii="仿宋" w:eastAsia="仿宋" w:hAnsi="仿宋" w:cs="仿宋" w:hint="eastAsia"/>
            <w:lang w:eastAsia="zh-CN"/>
          </w:rPr>
          <w:t>(一)、体育专用地坪漆项目背景分析</w:t>
        </w:r>
        <w:r>
          <w:tab/>
        </w:r>
        <w:r>
          <w:fldChar w:fldCharType="begin"/>
        </w:r>
        <w:r>
          <w:instrText xml:space="preserve"> PAGEREF _Toc24561 \h </w:instrText>
        </w:r>
        <w:r>
          <w:fldChar w:fldCharType="separate"/>
        </w:r>
        <w:r>
          <w:t>12</w:t>
        </w:r>
        <w:r>
          <w:fldChar w:fldCharType="end"/>
        </w:r>
      </w:hyperlink>
    </w:p>
    <w:p>
      <w:pPr>
        <w:pStyle w:val="TOC2"/>
        <w:tabs>
          <w:tab w:val="right" w:leader="dot" w:pos="8306"/>
        </w:tabs>
      </w:pPr>
      <w:hyperlink w:anchor="_Toc5009" w:history="1">
        <w:r>
          <w:rPr>
            <w:rFonts w:ascii="仿宋" w:eastAsia="仿宋" w:hAnsi="仿宋" w:cs="仿宋" w:hint="eastAsia"/>
            <w:lang w:eastAsia="zh-CN"/>
          </w:rPr>
          <w:t>(二)、体育专用地坪漆项目建设必要性分析</w:t>
        </w:r>
        <w:r>
          <w:tab/>
        </w:r>
        <w:r>
          <w:fldChar w:fldCharType="begin"/>
        </w:r>
        <w:r>
          <w:instrText xml:space="preserve"> PAGEREF _Toc5009 \h </w:instrText>
        </w:r>
        <w:r>
          <w:fldChar w:fldCharType="separate"/>
        </w:r>
        <w:r>
          <w:t>14</w:t>
        </w:r>
        <w:r>
          <w:fldChar w:fldCharType="end"/>
        </w:r>
      </w:hyperlink>
    </w:p>
    <w:p>
      <w:pPr>
        <w:pStyle w:val="TOC1"/>
        <w:tabs>
          <w:tab w:val="right" w:leader="dot" w:pos="8306"/>
        </w:tabs>
      </w:pPr>
      <w:hyperlink w:anchor="_Toc10292" w:history="1">
        <w:r>
          <w:rPr>
            <w:rFonts w:ascii="仿宋" w:eastAsia="仿宋" w:hAnsi="仿宋" w:cs="仿宋" w:hint="eastAsia"/>
            <w:lang w:eastAsia="zh-CN"/>
          </w:rPr>
          <w:t>六、产品规划分析</w:t>
        </w:r>
        <w:r>
          <w:tab/>
        </w:r>
        <w:r>
          <w:fldChar w:fldCharType="begin"/>
        </w:r>
        <w:r>
          <w:instrText xml:space="preserve"> PAGEREF _Toc10292 \h </w:instrText>
        </w:r>
        <w:r>
          <w:fldChar w:fldCharType="separate"/>
        </w:r>
        <w:r>
          <w:t>15</w:t>
        </w:r>
        <w:r>
          <w:fldChar w:fldCharType="end"/>
        </w:r>
      </w:hyperlink>
    </w:p>
    <w:p>
      <w:pPr>
        <w:pStyle w:val="TOC2"/>
        <w:tabs>
          <w:tab w:val="right" w:leader="dot" w:pos="8306"/>
        </w:tabs>
      </w:pPr>
      <w:hyperlink w:anchor="_Toc3504" w:history="1">
        <w:r>
          <w:rPr>
            <w:rFonts w:ascii="仿宋" w:eastAsia="仿宋" w:hAnsi="仿宋" w:cs="仿宋" w:hint="eastAsia"/>
            <w:lang w:eastAsia="zh-CN"/>
          </w:rPr>
          <w:t>(一)、产品规划</w:t>
        </w:r>
        <w:r>
          <w:tab/>
        </w:r>
        <w:r>
          <w:fldChar w:fldCharType="begin"/>
        </w:r>
        <w:r>
          <w:instrText xml:space="preserve"> PAGEREF _Toc3504 \h </w:instrText>
        </w:r>
        <w:r>
          <w:fldChar w:fldCharType="separate"/>
        </w:r>
        <w:r>
          <w:t>15</w:t>
        </w:r>
        <w:r>
          <w:fldChar w:fldCharType="end"/>
        </w:r>
      </w:hyperlink>
    </w:p>
    <w:p>
      <w:pPr>
        <w:pStyle w:val="TOC2"/>
        <w:tabs>
          <w:tab w:val="right" w:leader="dot" w:pos="8306"/>
        </w:tabs>
      </w:pPr>
      <w:hyperlink w:anchor="_Toc7487" w:history="1">
        <w:r>
          <w:rPr>
            <w:rFonts w:ascii="仿宋" w:eastAsia="仿宋" w:hAnsi="仿宋" w:cs="仿宋" w:hint="eastAsia"/>
            <w:lang w:eastAsia="zh-CN"/>
          </w:rPr>
          <w:t>(二)、建设规模</w:t>
        </w:r>
        <w:r>
          <w:tab/>
        </w:r>
        <w:r>
          <w:fldChar w:fldCharType="begin"/>
        </w:r>
        <w:r>
          <w:instrText xml:space="preserve"> PAGEREF _Toc7487 \h </w:instrText>
        </w:r>
        <w:r>
          <w:fldChar w:fldCharType="separate"/>
        </w:r>
        <w:r>
          <w:t>16</w:t>
        </w:r>
        <w:r>
          <w:fldChar w:fldCharType="end"/>
        </w:r>
      </w:hyperlink>
    </w:p>
    <w:p>
      <w:pPr>
        <w:pStyle w:val="TOC1"/>
        <w:tabs>
          <w:tab w:val="right" w:leader="dot" w:pos="8306"/>
        </w:tabs>
      </w:pPr>
      <w:hyperlink w:anchor="_Toc28669" w:history="1">
        <w:r>
          <w:rPr>
            <w:rFonts w:ascii="仿宋" w:eastAsia="仿宋" w:hAnsi="仿宋" w:cs="仿宋" w:hint="eastAsia"/>
            <w:lang w:eastAsia="zh-CN"/>
          </w:rPr>
          <w:t>七、体育专用地坪漆项目人力资源培养与发展</w:t>
        </w:r>
        <w:r>
          <w:tab/>
        </w:r>
        <w:r>
          <w:fldChar w:fldCharType="begin"/>
        </w:r>
        <w:r>
          <w:instrText xml:space="preserve"> PAGEREF _Toc28669 \h </w:instrText>
        </w:r>
        <w:r>
          <w:fldChar w:fldCharType="separate"/>
        </w:r>
        <w:r>
          <w:t>17</w:t>
        </w:r>
        <w:r>
          <w:fldChar w:fldCharType="end"/>
        </w:r>
      </w:hyperlink>
    </w:p>
    <w:p>
      <w:pPr>
        <w:pStyle w:val="TOC2"/>
        <w:tabs>
          <w:tab w:val="right" w:leader="dot" w:pos="8306"/>
        </w:tabs>
      </w:pPr>
      <w:hyperlink w:anchor="_Toc28466" w:history="1">
        <w:r>
          <w:rPr>
            <w:rFonts w:ascii="仿宋" w:eastAsia="仿宋" w:hAnsi="仿宋" w:cs="仿宋" w:hint="eastAsia"/>
            <w:lang w:eastAsia="zh-CN"/>
          </w:rPr>
          <w:t>(一)、人才需求与规划</w:t>
        </w:r>
        <w:r>
          <w:tab/>
        </w:r>
        <w:r>
          <w:fldChar w:fldCharType="begin"/>
        </w:r>
        <w:r>
          <w:instrText xml:space="preserve"> PAGEREF _Toc28466 \h </w:instrText>
        </w:r>
        <w:r>
          <w:fldChar w:fldCharType="separate"/>
        </w:r>
        <w:r>
          <w:t>17</w:t>
        </w:r>
        <w:r>
          <w:fldChar w:fldCharType="end"/>
        </w:r>
      </w:hyperlink>
    </w:p>
    <w:p>
      <w:pPr>
        <w:pStyle w:val="TOC2"/>
        <w:tabs>
          <w:tab w:val="right" w:leader="dot" w:pos="8306"/>
        </w:tabs>
      </w:pPr>
      <w:hyperlink w:anchor="_Toc22583" w:history="1">
        <w:r>
          <w:rPr>
            <w:rFonts w:ascii="仿宋" w:eastAsia="仿宋" w:hAnsi="仿宋" w:cs="仿宋" w:hint="eastAsia"/>
            <w:lang w:eastAsia="zh-CN"/>
          </w:rPr>
          <w:t>(二)、培训与发展计划</w:t>
        </w:r>
        <w:r>
          <w:tab/>
        </w:r>
        <w:r>
          <w:fldChar w:fldCharType="begin"/>
        </w:r>
        <w:r>
          <w:instrText xml:space="preserve"> PAGEREF _Toc22583 \h </w:instrText>
        </w:r>
        <w:r>
          <w:fldChar w:fldCharType="separate"/>
        </w:r>
        <w:r>
          <w:t>18</w:t>
        </w:r>
        <w:r>
          <w:fldChar w:fldCharType="end"/>
        </w:r>
      </w:hyperlink>
    </w:p>
    <w:p>
      <w:pPr>
        <w:pStyle w:val="TOC1"/>
        <w:tabs>
          <w:tab w:val="right" w:leader="dot" w:pos="8306"/>
        </w:tabs>
      </w:pPr>
      <w:hyperlink w:anchor="_Toc17004" w:history="1">
        <w:r>
          <w:rPr>
            <w:rFonts w:ascii="仿宋" w:eastAsia="仿宋" w:hAnsi="仿宋" w:cs="仿宋" w:hint="eastAsia"/>
            <w:lang w:eastAsia="zh-CN"/>
          </w:rPr>
          <w:t>八、体育专用地坪漆项目投资规划</w:t>
        </w:r>
        <w:r>
          <w:tab/>
        </w:r>
        <w:r>
          <w:fldChar w:fldCharType="begin"/>
        </w:r>
        <w:r>
          <w:instrText xml:space="preserve"> PAGEREF _Toc17004 \h </w:instrText>
        </w:r>
        <w:r>
          <w:fldChar w:fldCharType="separate"/>
        </w:r>
        <w:r>
          <w:t>18</w:t>
        </w:r>
        <w:r>
          <w:fldChar w:fldCharType="end"/>
        </w:r>
      </w:hyperlink>
    </w:p>
    <w:p>
      <w:pPr>
        <w:pStyle w:val="TOC2"/>
        <w:tabs>
          <w:tab w:val="right" w:leader="dot" w:pos="8306"/>
        </w:tabs>
      </w:pPr>
      <w:hyperlink w:anchor="_Toc18549" w:history="1">
        <w:r>
          <w:rPr>
            <w:rFonts w:ascii="仿宋" w:eastAsia="仿宋" w:hAnsi="仿宋" w:cs="仿宋" w:hint="eastAsia"/>
            <w:lang w:eastAsia="zh-CN"/>
          </w:rPr>
          <w:t>(一)、体育专用地坪漆项目总投资估算</w:t>
        </w:r>
        <w:r>
          <w:tab/>
        </w:r>
        <w:r>
          <w:fldChar w:fldCharType="begin"/>
        </w:r>
        <w:r>
          <w:instrText xml:space="preserve"> PAGEREF _Toc18549 \h </w:instrText>
        </w:r>
        <w:r>
          <w:fldChar w:fldCharType="separate"/>
        </w:r>
        <w:r>
          <w:t>18</w:t>
        </w:r>
        <w:r>
          <w:fldChar w:fldCharType="end"/>
        </w:r>
      </w:hyperlink>
    </w:p>
    <w:p>
      <w:pPr>
        <w:pStyle w:val="TOC2"/>
        <w:tabs>
          <w:tab w:val="right" w:leader="dot" w:pos="8306"/>
        </w:tabs>
      </w:pPr>
      <w:hyperlink w:anchor="_Toc2831" w:history="1">
        <w:r>
          <w:rPr>
            <w:rFonts w:ascii="仿宋" w:eastAsia="仿宋" w:hAnsi="仿宋" w:cs="仿宋" w:hint="eastAsia"/>
            <w:lang w:eastAsia="zh-CN"/>
          </w:rPr>
          <w:t>(二)、资金筹措</w:t>
        </w:r>
        <w:r>
          <w:tab/>
        </w:r>
        <w:r>
          <w:fldChar w:fldCharType="begin"/>
        </w:r>
        <w:r>
          <w:instrText xml:space="preserve"> PAGEREF _Toc2831 \h </w:instrText>
        </w:r>
        <w:r>
          <w:fldChar w:fldCharType="separate"/>
        </w:r>
        <w:r>
          <w:t>20</w:t>
        </w:r>
        <w:r>
          <w:fldChar w:fldCharType="end"/>
        </w:r>
      </w:hyperlink>
    </w:p>
    <w:p>
      <w:pPr>
        <w:pStyle w:val="TOC1"/>
        <w:tabs>
          <w:tab w:val="right" w:leader="dot" w:pos="8306"/>
        </w:tabs>
      </w:pPr>
      <w:hyperlink w:anchor="_Toc7440" w:history="1">
        <w:r>
          <w:rPr>
            <w:rFonts w:ascii="仿宋" w:eastAsia="仿宋" w:hAnsi="仿宋" w:cs="仿宋" w:hint="eastAsia"/>
            <w:lang w:eastAsia="zh-CN"/>
          </w:rPr>
          <w:t>九、体育专用地坪漆项目风险管理</w:t>
        </w:r>
        <w:r>
          <w:tab/>
        </w:r>
        <w:r>
          <w:fldChar w:fldCharType="begin"/>
        </w:r>
        <w:r>
          <w:instrText xml:space="preserve"> PAGEREF _Toc7440 \h </w:instrText>
        </w:r>
        <w:r>
          <w:fldChar w:fldCharType="separate"/>
        </w:r>
        <w:r>
          <w:t>20</w:t>
        </w:r>
        <w:r>
          <w:fldChar w:fldCharType="end"/>
        </w:r>
      </w:hyperlink>
    </w:p>
    <w:p>
      <w:pPr>
        <w:pStyle w:val="TOC2"/>
        <w:tabs>
          <w:tab w:val="right" w:leader="dot" w:pos="8306"/>
        </w:tabs>
      </w:pPr>
      <w:hyperlink w:anchor="_Toc4559" w:history="1">
        <w:r>
          <w:rPr>
            <w:rFonts w:ascii="仿宋" w:eastAsia="仿宋" w:hAnsi="仿宋" w:cs="仿宋" w:hint="eastAsia"/>
            <w:lang w:eastAsia="zh-CN"/>
          </w:rPr>
          <w:t>(一)、风险识别与评估</w:t>
        </w:r>
        <w:r>
          <w:tab/>
        </w:r>
        <w:r>
          <w:fldChar w:fldCharType="begin"/>
        </w:r>
        <w:r>
          <w:instrText xml:space="preserve"> PAGEREF _Toc4559 \h </w:instrText>
        </w:r>
        <w:r>
          <w:fldChar w:fldCharType="separate"/>
        </w:r>
        <w:r>
          <w:t>20</w:t>
        </w:r>
        <w:r>
          <w:fldChar w:fldCharType="end"/>
        </w:r>
      </w:hyperlink>
    </w:p>
    <w:p>
      <w:pPr>
        <w:pStyle w:val="TOC2"/>
        <w:tabs>
          <w:tab w:val="right" w:leader="dot" w:pos="8306"/>
        </w:tabs>
      </w:pPr>
      <w:hyperlink w:anchor="_Toc19140" w:history="1">
        <w:r>
          <w:rPr>
            <w:rFonts w:ascii="仿宋" w:eastAsia="仿宋" w:hAnsi="仿宋" w:cs="仿宋" w:hint="eastAsia"/>
            <w:lang w:eastAsia="zh-CN"/>
          </w:rPr>
          <w:t>(二)、风险应对策略</w:t>
        </w:r>
        <w:r>
          <w:tab/>
        </w:r>
        <w:r>
          <w:fldChar w:fldCharType="begin"/>
        </w:r>
        <w:r>
          <w:instrText xml:space="preserve"> PAGEREF _Toc19140 \h </w:instrText>
        </w:r>
        <w:r>
          <w:fldChar w:fldCharType="separate"/>
        </w:r>
        <w:r>
          <w:t>22</w:t>
        </w:r>
        <w:r>
          <w:fldChar w:fldCharType="end"/>
        </w:r>
      </w:hyperlink>
    </w:p>
    <w:p>
      <w:pPr>
        <w:pStyle w:val="TOC2"/>
        <w:tabs>
          <w:tab w:val="right" w:leader="dot" w:pos="8306"/>
        </w:tabs>
      </w:pPr>
      <w:hyperlink w:anchor="_Toc21499" w:history="1">
        <w:r>
          <w:rPr>
            <w:rFonts w:ascii="仿宋" w:eastAsia="仿宋" w:hAnsi="仿宋" w:cs="仿宋" w:hint="eastAsia"/>
            <w:lang w:eastAsia="zh-CN"/>
          </w:rPr>
          <w:t>(三)、风险监控与控制</w:t>
        </w:r>
        <w:r>
          <w:tab/>
        </w:r>
        <w:r>
          <w:fldChar w:fldCharType="begin"/>
        </w:r>
        <w:r>
          <w:instrText xml:space="preserve"> PAGEREF _Toc21499 \h </w:instrText>
        </w:r>
        <w:r>
          <w:fldChar w:fldCharType="separate"/>
        </w:r>
        <w:r>
          <w:t>23</w:t>
        </w:r>
        <w:r>
          <w:fldChar w:fldCharType="end"/>
        </w:r>
      </w:hyperlink>
    </w:p>
    <w:p>
      <w:pPr>
        <w:pStyle w:val="TOC1"/>
        <w:tabs>
          <w:tab w:val="right" w:leader="dot" w:pos="8306"/>
        </w:tabs>
      </w:pPr>
      <w:hyperlink w:anchor="_Toc28415" w:history="1">
        <w:r>
          <w:rPr>
            <w:rFonts w:ascii="仿宋" w:eastAsia="仿宋" w:hAnsi="仿宋" w:cs="仿宋" w:hint="eastAsia"/>
            <w:lang w:eastAsia="zh-CN"/>
          </w:rPr>
          <w:t>十、体育专用地坪漆项目环境影响分析</w:t>
        </w:r>
        <w:r>
          <w:tab/>
        </w:r>
        <w:r>
          <w:fldChar w:fldCharType="begin"/>
        </w:r>
        <w:r>
          <w:instrText xml:space="preserve"> PAGEREF _Toc28415 \h </w:instrText>
        </w:r>
        <w:r>
          <w:fldChar w:fldCharType="separate"/>
        </w:r>
        <w:r>
          <w:t>24</w:t>
        </w:r>
        <w:r>
          <w:fldChar w:fldCharType="end"/>
        </w:r>
      </w:hyperlink>
    </w:p>
    <w:p>
      <w:pPr>
        <w:pStyle w:val="TOC2"/>
        <w:tabs>
          <w:tab w:val="right" w:leader="dot" w:pos="8306"/>
        </w:tabs>
      </w:pPr>
      <w:hyperlink w:anchor="_Toc16682" w:history="1">
        <w:r>
          <w:rPr>
            <w:rFonts w:ascii="仿宋" w:eastAsia="仿宋" w:hAnsi="仿宋" w:cs="仿宋" w:hint="eastAsia"/>
            <w:lang w:eastAsia="zh-CN"/>
          </w:rPr>
          <w:t>(一)、建设区域环境质量现状</w:t>
        </w:r>
        <w:r>
          <w:tab/>
        </w:r>
        <w:r>
          <w:fldChar w:fldCharType="begin"/>
        </w:r>
        <w:r>
          <w:instrText xml:space="preserve"> PAGEREF _Toc16682 \h </w:instrText>
        </w:r>
        <w:r>
          <w:fldChar w:fldCharType="separate"/>
        </w:r>
        <w:r>
          <w:t>24</w:t>
        </w:r>
        <w:r>
          <w:fldChar w:fldCharType="end"/>
        </w:r>
      </w:hyperlink>
    </w:p>
    <w:p>
      <w:pPr>
        <w:pStyle w:val="TOC2"/>
        <w:tabs>
          <w:tab w:val="right" w:leader="dot" w:pos="8306"/>
        </w:tabs>
      </w:pPr>
      <w:hyperlink w:anchor="_Toc19314" w:history="1">
        <w:r>
          <w:rPr>
            <w:rFonts w:ascii="仿宋" w:eastAsia="仿宋" w:hAnsi="仿宋" w:cs="仿宋" w:hint="eastAsia"/>
            <w:lang w:eastAsia="zh-CN"/>
          </w:rPr>
          <w:t>(二)、建设期环境保护</w:t>
        </w:r>
        <w:r>
          <w:tab/>
        </w:r>
        <w:r>
          <w:fldChar w:fldCharType="begin"/>
        </w:r>
        <w:r>
          <w:instrText xml:space="preserve"> PAGEREF _Toc19314 \h </w:instrText>
        </w:r>
        <w:r>
          <w:fldChar w:fldCharType="separate"/>
        </w:r>
        <w:r>
          <w:t>26</w:t>
        </w:r>
        <w:r>
          <w:fldChar w:fldCharType="end"/>
        </w:r>
      </w:hyperlink>
    </w:p>
    <w:p>
      <w:pPr>
        <w:pStyle w:val="TOC2"/>
        <w:tabs>
          <w:tab w:val="right" w:leader="dot" w:pos="8306"/>
        </w:tabs>
      </w:pPr>
      <w:hyperlink w:anchor="_Toc10993" w:history="1">
        <w:r>
          <w:rPr>
            <w:rFonts w:ascii="仿宋" w:eastAsia="仿宋" w:hAnsi="仿宋" w:cs="仿宋" w:hint="eastAsia"/>
            <w:lang w:eastAsia="zh-CN"/>
          </w:rPr>
          <w:t>(三)、运营期环境保护</w:t>
        </w:r>
        <w:r>
          <w:tab/>
        </w:r>
        <w:r>
          <w:fldChar w:fldCharType="begin"/>
        </w:r>
        <w:r>
          <w:instrText xml:space="preserve"> PAGEREF _Toc10993 \h </w:instrText>
        </w:r>
        <w:r>
          <w:fldChar w:fldCharType="separate"/>
        </w:r>
        <w:r>
          <w:t>27</w:t>
        </w:r>
        <w:r>
          <w:fldChar w:fldCharType="end"/>
        </w:r>
      </w:hyperlink>
    </w:p>
    <w:p>
      <w:pPr>
        <w:pStyle w:val="TOC2"/>
        <w:tabs>
          <w:tab w:val="right" w:leader="dot" w:pos="8306"/>
        </w:tabs>
      </w:pPr>
      <w:hyperlink w:anchor="_Toc20319" w:history="1">
        <w:r>
          <w:rPr>
            <w:rFonts w:ascii="仿宋" w:eastAsia="仿宋" w:hAnsi="仿宋" w:cs="仿宋" w:hint="eastAsia"/>
            <w:lang w:eastAsia="zh-CN"/>
          </w:rPr>
          <w:t>(四)、体育专用地坪漆项目建设对区域经济的影响</w:t>
        </w:r>
        <w:r>
          <w:tab/>
        </w:r>
        <w:r>
          <w:fldChar w:fldCharType="begin"/>
        </w:r>
        <w:r>
          <w:instrText xml:space="preserve"> PAGEREF _Toc20319 \h </w:instrText>
        </w:r>
        <w:r>
          <w:fldChar w:fldCharType="separate"/>
        </w:r>
        <w:r>
          <w:t>29</w:t>
        </w:r>
        <w:r>
          <w:fldChar w:fldCharType="end"/>
        </w:r>
      </w:hyperlink>
    </w:p>
    <w:p>
      <w:pPr>
        <w:pStyle w:val="TOC2"/>
        <w:tabs>
          <w:tab w:val="right" w:leader="dot" w:pos="8306"/>
        </w:tabs>
      </w:pPr>
      <w:hyperlink w:anchor="_Toc8066" w:history="1">
        <w:r>
          <w:rPr>
            <w:rFonts w:ascii="仿宋" w:eastAsia="仿宋" w:hAnsi="仿宋" w:cs="仿宋" w:hint="eastAsia"/>
            <w:lang w:eastAsia="zh-CN"/>
          </w:rPr>
          <w:t>(五)、废弃物处理</w:t>
        </w:r>
        <w:r>
          <w:tab/>
        </w:r>
        <w:r>
          <w:fldChar w:fldCharType="begin"/>
        </w:r>
        <w:r>
          <w:instrText xml:space="preserve"> PAGEREF _Toc8066 \h </w:instrText>
        </w:r>
        <w:r>
          <w:fldChar w:fldCharType="separate"/>
        </w:r>
        <w:r>
          <w:t>30</w:t>
        </w:r>
        <w:r>
          <w:fldChar w:fldCharType="end"/>
        </w:r>
      </w:hyperlink>
    </w:p>
    <w:p>
      <w:pPr>
        <w:pStyle w:val="TOC2"/>
        <w:tabs>
          <w:tab w:val="right" w:leader="dot" w:pos="8306"/>
        </w:tabs>
      </w:pPr>
      <w:hyperlink w:anchor="_Toc9283" w:history="1">
        <w:r>
          <w:rPr>
            <w:rFonts w:ascii="仿宋" w:eastAsia="仿宋" w:hAnsi="仿宋" w:cs="仿宋" w:hint="eastAsia"/>
            <w:lang w:eastAsia="zh-CN"/>
          </w:rPr>
          <w:t>(六)、特殊环境影响分析</w:t>
        </w:r>
        <w:r>
          <w:tab/>
        </w:r>
        <w:r>
          <w:fldChar w:fldCharType="begin"/>
        </w:r>
        <w:r>
          <w:instrText xml:space="preserve"> PAGEREF _Toc9283 \h </w:instrText>
        </w:r>
        <w:r>
          <w:fldChar w:fldCharType="separate"/>
        </w:r>
        <w:r>
          <w:t>32</w:t>
        </w:r>
        <w:r>
          <w:fldChar w:fldCharType="end"/>
        </w:r>
      </w:hyperlink>
    </w:p>
    <w:p>
      <w:pPr>
        <w:pStyle w:val="TOC2"/>
        <w:tabs>
          <w:tab w:val="right" w:leader="dot" w:pos="8306"/>
        </w:tabs>
      </w:pPr>
      <w:hyperlink w:anchor="_Toc28210" w:history="1">
        <w:r>
          <w:rPr>
            <w:rFonts w:ascii="仿宋" w:eastAsia="仿宋" w:hAnsi="仿宋" w:cs="仿宋" w:hint="eastAsia"/>
            <w:lang w:eastAsia="zh-CN"/>
          </w:rPr>
          <w:t>(七)、清洁生产</w:t>
        </w:r>
        <w:r>
          <w:tab/>
        </w:r>
        <w:r>
          <w:fldChar w:fldCharType="begin"/>
        </w:r>
        <w:r>
          <w:instrText xml:space="preserve"> PAGEREF _Toc28210 \h </w:instrText>
        </w:r>
        <w:r>
          <w:fldChar w:fldCharType="separate"/>
        </w:r>
        <w:r>
          <w:t>33</w:t>
        </w:r>
        <w:r>
          <w:fldChar w:fldCharType="end"/>
        </w:r>
      </w:hyperlink>
    </w:p>
    <w:p>
      <w:pPr>
        <w:pStyle w:val="TOC2"/>
        <w:tabs>
          <w:tab w:val="right" w:leader="dot" w:pos="8306"/>
        </w:tabs>
      </w:pPr>
      <w:hyperlink w:anchor="_Toc8386" w:history="1">
        <w:r>
          <w:rPr>
            <w:rFonts w:ascii="仿宋" w:eastAsia="仿宋" w:hAnsi="仿宋" w:cs="仿宋" w:hint="eastAsia"/>
            <w:lang w:eastAsia="zh-CN"/>
          </w:rPr>
          <w:t>(八)、环境保护综合评价</w:t>
        </w:r>
        <w:r>
          <w:tab/>
        </w:r>
        <w:r>
          <w:fldChar w:fldCharType="begin"/>
        </w:r>
        <w:r>
          <w:instrText xml:space="preserve"> PAGEREF _Toc8386 \h </w:instrText>
        </w:r>
        <w:r>
          <w:fldChar w:fldCharType="separate"/>
        </w:r>
        <w:r>
          <w:t>34</w:t>
        </w:r>
        <w:r>
          <w:fldChar w:fldCharType="end"/>
        </w:r>
      </w:hyperlink>
    </w:p>
    <w:p>
      <w:pPr>
        <w:pStyle w:val="TOC1"/>
        <w:tabs>
          <w:tab w:val="right" w:leader="dot" w:pos="8306"/>
        </w:tabs>
      </w:pPr>
      <w:hyperlink w:anchor="_Toc19758" w:history="1">
        <w:r>
          <w:rPr>
            <w:rFonts w:ascii="仿宋" w:eastAsia="仿宋" w:hAnsi="仿宋" w:cs="仿宋" w:hint="eastAsia"/>
            <w:lang w:eastAsia="zh-CN"/>
          </w:rPr>
          <w:t>十一、体育专用地坪漆项目创新与研发</w:t>
        </w:r>
        <w:r>
          <w:tab/>
        </w:r>
        <w:r>
          <w:fldChar w:fldCharType="begin"/>
        </w:r>
        <w:r>
          <w:instrText xml:space="preserve"> PAGEREF _Toc19758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53" w:history="1">
        <w:r>
          <w:rPr>
            <w:rFonts w:ascii="仿宋" w:eastAsia="仿宋" w:hAnsi="仿宋" w:cs="仿宋" w:hint="eastAsia"/>
            <w:lang w:eastAsia="zh-CN"/>
          </w:rPr>
          <w:t>(一)、创新策略与方向</w:t>
        </w:r>
        <w:r>
          <w:tab/>
        </w:r>
        <w:r>
          <w:fldChar w:fldCharType="begin"/>
        </w:r>
        <w:r>
          <w:instrText xml:space="preserve"> PAGEREF _Toc23553 \h </w:instrText>
        </w:r>
        <w:r>
          <w:fldChar w:fldCharType="separate"/>
        </w:r>
        <w:r>
          <w:t>35</w:t>
        </w:r>
        <w:r>
          <w:fldChar w:fldCharType="end"/>
        </w:r>
      </w:hyperlink>
    </w:p>
    <w:p>
      <w:pPr>
        <w:pStyle w:val="TOC2"/>
        <w:tabs>
          <w:tab w:val="right" w:leader="dot" w:pos="8306"/>
        </w:tabs>
      </w:pPr>
      <w:hyperlink w:anchor="_Toc4593" w:history="1">
        <w:r>
          <w:rPr>
            <w:rFonts w:ascii="仿宋" w:eastAsia="仿宋" w:hAnsi="仿宋" w:cs="仿宋" w:hint="eastAsia"/>
            <w:lang w:eastAsia="zh-CN"/>
          </w:rPr>
          <w:t>(二)、研发规划与投入</w:t>
        </w:r>
        <w:r>
          <w:tab/>
        </w:r>
        <w:r>
          <w:fldChar w:fldCharType="begin"/>
        </w:r>
        <w:r>
          <w:instrText xml:space="preserve"> PAGEREF _Toc4593 \h </w:instrText>
        </w:r>
        <w:r>
          <w:fldChar w:fldCharType="separate"/>
        </w:r>
        <w:r>
          <w:t>37</w:t>
        </w:r>
        <w:r>
          <w:fldChar w:fldCharType="end"/>
        </w:r>
      </w:hyperlink>
    </w:p>
    <w:p>
      <w:pPr>
        <w:pStyle w:val="TOC1"/>
        <w:tabs>
          <w:tab w:val="right" w:leader="dot" w:pos="8306"/>
        </w:tabs>
      </w:pPr>
      <w:hyperlink w:anchor="_Toc11480" w:history="1">
        <w:r>
          <w:rPr>
            <w:rFonts w:ascii="仿宋" w:eastAsia="仿宋" w:hAnsi="仿宋" w:cs="仿宋" w:hint="eastAsia"/>
            <w:lang w:eastAsia="zh-CN"/>
          </w:rPr>
          <w:t>十二、体育专用地坪漆项目技术管理</w:t>
        </w:r>
        <w:r>
          <w:tab/>
        </w:r>
        <w:r>
          <w:fldChar w:fldCharType="begin"/>
        </w:r>
        <w:r>
          <w:instrText xml:space="preserve"> PAGEREF _Toc11480 \h </w:instrText>
        </w:r>
        <w:r>
          <w:fldChar w:fldCharType="separate"/>
        </w:r>
        <w:r>
          <w:t>38</w:t>
        </w:r>
        <w:r>
          <w:fldChar w:fldCharType="end"/>
        </w:r>
      </w:hyperlink>
    </w:p>
    <w:p>
      <w:pPr>
        <w:pStyle w:val="TOC2"/>
        <w:tabs>
          <w:tab w:val="right" w:leader="dot" w:pos="8306"/>
        </w:tabs>
      </w:pPr>
      <w:hyperlink w:anchor="_Toc14895" w:history="1">
        <w:r>
          <w:rPr>
            <w:rFonts w:ascii="仿宋" w:eastAsia="仿宋" w:hAnsi="仿宋" w:cs="仿宋" w:hint="eastAsia"/>
            <w:lang w:eastAsia="zh-CN"/>
          </w:rPr>
          <w:t>(一)、技术方案选用方向</w:t>
        </w:r>
        <w:r>
          <w:tab/>
        </w:r>
        <w:r>
          <w:fldChar w:fldCharType="begin"/>
        </w:r>
        <w:r>
          <w:instrText xml:space="preserve"> PAGEREF _Toc14895 \h </w:instrText>
        </w:r>
        <w:r>
          <w:fldChar w:fldCharType="separate"/>
        </w:r>
        <w:r>
          <w:t>38</w:t>
        </w:r>
        <w:r>
          <w:fldChar w:fldCharType="end"/>
        </w:r>
      </w:hyperlink>
    </w:p>
    <w:p>
      <w:pPr>
        <w:pStyle w:val="TOC2"/>
        <w:tabs>
          <w:tab w:val="right" w:leader="dot" w:pos="8306"/>
        </w:tabs>
      </w:pPr>
      <w:hyperlink w:anchor="_Toc31611" w:history="1">
        <w:r>
          <w:rPr>
            <w:rFonts w:ascii="仿宋" w:eastAsia="仿宋" w:hAnsi="仿宋" w:cs="仿宋" w:hint="eastAsia"/>
            <w:lang w:eastAsia="zh-CN"/>
          </w:rPr>
          <w:t>(二)、工艺技术方案选用原则</w:t>
        </w:r>
        <w:r>
          <w:tab/>
        </w:r>
        <w:r>
          <w:fldChar w:fldCharType="begin"/>
        </w:r>
        <w:r>
          <w:instrText xml:space="preserve"> PAGEREF _Toc31611 \h </w:instrText>
        </w:r>
        <w:r>
          <w:fldChar w:fldCharType="separate"/>
        </w:r>
        <w:r>
          <w:t>40</w:t>
        </w:r>
        <w:r>
          <w:fldChar w:fldCharType="end"/>
        </w:r>
      </w:hyperlink>
    </w:p>
    <w:p>
      <w:pPr>
        <w:pStyle w:val="TOC2"/>
        <w:tabs>
          <w:tab w:val="right" w:leader="dot" w:pos="8306"/>
        </w:tabs>
      </w:pPr>
      <w:hyperlink w:anchor="_Toc12624" w:history="1">
        <w:r>
          <w:rPr>
            <w:rFonts w:ascii="仿宋" w:eastAsia="仿宋" w:hAnsi="仿宋" w:cs="仿宋" w:hint="eastAsia"/>
            <w:lang w:eastAsia="zh-CN"/>
          </w:rPr>
          <w:t>(三)、工艺技术方案要求</w:t>
        </w:r>
        <w:r>
          <w:tab/>
        </w:r>
        <w:r>
          <w:fldChar w:fldCharType="begin"/>
        </w:r>
        <w:r>
          <w:instrText xml:space="preserve"> PAGEREF _Toc12624 \h </w:instrText>
        </w:r>
        <w:r>
          <w:fldChar w:fldCharType="separate"/>
        </w:r>
        <w:r>
          <w:t>42</w:t>
        </w:r>
        <w:r>
          <w:fldChar w:fldCharType="end"/>
        </w:r>
      </w:hyperlink>
    </w:p>
    <w:p>
      <w:pPr>
        <w:pStyle w:val="TOC1"/>
        <w:tabs>
          <w:tab w:val="right" w:leader="dot" w:pos="8306"/>
        </w:tabs>
      </w:pPr>
      <w:hyperlink w:anchor="_Toc16786" w:history="1">
        <w:r>
          <w:rPr>
            <w:rFonts w:ascii="仿宋" w:eastAsia="仿宋" w:hAnsi="仿宋" w:cs="仿宋" w:hint="eastAsia"/>
            <w:lang w:eastAsia="zh-CN"/>
          </w:rPr>
          <w:t>十三、体育专用地坪漆项目实施保障措施</w:t>
        </w:r>
        <w:r>
          <w:tab/>
        </w:r>
        <w:r>
          <w:fldChar w:fldCharType="begin"/>
        </w:r>
        <w:r>
          <w:instrText xml:space="preserve"> PAGEREF _Toc16786 \h </w:instrText>
        </w:r>
        <w:r>
          <w:fldChar w:fldCharType="separate"/>
        </w:r>
        <w:r>
          <w:t>45</w:t>
        </w:r>
        <w:r>
          <w:fldChar w:fldCharType="end"/>
        </w:r>
      </w:hyperlink>
    </w:p>
    <w:p>
      <w:pPr>
        <w:pStyle w:val="TOC2"/>
        <w:tabs>
          <w:tab w:val="right" w:leader="dot" w:pos="8306"/>
        </w:tabs>
      </w:pPr>
      <w:hyperlink w:anchor="_Toc24255" w:history="1">
        <w:r>
          <w:rPr>
            <w:rFonts w:ascii="仿宋" w:eastAsia="仿宋" w:hAnsi="仿宋" w:cs="仿宋" w:hint="eastAsia"/>
            <w:lang w:eastAsia="zh-CN"/>
          </w:rPr>
          <w:t>(一)、体育专用地坪漆项目实施保障机制</w:t>
        </w:r>
        <w:r>
          <w:tab/>
        </w:r>
        <w:r>
          <w:fldChar w:fldCharType="begin"/>
        </w:r>
        <w:r>
          <w:instrText xml:space="preserve"> PAGEREF _Toc24255 \h </w:instrText>
        </w:r>
        <w:r>
          <w:fldChar w:fldCharType="separate"/>
        </w:r>
        <w:r>
          <w:t>45</w:t>
        </w:r>
        <w:r>
          <w:fldChar w:fldCharType="end"/>
        </w:r>
      </w:hyperlink>
    </w:p>
    <w:p>
      <w:pPr>
        <w:pStyle w:val="TOC2"/>
        <w:tabs>
          <w:tab w:val="right" w:leader="dot" w:pos="8306"/>
        </w:tabs>
      </w:pPr>
      <w:hyperlink w:anchor="_Toc13262" w:history="1">
        <w:r>
          <w:rPr>
            <w:rFonts w:ascii="仿宋" w:eastAsia="仿宋" w:hAnsi="仿宋" w:cs="仿宋" w:hint="eastAsia"/>
            <w:lang w:eastAsia="zh-CN"/>
          </w:rPr>
          <w:t>(二)、体育专用地坪漆项目法律合规要求</w:t>
        </w:r>
        <w:r>
          <w:tab/>
        </w:r>
        <w:r>
          <w:fldChar w:fldCharType="begin"/>
        </w:r>
        <w:r>
          <w:instrText xml:space="preserve"> PAGEREF _Toc13262 \h </w:instrText>
        </w:r>
        <w:r>
          <w:fldChar w:fldCharType="separate"/>
        </w:r>
        <w:r>
          <w:t>48</w:t>
        </w:r>
        <w:r>
          <w:fldChar w:fldCharType="end"/>
        </w:r>
      </w:hyperlink>
    </w:p>
    <w:p>
      <w:pPr>
        <w:pStyle w:val="TOC2"/>
        <w:tabs>
          <w:tab w:val="right" w:leader="dot" w:pos="8306"/>
        </w:tabs>
      </w:pPr>
      <w:hyperlink w:anchor="_Toc11147" w:history="1">
        <w:r>
          <w:rPr>
            <w:rFonts w:ascii="仿宋" w:eastAsia="仿宋" w:hAnsi="仿宋" w:cs="仿宋" w:hint="eastAsia"/>
            <w:lang w:eastAsia="zh-CN"/>
          </w:rPr>
          <w:t>(三)、体育专用地坪漆项目合同管理与法律事务</w:t>
        </w:r>
        <w:r>
          <w:tab/>
        </w:r>
        <w:r>
          <w:fldChar w:fldCharType="begin"/>
        </w:r>
        <w:r>
          <w:instrText xml:space="preserve"> PAGEREF _Toc11147 \h </w:instrText>
        </w:r>
        <w:r>
          <w:fldChar w:fldCharType="separate"/>
        </w:r>
        <w:r>
          <w:t>53</w:t>
        </w:r>
        <w:r>
          <w:fldChar w:fldCharType="end"/>
        </w:r>
      </w:hyperlink>
    </w:p>
    <w:p>
      <w:pPr>
        <w:pStyle w:val="TOC2"/>
        <w:tabs>
          <w:tab w:val="right" w:leader="dot" w:pos="8306"/>
        </w:tabs>
      </w:pPr>
      <w:hyperlink w:anchor="_Toc10630" w:history="1">
        <w:r>
          <w:rPr>
            <w:rFonts w:ascii="仿宋" w:eastAsia="仿宋" w:hAnsi="仿宋" w:cs="仿宋" w:hint="eastAsia"/>
            <w:lang w:eastAsia="zh-CN"/>
          </w:rPr>
          <w:t>(四)、体育专用地坪漆项目知识产权保护策略</w:t>
        </w:r>
        <w:r>
          <w:tab/>
        </w:r>
        <w:r>
          <w:fldChar w:fldCharType="begin"/>
        </w:r>
        <w:r>
          <w:instrText xml:space="preserve"> PAGEREF _Toc10630 \h </w:instrText>
        </w:r>
        <w:r>
          <w:fldChar w:fldCharType="separate"/>
        </w:r>
        <w:r>
          <w:t>59</w:t>
        </w:r>
        <w:r>
          <w:fldChar w:fldCharType="end"/>
        </w:r>
      </w:hyperlink>
    </w:p>
    <w:p>
      <w:pPr>
        <w:pStyle w:val="TOC1"/>
        <w:tabs>
          <w:tab w:val="right" w:leader="dot" w:pos="8306"/>
        </w:tabs>
      </w:pPr>
      <w:hyperlink w:anchor="_Toc25132" w:history="1">
        <w:r>
          <w:rPr>
            <w:rFonts w:ascii="仿宋" w:eastAsia="仿宋" w:hAnsi="仿宋" w:cs="仿宋" w:hint="eastAsia"/>
            <w:lang w:eastAsia="zh-CN"/>
          </w:rPr>
          <w:t>十四、质量管理体系</w:t>
        </w:r>
        <w:r>
          <w:tab/>
        </w:r>
        <w:r>
          <w:fldChar w:fldCharType="begin"/>
        </w:r>
        <w:r>
          <w:instrText xml:space="preserve"> PAGEREF _Toc25132 \h </w:instrText>
        </w:r>
        <w:r>
          <w:fldChar w:fldCharType="separate"/>
        </w:r>
        <w:r>
          <w:t>62</w:t>
        </w:r>
        <w:r>
          <w:fldChar w:fldCharType="end"/>
        </w:r>
      </w:hyperlink>
    </w:p>
    <w:p>
      <w:pPr>
        <w:pStyle w:val="TOC2"/>
        <w:tabs>
          <w:tab w:val="right" w:leader="dot" w:pos="8306"/>
        </w:tabs>
      </w:pPr>
      <w:hyperlink w:anchor="_Toc14819" w:history="1">
        <w:r>
          <w:rPr>
            <w:rFonts w:ascii="仿宋" w:eastAsia="仿宋" w:hAnsi="仿宋" w:cs="仿宋" w:hint="eastAsia"/>
            <w:lang w:eastAsia="zh-CN"/>
          </w:rPr>
          <w:t>(一)、质量目标与方针</w:t>
        </w:r>
        <w:r>
          <w:tab/>
        </w:r>
        <w:r>
          <w:fldChar w:fldCharType="begin"/>
        </w:r>
        <w:r>
          <w:instrText xml:space="preserve"> PAGEREF _Toc14819 \h </w:instrText>
        </w:r>
        <w:r>
          <w:fldChar w:fldCharType="separate"/>
        </w:r>
        <w:r>
          <w:t>62</w:t>
        </w:r>
        <w:r>
          <w:fldChar w:fldCharType="end"/>
        </w:r>
      </w:hyperlink>
    </w:p>
    <w:p>
      <w:pPr>
        <w:pStyle w:val="TOC2"/>
        <w:tabs>
          <w:tab w:val="right" w:leader="dot" w:pos="8306"/>
        </w:tabs>
      </w:pPr>
      <w:hyperlink w:anchor="_Toc8563" w:history="1">
        <w:r>
          <w:rPr>
            <w:rFonts w:ascii="仿宋" w:eastAsia="仿宋" w:hAnsi="仿宋" w:cs="仿宋" w:hint="eastAsia"/>
            <w:lang w:eastAsia="zh-CN"/>
          </w:rPr>
          <w:t>(二)、质量管理责任</w:t>
        </w:r>
        <w:r>
          <w:tab/>
        </w:r>
        <w:r>
          <w:fldChar w:fldCharType="begin"/>
        </w:r>
        <w:r>
          <w:instrText xml:space="preserve"> PAGEREF _Toc8563 \h </w:instrText>
        </w:r>
        <w:r>
          <w:fldChar w:fldCharType="separate"/>
        </w:r>
        <w:r>
          <w:t>63</w:t>
        </w:r>
        <w:r>
          <w:fldChar w:fldCharType="end"/>
        </w:r>
      </w:hyperlink>
    </w:p>
    <w:p>
      <w:pPr>
        <w:pStyle w:val="TOC2"/>
        <w:tabs>
          <w:tab w:val="right" w:leader="dot" w:pos="8306"/>
        </w:tabs>
      </w:pPr>
      <w:hyperlink w:anchor="_Toc918" w:history="1">
        <w:r>
          <w:rPr>
            <w:rFonts w:ascii="仿宋" w:eastAsia="仿宋" w:hAnsi="仿宋" w:cs="仿宋" w:hint="eastAsia"/>
            <w:lang w:eastAsia="zh-CN"/>
          </w:rPr>
          <w:t>(三)、质量管理体系文件</w:t>
        </w:r>
        <w:r>
          <w:tab/>
        </w:r>
        <w:r>
          <w:fldChar w:fldCharType="begin"/>
        </w:r>
        <w:r>
          <w:instrText xml:space="preserve"> PAGEREF _Toc918 \h </w:instrText>
        </w:r>
        <w:r>
          <w:fldChar w:fldCharType="separate"/>
        </w:r>
        <w:r>
          <w:t>64</w:t>
        </w:r>
        <w:r>
          <w:fldChar w:fldCharType="end"/>
        </w:r>
      </w:hyperlink>
    </w:p>
    <w:p>
      <w:pPr>
        <w:pStyle w:val="TOC2"/>
        <w:tabs>
          <w:tab w:val="right" w:leader="dot" w:pos="8306"/>
        </w:tabs>
      </w:pPr>
      <w:hyperlink w:anchor="_Toc9191" w:history="1">
        <w:r>
          <w:rPr>
            <w:rFonts w:ascii="仿宋" w:eastAsia="仿宋" w:hAnsi="仿宋" w:cs="仿宋" w:hint="eastAsia"/>
            <w:lang w:eastAsia="zh-CN"/>
          </w:rPr>
          <w:t>(四)、质量培训与教育</w:t>
        </w:r>
        <w:r>
          <w:tab/>
        </w:r>
        <w:r>
          <w:fldChar w:fldCharType="begin"/>
        </w:r>
        <w:r>
          <w:instrText xml:space="preserve"> PAGEREF _Toc9191 \h </w:instrText>
        </w:r>
        <w:r>
          <w:fldChar w:fldCharType="separate"/>
        </w:r>
        <w:r>
          <w:t>66</w:t>
        </w:r>
        <w:r>
          <w:fldChar w:fldCharType="end"/>
        </w:r>
      </w:hyperlink>
    </w:p>
    <w:p>
      <w:pPr>
        <w:pStyle w:val="TOC2"/>
        <w:tabs>
          <w:tab w:val="right" w:leader="dot" w:pos="8306"/>
        </w:tabs>
      </w:pPr>
      <w:hyperlink w:anchor="_Toc31545" w:history="1">
        <w:r>
          <w:rPr>
            <w:rFonts w:ascii="仿宋" w:eastAsia="仿宋" w:hAnsi="仿宋" w:cs="仿宋" w:hint="eastAsia"/>
            <w:lang w:eastAsia="zh-CN"/>
          </w:rPr>
          <w:t>(五)、质量审核与评价</w:t>
        </w:r>
        <w:r>
          <w:tab/>
        </w:r>
        <w:r>
          <w:fldChar w:fldCharType="begin"/>
        </w:r>
        <w:r>
          <w:instrText xml:space="preserve"> PAGEREF _Toc31545 \h </w:instrText>
        </w:r>
        <w:r>
          <w:fldChar w:fldCharType="separate"/>
        </w:r>
        <w:r>
          <w:t>68</w:t>
        </w:r>
        <w:r>
          <w:fldChar w:fldCharType="end"/>
        </w:r>
      </w:hyperlink>
    </w:p>
    <w:p>
      <w:pPr>
        <w:pStyle w:val="TOC2"/>
        <w:tabs>
          <w:tab w:val="right" w:leader="dot" w:pos="8306"/>
        </w:tabs>
      </w:pPr>
      <w:hyperlink w:anchor="_Toc26399" w:history="1">
        <w:r>
          <w:rPr>
            <w:rFonts w:ascii="仿宋" w:eastAsia="仿宋" w:hAnsi="仿宋" w:cs="仿宋" w:hint="eastAsia"/>
            <w:lang w:eastAsia="zh-CN"/>
          </w:rPr>
          <w:t>(六)、不符合与纠正措施</w:t>
        </w:r>
        <w:r>
          <w:tab/>
        </w:r>
        <w:r>
          <w:fldChar w:fldCharType="begin"/>
        </w:r>
        <w:r>
          <w:instrText xml:space="preserve"> PAGEREF _Toc26399 \h </w:instrText>
        </w:r>
        <w:r>
          <w:fldChar w:fldCharType="separate"/>
        </w:r>
        <w:r>
          <w:t>69</w:t>
        </w:r>
        <w:r>
          <w:fldChar w:fldCharType="end"/>
        </w:r>
      </w:hyperlink>
    </w:p>
    <w:p>
      <w:pPr>
        <w:pStyle w:val="TOC1"/>
        <w:tabs>
          <w:tab w:val="right" w:leader="dot" w:pos="8306"/>
        </w:tabs>
      </w:pPr>
      <w:hyperlink w:anchor="_Toc15820" w:history="1">
        <w:r>
          <w:rPr>
            <w:rFonts w:ascii="仿宋" w:eastAsia="仿宋" w:hAnsi="仿宋" w:cs="仿宋" w:hint="eastAsia"/>
            <w:lang w:eastAsia="zh-CN"/>
          </w:rPr>
          <w:t>十五、利益相关者分析与沟通计划</w:t>
        </w:r>
        <w:r>
          <w:tab/>
        </w:r>
        <w:r>
          <w:fldChar w:fldCharType="begin"/>
        </w:r>
        <w:r>
          <w:instrText xml:space="preserve"> PAGEREF _Toc15820 \h </w:instrText>
        </w:r>
        <w:r>
          <w:fldChar w:fldCharType="separate"/>
        </w:r>
        <w:r>
          <w:t>70</w:t>
        </w:r>
        <w:r>
          <w:fldChar w:fldCharType="end"/>
        </w:r>
      </w:hyperlink>
    </w:p>
    <w:p>
      <w:pPr>
        <w:pStyle w:val="TOC2"/>
        <w:tabs>
          <w:tab w:val="right" w:leader="dot" w:pos="8306"/>
        </w:tabs>
      </w:pPr>
      <w:hyperlink w:anchor="_Toc23256" w:history="1">
        <w:r>
          <w:rPr>
            <w:rFonts w:ascii="仿宋" w:eastAsia="仿宋" w:hAnsi="仿宋" w:cs="仿宋" w:hint="eastAsia"/>
            <w:lang w:eastAsia="zh-CN"/>
          </w:rPr>
          <w:t>(一)、利益相关者分析</w:t>
        </w:r>
        <w:r>
          <w:tab/>
        </w:r>
        <w:r>
          <w:fldChar w:fldCharType="begin"/>
        </w:r>
        <w:r>
          <w:instrText xml:space="preserve"> PAGEREF _Toc23256 \h </w:instrText>
        </w:r>
        <w:r>
          <w:fldChar w:fldCharType="separate"/>
        </w:r>
        <w:r>
          <w:t>70</w:t>
        </w:r>
        <w:r>
          <w:fldChar w:fldCharType="end"/>
        </w:r>
      </w:hyperlink>
    </w:p>
    <w:p>
      <w:pPr>
        <w:pStyle w:val="TOC2"/>
        <w:tabs>
          <w:tab w:val="right" w:leader="dot" w:pos="8306"/>
        </w:tabs>
      </w:pPr>
      <w:hyperlink w:anchor="_Toc4069" w:history="1">
        <w:r>
          <w:rPr>
            <w:rFonts w:ascii="仿宋" w:eastAsia="仿宋" w:hAnsi="仿宋" w:cs="仿宋" w:hint="eastAsia"/>
            <w:lang w:eastAsia="zh-CN"/>
          </w:rPr>
          <w:t>(二)、沟通计划</w:t>
        </w:r>
        <w:r>
          <w:tab/>
        </w:r>
        <w:r>
          <w:fldChar w:fldCharType="begin"/>
        </w:r>
        <w:r>
          <w:instrText xml:space="preserve"> PAGEREF _Toc4069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016"/>
      <w:r>
        <w:rPr>
          <w:rFonts w:ascii="仿宋" w:eastAsia="仿宋" w:hAnsi="仿宋" w:cs="仿宋" w:hint="eastAsia"/>
          <w:lang w:eastAsia="zh-CN"/>
        </w:rPr>
        <w:t>(一)、体育专用地坪漆行业分析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行业一直以来都是市场的关注焦点。行业内的发展趋势、竞争态势以及潜在机会都对体育专用地坪漆项目的推进产生深远的影响。通过深入研究行业的整体概貌，我们将更好地理解行业的核心特征，为体育专用地坪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行业，技术一直是推动创新和发展的关键因素。我们将对当前技术趋势进行详尽分析，包括但不限于人工智能、大数据应用、先进制造技术等。这有助于体育专用地坪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育专用地坪漆项目成功的基础。我们将对主要竞争对手进行深入研究，包括其市场份额、产品特点、市场定位等。通过全面了解竞争对手的优势和劣势，体育专用地坪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416"/>
      <w:r>
        <w:rPr>
          <w:rFonts w:ascii="仿宋" w:eastAsia="仿宋" w:hAnsi="仿宋" w:cs="仿宋" w:hint="eastAsia"/>
          <w:sz w:val="28"/>
          <w:lang w:eastAsia="zh-CN"/>
        </w:rPr>
        <w:t>(二)、体育专用地坪漆市场分析预测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育专用地坪漆市场未来的增长趋势。这包括市场的整体规模、各细分领域的发展趋势等。体育专用地坪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育专用地坪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体育专用地坪漆项目实施过程中需要充分考虑的因素。我们将对市场风险进行全面评估，包括但不限于政策法规风险、市场竞争风险、技术变革风险等。通过对潜在风险的深入分析，体育专用地坪漆项目可以制定相应的风险缓解策略，降低不确定性对体育专用地坪漆项目的影响。</w:t>
      </w:r>
    </w:p>
    <w:p>
      <w:pPr>
        <w:pStyle w:val="Heading1"/>
        <w:ind w:firstLine="560" w:firstLineChars="200"/>
        <w:rPr>
          <w:rFonts w:ascii="仿宋" w:eastAsia="仿宋" w:hAnsi="仿宋" w:cs="仿宋" w:hint="eastAsia"/>
          <w:sz w:val="28"/>
          <w:lang w:eastAsia="zh-CN"/>
        </w:rPr>
      </w:pPr>
      <w:bookmarkStart w:id="5" w:name="_Toc6095"/>
      <w:r>
        <w:rPr>
          <w:rFonts w:ascii="仿宋" w:eastAsia="仿宋" w:hAnsi="仿宋" w:cs="仿宋" w:hint="eastAsia"/>
          <w:sz w:val="28"/>
          <w:lang w:eastAsia="zh-CN"/>
        </w:rPr>
        <w:t>二、体育专用地坪漆项目土建工程</w:t>
      </w:r>
      <w:bookmarkEnd w:id="5"/>
    </w:p>
    <w:p>
      <w:pPr>
        <w:pStyle w:val="Heading2"/>
        <w:rPr>
          <w:rFonts w:ascii="仿宋" w:eastAsia="仿宋" w:hAnsi="仿宋" w:cs="仿宋" w:hint="eastAsia"/>
          <w:lang w:eastAsia="zh-CN"/>
        </w:rPr>
      </w:pPr>
      <w:bookmarkStart w:id="6" w:name="_Toc2145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在体育专用地坪漆项目的建筑工程设计中，我们将秉承一系列重要的设计原则，以确保体育专用地坪漆项目建筑在功能、美观、可持续性等方面达到最佳效果。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首要原则是确保建筑的功能性得到最大化的发挥。我们将充分理解体育专用地坪漆项目的实际需求，合理布局各个功能区域，保证建筑在满足业务需求的同时，提供高效的工作环境。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在建筑设计中，我们将综合考虑建设和运营成本。通过精细的经济效益分析，确保设计方案在高效利用资源的同时，对体育专用地坪漆项目的长期盈利能力有积极的贡献。</w:t>
      </w:r>
    </w:p>
    <w:p>
      <w:pPr>
        <w:pStyle w:val="Heading2"/>
        <w:ind w:firstLine="560" w:firstLineChars="200"/>
        <w:rPr>
          <w:rFonts w:ascii="仿宋" w:eastAsia="仿宋" w:hAnsi="仿宋" w:cs="仿宋" w:hint="eastAsia"/>
          <w:sz w:val="28"/>
          <w:lang w:eastAsia="zh-CN"/>
        </w:rPr>
      </w:pPr>
      <w:bookmarkStart w:id="7" w:name="_Toc1541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的土建工程设计中，我们将精准设定设计年限，结合体育专用地坪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育专用地坪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94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体育专用地坪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育专用地坪漆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育专用地坪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47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本期工程体育专用地坪漆项目预计总建筑面积XXX平方米，其中：计容建筑面积XXX平方米，计划建筑工程投资XX万元，占体育专用地坪漆项目总投资的XX%。</w:t>
      </w:r>
    </w:p>
    <w:p>
      <w:pPr>
        <w:pStyle w:val="Heading1"/>
        <w:ind w:firstLine="560" w:firstLineChars="200"/>
        <w:rPr>
          <w:rFonts w:ascii="仿宋" w:eastAsia="仿宋" w:hAnsi="仿宋" w:cs="仿宋" w:hint="eastAsia"/>
          <w:sz w:val="28"/>
          <w:lang w:eastAsia="zh-CN"/>
        </w:rPr>
      </w:pPr>
      <w:bookmarkStart w:id="10" w:name="_Toc17156"/>
      <w:r>
        <w:rPr>
          <w:rFonts w:ascii="仿宋" w:eastAsia="仿宋" w:hAnsi="仿宋" w:cs="仿宋" w:hint="eastAsia"/>
          <w:sz w:val="28"/>
          <w:lang w:eastAsia="zh-CN"/>
        </w:rPr>
        <w:t>三、体育专用地坪漆项目建设单位说明</w:t>
      </w:r>
      <w:bookmarkEnd w:id="10"/>
    </w:p>
    <w:p>
      <w:pPr>
        <w:pStyle w:val="Heading2"/>
        <w:rPr>
          <w:rFonts w:ascii="仿宋" w:eastAsia="仿宋" w:hAnsi="仿宋" w:cs="仿宋" w:hint="eastAsia"/>
          <w:lang w:eastAsia="zh-CN"/>
        </w:rPr>
      </w:pPr>
      <w:bookmarkStart w:id="11" w:name="_Toc18221"/>
      <w:r>
        <w:rPr>
          <w:rFonts w:ascii="仿宋" w:eastAsia="仿宋" w:hAnsi="仿宋" w:cs="仿宋" w:hint="eastAsia"/>
          <w:lang w:eastAsia="zh-CN"/>
        </w:rPr>
        <w:t>(一)、体育专用地坪漆项目承办单位基本情况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545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育专用地坪漆项目承办单位的XXXX，我们着眼于实现可持续的经济效益。通过技术创新和解决方案的提供，公司预计在体育专用地坪漆项目执行期间将获得可观的收入增长。这一收入来源主要包括体育专用地坪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同时，我们注重成本控制和效率提升，以确保体育专用地坪漆项目的可持续盈利。透过精细的管理和资源优化，公司期望实现体育专用地坪漆项目利润最大化。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育专用地坪漆项目实施进行全面的投资评估，包括体育专用地坪漆项目启动阶段的资金投入和后续运营成本。通过对体育专用地坪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体育专用地坪漆项目实施过程中具备足够的资金流动性，公司将进行详尽的现金流分析。这包括资金需求的合理预测、体育专用地坪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3315"/>
      <w:r>
        <w:rPr>
          <w:rFonts w:ascii="仿宋" w:eastAsia="仿宋" w:hAnsi="仿宋" w:cs="仿宋" w:hint="eastAsia"/>
          <w:sz w:val="28"/>
          <w:lang w:eastAsia="zh-CN"/>
        </w:rPr>
        <w:t>四、体育专用地坪漆项目危机管理</w:t>
      </w:r>
      <w:bookmarkEnd w:id="13"/>
    </w:p>
    <w:p>
      <w:pPr>
        <w:pStyle w:val="Heading2"/>
        <w:rPr>
          <w:rFonts w:ascii="仿宋" w:eastAsia="仿宋" w:hAnsi="仿宋" w:cs="仿宋" w:hint="eastAsia"/>
          <w:lang w:eastAsia="zh-CN"/>
        </w:rPr>
      </w:pPr>
      <w:bookmarkStart w:id="14" w:name="_Toc2940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危机管理中，危机预警与识别是确保体育专用地坪漆项目稳健运行的核心步骤。通过建立全面的监测机制，体育专用地坪漆项目团队旨在及时发现和理解潜在的风险和危机因素，以便采取及时的预防和应对措施，确保体育专用地坪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育专用地坪漆项目团队全面分析了整个体育专用地坪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育专用地坪漆项目团队着重于明确定义体育专用地坪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育专用地坪漆项目进展的持续监控，团队能够及时发现潜在问题并作出迅速反应。体育专用地坪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在这一阶段，团队的专业素养和反应速度将发挥至关重要的作用，以确保潜在危机能够在初期得到有效的处理，最大程度地减轻负面影响。通过危机预警与识别，体育专用地坪漆项目得以更有序、可控地推进。</w:t>
      </w:r>
    </w:p>
    <w:p>
      <w:pPr>
        <w:pStyle w:val="Heading2"/>
        <w:ind w:firstLine="560" w:firstLineChars="200"/>
        <w:rPr>
          <w:rFonts w:ascii="仿宋" w:eastAsia="仿宋" w:hAnsi="仿宋" w:cs="仿宋" w:hint="eastAsia"/>
          <w:sz w:val="28"/>
          <w:lang w:eastAsia="zh-CN"/>
        </w:rPr>
      </w:pPr>
      <w:bookmarkStart w:id="15" w:name="_Toc64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在危机发生时，体育专用地坪漆项目团队立即行动，成立了应急小组。该小组的任务是迅速制定并实施紧急应对措施，以最小化潜在损失。以下是采取的主要措施：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暂停体育专用地坪漆项目进度：为遏制危机蔓延，体育专用地坪漆项目暂时停止进行，以便全面评估当前状况。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资源重新分配：重新评估体育专用地坪漆项目资源的分配，确保最大限度地减小损失。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实时沟通：与关键利益相关者建立实时沟通机制，向他们传递体育专用地坪漆项目危机的实际状况，保障体育专用地坪漆项目核心利益。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在紧急应对的同时，体育专用地坪漆项目团队强调了团队协作和有效沟通的重要性。以下是团队协作的关键举措：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信息共享机制：建立了信息共享平台，确保团队成员能够及时获取体育专用地坪漆项目危机的实时信息。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领导者沟通：体育专用地坪漆项目领导者通过定期会议和即时沟通工具，指导团队应对危机，保持团队稳定运行。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随着危机得到初步控制，体育专用地坪漆项目团队转向制定恢复计划，以确保体育专用地坪漆项目能够从中迅速恢复。主要恢复计划包括：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修复受损的进度计划：重新评估体育专用地坪漆项目进度，制定修复计划，确保体育专用地坪漆项目尽快回归正常进程。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重新调整资源分配：优化资源分配，确保体育专用地坪漆项目在有限资源下高效运转。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风险管理机制加强：对体育专用地坪漆项目风险进行全面评估，制定更强化的风险管理策略，以预防未来可能的危机。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0185"/>
      <w:r>
        <w:rPr>
          <w:rFonts w:ascii="仿宋" w:eastAsia="仿宋" w:hAnsi="仿宋" w:cs="仿宋" w:hint="eastAsia"/>
          <w:sz w:val="28"/>
          <w:lang w:eastAsia="zh-CN"/>
        </w:rPr>
        <w:t>五、体育专用地坪漆项目建设背景及必要性分析</w:t>
      </w:r>
      <w:bookmarkEnd w:id="16"/>
    </w:p>
    <w:p>
      <w:pPr>
        <w:pStyle w:val="Heading2"/>
        <w:rPr>
          <w:rFonts w:ascii="仿宋" w:eastAsia="仿宋" w:hAnsi="仿宋" w:cs="仿宋" w:hint="eastAsia"/>
          <w:lang w:eastAsia="zh-CN"/>
        </w:rPr>
      </w:pPr>
      <w:bookmarkStart w:id="17" w:name="_Toc24561"/>
      <w:r>
        <w:rPr>
          <w:rFonts w:ascii="仿宋" w:eastAsia="仿宋" w:hAnsi="仿宋" w:cs="仿宋" w:hint="eastAsia"/>
          <w:lang w:eastAsia="zh-CN"/>
        </w:rPr>
        <w:t>(一)、体育专用地坪漆项目背景分析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体育专用地坪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育专用地坪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育专用地坪漆项目在这个潮流中的定位。同时，我们将关注行业内涌现的新兴机遇，以便体育专用地坪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育专用地坪漆项目提供了强大的发展动力。我们将聚焦于行业内最新的技术发展趋势，包括但不限于人工智能、大数据分析、物联网等领域。通过深度的技术研究，我们将确保体育专用地坪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育专用地坪漆项目发展的源泉。我们将投入更多的精力对市场需求进行深入剖析，超越表面的需求，深入挖掘潜在的市场痛点和机遇。通过对市场需求的细致了解，体育专用地坪漆项目将更有针对性地设计解决方案，满足市场的多样化需求，从而更好地促进体育专用地坪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体育专用地坪漆项目战略至关重要。我们将对竞争态势进行更为深入的分析，包括但不限于市场份额、产品特点、客户满意度等多个维度。通过深度的竞争分析，体育专用地坪漆项目将能够更准确地把握市场脉搏，制定具有竞争力的体育专用地坪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育专用地坪漆项目的发展具有直接的影响。我们将进行更为全面的法规和政策分析，了解行业发展中的潜在法律风险和合规挑战。通过充分了解和遵守相关法规，体育专用地坪漆项目将确保在法律框架内合法合规运营，为体育专用地坪漆项目的稳健发展提供有力支持。</w:t>
      </w:r>
    </w:p>
    <w:p>
      <w:pPr>
        <w:pStyle w:val="Heading2"/>
        <w:ind w:firstLine="560" w:firstLineChars="200"/>
        <w:rPr>
          <w:rFonts w:ascii="仿宋" w:eastAsia="仿宋" w:hAnsi="仿宋" w:cs="仿宋" w:hint="eastAsia"/>
          <w:sz w:val="28"/>
          <w:lang w:eastAsia="zh-CN"/>
        </w:rPr>
      </w:pPr>
      <w:bookmarkStart w:id="18" w:name="_Toc5009"/>
      <w:r>
        <w:rPr>
          <w:rFonts w:ascii="仿宋" w:eastAsia="仿宋" w:hAnsi="仿宋" w:cs="仿宋" w:hint="eastAsia"/>
          <w:sz w:val="28"/>
          <w:lang w:eastAsia="zh-CN"/>
        </w:rPr>
        <w:t>(二)、体育专用地坪漆项目建设必要性分析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建设的迫切性源于对行业发展趋势的深刻洞察。我们正处于一个行业变革的时代，科技创新、数字化转型成为企业发展的关键动力。体育专用地坪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建设不仅仅是为了跟上潮流，更是为了通过技术创新推动企业的持续发展。通过引入先进的技术和解决方案，体育专用地坪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育专用地坪漆项目的建设成为必然选择，通过提高产品质量、拓展服务领域，从而在竞争中获得更多的机会。体育专用地坪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育专用地坪漆项目建设的必要性体现在对客户需求更精准的满足。通过体育专用地坪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建设的背后是对企业持续创新的追求。只有通过不断创新，企业才能在竞争中立于不败之地。体育专用地坪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0292"/>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3504"/>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体育专用地坪漆项目的主要产品是XXXX，预计年产值为XXX万元。这一产品在市场中占据着重要的地位，其广泛的应用范围使得该体育专用地坪漆项目的市场前景非常广阔。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育专用地坪漆项目的xxx产品作为重要的原材料之一，将在多个领域发挥关键作用。其在建筑、交通、能源等方面的广泛应用将为整个产业链提供强大的支持，形成产业协同效应。体育专用地坪漆项目的年产值XXX万XXX万XXX万万元不仅反映了其在市场上的巨大潜力，更预示着它对国民经济的积极贡献。这种关联度高、涉及面广的产业关系，使得该体育专用地坪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7487"/>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总征地面积为XXXX平方米，相当于约XX.XX亩，其中净用地面积为XXXX平方米，红线范围内相当于约XX.XX亩。这一用地规模充分考虑了体育专用地坪漆项目的建设需求，保障了体育专用地坪漆项目在合适的空间内得以充分发展。体育专用地坪漆项目规划的总建筑面积为XXXX平方米，其中主体工程建设占XXXX平方米，计容建筑面积达XXXX平方米。预计建筑工程的投资将达到XXXX万元，为体育专用地坪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https://d.book118.com/365322304113011100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46F4C"/>
    <w:rsid w:val="36A46F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32230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2024-01-15T23:54:00Z</dcterms:created>
  <dcterms:modified xsi:type="dcterms:W3CDTF">2024-01-15T23:55:03Z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2DA6C4659BA0480A86E13E7B31D7492E_11</vt:lpwstr>
  </property>
  <property fmtid="{D5CDD505-2E9C-101B-9397-08002B2CF9AE}" pid="3" name="KSOProductBuildVer">
    <vt:lpwstr>2052-12.1.0.16120</vt:lpwstr>
  </property>
</Properties>
</file>