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pPr>
      <w:r>
        <w:rPr>
          <w:color w:val="70AD47"/>
          <w:spacing w:val="-1"/>
        </w:rPr>
        <w:t>结肠癌早期诊断的遗传学基础</w:t>
      </w:r>
    </w:p>
    <w:p>
      <w:pPr>
        <w:pStyle w:val="BodyText"/>
        <w:ind w:left="0"/>
        <w:rPr>
          <w:rFonts w:ascii="Microsoft JhengHei"/>
          <w:b/>
          <w:sz w:val="20"/>
        </w:rPr>
      </w:pPr>
    </w:p>
    <w:p>
      <w:pPr>
        <w:pStyle w:val="BodyText"/>
        <w:ind w:left="0"/>
        <w:rPr>
          <w:rFonts w:ascii="Microsoft JhengHei"/>
          <w:b/>
          <w:sz w:val="20"/>
        </w:rPr>
      </w:pPr>
    </w:p>
    <w:p>
      <w:pPr>
        <w:pStyle w:val="BodyText"/>
        <w:ind w:left="0"/>
        <w:rPr>
          <w:rFonts w:ascii="Microsoft JhengHei"/>
          <w:b/>
          <w:sz w:val="20"/>
        </w:rPr>
      </w:pPr>
    </w:p>
    <w:p>
      <w:pPr>
        <w:pStyle w:val="BodyText"/>
        <w:ind w:left="0"/>
        <w:rPr>
          <w:rFonts w:ascii="Microsoft JhengHei"/>
          <w:b/>
          <w:sz w:val="20"/>
        </w:rPr>
      </w:pPr>
    </w:p>
    <w:p>
      <w:pPr>
        <w:pStyle w:val="BodyText"/>
        <w:spacing w:before="11"/>
        <w:ind w:left="0"/>
        <w:rPr>
          <w:rFonts w:ascii="Microsoft JhengHei"/>
          <w:b/>
          <w:sz w:val="11"/>
        </w:rPr>
      </w:pPr>
      <w:r>
        <w:drawing>
          <wp:anchor distT="0" distB="0" distL="0" distR="0" simplePos="0" relativeHeight="251658240" behindDoc="0" locked="0" layoutInCell="1" allowOverlap="1">
            <wp:simplePos x="0" y="0"/>
            <wp:positionH relativeFrom="page">
              <wp:posOffset>3313176</wp:posOffset>
            </wp:positionH>
            <wp:positionV relativeFrom="paragraph">
              <wp:posOffset>151156</wp:posOffset>
            </wp:positionV>
            <wp:extent cx="935516" cy="39814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935516" cy="398145"/>
                    </a:xfrm>
                    <a:prstGeom prst="rect">
                      <a:avLst/>
                    </a:prstGeom>
                  </pic:spPr>
                </pic:pic>
              </a:graphicData>
            </a:graphic>
          </wp:anchor>
        </w:drawing>
      </w:r>
    </w:p>
    <w:p>
      <w:pPr>
        <w:pStyle w:val="BodyText"/>
        <w:spacing w:before="1"/>
        <w:ind w:left="0"/>
        <w:rPr>
          <w:rFonts w:ascii="Microsoft JhengHei"/>
          <w:b/>
          <w:sz w:val="14"/>
        </w:rPr>
      </w:pPr>
    </w:p>
    <w:sdt>
      <w:sdtPr>
        <w:id w:val="173796158"/>
        <w:docPartObj>
          <w:docPartGallery w:val="Table of Contents"/>
          <w:docPartUnique/>
        </w:docPartObj>
      </w:sdtPr>
      <w:sdtContent>
        <w:p>
          <w:pPr>
            <w:pStyle w:val="TOC1"/>
            <w:tabs>
              <w:tab w:val="left" w:pos="1589"/>
              <w:tab w:val="right" w:leader="dot" w:pos="8415"/>
            </w:tabs>
            <w:spacing w:before="77"/>
            <w:rPr>
              <w:rFonts w:ascii="Times New Roman" w:eastAsia="Times New Roman"/>
            </w:rPr>
          </w:pPr>
          <w:r>
            <w:fldChar w:fldCharType="begin"/>
          </w:r>
          <w:r>
            <w:instrText xml:space="preserve">TOC \o "1-1" \h \z \u </w:instrText>
          </w:r>
          <w:r>
            <w:fldChar w:fldCharType="separate"/>
          </w:r>
          <w:hyperlink w:anchor="_bookmark0" w:history="1">
            <w:r>
              <w:t>第一部</w:t>
            </w:r>
            <w:r>
              <w:rPr>
                <w:spacing w:val="-10"/>
              </w:rPr>
              <w:t>分</w:t>
            </w:r>
            <w:r>
              <w:tab/>
              <w:t>结肠癌早期诊断重要</w:t>
            </w:r>
            <w:r>
              <w:rPr>
                <w:spacing w:val="-10"/>
              </w:rPr>
              <w:t>性</w:t>
            </w:r>
            <w:r>
              <w:rPr>
                <w:rFonts w:ascii="Times New Roman" w:eastAsia="Times New Roman"/>
              </w:rPr>
              <w:tab/>
            </w:r>
            <w:r>
              <w:rPr>
                <w:rFonts w:ascii="Times New Roman" w:eastAsia="Times New Roman"/>
                <w:spacing w:val="-10"/>
              </w:rPr>
              <w:t>2</w:t>
            </w:r>
          </w:hyperlink>
        </w:p>
        <w:p>
          <w:pPr>
            <w:pStyle w:val="TOC1"/>
            <w:tabs>
              <w:tab w:val="left" w:pos="1589"/>
              <w:tab w:val="right" w:leader="dot" w:pos="8415"/>
            </w:tabs>
            <w:rPr>
              <w:rFonts w:ascii="Times New Roman" w:eastAsia="Times New Roman"/>
            </w:rPr>
          </w:pPr>
          <w:hyperlink w:anchor="_bookmark1" w:history="1">
            <w:r>
              <w:t>第二部</w:t>
            </w:r>
            <w:r>
              <w:rPr>
                <w:spacing w:val="-10"/>
              </w:rPr>
              <w:t>分</w:t>
            </w:r>
            <w:r>
              <w:tab/>
              <w:t>遗传标记物与结肠癌风</w:t>
            </w:r>
            <w:r>
              <w:rPr>
                <w:spacing w:val="-10"/>
              </w:rPr>
              <w:t>险</w:t>
            </w:r>
            <w:r>
              <w:rPr>
                <w:rFonts w:ascii="Times New Roman" w:eastAsia="Times New Roman"/>
              </w:rPr>
              <w:tab/>
            </w:r>
            <w:r>
              <w:rPr>
                <w:rFonts w:ascii="Times New Roman" w:eastAsia="Times New Roman"/>
                <w:spacing w:val="-10"/>
              </w:rPr>
              <w:t>3</w:t>
            </w:r>
          </w:hyperlink>
        </w:p>
        <w:p>
          <w:pPr>
            <w:pStyle w:val="TOC1"/>
            <w:tabs>
              <w:tab w:val="left" w:pos="1589"/>
              <w:tab w:val="right" w:leader="dot" w:pos="8415"/>
            </w:tabs>
            <w:rPr>
              <w:rFonts w:ascii="Times New Roman" w:eastAsia="Times New Roman"/>
            </w:rPr>
          </w:pPr>
          <w:hyperlink w:anchor="_TOC_250005" w:history="1">
            <w:r>
              <w:t>第三部</w:t>
            </w:r>
            <w:r>
              <w:rPr>
                <w:spacing w:val="-10"/>
              </w:rPr>
              <w:t>分</w:t>
            </w:r>
            <w:r>
              <w:tab/>
              <w:t>遗传变异与结肠癌关联</w:t>
            </w:r>
            <w:r>
              <w:rPr>
                <w:spacing w:val="-10"/>
              </w:rPr>
              <w:t>性</w:t>
            </w:r>
            <w:r>
              <w:rPr>
                <w:rFonts w:ascii="Times New Roman" w:eastAsia="Times New Roman"/>
              </w:rPr>
              <w:tab/>
            </w:r>
            <w:r>
              <w:rPr>
                <w:rFonts w:ascii="Times New Roman" w:eastAsia="Times New Roman"/>
                <w:spacing w:val="-10"/>
              </w:rPr>
              <w:t>7</w:t>
            </w:r>
          </w:hyperlink>
        </w:p>
        <w:p>
          <w:pPr>
            <w:pStyle w:val="TOC1"/>
            <w:tabs>
              <w:tab w:val="left" w:pos="1589"/>
              <w:tab w:val="right" w:leader="dot" w:pos="8415"/>
            </w:tabs>
            <w:rPr>
              <w:rFonts w:ascii="Times New Roman" w:eastAsia="Times New Roman"/>
            </w:rPr>
          </w:pPr>
          <w:hyperlink w:anchor="_TOC_250004" w:history="1">
            <w:r>
              <w:t>第四部</w:t>
            </w:r>
            <w:r>
              <w:rPr>
                <w:spacing w:val="-10"/>
              </w:rPr>
              <w:t>分</w:t>
            </w:r>
            <w:r>
              <w:tab/>
              <w:t>基因检测在早期诊断中的应</w:t>
            </w:r>
            <w:r>
              <w:rPr>
                <w:spacing w:val="-10"/>
              </w:rPr>
              <w:t>用</w:t>
            </w:r>
            <w:r>
              <w:rPr>
                <w:rFonts w:ascii="Times New Roman" w:eastAsia="Times New Roman"/>
              </w:rPr>
              <w:tab/>
            </w:r>
            <w:r>
              <w:rPr>
                <w:rFonts w:ascii="Times New Roman" w:eastAsia="Times New Roman"/>
                <w:spacing w:val="-5"/>
              </w:rPr>
              <w:t>10</w:t>
            </w:r>
          </w:hyperlink>
        </w:p>
        <w:p>
          <w:pPr>
            <w:pStyle w:val="TOC1"/>
            <w:tabs>
              <w:tab w:val="left" w:pos="1589"/>
              <w:tab w:val="right" w:leader="dot" w:pos="8415"/>
            </w:tabs>
            <w:rPr>
              <w:rFonts w:ascii="Times New Roman" w:eastAsia="Times New Roman"/>
            </w:rPr>
          </w:pPr>
          <w:hyperlink w:anchor="_TOC_250003" w:history="1">
            <w:r>
              <w:t>第五部</w:t>
            </w:r>
            <w:r>
              <w:rPr>
                <w:spacing w:val="-10"/>
              </w:rPr>
              <w:t>分</w:t>
            </w:r>
            <w:r>
              <w:tab/>
              <w:t>遗传咨询在筛查中的作</w:t>
            </w:r>
            <w:r>
              <w:rPr>
                <w:spacing w:val="-10"/>
              </w:rPr>
              <w:t>用</w:t>
            </w:r>
            <w:r>
              <w:rPr>
                <w:rFonts w:ascii="Times New Roman" w:eastAsia="Times New Roman"/>
              </w:rPr>
              <w:tab/>
            </w:r>
            <w:r>
              <w:rPr>
                <w:rFonts w:ascii="Times New Roman" w:eastAsia="Times New Roman"/>
                <w:spacing w:val="-5"/>
              </w:rPr>
              <w:t>14</w:t>
            </w:r>
          </w:hyperlink>
        </w:p>
        <w:p>
          <w:pPr>
            <w:pStyle w:val="TOC1"/>
            <w:tabs>
              <w:tab w:val="left" w:pos="1589"/>
              <w:tab w:val="right" w:leader="dot" w:pos="8415"/>
            </w:tabs>
            <w:rPr>
              <w:rFonts w:ascii="Times New Roman" w:eastAsia="Times New Roman"/>
            </w:rPr>
          </w:pPr>
          <w:hyperlink w:anchor="_TOC_250002" w:history="1">
            <w:r>
              <w:t>第六部</w:t>
            </w:r>
            <w:r>
              <w:rPr>
                <w:spacing w:val="-10"/>
              </w:rPr>
              <w:t>分</w:t>
            </w:r>
            <w:r>
              <w:tab/>
              <w:t>分子生物学技术在诊断中的运</w:t>
            </w:r>
            <w:r>
              <w:rPr>
                <w:spacing w:val="-10"/>
              </w:rPr>
              <w:t>用</w:t>
            </w:r>
            <w:r>
              <w:rPr>
                <w:rFonts w:ascii="Times New Roman" w:eastAsia="Times New Roman"/>
              </w:rPr>
              <w:tab/>
            </w:r>
            <w:r>
              <w:rPr>
                <w:rFonts w:ascii="Times New Roman" w:eastAsia="Times New Roman"/>
                <w:spacing w:val="-5"/>
              </w:rPr>
              <w:t>17</w:t>
            </w:r>
          </w:hyperlink>
        </w:p>
        <w:p>
          <w:pPr>
            <w:pStyle w:val="TOC1"/>
            <w:tabs>
              <w:tab w:val="left" w:pos="1589"/>
              <w:tab w:val="right" w:leader="dot" w:pos="8415"/>
            </w:tabs>
            <w:spacing w:before="354"/>
            <w:rPr>
              <w:rFonts w:ascii="Times New Roman" w:eastAsia="Times New Roman"/>
            </w:rPr>
          </w:pPr>
          <w:hyperlink w:anchor="_TOC_250001" w:history="1">
            <w:r>
              <w:t>第七部</w:t>
            </w:r>
            <w:r>
              <w:rPr>
                <w:spacing w:val="-10"/>
              </w:rPr>
              <w:t>分</w:t>
            </w:r>
            <w:r>
              <w:tab/>
              <w:t>早期诊断对治疗策略的影</w:t>
            </w:r>
            <w:r>
              <w:rPr>
                <w:spacing w:val="-10"/>
              </w:rPr>
              <w:t>响</w:t>
            </w:r>
            <w:r>
              <w:rPr>
                <w:rFonts w:ascii="Times New Roman" w:eastAsia="Times New Roman"/>
              </w:rPr>
              <w:tab/>
            </w:r>
            <w:r>
              <w:rPr>
                <w:rFonts w:ascii="Times New Roman" w:eastAsia="Times New Roman"/>
                <w:spacing w:val="-5"/>
              </w:rPr>
              <w:t>20</w:t>
            </w:r>
          </w:hyperlink>
        </w:p>
        <w:p>
          <w:pPr>
            <w:pStyle w:val="TOC1"/>
            <w:tabs>
              <w:tab w:val="left" w:pos="1589"/>
              <w:tab w:val="right" w:leader="dot" w:pos="8415"/>
            </w:tabs>
            <w:rPr>
              <w:rFonts w:ascii="Times New Roman" w:eastAsia="Times New Roman"/>
            </w:rPr>
          </w:pPr>
          <w:hyperlink w:anchor="_TOC_250000" w:history="1">
            <w:r>
              <w:t>第八部</w:t>
            </w:r>
            <w:r>
              <w:rPr>
                <w:spacing w:val="-10"/>
              </w:rPr>
              <w:t>分</w:t>
            </w:r>
            <w:r>
              <w:tab/>
              <w:t>未来研究方向与挑</w:t>
            </w:r>
            <w:r>
              <w:rPr>
                <w:spacing w:val="-10"/>
              </w:rPr>
              <w:t>战</w:t>
            </w:r>
            <w:r>
              <w:rPr>
                <w:rFonts w:ascii="Times New Roman" w:eastAsia="Times New Roman"/>
              </w:rPr>
              <w:tab/>
            </w:r>
            <w:r>
              <w:rPr>
                <w:rFonts w:ascii="Times New Roman" w:eastAsia="Times New Roman"/>
                <w:spacing w:val="-5"/>
              </w:rPr>
              <w:t>23</w:t>
            </w:r>
          </w:hyperlink>
        </w:p>
        <w:p>
          <w:r>
            <w:fldChar w:fldCharType="end"/>
          </w:r>
        </w:p>
      </w:sdtContent>
    </w:sdt>
    <w:p>
      <w:pPr>
        <w:spacing w:after="0"/>
        <w:sectPr>
          <w:footerReference w:type="default" r:id="rId5"/>
          <w:type w:val="continuous"/>
          <w:pgSz w:w="11910" w:h="16840"/>
          <w:pgMar w:top="1480" w:right="1280" w:bottom="1380" w:left="1680" w:header="0" w:footer="1198"/>
          <w:pgNumType w:start="1"/>
          <w:cols w:space="708"/>
        </w:sectPr>
      </w:pPr>
    </w:p>
    <w:p>
      <w:pPr>
        <w:pStyle w:val="Heading1"/>
        <w:tabs>
          <w:tab w:val="left" w:pos="1725"/>
        </w:tabs>
        <w:spacing w:before="0" w:line="514" w:lineRule="exact"/>
      </w:pPr>
      <w:bookmarkStart w:id="0" w:name="_bookmark0"/>
      <w:bookmarkEnd w:id="0"/>
      <w:r>
        <w:t>第</w:t>
      </w:r>
      <w:r>
        <w:t>一</w:t>
      </w:r>
      <w:r>
        <w:t>部</w:t>
      </w:r>
      <w:r>
        <w:rPr>
          <w:spacing w:val="-10"/>
        </w:rPr>
        <w:t>分</w:t>
      </w:r>
      <w:r>
        <w:tab/>
        <w:t>结</w:t>
      </w:r>
      <w:r>
        <w:t>肠</w:t>
      </w:r>
      <w:r>
        <w:t>癌</w:t>
      </w:r>
      <w:r>
        <w:t>早</w:t>
      </w:r>
      <w:r>
        <w:t>期</w:t>
      </w:r>
      <w:r>
        <w:t>诊</w:t>
      </w:r>
      <w:r>
        <w:t>断</w:t>
      </w:r>
      <w:r>
        <w:t>重</w:t>
      </w:r>
      <w:r>
        <w:t>要</w:t>
      </w:r>
      <w:r>
        <w:rPr>
          <w:spacing w:val="-10"/>
        </w:rPr>
        <w:t>性</w:t>
      </w:r>
    </w:p>
    <w:p>
      <w:pPr>
        <w:pStyle w:val="BodyText"/>
        <w:spacing w:before="15" w:after="1"/>
        <w:ind w:left="0"/>
        <w:rPr>
          <w:rFonts w:ascii="Microsoft JhengHei"/>
          <w:b/>
          <w:sz w:val="15"/>
        </w:rPr>
      </w:pPr>
    </w:p>
    <w:tbl>
      <w:tblPr>
        <w:tblStyle w:val="TableNormal0"/>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7"/>
        <w:gridCol w:w="5519"/>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77" w:type="dxa"/>
          </w:tcPr>
          <w:p>
            <w:pPr>
              <w:pStyle w:val="TableParagraph"/>
              <w:spacing w:before="23"/>
              <w:rPr>
                <w:sz w:val="21"/>
              </w:rPr>
            </w:pPr>
            <w:r>
              <w:rPr>
                <w:spacing w:val="-4"/>
                <w:sz w:val="21"/>
              </w:rPr>
              <w:t>关键词</w:t>
            </w:r>
          </w:p>
        </w:tc>
        <w:tc>
          <w:tcPr>
            <w:tcW w:w="5519" w:type="dxa"/>
          </w:tcPr>
          <w:p>
            <w:pPr>
              <w:pStyle w:val="TableParagraph"/>
              <w:spacing w:before="23"/>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310"/>
          <w:jc w:val="left"/>
        </w:trPr>
        <w:tc>
          <w:tcPr>
            <w:tcW w:w="2777" w:type="dxa"/>
            <w:tcBorders>
              <w:bottom w:val="nil"/>
            </w:tcBorders>
          </w:tcPr>
          <w:p>
            <w:pPr>
              <w:pStyle w:val="TableParagraph"/>
              <w:spacing w:before="23" w:line="267" w:lineRule="exact"/>
              <w:rPr>
                <w:sz w:val="21"/>
              </w:rPr>
            </w:pPr>
            <w:r>
              <w:rPr>
                <w:spacing w:val="20"/>
                <w:sz w:val="21"/>
              </w:rPr>
              <w:t>【结肠癌早期诊断的重要</w:t>
            </w:r>
          </w:p>
        </w:tc>
        <w:tc>
          <w:tcPr>
            <w:tcW w:w="5519" w:type="dxa"/>
            <w:tcBorders>
              <w:bottom w:val="nil"/>
            </w:tcBorders>
          </w:tcPr>
          <w:p>
            <w:pPr>
              <w:pStyle w:val="TableParagraph"/>
              <w:ind w:left="0"/>
              <w:rPr>
                <w:rFonts w:ascii="Times New Roman"/>
                <w:sz w:val="22"/>
              </w:rPr>
            </w:pPr>
          </w:p>
        </w:tc>
      </w:tr>
      <w:tr>
        <w:tblPrEx>
          <w:tblW w:w="0" w:type="auto"/>
          <w:jc w:val="left"/>
          <w:tblInd w:w="130" w:type="dxa"/>
          <w:tblLayout w:type="fixed"/>
          <w:tblCellMar>
            <w:top w:w="0" w:type="dxa"/>
            <w:left w:w="0" w:type="dxa"/>
            <w:bottom w:w="0" w:type="dxa"/>
            <w:right w:w="0" w:type="dxa"/>
          </w:tblCellMar>
          <w:tblLook w:val="01E0"/>
        </w:tblPrEx>
        <w:trPr>
          <w:trHeight w:val="623"/>
          <w:jc w:val="left"/>
        </w:trPr>
        <w:tc>
          <w:tcPr>
            <w:tcW w:w="2777" w:type="dxa"/>
            <w:tcBorders>
              <w:top w:val="nil"/>
              <w:bottom w:val="nil"/>
            </w:tcBorders>
          </w:tcPr>
          <w:p>
            <w:pPr>
              <w:pStyle w:val="TableParagraph"/>
              <w:spacing w:before="25"/>
              <w:rPr>
                <w:sz w:val="21"/>
              </w:rPr>
            </w:pPr>
            <w:r>
              <w:rPr>
                <w:spacing w:val="-4"/>
                <w:sz w:val="21"/>
              </w:rPr>
              <w:t>性】：</w:t>
            </w:r>
          </w:p>
        </w:tc>
        <w:tc>
          <w:tcPr>
            <w:tcW w:w="5519" w:type="dxa"/>
            <w:tcBorders>
              <w:top w:val="nil"/>
              <w:bottom w:val="nil"/>
            </w:tcBorders>
          </w:tcPr>
          <w:p>
            <w:pPr>
              <w:pStyle w:val="TableParagraph"/>
              <w:spacing w:before="25"/>
              <w:rPr>
                <w:sz w:val="21"/>
              </w:rPr>
            </w:pPr>
            <w:r>
              <w:rPr>
                <w:rFonts w:ascii="Times New Roman" w:eastAsia="Times New Roman"/>
                <w:sz w:val="21"/>
              </w:rPr>
              <w:t>1.</w:t>
            </w:r>
            <w:r>
              <w:rPr>
                <w:rFonts w:ascii="Times New Roman" w:eastAsia="Times New Roman"/>
                <w:spacing w:val="52"/>
                <w:sz w:val="21"/>
              </w:rPr>
              <w:t xml:space="preserve"> </w:t>
            </w:r>
            <w:r>
              <w:rPr>
                <w:spacing w:val="-1"/>
                <w:sz w:val="21"/>
              </w:rPr>
              <w:t>提高生存率：早期诊断结肠癌可以显著提高患者的五年</w:t>
            </w:r>
          </w:p>
          <w:p>
            <w:pPr>
              <w:pStyle w:val="TableParagraph"/>
              <w:spacing w:before="42" w:line="267" w:lineRule="exact"/>
              <w:rPr>
                <w:sz w:val="21"/>
              </w:rPr>
            </w:pPr>
            <w:r>
              <w:rPr>
                <w:spacing w:val="-1"/>
                <w:sz w:val="21"/>
              </w:rPr>
              <w:t>生存率，因为早期肿瘤更容易通过手术切除或化疗等方法</w:t>
            </w:r>
          </w:p>
        </w:tc>
      </w:tr>
      <w:tr>
        <w:tblPrEx>
          <w:tblW w:w="0" w:type="auto"/>
          <w:jc w:val="left"/>
          <w:tblInd w:w="130" w:type="dxa"/>
          <w:tblLayout w:type="fixed"/>
          <w:tblCellMar>
            <w:top w:w="0" w:type="dxa"/>
            <w:left w:w="0" w:type="dxa"/>
            <w:bottom w:w="0" w:type="dxa"/>
            <w:right w:w="0" w:type="dxa"/>
          </w:tblCellMar>
          <w:tblLook w:val="01E0"/>
        </w:tblPrEx>
        <w:trPr>
          <w:trHeight w:val="1251"/>
          <w:jc w:val="left"/>
        </w:trPr>
        <w:tc>
          <w:tcPr>
            <w:tcW w:w="2777" w:type="dxa"/>
            <w:tcBorders>
              <w:top w:val="nil"/>
              <w:bottom w:val="nil"/>
            </w:tcBorders>
          </w:tcPr>
          <w:p>
            <w:pPr>
              <w:pStyle w:val="TableParagraph"/>
              <w:ind w:left="0"/>
              <w:rPr>
                <w:rFonts w:ascii="Times New Roman"/>
                <w:sz w:val="24"/>
              </w:rPr>
            </w:pPr>
          </w:p>
        </w:tc>
        <w:tc>
          <w:tcPr>
            <w:tcW w:w="5519" w:type="dxa"/>
            <w:tcBorders>
              <w:top w:val="nil"/>
              <w:bottom w:val="nil"/>
            </w:tcBorders>
          </w:tcPr>
          <w:p>
            <w:pPr>
              <w:pStyle w:val="TableParagraph"/>
              <w:spacing w:before="25"/>
              <w:rPr>
                <w:rFonts w:ascii="Times New Roman" w:eastAsia="Times New Roman"/>
                <w:sz w:val="21"/>
              </w:rPr>
            </w:pPr>
            <w:r>
              <w:rPr>
                <w:spacing w:val="-2"/>
                <w:sz w:val="21"/>
              </w:rPr>
              <w:t xml:space="preserve">治疗。据统计，早期发现的患者五年存活率可以达到 </w:t>
            </w:r>
            <w:r>
              <w:rPr>
                <w:rFonts w:ascii="Times New Roman" w:eastAsia="Times New Roman"/>
                <w:spacing w:val="-5"/>
                <w:sz w:val="21"/>
              </w:rPr>
              <w:t>80%</w:t>
            </w:r>
          </w:p>
          <w:p>
            <w:pPr>
              <w:pStyle w:val="TableParagraph"/>
              <w:spacing w:before="42"/>
              <w:rPr>
                <w:sz w:val="21"/>
              </w:rPr>
            </w:pPr>
            <w:r>
              <w:rPr>
                <w:spacing w:val="-5"/>
                <w:sz w:val="21"/>
              </w:rPr>
              <w:t xml:space="preserve">以上，而晚期发现的仅为 </w:t>
            </w:r>
            <w:r>
              <w:rPr>
                <w:rFonts w:ascii="Times New Roman" w:eastAsia="Times New Roman"/>
                <w:sz w:val="21"/>
              </w:rPr>
              <w:t>10%</w:t>
            </w:r>
            <w:r>
              <w:rPr>
                <w:spacing w:val="-4"/>
                <w:sz w:val="21"/>
              </w:rPr>
              <w:t>左右。</w:t>
            </w:r>
          </w:p>
          <w:p>
            <w:pPr>
              <w:pStyle w:val="TableParagraph"/>
              <w:spacing w:before="2" w:line="310" w:lineRule="atLeast"/>
              <w:ind w:right="96"/>
              <w:rPr>
                <w:sz w:val="21"/>
              </w:rPr>
            </w:pPr>
            <w:r>
              <w:rPr>
                <w:rFonts w:ascii="Times New Roman" w:eastAsia="Times New Roman"/>
                <w:sz w:val="21"/>
              </w:rPr>
              <w:t>2.</w:t>
            </w:r>
            <w:r>
              <w:rPr>
                <w:rFonts w:ascii="Times New Roman" w:eastAsia="Times New Roman"/>
                <w:spacing w:val="15"/>
                <w:sz w:val="21"/>
              </w:rPr>
              <w:t xml:space="preserve"> </w:t>
            </w:r>
            <w:r>
              <w:rPr>
                <w:sz w:val="21"/>
              </w:rPr>
              <w:t>降低治疗成本：早期诊断可以减少疾病的进展，从而降</w:t>
            </w:r>
            <w:r>
              <w:rPr>
                <w:spacing w:val="-1"/>
                <w:sz w:val="21"/>
              </w:rPr>
              <w:t>低后续治疗的复杂性和费用。早期治疗通常涉及较小的侵</w:t>
            </w:r>
          </w:p>
        </w:tc>
      </w:tr>
      <w:tr>
        <w:tblPrEx>
          <w:tblW w:w="0" w:type="auto"/>
          <w:jc w:val="left"/>
          <w:tblInd w:w="130" w:type="dxa"/>
          <w:tblLayout w:type="fixed"/>
          <w:tblCellMar>
            <w:top w:w="0" w:type="dxa"/>
            <w:left w:w="0" w:type="dxa"/>
            <w:bottom w:w="0" w:type="dxa"/>
            <w:right w:w="0" w:type="dxa"/>
          </w:tblCellMar>
          <w:tblLook w:val="01E0"/>
        </w:tblPrEx>
        <w:trPr>
          <w:trHeight w:val="312"/>
          <w:jc w:val="left"/>
        </w:trPr>
        <w:tc>
          <w:tcPr>
            <w:tcW w:w="2777" w:type="dxa"/>
            <w:tcBorders>
              <w:top w:val="nil"/>
              <w:bottom w:val="nil"/>
            </w:tcBorders>
          </w:tcPr>
          <w:p>
            <w:pPr>
              <w:pStyle w:val="TableParagraph"/>
              <w:ind w:left="0"/>
              <w:rPr>
                <w:rFonts w:ascii="Times New Roman"/>
                <w:sz w:val="22"/>
              </w:rPr>
            </w:pPr>
          </w:p>
        </w:tc>
        <w:tc>
          <w:tcPr>
            <w:tcW w:w="5519" w:type="dxa"/>
            <w:tcBorders>
              <w:top w:val="nil"/>
              <w:bottom w:val="nil"/>
            </w:tcBorders>
          </w:tcPr>
          <w:p>
            <w:pPr>
              <w:pStyle w:val="TableParagraph"/>
              <w:spacing w:before="21"/>
              <w:rPr>
                <w:sz w:val="21"/>
              </w:rPr>
            </w:pPr>
            <w:r>
              <w:rPr>
                <w:spacing w:val="-1"/>
                <w:sz w:val="21"/>
              </w:rPr>
              <w:t>入性手术和较短的治疗周期，这有助于减少医疗资源的消</w:t>
            </w:r>
          </w:p>
        </w:tc>
      </w:tr>
      <w:tr>
        <w:tblPrEx>
          <w:tblW w:w="0" w:type="auto"/>
          <w:jc w:val="left"/>
          <w:tblInd w:w="130" w:type="dxa"/>
          <w:tblLayout w:type="fixed"/>
          <w:tblCellMar>
            <w:top w:w="0" w:type="dxa"/>
            <w:left w:w="0" w:type="dxa"/>
            <w:bottom w:w="0" w:type="dxa"/>
            <w:right w:w="0" w:type="dxa"/>
          </w:tblCellMar>
          <w:tblLook w:val="01E0"/>
        </w:tblPrEx>
        <w:trPr>
          <w:trHeight w:val="308"/>
          <w:jc w:val="left"/>
        </w:trPr>
        <w:tc>
          <w:tcPr>
            <w:tcW w:w="2777" w:type="dxa"/>
            <w:tcBorders>
              <w:top w:val="nil"/>
              <w:bottom w:val="nil"/>
            </w:tcBorders>
          </w:tcPr>
          <w:p>
            <w:pPr>
              <w:pStyle w:val="TableParagraph"/>
              <w:ind w:left="0"/>
              <w:rPr>
                <w:rFonts w:ascii="Times New Roman"/>
                <w:sz w:val="22"/>
              </w:rPr>
            </w:pPr>
          </w:p>
        </w:tc>
        <w:tc>
          <w:tcPr>
            <w:tcW w:w="5519" w:type="dxa"/>
            <w:tcBorders>
              <w:top w:val="nil"/>
              <w:bottom w:val="nil"/>
            </w:tcBorders>
          </w:tcPr>
          <w:p>
            <w:pPr>
              <w:pStyle w:val="TableParagraph"/>
              <w:spacing w:before="21" w:line="267" w:lineRule="exact"/>
              <w:rPr>
                <w:sz w:val="21"/>
              </w:rPr>
            </w:pPr>
            <w:r>
              <w:rPr>
                <w:spacing w:val="-5"/>
                <w:sz w:val="21"/>
              </w:rPr>
              <w:t>耗。</w:t>
            </w:r>
          </w:p>
        </w:tc>
      </w:tr>
      <w:tr>
        <w:tblPrEx>
          <w:tblW w:w="0" w:type="auto"/>
          <w:jc w:val="left"/>
          <w:tblInd w:w="130" w:type="dxa"/>
          <w:tblLayout w:type="fixed"/>
          <w:tblCellMar>
            <w:top w:w="0" w:type="dxa"/>
            <w:left w:w="0" w:type="dxa"/>
            <w:bottom w:w="0" w:type="dxa"/>
            <w:right w:w="0" w:type="dxa"/>
          </w:tblCellMar>
          <w:tblLook w:val="01E0"/>
        </w:tblPrEx>
        <w:trPr>
          <w:trHeight w:val="627"/>
          <w:jc w:val="left"/>
        </w:trPr>
        <w:tc>
          <w:tcPr>
            <w:tcW w:w="2777" w:type="dxa"/>
            <w:tcBorders>
              <w:top w:val="nil"/>
              <w:bottom w:val="nil"/>
            </w:tcBorders>
          </w:tcPr>
          <w:p>
            <w:pPr>
              <w:pStyle w:val="TableParagraph"/>
              <w:ind w:left="0"/>
              <w:rPr>
                <w:rFonts w:ascii="Times New Roman"/>
                <w:sz w:val="24"/>
              </w:rPr>
            </w:pPr>
          </w:p>
        </w:tc>
        <w:tc>
          <w:tcPr>
            <w:tcW w:w="5519" w:type="dxa"/>
            <w:tcBorders>
              <w:top w:val="nil"/>
              <w:bottom w:val="nil"/>
            </w:tcBorders>
          </w:tcPr>
          <w:p>
            <w:pPr>
              <w:pStyle w:val="TableParagraph"/>
              <w:spacing w:before="25"/>
              <w:rPr>
                <w:sz w:val="21"/>
              </w:rPr>
            </w:pPr>
            <w:r>
              <w:rPr>
                <w:rFonts w:ascii="Times New Roman" w:eastAsia="Times New Roman"/>
                <w:sz w:val="21"/>
              </w:rPr>
              <w:t>3.</w:t>
            </w:r>
            <w:r>
              <w:rPr>
                <w:rFonts w:ascii="Times New Roman" w:eastAsia="Times New Roman"/>
                <w:spacing w:val="52"/>
                <w:sz w:val="21"/>
              </w:rPr>
              <w:t xml:space="preserve"> </w:t>
            </w:r>
            <w:r>
              <w:rPr>
                <w:spacing w:val="-1"/>
                <w:sz w:val="21"/>
              </w:rPr>
              <w:t>改善生活质量：早期诊断意味着患者可以在疾病尚未严</w:t>
            </w:r>
          </w:p>
          <w:p>
            <w:pPr>
              <w:pStyle w:val="TableParagraph"/>
              <w:spacing w:before="42"/>
              <w:rPr>
                <w:sz w:val="21"/>
              </w:rPr>
            </w:pPr>
            <w:r>
              <w:rPr>
                <w:spacing w:val="-1"/>
                <w:sz w:val="21"/>
              </w:rPr>
              <w:t>重影响其日常生活时就开始治疗，从而有可能保持较高的</w:t>
            </w:r>
          </w:p>
        </w:tc>
      </w:tr>
      <w:tr>
        <w:tblPrEx>
          <w:tblW w:w="0" w:type="auto"/>
          <w:jc w:val="left"/>
          <w:tblInd w:w="130" w:type="dxa"/>
          <w:tblLayout w:type="fixed"/>
          <w:tblCellMar>
            <w:top w:w="0" w:type="dxa"/>
            <w:left w:w="0" w:type="dxa"/>
            <w:bottom w:w="0" w:type="dxa"/>
            <w:right w:w="0" w:type="dxa"/>
          </w:tblCellMar>
          <w:tblLook w:val="01E0"/>
        </w:tblPrEx>
        <w:trPr>
          <w:trHeight w:val="311"/>
          <w:jc w:val="left"/>
        </w:trPr>
        <w:tc>
          <w:tcPr>
            <w:tcW w:w="2777" w:type="dxa"/>
            <w:tcBorders>
              <w:top w:val="nil"/>
              <w:bottom w:val="nil"/>
            </w:tcBorders>
          </w:tcPr>
          <w:p>
            <w:pPr>
              <w:pStyle w:val="TableParagraph"/>
              <w:ind w:left="0"/>
              <w:rPr>
                <w:rFonts w:ascii="Times New Roman"/>
                <w:sz w:val="22"/>
              </w:rPr>
            </w:pPr>
          </w:p>
        </w:tc>
        <w:tc>
          <w:tcPr>
            <w:tcW w:w="5519" w:type="dxa"/>
            <w:tcBorders>
              <w:top w:val="nil"/>
              <w:bottom w:val="nil"/>
            </w:tcBorders>
          </w:tcPr>
          <w:p>
            <w:pPr>
              <w:pStyle w:val="TableParagraph"/>
              <w:spacing w:before="21"/>
              <w:ind w:right="-15"/>
              <w:rPr>
                <w:sz w:val="21"/>
              </w:rPr>
            </w:pPr>
            <w:r>
              <w:rPr>
                <w:spacing w:val="-5"/>
                <w:sz w:val="21"/>
              </w:rPr>
              <w:t>生活质量。此外，早期治疗可能避免了对重要器官的损害，</w:t>
            </w:r>
          </w:p>
        </w:tc>
      </w:tr>
      <w:tr>
        <w:tblPrEx>
          <w:tblW w:w="0" w:type="auto"/>
          <w:jc w:val="left"/>
          <w:tblInd w:w="130" w:type="dxa"/>
          <w:tblLayout w:type="fixed"/>
          <w:tblCellMar>
            <w:top w:w="0" w:type="dxa"/>
            <w:left w:w="0" w:type="dxa"/>
            <w:bottom w:w="0" w:type="dxa"/>
            <w:right w:w="0" w:type="dxa"/>
          </w:tblCellMar>
          <w:tblLook w:val="01E0"/>
        </w:tblPrEx>
        <w:trPr>
          <w:trHeight w:val="311"/>
          <w:jc w:val="left"/>
        </w:trPr>
        <w:tc>
          <w:tcPr>
            <w:tcW w:w="2777" w:type="dxa"/>
            <w:tcBorders>
              <w:top w:val="nil"/>
              <w:bottom w:val="nil"/>
            </w:tcBorders>
          </w:tcPr>
          <w:p>
            <w:pPr>
              <w:pStyle w:val="TableParagraph"/>
              <w:ind w:left="0"/>
              <w:rPr>
                <w:rFonts w:ascii="Times New Roman"/>
                <w:sz w:val="22"/>
              </w:rPr>
            </w:pPr>
          </w:p>
        </w:tc>
        <w:tc>
          <w:tcPr>
            <w:tcW w:w="5519" w:type="dxa"/>
            <w:tcBorders>
              <w:top w:val="nil"/>
              <w:bottom w:val="nil"/>
            </w:tcBorders>
          </w:tcPr>
          <w:p>
            <w:pPr>
              <w:pStyle w:val="TableParagraph"/>
              <w:spacing w:before="21"/>
              <w:rPr>
                <w:sz w:val="21"/>
              </w:rPr>
            </w:pPr>
            <w:r>
              <w:rPr>
                <w:spacing w:val="-1"/>
                <w:sz w:val="21"/>
              </w:rPr>
              <w:t>减少了长期并发症的风险。</w:t>
            </w:r>
          </w:p>
        </w:tc>
      </w:tr>
      <w:tr>
        <w:tblPrEx>
          <w:tblW w:w="0" w:type="auto"/>
          <w:jc w:val="left"/>
          <w:tblInd w:w="130" w:type="dxa"/>
          <w:tblLayout w:type="fixed"/>
          <w:tblCellMar>
            <w:top w:w="0" w:type="dxa"/>
            <w:left w:w="0" w:type="dxa"/>
            <w:bottom w:w="0" w:type="dxa"/>
            <w:right w:w="0" w:type="dxa"/>
          </w:tblCellMar>
          <w:tblLook w:val="01E0"/>
        </w:tblPrEx>
        <w:trPr>
          <w:trHeight w:val="622"/>
          <w:jc w:val="left"/>
        </w:trPr>
        <w:tc>
          <w:tcPr>
            <w:tcW w:w="2777" w:type="dxa"/>
            <w:tcBorders>
              <w:top w:val="nil"/>
            </w:tcBorders>
          </w:tcPr>
          <w:p>
            <w:pPr>
              <w:pStyle w:val="TableParagraph"/>
              <w:ind w:left="0"/>
              <w:rPr>
                <w:rFonts w:ascii="Times New Roman"/>
                <w:sz w:val="24"/>
              </w:rPr>
            </w:pPr>
          </w:p>
        </w:tc>
        <w:tc>
          <w:tcPr>
            <w:tcW w:w="5519" w:type="dxa"/>
            <w:tcBorders>
              <w:top w:val="nil"/>
            </w:tcBorders>
          </w:tcPr>
          <w:p>
            <w:pPr>
              <w:pStyle w:val="TableParagraph"/>
              <w:spacing w:before="21"/>
              <w:rPr>
                <w:sz w:val="21"/>
              </w:rPr>
            </w:pPr>
            <w:r>
              <w:rPr>
                <w:spacing w:val="-1"/>
                <w:sz w:val="21"/>
              </w:rPr>
              <w:t>【遗传学在结肠癌早期诊断中的作用】：</w:t>
            </w:r>
          </w:p>
        </w:tc>
      </w:tr>
    </w:tbl>
    <w:p>
      <w:pPr>
        <w:pStyle w:val="BodyText"/>
        <w:spacing w:before="140" w:line="417" w:lineRule="auto"/>
        <w:ind w:right="518" w:firstLine="560"/>
        <w:jc w:val="both"/>
      </w:pPr>
      <w:r>
        <w:rPr>
          <w:spacing w:val="-9"/>
        </w:rPr>
        <w:t>结肠癌是一种常见的恶性肿瘤，其发病率在全球范围内呈上升趋</w:t>
      </w:r>
      <w:r>
        <w:rPr>
          <w:spacing w:val="-4"/>
        </w:rPr>
        <w:t>势。早期诊断对于提高结肠癌患者的生存率至关重要。本文将探讨结</w:t>
      </w:r>
      <w:r>
        <w:rPr>
          <w:spacing w:val="-2"/>
        </w:rPr>
        <w:t>肠癌早期诊断的重要性及其遗传学基础。</w:t>
      </w:r>
    </w:p>
    <w:p>
      <w:pPr>
        <w:pStyle w:val="BodyText"/>
        <w:spacing w:line="358" w:lineRule="exact"/>
      </w:pPr>
      <w:r>
        <w:rPr>
          <w:spacing w:val="-1"/>
        </w:rPr>
        <w:t>一、结肠癌早期诊断的重要性</w:t>
      </w:r>
    </w:p>
    <w:p>
      <w:pPr>
        <w:pStyle w:val="BodyText"/>
        <w:spacing w:before="8"/>
        <w:ind w:left="0"/>
        <w:rPr>
          <w:sz w:val="20"/>
        </w:rPr>
      </w:pPr>
    </w:p>
    <w:p>
      <w:pPr>
        <w:pStyle w:val="ListParagraph"/>
        <w:numPr>
          <w:ilvl w:val="0"/>
          <w:numId w:val="50"/>
        </w:numPr>
        <w:tabs>
          <w:tab w:val="left" w:pos="542"/>
        </w:tabs>
        <w:spacing w:before="1" w:after="0" w:line="417" w:lineRule="auto"/>
        <w:ind w:left="120" w:right="518" w:firstLine="0"/>
        <w:jc w:val="both"/>
        <w:rPr>
          <w:sz w:val="28"/>
        </w:rPr>
      </w:pPr>
      <w:r>
        <w:rPr>
          <w:spacing w:val="-2"/>
          <w:sz w:val="28"/>
        </w:rPr>
        <w:t>提高生存率：早期诊断可以及时发现肿瘤，从而采取有效的治疗</w:t>
      </w:r>
      <w:r>
        <w:rPr>
          <w:spacing w:val="-12"/>
          <w:sz w:val="28"/>
        </w:rPr>
        <w:t xml:space="preserve">措施，显著提高患者的 </w:t>
      </w:r>
      <w:r>
        <w:rPr>
          <w:spacing w:val="-10"/>
          <w:sz w:val="28"/>
        </w:rPr>
        <w:t>5</w:t>
      </w:r>
      <w:r>
        <w:rPr>
          <w:spacing w:val="-15"/>
          <w:sz w:val="28"/>
        </w:rPr>
        <w:t xml:space="preserve"> 年生存率。据统计，早期结肠癌患者的 </w:t>
      </w:r>
      <w:r>
        <w:rPr>
          <w:spacing w:val="-10"/>
          <w:sz w:val="28"/>
        </w:rPr>
        <w:t>5</w:t>
      </w:r>
      <w:r>
        <w:rPr>
          <w:spacing w:val="-18"/>
          <w:sz w:val="28"/>
        </w:rPr>
        <w:t xml:space="preserve"> 年</w:t>
      </w:r>
      <w:r>
        <w:rPr>
          <w:spacing w:val="-6"/>
          <w:sz w:val="28"/>
        </w:rPr>
        <w:t xml:space="preserve">生存率可达 </w:t>
      </w:r>
      <w:r>
        <w:rPr>
          <w:sz w:val="28"/>
        </w:rPr>
        <w:t>80%-90%，</w:t>
      </w:r>
      <w:r>
        <w:rPr>
          <w:spacing w:val="-5"/>
          <w:sz w:val="28"/>
        </w:rPr>
        <w:t xml:space="preserve">而晚期患者的 </w:t>
      </w:r>
      <w:r>
        <w:rPr>
          <w:sz w:val="28"/>
        </w:rPr>
        <w:t>5</w:t>
      </w:r>
      <w:r>
        <w:rPr>
          <w:spacing w:val="-10"/>
          <w:sz w:val="28"/>
        </w:rPr>
        <w:t xml:space="preserve"> 年生存率仅为 </w:t>
      </w:r>
      <w:r>
        <w:rPr>
          <w:sz w:val="28"/>
        </w:rPr>
        <w:t>10%-20%。</w:t>
      </w:r>
    </w:p>
    <w:p>
      <w:pPr>
        <w:pStyle w:val="ListParagraph"/>
        <w:numPr>
          <w:ilvl w:val="0"/>
          <w:numId w:val="50"/>
        </w:numPr>
        <w:tabs>
          <w:tab w:val="left" w:pos="542"/>
        </w:tabs>
        <w:spacing w:before="0" w:after="0" w:line="417" w:lineRule="auto"/>
        <w:ind w:left="120" w:right="518" w:firstLine="0"/>
        <w:jc w:val="both"/>
        <w:rPr>
          <w:sz w:val="28"/>
        </w:rPr>
      </w:pPr>
      <w:r>
        <w:rPr>
          <w:spacing w:val="-2"/>
          <w:sz w:val="28"/>
        </w:rPr>
        <w:t>降低治疗成本：早期诊断可以降低治疗难度和治疗费用。早期结</w:t>
      </w:r>
      <w:r>
        <w:rPr>
          <w:spacing w:val="-4"/>
          <w:sz w:val="28"/>
        </w:rPr>
        <w:t>肠癌的治疗方法相对简单，如手术切除、内镜下黏膜切除术等，而晚</w:t>
      </w:r>
      <w:r>
        <w:rPr>
          <w:spacing w:val="-2"/>
          <w:sz w:val="28"/>
        </w:rPr>
        <w:t>期结肠癌可能需要化疗、放疗等综合治疗，治疗费用较高。</w:t>
      </w:r>
    </w:p>
    <w:p>
      <w:pPr>
        <w:pStyle w:val="ListParagraph"/>
        <w:numPr>
          <w:ilvl w:val="0"/>
          <w:numId w:val="50"/>
        </w:numPr>
        <w:tabs>
          <w:tab w:val="left" w:pos="542"/>
        </w:tabs>
        <w:spacing w:before="0" w:after="0" w:line="417" w:lineRule="auto"/>
        <w:ind w:left="120" w:right="518" w:firstLine="0"/>
        <w:jc w:val="both"/>
        <w:rPr>
          <w:sz w:val="28"/>
        </w:rPr>
      </w:pPr>
      <w:r>
        <w:rPr>
          <w:spacing w:val="-2"/>
          <w:sz w:val="28"/>
        </w:rPr>
        <w:t>改善生活质量：早期诊断可以避免肿瘤的进一步发展，减少并发</w:t>
      </w:r>
      <w:r>
        <w:rPr>
          <w:spacing w:val="-2"/>
          <w:sz w:val="28"/>
        </w:rPr>
        <w:t>症的发生，从而提高患者的生活质量。</w:t>
      </w:r>
    </w:p>
    <w:p>
      <w:pPr>
        <w:pStyle w:val="BodyText"/>
        <w:spacing w:line="358" w:lineRule="exact"/>
      </w:pPr>
      <w:r>
        <w:rPr>
          <w:spacing w:val="-1"/>
        </w:rPr>
        <w:t>二、结肠癌早期诊断的遗传学基础</w:t>
      </w:r>
    </w:p>
    <w:p>
      <w:pPr>
        <w:spacing w:after="0" w:line="358" w:lineRule="exact"/>
        <w:sectPr>
          <w:footerReference w:type="default" r:id="rId6"/>
          <w:pgSz w:w="11910" w:h="16840"/>
          <w:pgMar w:top="1500" w:right="1280" w:bottom="1380" w:left="1680" w:header="0" w:footer="1198"/>
          <w:pgNumType w:start="2"/>
          <w:cols w:space="708"/>
        </w:sectPr>
      </w:pPr>
    </w:p>
    <w:p>
      <w:pPr>
        <w:pStyle w:val="ListParagraph"/>
        <w:numPr>
          <w:ilvl w:val="0"/>
          <w:numId w:val="49"/>
        </w:numPr>
        <w:tabs>
          <w:tab w:val="left" w:pos="542"/>
        </w:tabs>
        <w:spacing w:before="37" w:after="0" w:line="417" w:lineRule="auto"/>
        <w:ind w:left="120" w:right="518" w:firstLine="0"/>
        <w:jc w:val="both"/>
        <w:rPr>
          <w:sz w:val="28"/>
        </w:rPr>
      </w:pPr>
      <w:r>
        <w:rPr>
          <w:spacing w:val="-2"/>
          <w:sz w:val="28"/>
        </w:rPr>
        <w:t>家族遗传史：结肠癌具有一定的家族遗传性。有结肠癌家族史的</w:t>
      </w:r>
      <w:r>
        <w:rPr>
          <w:spacing w:val="-8"/>
          <w:sz w:val="28"/>
        </w:rPr>
        <w:t xml:space="preserve">人群，其发病风险较一般人群高 </w:t>
      </w:r>
      <w:r>
        <w:rPr>
          <w:spacing w:val="-6"/>
          <w:sz w:val="28"/>
        </w:rPr>
        <w:t>2-4</w:t>
      </w:r>
      <w:r>
        <w:rPr>
          <w:spacing w:val="-11"/>
          <w:sz w:val="28"/>
        </w:rPr>
        <w:t xml:space="preserve"> 倍。因此，对于有结肠癌家族史</w:t>
      </w:r>
      <w:r>
        <w:rPr>
          <w:spacing w:val="-2"/>
          <w:sz w:val="28"/>
        </w:rPr>
        <w:t>的人群，应定期进行结肠镜检查，以便早期发现结肠癌。</w:t>
      </w:r>
    </w:p>
    <w:p>
      <w:pPr>
        <w:pStyle w:val="ListParagraph"/>
        <w:numPr>
          <w:ilvl w:val="0"/>
          <w:numId w:val="49"/>
        </w:numPr>
        <w:tabs>
          <w:tab w:val="left" w:pos="540"/>
        </w:tabs>
        <w:spacing w:before="0" w:after="0" w:line="417" w:lineRule="auto"/>
        <w:ind w:left="120" w:right="518" w:firstLine="0"/>
        <w:jc w:val="both"/>
        <w:rPr>
          <w:sz w:val="28"/>
        </w:rPr>
      </w:pPr>
      <w:r>
        <w:rPr>
          <w:spacing w:val="-19"/>
          <w:sz w:val="28"/>
        </w:rPr>
        <w:t xml:space="preserve">遗传突变：结肠癌的发生与多种基因突变有关，如 </w:t>
      </w:r>
      <w:r>
        <w:rPr>
          <w:spacing w:val="-6"/>
          <w:sz w:val="28"/>
        </w:rPr>
        <w:t>APC</w:t>
      </w:r>
      <w:r>
        <w:rPr>
          <w:spacing w:val="-12"/>
          <w:sz w:val="28"/>
        </w:rPr>
        <w:t xml:space="preserve"> 基因、</w:t>
      </w:r>
      <w:r>
        <w:rPr>
          <w:spacing w:val="-6"/>
          <w:sz w:val="28"/>
        </w:rPr>
        <w:t>KRAS</w:t>
      </w:r>
      <w:r>
        <w:rPr>
          <w:sz w:val="28"/>
        </w:rPr>
        <w:t>基因、BRAF 基因等。这些基因突变的检测有助于了解结肠癌的发生</w:t>
      </w:r>
      <w:r>
        <w:rPr>
          <w:spacing w:val="-2"/>
          <w:sz w:val="28"/>
        </w:rPr>
        <w:t>机制，为早期诊断提供依据。</w:t>
      </w:r>
    </w:p>
    <w:p>
      <w:pPr>
        <w:pStyle w:val="ListParagraph"/>
        <w:numPr>
          <w:ilvl w:val="0"/>
          <w:numId w:val="49"/>
        </w:numPr>
        <w:tabs>
          <w:tab w:val="left" w:pos="542"/>
        </w:tabs>
        <w:spacing w:before="0" w:after="0" w:line="417" w:lineRule="auto"/>
        <w:ind w:left="120" w:right="518" w:firstLine="0"/>
        <w:jc w:val="both"/>
        <w:rPr>
          <w:sz w:val="28"/>
        </w:rPr>
      </w:pPr>
      <w:r>
        <w:rPr>
          <w:spacing w:val="-2"/>
          <w:sz w:val="28"/>
        </w:rPr>
        <w:t>基因多态性：基因多态性是指同一基因在不同个体间存在多种序</w:t>
      </w:r>
      <w:r>
        <w:rPr>
          <w:spacing w:val="-7"/>
          <w:sz w:val="28"/>
        </w:rPr>
        <w:t xml:space="preserve">列变异。某些基因多态性可能与结肠癌的发生有关，如 </w:t>
      </w:r>
      <w:r>
        <w:rPr>
          <w:spacing w:val="-6"/>
          <w:sz w:val="28"/>
        </w:rPr>
        <w:t>MTHFR</w:t>
      </w:r>
      <w:r>
        <w:rPr>
          <w:spacing w:val="-12"/>
          <w:sz w:val="28"/>
        </w:rPr>
        <w:t xml:space="preserve"> 基因多</w:t>
      </w:r>
      <w:r>
        <w:rPr>
          <w:sz w:val="28"/>
        </w:rPr>
        <w:t>态性、NAT2 基因多态性等。通过对这些基因多态性的研究，可以为</w:t>
      </w:r>
      <w:r>
        <w:rPr>
          <w:spacing w:val="-2"/>
          <w:sz w:val="28"/>
        </w:rPr>
        <w:t>结肠癌的早期诊断提供新的思路。</w:t>
      </w:r>
    </w:p>
    <w:p>
      <w:pPr>
        <w:pStyle w:val="BodyText"/>
        <w:spacing w:line="358" w:lineRule="exact"/>
      </w:pPr>
      <w:r>
        <w:rPr>
          <w:spacing w:val="-3"/>
        </w:rPr>
        <w:t>三、结论</w:t>
      </w:r>
    </w:p>
    <w:p>
      <w:pPr>
        <w:pStyle w:val="BodyText"/>
        <w:spacing w:before="7"/>
        <w:ind w:left="0"/>
        <w:rPr>
          <w:sz w:val="20"/>
        </w:rPr>
      </w:pPr>
    </w:p>
    <w:p>
      <w:pPr>
        <w:pStyle w:val="BodyText"/>
        <w:spacing w:line="417" w:lineRule="auto"/>
        <w:ind w:right="518"/>
        <w:jc w:val="both"/>
      </w:pPr>
      <w:r>
        <w:rPr>
          <w:spacing w:val="-4"/>
        </w:rPr>
        <w:t>结肠癌早期诊断的重要性不言而喻。通过对其遗传学基础的研究，我</w:t>
      </w:r>
      <w:r>
        <w:rPr>
          <w:spacing w:val="-4"/>
        </w:rPr>
        <w:t>们可以更好地理解结肠癌的发生机制，为早期诊断提供科学依据。同时，对于有结肠癌家族史的人群，应加强筛查和监测，以便早期发现</w:t>
      </w:r>
      <w:r>
        <w:rPr>
          <w:spacing w:val="-2"/>
        </w:rPr>
        <w:t>结肠癌，提高患者的生存率和生活质量。</w:t>
      </w:r>
    </w:p>
    <w:p>
      <w:pPr>
        <w:pStyle w:val="BodyText"/>
        <w:ind w:left="0"/>
      </w:pPr>
    </w:p>
    <w:p>
      <w:pPr>
        <w:pStyle w:val="Heading1"/>
        <w:spacing w:before="238"/>
        <w:jc w:val="both"/>
      </w:pPr>
      <w:bookmarkStart w:id="1" w:name="_bookmark1"/>
      <w:bookmarkEnd w:id="1"/>
      <w:r>
        <w:t>第二部分</w:t>
      </w:r>
      <w:r>
        <w:rPr>
          <w:spacing w:val="214"/>
          <w:w w:val="150"/>
        </w:rPr>
        <w:t xml:space="preserve"> </w:t>
      </w:r>
      <w:r>
        <w:rPr>
          <w:spacing w:val="-1"/>
        </w:rPr>
        <w:t>遗传标记物与结肠癌风险</w:t>
      </w:r>
    </w:p>
    <w:p>
      <w:pPr>
        <w:pStyle w:val="BodyText"/>
        <w:spacing w:before="15"/>
        <w:ind w:left="0"/>
        <w:rPr>
          <w:rFonts w:ascii="Microsoft JhengHei"/>
          <w:b/>
          <w:sz w:val="15"/>
        </w:rPr>
      </w:pPr>
    </w:p>
    <w:tbl>
      <w:tblPr>
        <w:tblStyle w:val="TableNormal1"/>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0"/>
        <w:gridCol w:w="5536"/>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0" w:type="dxa"/>
          </w:tcPr>
          <w:p>
            <w:pPr>
              <w:pStyle w:val="TableParagraph"/>
              <w:spacing w:before="23"/>
              <w:rPr>
                <w:sz w:val="21"/>
              </w:rPr>
            </w:pPr>
            <w:r>
              <w:rPr>
                <w:spacing w:val="-4"/>
                <w:sz w:val="21"/>
              </w:rPr>
              <w:t>关键词</w:t>
            </w:r>
          </w:p>
        </w:tc>
        <w:tc>
          <w:tcPr>
            <w:tcW w:w="5536" w:type="dxa"/>
          </w:tcPr>
          <w:p>
            <w:pPr>
              <w:pStyle w:val="TableParagraph"/>
              <w:spacing w:before="23"/>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2496"/>
          <w:jc w:val="left"/>
        </w:trPr>
        <w:tc>
          <w:tcPr>
            <w:tcW w:w="2760" w:type="dxa"/>
          </w:tcPr>
          <w:p>
            <w:pPr>
              <w:pStyle w:val="TableParagraph"/>
              <w:spacing w:before="23" w:line="278" w:lineRule="auto"/>
              <w:ind w:right="96"/>
              <w:rPr>
                <w:sz w:val="21"/>
              </w:rPr>
            </w:pPr>
            <w:r>
              <w:rPr>
                <w:spacing w:val="-2"/>
                <w:sz w:val="21"/>
              </w:rPr>
              <w:t>遗传标记物在结肠癌风险评</w:t>
            </w:r>
            <w:r>
              <w:rPr>
                <w:spacing w:val="-2"/>
                <w:sz w:val="21"/>
              </w:rPr>
              <w:t>估中的作用</w:t>
            </w:r>
          </w:p>
        </w:tc>
        <w:tc>
          <w:tcPr>
            <w:tcW w:w="5536" w:type="dxa"/>
          </w:tcPr>
          <w:p>
            <w:pPr>
              <w:pStyle w:val="TableParagraph"/>
              <w:spacing w:before="4"/>
              <w:ind w:left="0"/>
              <w:rPr>
                <w:rFonts w:ascii="Microsoft JhengHei"/>
                <w:b/>
                <w:sz w:val="18"/>
              </w:rPr>
            </w:pPr>
          </w:p>
          <w:p>
            <w:pPr>
              <w:pStyle w:val="TableParagraph"/>
              <w:numPr>
                <w:ilvl w:val="0"/>
                <w:numId w:val="48"/>
              </w:numPr>
              <w:tabs>
                <w:tab w:val="left" w:pos="372"/>
              </w:tabs>
              <w:spacing w:before="0" w:after="0" w:line="278" w:lineRule="auto"/>
              <w:ind w:left="108" w:right="96" w:firstLine="0"/>
              <w:jc w:val="both"/>
              <w:rPr>
                <w:sz w:val="21"/>
              </w:rPr>
            </w:pPr>
            <w:r>
              <w:rPr>
                <w:spacing w:val="-2"/>
                <w:sz w:val="21"/>
              </w:rPr>
              <w:t>遗传标记物的定义及其在结肠癌中的重要性：遗传标记</w:t>
            </w:r>
            <w:r>
              <w:rPr>
                <w:spacing w:val="-2"/>
                <w:sz w:val="21"/>
              </w:rPr>
              <w:t>物是指能够指示个体是否具有某种疾病易感性的特定基因</w:t>
            </w:r>
            <w:r>
              <w:rPr>
                <w:spacing w:val="-14"/>
                <w:sz w:val="21"/>
              </w:rPr>
              <w:t xml:space="preserve">或 </w:t>
            </w:r>
            <w:r>
              <w:rPr>
                <w:rFonts w:ascii="Times New Roman" w:eastAsia="Times New Roman"/>
                <w:spacing w:val="-4"/>
                <w:sz w:val="21"/>
              </w:rPr>
              <w:t>DNA</w:t>
            </w:r>
            <w:r>
              <w:rPr>
                <w:rFonts w:ascii="Times New Roman" w:eastAsia="Times New Roman"/>
                <w:spacing w:val="-9"/>
                <w:sz w:val="21"/>
              </w:rPr>
              <w:t xml:space="preserve"> </w:t>
            </w:r>
            <w:r>
              <w:rPr>
                <w:spacing w:val="-4"/>
                <w:sz w:val="21"/>
              </w:rPr>
              <w:t>序列。在结肠癌中，这些标记物有助于识别高风险</w:t>
            </w:r>
            <w:r>
              <w:rPr>
                <w:spacing w:val="-2"/>
                <w:sz w:val="21"/>
              </w:rPr>
              <w:t>人群，从而实现早期诊断和治疗。</w:t>
            </w:r>
          </w:p>
          <w:p>
            <w:pPr>
              <w:pStyle w:val="TableParagraph"/>
              <w:numPr>
                <w:ilvl w:val="0"/>
                <w:numId w:val="48"/>
              </w:numPr>
              <w:tabs>
                <w:tab w:val="left" w:pos="371"/>
              </w:tabs>
              <w:spacing w:before="0" w:after="0" w:line="278" w:lineRule="auto"/>
              <w:ind w:left="108" w:right="96" w:firstLine="0"/>
              <w:jc w:val="both"/>
              <w:rPr>
                <w:sz w:val="21"/>
              </w:rPr>
            </w:pPr>
            <w:r>
              <w:rPr>
                <w:spacing w:val="-2"/>
                <w:sz w:val="21"/>
              </w:rPr>
              <w:t>常见遗传标记物及其功能：例如，</w:t>
            </w:r>
            <w:r>
              <w:rPr>
                <w:rFonts w:ascii="Times New Roman" w:eastAsia="Times New Roman"/>
                <w:spacing w:val="-2"/>
                <w:sz w:val="21"/>
              </w:rPr>
              <w:t>APC</w:t>
            </w:r>
            <w:r>
              <w:rPr>
                <w:rFonts w:ascii="Times New Roman" w:eastAsia="Times New Roman"/>
                <w:spacing w:val="-12"/>
                <w:sz w:val="21"/>
              </w:rPr>
              <w:t xml:space="preserve"> </w:t>
            </w:r>
            <w:r>
              <w:rPr>
                <w:spacing w:val="-2"/>
                <w:sz w:val="21"/>
              </w:rPr>
              <w:t>基因突变是结肠</w:t>
            </w:r>
            <w:r>
              <w:rPr>
                <w:spacing w:val="-2"/>
                <w:sz w:val="21"/>
              </w:rPr>
              <w:t>癌中最常见的遗传标记物之一，它参与了细胞生长和分裂</w:t>
            </w:r>
          </w:p>
          <w:p>
            <w:pPr>
              <w:pStyle w:val="TableParagraph"/>
              <w:spacing w:line="269" w:lineRule="exact"/>
              <w:jc w:val="both"/>
              <w:rPr>
                <w:sz w:val="21"/>
              </w:rPr>
            </w:pPr>
            <w:r>
              <w:rPr>
                <w:spacing w:val="-10"/>
                <w:sz w:val="21"/>
              </w:rPr>
              <w:t xml:space="preserve">的调控。其他如 </w:t>
            </w:r>
            <w:r>
              <w:rPr>
                <w:rFonts w:ascii="Times New Roman" w:eastAsia="Times New Roman"/>
                <w:spacing w:val="-4"/>
                <w:sz w:val="21"/>
              </w:rPr>
              <w:t>KRAS</w:t>
            </w:r>
            <w:r>
              <w:rPr>
                <w:spacing w:val="-4"/>
                <w:sz w:val="21"/>
              </w:rPr>
              <w:t>、</w:t>
            </w:r>
            <w:r>
              <w:rPr>
                <w:rFonts w:ascii="Times New Roman" w:eastAsia="Times New Roman"/>
                <w:spacing w:val="-4"/>
                <w:sz w:val="21"/>
              </w:rPr>
              <w:t>BRAF</w:t>
            </w:r>
            <w:r>
              <w:rPr>
                <w:rFonts w:ascii="Times New Roman" w:eastAsia="Times New Roman"/>
                <w:spacing w:val="6"/>
                <w:sz w:val="21"/>
              </w:rPr>
              <w:t xml:space="preserve"> </w:t>
            </w:r>
            <w:r>
              <w:rPr>
                <w:spacing w:val="-5"/>
                <w:sz w:val="21"/>
              </w:rPr>
              <w:t>等基因突变也与结肠癌的发</w:t>
            </w:r>
          </w:p>
        </w:tc>
      </w:tr>
    </w:tbl>
    <w:p>
      <w:pPr>
        <w:spacing w:after="0" w:line="269" w:lineRule="exact"/>
        <w:jc w:val="both"/>
        <w:rPr>
          <w:sz w:val="21"/>
        </w:rPr>
        <w:sectPr>
          <w:footerReference w:type="default" r:id="rId7"/>
          <w:pgSz w:w="11910" w:h="16840"/>
          <w:pgMar w:top="1520" w:right="1280" w:bottom="1380" w:left="1680" w:header="0" w:footer="1198"/>
          <w:pgNumType w:start="3"/>
          <w:cols w:space="708"/>
        </w:sectPr>
      </w:pPr>
    </w:p>
    <w:tbl>
      <w:tblPr>
        <w:tblStyle w:val="TableNormal2"/>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0"/>
        <w:gridCol w:w="5536"/>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871"/>
          <w:jc w:val="left"/>
        </w:trPr>
        <w:tc>
          <w:tcPr>
            <w:tcW w:w="2760" w:type="dxa"/>
          </w:tcPr>
          <w:p>
            <w:pPr>
              <w:pStyle w:val="TableParagraph"/>
              <w:ind w:left="0"/>
              <w:rPr>
                <w:rFonts w:ascii="Times New Roman"/>
                <w:sz w:val="20"/>
              </w:rPr>
            </w:pPr>
          </w:p>
        </w:tc>
        <w:tc>
          <w:tcPr>
            <w:tcW w:w="5536" w:type="dxa"/>
          </w:tcPr>
          <w:p>
            <w:pPr>
              <w:pStyle w:val="TableParagraph"/>
              <w:spacing w:before="23"/>
              <w:rPr>
                <w:sz w:val="21"/>
              </w:rPr>
            </w:pPr>
            <w:r>
              <w:rPr>
                <w:spacing w:val="-2"/>
                <w:sz w:val="21"/>
              </w:rPr>
              <w:t>生密切相关。</w:t>
            </w:r>
          </w:p>
          <w:p>
            <w:pPr>
              <w:pStyle w:val="TableParagraph"/>
              <w:spacing w:before="43" w:line="278" w:lineRule="auto"/>
              <w:ind w:right="95"/>
              <w:jc w:val="both"/>
              <w:rPr>
                <w:sz w:val="21"/>
              </w:rPr>
            </w:pPr>
            <w:r>
              <w:rPr>
                <w:rFonts w:ascii="Times New Roman" w:eastAsia="Times New Roman"/>
                <w:sz w:val="21"/>
              </w:rPr>
              <w:t xml:space="preserve">3. </w:t>
            </w:r>
            <w:r>
              <w:rPr>
                <w:sz w:val="21"/>
              </w:rPr>
              <w:t>遗传标记物检测方法及临床应用：通过基因测序技术，</w:t>
            </w:r>
            <w:r>
              <w:rPr>
                <w:spacing w:val="-8"/>
                <w:sz w:val="21"/>
              </w:rPr>
              <w:t>如全基因组测序（</w:t>
            </w:r>
            <w:r>
              <w:rPr>
                <w:rFonts w:ascii="Times New Roman" w:eastAsia="Times New Roman"/>
                <w:spacing w:val="-8"/>
                <w:sz w:val="21"/>
              </w:rPr>
              <w:t>WGS</w:t>
            </w:r>
            <w:r>
              <w:rPr>
                <w:spacing w:val="-8"/>
                <w:sz w:val="21"/>
              </w:rPr>
              <w:t>）和目标基因测序</w:t>
            </w:r>
            <w:r>
              <w:rPr>
                <w:spacing w:val="12"/>
                <w:sz w:val="21"/>
              </w:rPr>
              <w:t>（</w:t>
            </w:r>
            <w:r>
              <w:rPr>
                <w:rFonts w:ascii="Times New Roman" w:eastAsia="Times New Roman"/>
                <w:spacing w:val="12"/>
                <w:sz w:val="21"/>
              </w:rPr>
              <w:t>TGS</w:t>
            </w:r>
            <w:r>
              <w:rPr>
                <w:spacing w:val="-93"/>
                <w:sz w:val="21"/>
              </w:rPr>
              <w:t>）</w:t>
            </w:r>
            <w:r>
              <w:rPr>
                <w:spacing w:val="-8"/>
                <w:sz w:val="21"/>
              </w:rPr>
              <w:t>，可以检</w:t>
            </w:r>
            <w:r>
              <w:rPr>
                <w:spacing w:val="-2"/>
                <w:sz w:val="21"/>
              </w:rPr>
              <w:t>测到这些遗传标记物。临床上，这些检测方法有助于确定</w:t>
            </w:r>
            <w:r>
              <w:rPr>
                <w:spacing w:val="-2"/>
                <w:sz w:val="21"/>
              </w:rPr>
              <w:t>患者的结肠癌风险，并指导个性化治疗方案的选择。</w:t>
            </w:r>
          </w:p>
        </w:tc>
      </w:tr>
      <w:tr>
        <w:tblPrEx>
          <w:tblW w:w="0" w:type="auto"/>
          <w:jc w:val="left"/>
          <w:tblInd w:w="130" w:type="dxa"/>
          <w:tblLayout w:type="fixed"/>
          <w:tblCellMar>
            <w:top w:w="0" w:type="dxa"/>
            <w:left w:w="0" w:type="dxa"/>
            <w:bottom w:w="0" w:type="dxa"/>
            <w:right w:w="0" w:type="dxa"/>
          </w:tblCellMar>
          <w:tblLook w:val="01E0"/>
        </w:tblPrEx>
        <w:trPr>
          <w:trHeight w:val="3432"/>
          <w:jc w:val="left"/>
        </w:trPr>
        <w:tc>
          <w:tcPr>
            <w:tcW w:w="2760" w:type="dxa"/>
          </w:tcPr>
          <w:p>
            <w:pPr>
              <w:pStyle w:val="TableParagraph"/>
              <w:spacing w:before="23" w:line="278" w:lineRule="auto"/>
              <w:ind w:right="96"/>
              <w:rPr>
                <w:sz w:val="21"/>
              </w:rPr>
            </w:pPr>
            <w:r>
              <w:rPr>
                <w:spacing w:val="-2"/>
                <w:sz w:val="21"/>
              </w:rPr>
              <w:t>遗传标记物与结肠癌早期诊</w:t>
            </w:r>
            <w:r>
              <w:rPr>
                <w:spacing w:val="-10"/>
                <w:sz w:val="21"/>
              </w:rPr>
              <w:t>断</w:t>
            </w:r>
          </w:p>
        </w:tc>
        <w:tc>
          <w:tcPr>
            <w:tcW w:w="5536" w:type="dxa"/>
          </w:tcPr>
          <w:p>
            <w:pPr>
              <w:pStyle w:val="TableParagraph"/>
              <w:spacing w:before="4"/>
              <w:ind w:left="0"/>
              <w:rPr>
                <w:rFonts w:ascii="Microsoft JhengHei"/>
                <w:b/>
                <w:sz w:val="18"/>
              </w:rPr>
            </w:pPr>
          </w:p>
          <w:p>
            <w:pPr>
              <w:pStyle w:val="TableParagraph"/>
              <w:numPr>
                <w:ilvl w:val="0"/>
                <w:numId w:val="47"/>
              </w:numPr>
              <w:tabs>
                <w:tab w:val="left" w:pos="372"/>
              </w:tabs>
              <w:spacing w:before="0" w:after="0" w:line="278" w:lineRule="auto"/>
              <w:ind w:left="108" w:right="96" w:firstLine="0"/>
              <w:jc w:val="both"/>
              <w:rPr>
                <w:sz w:val="21"/>
              </w:rPr>
            </w:pPr>
            <w:r>
              <w:rPr>
                <w:spacing w:val="-2"/>
                <w:sz w:val="21"/>
              </w:rPr>
              <w:t>遗传标记物与结肠癌早期诊断的关系：遗传标记物的存</w:t>
            </w:r>
            <w:r>
              <w:rPr>
                <w:spacing w:val="-2"/>
                <w:sz w:val="21"/>
              </w:rPr>
              <w:t>在往往预示着结肠癌的风险增加，因此，对这些标记物的</w:t>
            </w:r>
            <w:r>
              <w:rPr>
                <w:spacing w:val="-2"/>
                <w:sz w:val="21"/>
              </w:rPr>
              <w:t>检测可以作为结肠癌早期诊断的重要手段。</w:t>
            </w:r>
          </w:p>
          <w:p>
            <w:pPr>
              <w:pStyle w:val="TableParagraph"/>
              <w:numPr>
                <w:ilvl w:val="0"/>
                <w:numId w:val="47"/>
              </w:numPr>
              <w:tabs>
                <w:tab w:val="left" w:pos="372"/>
              </w:tabs>
              <w:spacing w:before="0" w:after="0" w:line="278" w:lineRule="auto"/>
              <w:ind w:left="108" w:right="96" w:firstLine="0"/>
              <w:jc w:val="both"/>
              <w:rPr>
                <w:sz w:val="21"/>
              </w:rPr>
            </w:pPr>
            <w:r>
              <w:rPr>
                <w:spacing w:val="-2"/>
                <w:sz w:val="21"/>
              </w:rPr>
              <w:t>遗传标记物检测在早期诊断中的应用：通过对高风险人</w:t>
            </w:r>
            <w:r>
              <w:rPr>
                <w:spacing w:val="-2"/>
                <w:sz w:val="21"/>
              </w:rPr>
              <w:t>群的遗传标记物筛查，可以及时发现结肠癌的早期征兆，</w:t>
            </w:r>
            <w:r>
              <w:rPr>
                <w:spacing w:val="-2"/>
                <w:sz w:val="21"/>
              </w:rPr>
              <w:t>提高治疗成功率。</w:t>
            </w:r>
          </w:p>
          <w:p>
            <w:pPr>
              <w:pStyle w:val="TableParagraph"/>
              <w:numPr>
                <w:ilvl w:val="0"/>
                <w:numId w:val="47"/>
              </w:numPr>
              <w:tabs>
                <w:tab w:val="left" w:pos="372"/>
              </w:tabs>
              <w:spacing w:before="0" w:after="0" w:line="278" w:lineRule="auto"/>
              <w:ind w:left="108" w:right="-15" w:firstLine="0"/>
              <w:jc w:val="left"/>
              <w:rPr>
                <w:sz w:val="21"/>
              </w:rPr>
            </w:pPr>
            <w:r>
              <w:rPr>
                <w:spacing w:val="-2"/>
                <w:sz w:val="21"/>
              </w:rPr>
              <w:t>遗传标记物检测技术的最新进展：随着高通量测序技术</w:t>
            </w:r>
            <w:r>
              <w:rPr>
                <w:spacing w:val="-2"/>
                <w:sz w:val="21"/>
              </w:rPr>
              <w:t>的发展，遗传标记物的检测变得更加快速、准确和低成本，</w:t>
            </w:r>
            <w:r>
              <w:rPr>
                <w:spacing w:val="-2"/>
                <w:sz w:val="21"/>
              </w:rPr>
              <w:t>为结肠癌的早期诊断提供了有力支持。</w:t>
            </w:r>
          </w:p>
        </w:tc>
      </w:tr>
      <w:tr>
        <w:tblPrEx>
          <w:tblW w:w="0" w:type="auto"/>
          <w:jc w:val="left"/>
          <w:tblInd w:w="130" w:type="dxa"/>
          <w:tblLayout w:type="fixed"/>
          <w:tblCellMar>
            <w:top w:w="0" w:type="dxa"/>
            <w:left w:w="0" w:type="dxa"/>
            <w:bottom w:w="0" w:type="dxa"/>
            <w:right w:w="0" w:type="dxa"/>
          </w:tblCellMar>
          <w:tblLook w:val="01E0"/>
        </w:tblPrEx>
        <w:trPr>
          <w:trHeight w:val="3120"/>
          <w:jc w:val="left"/>
        </w:trPr>
        <w:tc>
          <w:tcPr>
            <w:tcW w:w="2760" w:type="dxa"/>
          </w:tcPr>
          <w:p>
            <w:pPr>
              <w:pStyle w:val="TableParagraph"/>
              <w:spacing w:before="23" w:line="278" w:lineRule="auto"/>
              <w:ind w:right="96"/>
              <w:rPr>
                <w:sz w:val="21"/>
              </w:rPr>
            </w:pPr>
            <w:r>
              <w:rPr>
                <w:spacing w:val="-2"/>
                <w:sz w:val="21"/>
              </w:rPr>
              <w:t>遗传标记物与结肠癌预后评</w:t>
            </w:r>
            <w:r>
              <w:rPr>
                <w:spacing w:val="-10"/>
                <w:sz w:val="21"/>
              </w:rPr>
              <w:t>估</w:t>
            </w:r>
          </w:p>
        </w:tc>
        <w:tc>
          <w:tcPr>
            <w:tcW w:w="5536" w:type="dxa"/>
          </w:tcPr>
          <w:p>
            <w:pPr>
              <w:pStyle w:val="TableParagraph"/>
              <w:spacing w:before="4"/>
              <w:ind w:left="0"/>
              <w:rPr>
                <w:rFonts w:ascii="Microsoft JhengHei"/>
                <w:b/>
                <w:sz w:val="18"/>
              </w:rPr>
            </w:pPr>
          </w:p>
          <w:p>
            <w:pPr>
              <w:pStyle w:val="TableParagraph"/>
              <w:numPr>
                <w:ilvl w:val="0"/>
                <w:numId w:val="46"/>
              </w:numPr>
              <w:tabs>
                <w:tab w:val="left" w:pos="372"/>
              </w:tabs>
              <w:spacing w:before="0" w:after="0" w:line="278" w:lineRule="auto"/>
              <w:ind w:left="108" w:right="96" w:firstLine="0"/>
              <w:jc w:val="both"/>
              <w:rPr>
                <w:sz w:val="21"/>
              </w:rPr>
            </w:pPr>
            <w:r>
              <w:rPr>
                <w:spacing w:val="-2"/>
                <w:sz w:val="21"/>
              </w:rPr>
              <w:t>遗传标记物与结肠癌预后的关系：某些遗传标记物，如</w:t>
            </w:r>
            <w:r>
              <w:rPr>
                <w:spacing w:val="-2"/>
                <w:sz w:val="21"/>
              </w:rPr>
              <w:t>微卫星不稳定性（</w:t>
            </w:r>
            <w:r>
              <w:rPr>
                <w:rFonts w:ascii="Times New Roman" w:eastAsia="Times New Roman"/>
                <w:spacing w:val="-2"/>
                <w:sz w:val="21"/>
              </w:rPr>
              <w:t>MSI</w:t>
            </w:r>
            <w:r>
              <w:rPr>
                <w:spacing w:val="-2"/>
                <w:sz w:val="21"/>
              </w:rPr>
              <w:t>）和错配修复（</w:t>
            </w:r>
            <w:r>
              <w:rPr>
                <w:rFonts w:ascii="Times New Roman" w:eastAsia="Times New Roman"/>
                <w:spacing w:val="-2"/>
                <w:sz w:val="21"/>
              </w:rPr>
              <w:t>MMR</w:t>
            </w:r>
            <w:r>
              <w:rPr>
                <w:spacing w:val="-2"/>
                <w:sz w:val="21"/>
              </w:rPr>
              <w:t>）基因突变，</w:t>
            </w:r>
            <w:r>
              <w:rPr>
                <w:spacing w:val="-2"/>
                <w:sz w:val="21"/>
              </w:rPr>
              <w:t>已被证明与结肠癌的预后密切相关。</w:t>
            </w:r>
          </w:p>
          <w:p>
            <w:pPr>
              <w:pStyle w:val="TableParagraph"/>
              <w:numPr>
                <w:ilvl w:val="0"/>
                <w:numId w:val="46"/>
              </w:numPr>
              <w:tabs>
                <w:tab w:val="left" w:pos="372"/>
              </w:tabs>
              <w:spacing w:before="0" w:after="0" w:line="278" w:lineRule="auto"/>
              <w:ind w:left="108" w:right="96" w:firstLine="0"/>
              <w:jc w:val="both"/>
              <w:rPr>
                <w:sz w:val="21"/>
              </w:rPr>
            </w:pPr>
            <w:r>
              <w:rPr>
                <w:spacing w:val="-2"/>
                <w:sz w:val="21"/>
              </w:rPr>
              <w:t>遗传标记物在预后评估中的应用：通过对患者进行遗传</w:t>
            </w:r>
            <w:r>
              <w:rPr>
                <w:spacing w:val="-2"/>
                <w:sz w:val="21"/>
              </w:rPr>
              <w:t>标记物检测，医生可以更准确地预测疾病的进展和患者的</w:t>
            </w:r>
            <w:r>
              <w:rPr>
                <w:spacing w:val="-2"/>
                <w:sz w:val="21"/>
              </w:rPr>
              <w:t>生存率，从而制定个性化的治疗计划。</w:t>
            </w:r>
          </w:p>
          <w:p>
            <w:pPr>
              <w:pStyle w:val="TableParagraph"/>
              <w:numPr>
                <w:ilvl w:val="0"/>
                <w:numId w:val="46"/>
              </w:numPr>
              <w:tabs>
                <w:tab w:val="left" w:pos="372"/>
              </w:tabs>
              <w:spacing w:before="0" w:after="0" w:line="278" w:lineRule="auto"/>
              <w:ind w:left="108" w:right="-15" w:firstLine="0"/>
              <w:jc w:val="both"/>
              <w:rPr>
                <w:sz w:val="21"/>
              </w:rPr>
            </w:pPr>
            <w:r>
              <w:rPr>
                <w:spacing w:val="-2"/>
                <w:sz w:val="21"/>
              </w:rPr>
              <w:t>遗传标记物检测在预后评估中的价值：了解患者的遗传</w:t>
            </w:r>
            <w:r>
              <w:rPr>
                <w:spacing w:val="-2"/>
                <w:sz w:val="21"/>
              </w:rPr>
              <w:t>背景有助于优化治疗方案，提高治疗效果，降低复发风险。</w:t>
            </w:r>
          </w:p>
        </w:tc>
      </w:tr>
      <w:tr>
        <w:tblPrEx>
          <w:tblW w:w="0" w:type="auto"/>
          <w:jc w:val="left"/>
          <w:tblInd w:w="130" w:type="dxa"/>
          <w:tblLayout w:type="fixed"/>
          <w:tblCellMar>
            <w:top w:w="0" w:type="dxa"/>
            <w:left w:w="0" w:type="dxa"/>
            <w:bottom w:w="0" w:type="dxa"/>
            <w:right w:w="0" w:type="dxa"/>
          </w:tblCellMar>
          <w:tblLook w:val="01E0"/>
        </w:tblPrEx>
        <w:trPr>
          <w:trHeight w:val="3432"/>
          <w:jc w:val="left"/>
        </w:trPr>
        <w:tc>
          <w:tcPr>
            <w:tcW w:w="2760" w:type="dxa"/>
          </w:tcPr>
          <w:p>
            <w:pPr>
              <w:pStyle w:val="TableParagraph"/>
              <w:spacing w:before="23" w:line="278" w:lineRule="auto"/>
              <w:ind w:right="96"/>
              <w:rPr>
                <w:sz w:val="21"/>
              </w:rPr>
            </w:pPr>
            <w:r>
              <w:rPr>
                <w:spacing w:val="-2"/>
                <w:sz w:val="21"/>
              </w:rPr>
              <w:t>遗传标记物与结肠癌个体化</w:t>
            </w:r>
            <w:r>
              <w:rPr>
                <w:spacing w:val="-6"/>
                <w:sz w:val="21"/>
              </w:rPr>
              <w:t>治疗</w:t>
            </w:r>
          </w:p>
        </w:tc>
        <w:tc>
          <w:tcPr>
            <w:tcW w:w="5536" w:type="dxa"/>
          </w:tcPr>
          <w:p>
            <w:pPr>
              <w:pStyle w:val="TableParagraph"/>
              <w:spacing w:before="4"/>
              <w:ind w:left="0"/>
              <w:rPr>
                <w:rFonts w:ascii="Microsoft JhengHei"/>
                <w:b/>
                <w:sz w:val="18"/>
              </w:rPr>
            </w:pPr>
          </w:p>
          <w:p>
            <w:pPr>
              <w:pStyle w:val="TableParagraph"/>
              <w:numPr>
                <w:ilvl w:val="0"/>
                <w:numId w:val="45"/>
              </w:numPr>
              <w:tabs>
                <w:tab w:val="left" w:pos="372"/>
              </w:tabs>
              <w:spacing w:before="0" w:after="0" w:line="278" w:lineRule="auto"/>
              <w:ind w:left="108" w:right="96" w:firstLine="0"/>
              <w:jc w:val="both"/>
              <w:rPr>
                <w:sz w:val="21"/>
              </w:rPr>
            </w:pPr>
            <w:r>
              <w:rPr>
                <w:spacing w:val="-2"/>
                <w:sz w:val="21"/>
              </w:rPr>
              <w:t>遗传标记物与结肠癌个体化治疗的关系：遗传标记物的</w:t>
            </w:r>
            <w:r>
              <w:rPr>
                <w:spacing w:val="-2"/>
                <w:sz w:val="21"/>
              </w:rPr>
              <w:t>信息可以帮助医生了解患者的疾病特征，从而选择最合适</w:t>
            </w:r>
            <w:r>
              <w:rPr>
                <w:spacing w:val="-2"/>
                <w:sz w:val="21"/>
              </w:rPr>
              <w:t>的治疗方法。</w:t>
            </w:r>
          </w:p>
          <w:p>
            <w:pPr>
              <w:pStyle w:val="TableParagraph"/>
              <w:numPr>
                <w:ilvl w:val="0"/>
                <w:numId w:val="45"/>
              </w:numPr>
              <w:tabs>
                <w:tab w:val="left" w:pos="372"/>
              </w:tabs>
              <w:spacing w:before="0" w:after="0" w:line="278" w:lineRule="auto"/>
              <w:ind w:left="108" w:right="96" w:firstLine="0"/>
              <w:jc w:val="both"/>
              <w:rPr>
                <w:sz w:val="21"/>
              </w:rPr>
            </w:pPr>
            <w:r>
              <w:rPr>
                <w:spacing w:val="-2"/>
                <w:sz w:val="21"/>
              </w:rPr>
              <w:t>遗传标记物在个体化治疗中的应用：根据患者的遗传标</w:t>
            </w:r>
            <w:r>
              <w:rPr>
                <w:spacing w:val="-2"/>
                <w:sz w:val="21"/>
              </w:rPr>
              <w:t>记物检测结果，医生可以选择针对特定基因突变的靶向药</w:t>
            </w:r>
            <w:r>
              <w:rPr>
                <w:spacing w:val="-2"/>
                <w:sz w:val="21"/>
              </w:rPr>
              <w:t>物，或者调整化疗药物的剂量和类型。</w:t>
            </w:r>
          </w:p>
          <w:p>
            <w:pPr>
              <w:pStyle w:val="TableParagraph"/>
              <w:numPr>
                <w:ilvl w:val="0"/>
                <w:numId w:val="45"/>
              </w:numPr>
              <w:tabs>
                <w:tab w:val="left" w:pos="372"/>
              </w:tabs>
              <w:spacing w:before="0" w:after="0" w:line="278" w:lineRule="auto"/>
              <w:ind w:left="108" w:right="-15" w:firstLine="0"/>
              <w:jc w:val="left"/>
              <w:rPr>
                <w:sz w:val="21"/>
              </w:rPr>
            </w:pPr>
            <w:r>
              <w:rPr>
                <w:spacing w:val="-2"/>
                <w:sz w:val="21"/>
              </w:rPr>
              <w:t>遗传标记物检测在个体化治疗中的意义：通过精确匹配</w:t>
            </w:r>
            <w:r>
              <w:rPr>
                <w:spacing w:val="-2"/>
                <w:sz w:val="21"/>
              </w:rPr>
              <w:t>患者的遗传标记物和相应的治疗方案，可以提高治疗效果，</w:t>
            </w:r>
            <w:r>
              <w:rPr>
                <w:spacing w:val="-2"/>
                <w:sz w:val="21"/>
              </w:rPr>
              <w:t>减少副作用，改善患者的生活质量。</w:t>
            </w:r>
          </w:p>
        </w:tc>
      </w:tr>
      <w:tr>
        <w:tblPrEx>
          <w:tblW w:w="0" w:type="auto"/>
          <w:jc w:val="left"/>
          <w:tblInd w:w="130" w:type="dxa"/>
          <w:tblLayout w:type="fixed"/>
          <w:tblCellMar>
            <w:top w:w="0" w:type="dxa"/>
            <w:left w:w="0" w:type="dxa"/>
            <w:bottom w:w="0" w:type="dxa"/>
            <w:right w:w="0" w:type="dxa"/>
          </w:tblCellMar>
          <w:tblLook w:val="01E0"/>
        </w:tblPrEx>
        <w:trPr>
          <w:trHeight w:val="1871"/>
          <w:jc w:val="left"/>
        </w:trPr>
        <w:tc>
          <w:tcPr>
            <w:tcW w:w="2760" w:type="dxa"/>
          </w:tcPr>
          <w:p>
            <w:pPr>
              <w:pStyle w:val="TableParagraph"/>
              <w:spacing w:before="23" w:line="278" w:lineRule="auto"/>
              <w:ind w:right="96"/>
              <w:rPr>
                <w:sz w:val="21"/>
              </w:rPr>
            </w:pPr>
            <w:r>
              <w:rPr>
                <w:spacing w:val="-2"/>
                <w:sz w:val="21"/>
              </w:rPr>
              <w:t>遗传标记物与结肠癌筛查策</w:t>
            </w:r>
            <w:r>
              <w:rPr>
                <w:spacing w:val="-10"/>
                <w:sz w:val="21"/>
              </w:rPr>
              <w:t>略</w:t>
            </w:r>
          </w:p>
        </w:tc>
        <w:tc>
          <w:tcPr>
            <w:tcW w:w="5536" w:type="dxa"/>
          </w:tcPr>
          <w:p>
            <w:pPr>
              <w:pStyle w:val="TableParagraph"/>
              <w:spacing w:before="4"/>
              <w:ind w:left="0"/>
              <w:rPr>
                <w:rFonts w:ascii="Microsoft JhengHei"/>
                <w:b/>
                <w:sz w:val="18"/>
              </w:rPr>
            </w:pPr>
          </w:p>
          <w:p>
            <w:pPr>
              <w:pStyle w:val="TableParagraph"/>
              <w:numPr>
                <w:ilvl w:val="0"/>
                <w:numId w:val="44"/>
              </w:numPr>
              <w:tabs>
                <w:tab w:val="left" w:pos="372"/>
              </w:tabs>
              <w:spacing w:before="0" w:after="0" w:line="278" w:lineRule="auto"/>
              <w:ind w:left="108" w:right="96" w:firstLine="0"/>
              <w:jc w:val="left"/>
              <w:rPr>
                <w:sz w:val="21"/>
              </w:rPr>
            </w:pPr>
            <w:r>
              <w:rPr>
                <w:spacing w:val="-2"/>
                <w:sz w:val="21"/>
              </w:rPr>
              <w:t>遗传标记物在结肠癌筛查中的作用：遗传标记物作为结</w:t>
            </w:r>
            <w:r>
              <w:rPr>
                <w:spacing w:val="-2"/>
                <w:sz w:val="21"/>
              </w:rPr>
              <w:t>肠癌风险的生物标志，可用于制定有效的筛查策略。</w:t>
            </w:r>
          </w:p>
          <w:p>
            <w:pPr>
              <w:pStyle w:val="TableParagraph"/>
              <w:numPr>
                <w:ilvl w:val="0"/>
                <w:numId w:val="44"/>
              </w:numPr>
              <w:tabs>
                <w:tab w:val="left" w:pos="372"/>
              </w:tabs>
              <w:spacing w:before="0" w:after="0" w:line="278" w:lineRule="auto"/>
              <w:ind w:left="108" w:right="96" w:firstLine="0"/>
              <w:jc w:val="left"/>
              <w:rPr>
                <w:sz w:val="21"/>
              </w:rPr>
            </w:pPr>
            <w:r>
              <w:rPr>
                <w:spacing w:val="-2"/>
                <w:sz w:val="21"/>
              </w:rPr>
              <w:t>基于遗传标记物的筛查方法：通过分析家族病史和遗传</w:t>
            </w:r>
            <w:r>
              <w:rPr>
                <w:spacing w:val="-2"/>
                <w:sz w:val="21"/>
              </w:rPr>
              <w:t>标记物，可以确定哪些人群需要接受定期的结肠癌筛查。</w:t>
            </w:r>
          </w:p>
          <w:p>
            <w:pPr>
              <w:pStyle w:val="TableParagraph"/>
              <w:numPr>
                <w:ilvl w:val="0"/>
                <w:numId w:val="44"/>
              </w:numPr>
              <w:tabs>
                <w:tab w:val="left" w:pos="372"/>
              </w:tabs>
              <w:spacing w:before="0" w:after="0" w:line="269" w:lineRule="exact"/>
              <w:ind w:left="371" w:right="0" w:hanging="264"/>
              <w:jc w:val="left"/>
              <w:rPr>
                <w:sz w:val="21"/>
              </w:rPr>
            </w:pPr>
            <w:r>
              <w:rPr>
                <w:spacing w:val="-1"/>
                <w:sz w:val="21"/>
              </w:rPr>
              <w:t>遗传标记物筛查策略的优化：结合遗传标记物和其他临</w:t>
            </w:r>
          </w:p>
        </w:tc>
      </w:tr>
    </w:tbl>
    <w:p>
      <w:pPr>
        <w:spacing w:after="0" w:line="269" w:lineRule="exact"/>
        <w:jc w:val="left"/>
        <w:rPr>
          <w:sz w:val="21"/>
        </w:rPr>
        <w:sectPr>
          <w:footerReference w:type="default" r:id="rId8"/>
          <w:type w:val="continuous"/>
          <w:pgSz w:w="11910" w:h="16840"/>
          <w:pgMar w:top="1400" w:right="1280" w:bottom="1380" w:left="1680" w:header="0" w:footer="1198"/>
          <w:pgNumType w:start="4"/>
          <w:cols w:space="708"/>
        </w:sectPr>
      </w:pPr>
    </w:p>
    <w:tbl>
      <w:tblPr>
        <w:tblStyle w:val="TableNormal3"/>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0"/>
        <w:gridCol w:w="5536"/>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935"/>
          <w:jc w:val="left"/>
        </w:trPr>
        <w:tc>
          <w:tcPr>
            <w:tcW w:w="2760" w:type="dxa"/>
          </w:tcPr>
          <w:p>
            <w:pPr>
              <w:pStyle w:val="TableParagraph"/>
              <w:ind w:left="0"/>
              <w:rPr>
                <w:rFonts w:ascii="Times New Roman"/>
                <w:sz w:val="24"/>
              </w:rPr>
            </w:pPr>
          </w:p>
        </w:tc>
        <w:tc>
          <w:tcPr>
            <w:tcW w:w="5536" w:type="dxa"/>
          </w:tcPr>
          <w:p>
            <w:pPr>
              <w:pStyle w:val="TableParagraph"/>
              <w:spacing w:before="23" w:line="278" w:lineRule="auto"/>
              <w:ind w:right="96"/>
              <w:rPr>
                <w:sz w:val="21"/>
              </w:rPr>
            </w:pPr>
            <w:r>
              <w:rPr>
                <w:spacing w:val="-2"/>
                <w:sz w:val="21"/>
              </w:rPr>
              <w:t>床信息，可以设计出更为精准的结肠癌筛查方案，提高筛</w:t>
            </w:r>
            <w:r>
              <w:rPr>
                <w:spacing w:val="-2"/>
                <w:sz w:val="21"/>
              </w:rPr>
              <w:t>查效果，降低成本。</w:t>
            </w:r>
          </w:p>
        </w:tc>
      </w:tr>
      <w:tr>
        <w:tblPrEx>
          <w:tblW w:w="0" w:type="auto"/>
          <w:jc w:val="left"/>
          <w:tblInd w:w="130" w:type="dxa"/>
          <w:tblLayout w:type="fixed"/>
          <w:tblCellMar>
            <w:top w:w="0" w:type="dxa"/>
            <w:left w:w="0" w:type="dxa"/>
            <w:bottom w:w="0" w:type="dxa"/>
            <w:right w:w="0" w:type="dxa"/>
          </w:tblCellMar>
          <w:tblLook w:val="01E0"/>
        </w:tblPrEx>
        <w:trPr>
          <w:trHeight w:val="2807"/>
          <w:jc w:val="left"/>
        </w:trPr>
        <w:tc>
          <w:tcPr>
            <w:tcW w:w="2760" w:type="dxa"/>
          </w:tcPr>
          <w:p>
            <w:pPr>
              <w:pStyle w:val="TableParagraph"/>
              <w:spacing w:before="23" w:line="278" w:lineRule="auto"/>
              <w:ind w:right="96"/>
              <w:rPr>
                <w:sz w:val="21"/>
              </w:rPr>
            </w:pPr>
            <w:r>
              <w:rPr>
                <w:spacing w:val="-2"/>
                <w:sz w:val="21"/>
              </w:rPr>
              <w:t>遗传标记物与结肠癌预防策</w:t>
            </w:r>
            <w:r>
              <w:rPr>
                <w:spacing w:val="-10"/>
                <w:sz w:val="21"/>
              </w:rPr>
              <w:t>略</w:t>
            </w:r>
          </w:p>
        </w:tc>
        <w:tc>
          <w:tcPr>
            <w:tcW w:w="5536" w:type="dxa"/>
          </w:tcPr>
          <w:p>
            <w:pPr>
              <w:pStyle w:val="TableParagraph"/>
              <w:spacing w:before="4"/>
              <w:ind w:left="0"/>
              <w:rPr>
                <w:rFonts w:ascii="Microsoft JhengHei"/>
                <w:b/>
                <w:sz w:val="18"/>
              </w:rPr>
            </w:pPr>
          </w:p>
          <w:p>
            <w:pPr>
              <w:pStyle w:val="TableParagraph"/>
              <w:numPr>
                <w:ilvl w:val="0"/>
                <w:numId w:val="43"/>
              </w:numPr>
              <w:tabs>
                <w:tab w:val="left" w:pos="372"/>
              </w:tabs>
              <w:spacing w:before="0" w:after="0" w:line="278" w:lineRule="auto"/>
              <w:ind w:left="108" w:right="96" w:firstLine="0"/>
              <w:jc w:val="both"/>
              <w:rPr>
                <w:sz w:val="21"/>
              </w:rPr>
            </w:pPr>
            <w:r>
              <w:rPr>
                <w:spacing w:val="-2"/>
                <w:sz w:val="21"/>
              </w:rPr>
              <w:t>遗传标记物在结肠癌预防中的作用：了解个体的遗传标</w:t>
            </w:r>
            <w:r>
              <w:rPr>
                <w:spacing w:val="-2"/>
                <w:sz w:val="21"/>
              </w:rPr>
              <w:t>记物状况有助于制定针对性的预防措施。</w:t>
            </w:r>
          </w:p>
          <w:p>
            <w:pPr>
              <w:pStyle w:val="TableParagraph"/>
              <w:numPr>
                <w:ilvl w:val="0"/>
                <w:numId w:val="43"/>
              </w:numPr>
              <w:tabs>
                <w:tab w:val="left" w:pos="372"/>
              </w:tabs>
              <w:spacing w:before="0" w:after="0" w:line="278" w:lineRule="auto"/>
              <w:ind w:left="108" w:right="96" w:firstLine="0"/>
              <w:jc w:val="both"/>
              <w:rPr>
                <w:sz w:val="21"/>
              </w:rPr>
            </w:pPr>
            <w:r>
              <w:rPr>
                <w:spacing w:val="-2"/>
                <w:sz w:val="21"/>
              </w:rPr>
              <w:t>基于遗传标记物的预防建议：对于携带高风险遗传标记</w:t>
            </w:r>
            <w:r>
              <w:rPr>
                <w:spacing w:val="-2"/>
                <w:sz w:val="21"/>
              </w:rPr>
              <w:t>物的个体，医生可能会建议采取特定的饮食和生活方式改</w:t>
            </w:r>
            <w:r>
              <w:rPr>
                <w:spacing w:val="-2"/>
                <w:sz w:val="21"/>
              </w:rPr>
              <w:t>变，以降低结肠癌的风险。</w:t>
            </w:r>
          </w:p>
          <w:p>
            <w:pPr>
              <w:pStyle w:val="TableParagraph"/>
              <w:numPr>
                <w:ilvl w:val="0"/>
                <w:numId w:val="43"/>
              </w:numPr>
              <w:tabs>
                <w:tab w:val="left" w:pos="372"/>
              </w:tabs>
              <w:spacing w:before="0" w:after="0" w:line="278" w:lineRule="auto"/>
              <w:ind w:left="108" w:right="96" w:firstLine="0"/>
              <w:jc w:val="both"/>
              <w:rPr>
                <w:sz w:val="21"/>
              </w:rPr>
            </w:pPr>
            <w:r>
              <w:rPr>
                <w:spacing w:val="-2"/>
                <w:sz w:val="21"/>
              </w:rPr>
              <w:t>遗传标记物在结肠癌一级预防中的应用：通过遗传咨询</w:t>
            </w:r>
            <w:r>
              <w:rPr>
                <w:spacing w:val="-2"/>
                <w:sz w:val="21"/>
              </w:rPr>
              <w:t>和遗传标记物检测，可以识别出有较高结肠癌风险的家族</w:t>
            </w:r>
          </w:p>
          <w:p>
            <w:pPr>
              <w:pStyle w:val="TableParagraph"/>
              <w:spacing w:line="269" w:lineRule="exact"/>
              <w:rPr>
                <w:sz w:val="21"/>
              </w:rPr>
            </w:pPr>
            <w:r>
              <w:rPr>
                <w:spacing w:val="-1"/>
                <w:sz w:val="21"/>
              </w:rPr>
              <w:t>成员，从而实施早期干预措施。</w:t>
            </w:r>
          </w:p>
        </w:tc>
      </w:tr>
      <w:tr>
        <w:tblPrEx>
          <w:tblW w:w="0" w:type="auto"/>
          <w:jc w:val="left"/>
          <w:tblInd w:w="130" w:type="dxa"/>
          <w:tblLayout w:type="fixed"/>
          <w:tblCellMar>
            <w:top w:w="0" w:type="dxa"/>
            <w:left w:w="0" w:type="dxa"/>
            <w:bottom w:w="0" w:type="dxa"/>
            <w:right w:w="0" w:type="dxa"/>
          </w:tblCellMar>
          <w:tblLook w:val="01E0"/>
        </w:tblPrEx>
        <w:trPr>
          <w:trHeight w:val="312"/>
          <w:jc w:val="left"/>
        </w:trPr>
        <w:tc>
          <w:tcPr>
            <w:tcW w:w="2760" w:type="dxa"/>
          </w:tcPr>
          <w:p>
            <w:pPr>
              <w:pStyle w:val="TableParagraph"/>
              <w:ind w:left="0"/>
              <w:rPr>
                <w:rFonts w:ascii="Times New Roman"/>
                <w:sz w:val="22"/>
              </w:rPr>
            </w:pPr>
          </w:p>
        </w:tc>
        <w:tc>
          <w:tcPr>
            <w:tcW w:w="5536" w:type="dxa"/>
          </w:tcPr>
          <w:p>
            <w:pPr>
              <w:pStyle w:val="TableParagraph"/>
              <w:ind w:left="0"/>
              <w:rPr>
                <w:rFonts w:ascii="Times New Roman"/>
                <w:sz w:val="22"/>
              </w:rPr>
            </w:pPr>
          </w:p>
        </w:tc>
      </w:tr>
    </w:tbl>
    <w:p>
      <w:pPr>
        <w:pStyle w:val="BodyText"/>
        <w:spacing w:before="6"/>
        <w:ind w:left="0"/>
        <w:rPr>
          <w:rFonts w:ascii="Microsoft JhengHei"/>
          <w:b/>
          <w:sz w:val="5"/>
        </w:rPr>
      </w:pPr>
    </w:p>
    <w:p>
      <w:pPr>
        <w:pStyle w:val="BodyText"/>
        <w:spacing w:before="61" w:line="417" w:lineRule="auto"/>
        <w:ind w:right="285" w:firstLine="560"/>
      </w:pPr>
      <w:r>
        <w:rPr>
          <w:spacing w:val="-7"/>
        </w:rPr>
        <w:t>结肠癌是一种常见的恶性肿瘤，其发病率在全球范围内呈上升趋</w:t>
      </w:r>
      <w:r>
        <w:rPr>
          <w:spacing w:val="-10"/>
        </w:rPr>
        <w:t>势。早期诊断对于提高结肠癌患者的生存率至关重要。近年来，遗传</w:t>
      </w:r>
      <w:r>
        <w:rPr>
          <w:spacing w:val="-15"/>
        </w:rPr>
        <w:t>学研究在结肠癌早期诊断方面取得了显著进展。本文将探讨遗传标记</w:t>
      </w:r>
      <w:r>
        <w:rPr>
          <w:spacing w:val="-19"/>
        </w:rPr>
        <w:t>物与结肠癌风险之间的关系，以期为结肠癌的早期诊断提供理论依据。</w:t>
      </w:r>
      <w:r>
        <w:t>一、遗传标记物的概念及分类</w:t>
      </w:r>
    </w:p>
    <w:p>
      <w:pPr>
        <w:pStyle w:val="BodyText"/>
        <w:spacing w:line="417" w:lineRule="auto"/>
        <w:ind w:right="518"/>
      </w:pPr>
      <w:r>
        <w:rPr>
          <w:spacing w:val="-6"/>
        </w:rPr>
        <w:t>遗传标记物是指能够反映个体遗传特征的特定基因或染色体片段。根</w:t>
      </w:r>
      <w:r>
        <w:rPr>
          <w:spacing w:val="-2"/>
        </w:rPr>
        <w:t>据来源和功能的不同，遗传标记物可以分为以下几类：</w:t>
      </w:r>
    </w:p>
    <w:p>
      <w:pPr>
        <w:pStyle w:val="ListParagraph"/>
        <w:numPr>
          <w:ilvl w:val="0"/>
          <w:numId w:val="42"/>
        </w:numPr>
        <w:tabs>
          <w:tab w:val="left" w:pos="542"/>
        </w:tabs>
        <w:spacing w:before="0" w:after="0" w:line="417" w:lineRule="auto"/>
        <w:ind w:left="120" w:right="518" w:firstLine="0"/>
        <w:jc w:val="left"/>
        <w:rPr>
          <w:sz w:val="28"/>
        </w:rPr>
      </w:pPr>
      <w:r>
        <w:rPr>
          <w:spacing w:val="-2"/>
          <w:sz w:val="28"/>
        </w:rPr>
        <w:t>单核苷酸多态性（SNPs）：指基因组中单个核苷酸的变异，包括</w:t>
      </w:r>
      <w:r>
        <w:rPr>
          <w:spacing w:val="-2"/>
          <w:sz w:val="28"/>
        </w:rPr>
        <w:t>碱基替换、插入和缺失等。</w:t>
      </w:r>
    </w:p>
    <w:p>
      <w:pPr>
        <w:pStyle w:val="ListParagraph"/>
        <w:numPr>
          <w:ilvl w:val="0"/>
          <w:numId w:val="42"/>
        </w:numPr>
        <w:tabs>
          <w:tab w:val="left" w:pos="540"/>
        </w:tabs>
        <w:spacing w:before="0" w:after="0" w:line="417" w:lineRule="auto"/>
        <w:ind w:left="120" w:right="518" w:firstLine="0"/>
        <w:jc w:val="left"/>
        <w:rPr>
          <w:sz w:val="28"/>
        </w:rPr>
      </w:pPr>
      <w:r>
        <w:rPr>
          <w:spacing w:val="-4"/>
          <w:sz w:val="28"/>
        </w:rPr>
        <w:t>微卫星不稳定（MSI）：指基因组中短串联重复序列的变异，通常</w:t>
      </w:r>
      <w:r>
        <w:rPr>
          <w:spacing w:val="-11"/>
          <w:sz w:val="28"/>
        </w:rPr>
        <w:t xml:space="preserve">与 </w:t>
      </w:r>
      <w:r>
        <w:rPr>
          <w:sz w:val="28"/>
        </w:rPr>
        <w:t>DNA</w:t>
      </w:r>
      <w:r>
        <w:rPr>
          <w:spacing w:val="-5"/>
          <w:sz w:val="28"/>
        </w:rPr>
        <w:t xml:space="preserve"> 错配修复基因突变有关。</w:t>
      </w:r>
    </w:p>
    <w:p>
      <w:pPr>
        <w:pStyle w:val="ListParagraph"/>
        <w:numPr>
          <w:ilvl w:val="0"/>
          <w:numId w:val="42"/>
        </w:numPr>
        <w:tabs>
          <w:tab w:val="left" w:pos="540"/>
        </w:tabs>
        <w:spacing w:before="0" w:after="0" w:line="358" w:lineRule="exact"/>
        <w:ind w:left="540" w:right="0" w:hanging="420"/>
        <w:jc w:val="left"/>
        <w:rPr>
          <w:sz w:val="28"/>
        </w:rPr>
      </w:pPr>
      <w:r>
        <w:rPr>
          <w:sz w:val="28"/>
        </w:rPr>
        <w:t>拷贝数变异（CNVs）：</w:t>
      </w:r>
      <w:r>
        <w:rPr>
          <w:spacing w:val="-8"/>
          <w:sz w:val="28"/>
        </w:rPr>
        <w:t xml:space="preserve">指基因组中大片段 </w:t>
      </w:r>
      <w:r>
        <w:rPr>
          <w:sz w:val="28"/>
        </w:rPr>
        <w:t>DNA</w:t>
      </w:r>
      <w:r>
        <w:rPr>
          <w:spacing w:val="-12"/>
          <w:sz w:val="28"/>
        </w:rPr>
        <w:t xml:space="preserve"> 的复制或丢失。</w:t>
      </w:r>
    </w:p>
    <w:p>
      <w:pPr>
        <w:pStyle w:val="BodyText"/>
        <w:spacing w:before="6"/>
        <w:ind w:left="0"/>
        <w:rPr>
          <w:sz w:val="20"/>
        </w:rPr>
      </w:pPr>
    </w:p>
    <w:p>
      <w:pPr>
        <w:pStyle w:val="ListParagraph"/>
        <w:numPr>
          <w:ilvl w:val="0"/>
          <w:numId w:val="42"/>
        </w:numPr>
        <w:tabs>
          <w:tab w:val="left" w:pos="542"/>
        </w:tabs>
        <w:spacing w:before="1" w:after="0" w:line="417" w:lineRule="auto"/>
        <w:ind w:left="120" w:right="240" w:firstLine="0"/>
        <w:jc w:val="left"/>
        <w:rPr>
          <w:sz w:val="28"/>
        </w:rPr>
      </w:pPr>
      <w:r>
        <w:rPr>
          <w:spacing w:val="-7"/>
          <w:sz w:val="28"/>
        </w:rPr>
        <w:t xml:space="preserve">表观遗传标记物：包括 </w:t>
      </w:r>
      <w:r>
        <w:rPr>
          <w:sz w:val="28"/>
        </w:rPr>
        <w:t>DNA</w:t>
      </w:r>
      <w:r>
        <w:rPr>
          <w:spacing w:val="-13"/>
          <w:sz w:val="28"/>
        </w:rPr>
        <w:t xml:space="preserve"> 甲基化、组蛋白修饰和非编码 </w:t>
      </w:r>
      <w:r>
        <w:rPr>
          <w:sz w:val="28"/>
        </w:rPr>
        <w:t>RNA</w:t>
      </w:r>
      <w:r>
        <w:rPr>
          <w:spacing w:val="-24"/>
          <w:sz w:val="28"/>
        </w:rPr>
        <w:t xml:space="preserve"> 等。</w:t>
      </w:r>
      <w:r>
        <w:rPr>
          <w:spacing w:val="-2"/>
          <w:sz w:val="28"/>
        </w:rPr>
        <w:t>二、遗传标记物与结肠癌风险的关系</w:t>
      </w:r>
    </w:p>
    <w:p>
      <w:pPr>
        <w:pStyle w:val="ListParagraph"/>
        <w:numPr>
          <w:ilvl w:val="0"/>
          <w:numId w:val="41"/>
        </w:numPr>
        <w:tabs>
          <w:tab w:val="left" w:pos="542"/>
        </w:tabs>
        <w:spacing w:before="0" w:after="0" w:line="358" w:lineRule="exact"/>
        <w:ind w:left="541" w:right="0" w:hanging="422"/>
        <w:jc w:val="left"/>
        <w:rPr>
          <w:sz w:val="28"/>
        </w:rPr>
      </w:pPr>
      <w:r>
        <w:rPr>
          <w:spacing w:val="-1"/>
          <w:sz w:val="28"/>
        </w:rPr>
        <w:t>家族遗传史：研究表明，具有结肠癌家族史的个体患结肠癌的风</w:t>
      </w:r>
    </w:p>
    <w:p>
      <w:pPr>
        <w:pStyle w:val="BodyText"/>
        <w:spacing w:before="8"/>
        <w:ind w:left="0"/>
        <w:rPr>
          <w:sz w:val="20"/>
        </w:rPr>
        <w:sectPr>
          <w:footerReference w:type="default" r:id="rId9"/>
          <w:type w:val="continuous"/>
          <w:pgSz w:w="11910" w:h="16840"/>
          <w:pgMar w:top="1400" w:right="1280" w:bottom="1380" w:left="1680" w:header="0" w:footer="1198"/>
          <w:pgNumType w:start="5"/>
          <w:cols w:space="708"/>
        </w:sectPr>
      </w:pPr>
    </w:p>
    <w:p>
      <w:pPr>
        <w:pStyle w:val="BodyText"/>
        <w:spacing w:before="1"/>
      </w:pPr>
      <w:r>
        <w:rPr>
          <w:spacing w:val="1"/>
        </w:rPr>
        <w:t xml:space="preserve">险显著增加。遗传因素在家族性结肠癌中起着重要作用，约 </w:t>
      </w:r>
      <w:r>
        <w:t>5%-</w:t>
      </w:r>
      <w:r>
        <w:rPr>
          <w:spacing w:val="-5"/>
        </w:rPr>
        <w:t>10%</w:t>
      </w:r>
    </w:p>
    <w:p>
      <w:pPr>
        <w:spacing w:after="0"/>
        <w:sectPr>
          <w:footerReference w:type="default" r:id="rId10"/>
          <w:type w:val="nextPage"/>
          <w:pgSz w:w="11910" w:h="16840"/>
          <w:pgMar w:top="1400" w:right="1280" w:bottom="1380" w:left="1680" w:header="0" w:footer="1198"/>
          <w:pgNumType w:start="6"/>
          <w:cols w:space="708"/>
          <w:titlePg w:val="0"/>
        </w:sectPr>
      </w:pPr>
    </w:p>
    <w:p>
      <w:pPr>
        <w:pStyle w:val="BodyText"/>
        <w:spacing w:before="37"/>
      </w:pPr>
      <w:r>
        <w:rPr>
          <w:spacing w:val="-1"/>
        </w:rPr>
        <w:t>的结肠癌患者具有明确的家族遗传史。</w:t>
      </w:r>
    </w:p>
    <w:p>
      <w:pPr>
        <w:pStyle w:val="BodyText"/>
        <w:spacing w:before="8"/>
        <w:ind w:left="0"/>
        <w:rPr>
          <w:sz w:val="20"/>
        </w:rPr>
      </w:pPr>
    </w:p>
    <w:p>
      <w:pPr>
        <w:pStyle w:val="ListParagraph"/>
        <w:numPr>
          <w:ilvl w:val="0"/>
          <w:numId w:val="41"/>
        </w:numPr>
        <w:tabs>
          <w:tab w:val="left" w:pos="542"/>
        </w:tabs>
        <w:spacing w:before="1" w:after="0" w:line="417" w:lineRule="auto"/>
        <w:ind w:left="120" w:right="518" w:firstLine="0"/>
        <w:jc w:val="both"/>
        <w:rPr>
          <w:sz w:val="28"/>
        </w:rPr>
      </w:pPr>
      <w:r>
        <w:rPr>
          <w:spacing w:val="-2"/>
          <w:sz w:val="28"/>
        </w:rPr>
        <w:t>遗传综合征：某些遗传综合征与结肠癌风险密切相关，如林奇综</w:t>
      </w:r>
      <w:r>
        <w:rPr>
          <w:spacing w:val="-8"/>
          <w:sz w:val="28"/>
        </w:rPr>
        <w:t>合征（Lynch</w:t>
      </w:r>
      <w:r>
        <w:rPr>
          <w:spacing w:val="-27"/>
          <w:sz w:val="28"/>
        </w:rPr>
        <w:t xml:space="preserve"> </w:t>
      </w:r>
      <w:r>
        <w:rPr>
          <w:spacing w:val="7"/>
          <w:sz w:val="28"/>
        </w:rPr>
        <w:t>syndrome</w:t>
      </w:r>
      <w:r>
        <w:rPr>
          <w:spacing w:val="-133"/>
          <w:sz w:val="28"/>
        </w:rPr>
        <w:t>）</w:t>
      </w:r>
      <w:r>
        <w:rPr>
          <w:spacing w:val="-8"/>
          <w:sz w:val="28"/>
        </w:rPr>
        <w:t>、家族性腺瘤性息肉病（FAP）</w:t>
      </w:r>
      <w:r>
        <w:rPr>
          <w:spacing w:val="-18"/>
          <w:sz w:val="28"/>
        </w:rPr>
        <w:t xml:space="preserve">和 </w:t>
      </w:r>
      <w:r>
        <w:rPr>
          <w:spacing w:val="-8"/>
          <w:sz w:val="28"/>
        </w:rPr>
        <w:t>MUTYH</w:t>
      </w:r>
      <w:r>
        <w:rPr>
          <w:spacing w:val="-15"/>
          <w:sz w:val="28"/>
        </w:rPr>
        <w:t xml:space="preserve"> 相关</w:t>
      </w:r>
      <w:r>
        <w:rPr>
          <w:spacing w:val="-2"/>
          <w:sz w:val="28"/>
        </w:rPr>
        <w:t>息肉病（MAP）等。这些综合征的携带者患结肠癌的风险远高于普通</w:t>
      </w:r>
      <w:r>
        <w:rPr>
          <w:spacing w:val="-4"/>
          <w:sz w:val="28"/>
        </w:rPr>
        <w:t>人群。</w:t>
      </w:r>
    </w:p>
    <w:p>
      <w:pPr>
        <w:pStyle w:val="ListParagraph"/>
        <w:numPr>
          <w:ilvl w:val="0"/>
          <w:numId w:val="41"/>
        </w:numPr>
        <w:tabs>
          <w:tab w:val="left" w:pos="540"/>
        </w:tabs>
        <w:spacing w:before="0" w:after="0" w:line="417" w:lineRule="auto"/>
        <w:ind w:left="120" w:right="518" w:firstLine="0"/>
        <w:jc w:val="both"/>
        <w:rPr>
          <w:sz w:val="28"/>
        </w:rPr>
      </w:pPr>
      <w:r>
        <w:rPr>
          <w:spacing w:val="-8"/>
          <w:sz w:val="28"/>
        </w:rPr>
        <w:t xml:space="preserve">单核苷酸多态性：多项研究发现，某些 </w:t>
      </w:r>
      <w:r>
        <w:rPr>
          <w:spacing w:val="-6"/>
          <w:sz w:val="28"/>
        </w:rPr>
        <w:t>SNPs</w:t>
      </w:r>
      <w:r>
        <w:rPr>
          <w:spacing w:val="-11"/>
          <w:sz w:val="28"/>
        </w:rPr>
        <w:t xml:space="preserve"> 与结肠癌风险密切相</w:t>
      </w:r>
      <w:r>
        <w:rPr>
          <w:spacing w:val="-4"/>
          <w:sz w:val="28"/>
        </w:rPr>
        <w:t>关。例如，K-ras</w:t>
      </w:r>
      <w:r>
        <w:rPr>
          <w:spacing w:val="-16"/>
          <w:sz w:val="28"/>
        </w:rPr>
        <w:t xml:space="preserve"> 基因的 </w:t>
      </w:r>
      <w:r>
        <w:rPr>
          <w:spacing w:val="-4"/>
          <w:sz w:val="28"/>
        </w:rPr>
        <w:t>G12D</w:t>
      </w:r>
      <w:r>
        <w:rPr>
          <w:spacing w:val="-12"/>
          <w:sz w:val="28"/>
        </w:rPr>
        <w:t xml:space="preserve"> 突变与结肠癌风险增加有关；而 </w:t>
      </w:r>
      <w:r>
        <w:rPr>
          <w:spacing w:val="-4"/>
          <w:sz w:val="28"/>
        </w:rPr>
        <w:t>8q24</w:t>
      </w:r>
      <w:r>
        <w:rPr>
          <w:spacing w:val="-2"/>
          <w:sz w:val="28"/>
        </w:rPr>
        <w:t>区域的多态性位点与结肠癌风险降低有关。</w:t>
      </w:r>
    </w:p>
    <w:p>
      <w:pPr>
        <w:pStyle w:val="ListParagraph"/>
        <w:numPr>
          <w:ilvl w:val="0"/>
          <w:numId w:val="41"/>
        </w:numPr>
        <w:tabs>
          <w:tab w:val="left" w:pos="540"/>
        </w:tabs>
        <w:spacing w:before="0" w:after="0" w:line="417" w:lineRule="auto"/>
        <w:ind w:left="120" w:right="518" w:firstLine="0"/>
        <w:jc w:val="both"/>
        <w:rPr>
          <w:sz w:val="28"/>
        </w:rPr>
      </w:pPr>
      <w:r>
        <w:rPr>
          <w:spacing w:val="-6"/>
          <w:sz w:val="28"/>
        </w:rPr>
        <w:t>微卫星不稳定：MSI</w:t>
      </w:r>
      <w:r>
        <w:rPr>
          <w:spacing w:val="-13"/>
          <w:sz w:val="28"/>
        </w:rPr>
        <w:t xml:space="preserve"> 是结肠癌的一个重要遗传特征，约 </w:t>
      </w:r>
      <w:r>
        <w:rPr>
          <w:spacing w:val="-6"/>
          <w:sz w:val="28"/>
        </w:rPr>
        <w:t>15%的结肠</w:t>
      </w:r>
      <w:r>
        <w:rPr>
          <w:spacing w:val="-7"/>
          <w:sz w:val="28"/>
        </w:rPr>
        <w:t xml:space="preserve">癌患者表现为 </w:t>
      </w:r>
      <w:r>
        <w:rPr>
          <w:spacing w:val="-2"/>
          <w:sz w:val="28"/>
        </w:rPr>
        <w:t>MSI。MSI</w:t>
      </w:r>
      <w:r>
        <w:rPr>
          <w:spacing w:val="-8"/>
          <w:sz w:val="28"/>
        </w:rPr>
        <w:t xml:space="preserve"> 阳性的结肠癌患者具有不同的临床病理特征</w:t>
      </w:r>
      <w:r>
        <w:rPr>
          <w:spacing w:val="-4"/>
          <w:sz w:val="28"/>
        </w:rPr>
        <w:t>和预后。</w:t>
      </w:r>
    </w:p>
    <w:p>
      <w:pPr>
        <w:pStyle w:val="ListParagraph"/>
        <w:numPr>
          <w:ilvl w:val="0"/>
          <w:numId w:val="41"/>
        </w:numPr>
        <w:tabs>
          <w:tab w:val="left" w:pos="540"/>
        </w:tabs>
        <w:spacing w:before="0" w:after="0" w:line="417" w:lineRule="auto"/>
        <w:ind w:left="120" w:right="378" w:firstLine="0"/>
        <w:jc w:val="left"/>
        <w:rPr>
          <w:sz w:val="28"/>
        </w:rPr>
      </w:pPr>
      <w:r>
        <w:rPr>
          <w:spacing w:val="-16"/>
          <w:sz w:val="28"/>
        </w:rPr>
        <w:t>拷贝数变异：</w:t>
      </w:r>
      <w:r>
        <w:rPr>
          <w:spacing w:val="-4"/>
          <w:sz w:val="28"/>
        </w:rPr>
        <w:t>CNVs</w:t>
      </w:r>
      <w:r>
        <w:rPr>
          <w:spacing w:val="-13"/>
          <w:sz w:val="28"/>
        </w:rPr>
        <w:t xml:space="preserve"> 在结肠癌发生过程中起着重要作用。研究发现，</w:t>
      </w:r>
      <w:r>
        <w:rPr>
          <w:spacing w:val="-14"/>
          <w:sz w:val="28"/>
        </w:rPr>
        <w:t xml:space="preserve">染色体 </w:t>
      </w:r>
      <w:r>
        <w:rPr>
          <w:sz w:val="28"/>
        </w:rPr>
        <w:t>8p</w:t>
      </w:r>
      <w:r>
        <w:rPr>
          <w:spacing w:val="-140"/>
          <w:sz w:val="28"/>
        </w:rPr>
        <w:t>、</w:t>
      </w:r>
      <w:r>
        <w:rPr>
          <w:sz w:val="28"/>
        </w:rPr>
        <w:t>18q</w:t>
      </w:r>
      <w:r>
        <w:rPr>
          <w:spacing w:val="-36"/>
          <w:sz w:val="28"/>
        </w:rPr>
        <w:t xml:space="preserve"> 和 </w:t>
      </w:r>
      <w:r>
        <w:rPr>
          <w:sz w:val="28"/>
        </w:rPr>
        <w:t>20q</w:t>
      </w:r>
      <w:r>
        <w:rPr>
          <w:spacing w:val="-18"/>
          <w:sz w:val="28"/>
        </w:rPr>
        <w:t xml:space="preserve"> 的缺失与结肠癌风险增加有关；而染色体 </w:t>
      </w:r>
      <w:r>
        <w:rPr>
          <w:sz w:val="28"/>
        </w:rPr>
        <w:t>11p15</w:t>
      </w:r>
      <w:r>
        <w:rPr>
          <w:spacing w:val="-2"/>
          <w:sz w:val="28"/>
        </w:rPr>
        <w:t>区域的扩增与结肠癌风险降低有关。</w:t>
      </w:r>
    </w:p>
    <w:p>
      <w:pPr>
        <w:pStyle w:val="ListParagraph"/>
        <w:numPr>
          <w:ilvl w:val="0"/>
          <w:numId w:val="41"/>
        </w:numPr>
        <w:tabs>
          <w:tab w:val="left" w:pos="542"/>
        </w:tabs>
        <w:spacing w:before="0" w:after="0" w:line="417" w:lineRule="auto"/>
        <w:ind w:left="120" w:right="518" w:firstLine="0"/>
        <w:jc w:val="both"/>
        <w:rPr>
          <w:sz w:val="28"/>
        </w:rPr>
      </w:pPr>
      <w:r>
        <w:rPr>
          <w:spacing w:val="-2"/>
          <w:sz w:val="28"/>
        </w:rPr>
        <w:t>表观遗传标记物：表观遗传改变在结肠癌发生过程中起着重要作</w:t>
      </w:r>
      <w:r>
        <w:rPr>
          <w:spacing w:val="-4"/>
          <w:sz w:val="28"/>
        </w:rPr>
        <w:t>用。研究发现，DNA</w:t>
      </w:r>
      <w:r>
        <w:rPr>
          <w:spacing w:val="-5"/>
          <w:sz w:val="28"/>
        </w:rPr>
        <w:t xml:space="preserve"> 甲基化和组蛋白修饰的改变与结肠癌风险密切相</w:t>
      </w:r>
      <w:r>
        <w:rPr>
          <w:sz w:val="28"/>
        </w:rPr>
        <w:t>关。例如，MLH1</w:t>
      </w:r>
      <w:r>
        <w:rPr>
          <w:spacing w:val="-10"/>
          <w:sz w:val="28"/>
        </w:rPr>
        <w:t xml:space="preserve"> 基因启动子区的 </w:t>
      </w:r>
      <w:r>
        <w:rPr>
          <w:sz w:val="28"/>
        </w:rPr>
        <w:t>CpG</w:t>
      </w:r>
      <w:r>
        <w:rPr>
          <w:spacing w:val="-6"/>
          <w:sz w:val="28"/>
        </w:rPr>
        <w:t xml:space="preserve"> 岛甲基化与林奇综合征相关的</w:t>
      </w:r>
      <w:r>
        <w:rPr>
          <w:spacing w:val="-2"/>
          <w:sz w:val="28"/>
        </w:rPr>
        <w:t>结肠癌风险增加有关。</w:t>
      </w:r>
    </w:p>
    <w:p>
      <w:pPr>
        <w:pStyle w:val="BodyText"/>
        <w:spacing w:line="358" w:lineRule="exact"/>
      </w:pPr>
      <w:r>
        <w:rPr>
          <w:spacing w:val="-3"/>
        </w:rPr>
        <w:t>三、结论</w:t>
      </w:r>
    </w:p>
    <w:p>
      <w:pPr>
        <w:pStyle w:val="BodyText"/>
        <w:spacing w:before="5"/>
        <w:ind w:left="0"/>
        <w:rPr>
          <w:sz w:val="20"/>
        </w:rPr>
      </w:pPr>
    </w:p>
    <w:p>
      <w:pPr>
        <w:pStyle w:val="BodyText"/>
        <w:spacing w:before="1" w:line="417" w:lineRule="auto"/>
        <w:ind w:right="518"/>
        <w:jc w:val="both"/>
      </w:pPr>
      <w:r>
        <w:rPr>
          <w:spacing w:val="-7"/>
        </w:rPr>
        <w:t>遗传标记物在结肠癌早期诊断中具有重要价值。通过对遗传标记物的</w:t>
      </w:r>
      <w:r>
        <w:rPr>
          <w:spacing w:val="-4"/>
        </w:rPr>
        <w:t>检测和分析，可以有效地评估个体患结肠癌的风险，为结肠癌的早期</w:t>
      </w:r>
      <w:r>
        <w:rPr>
          <w:spacing w:val="-5"/>
        </w:rPr>
        <w:t>诊断和预防提供依据。然而，遗传标记物在结肠癌早期诊断中的应用</w:t>
      </w:r>
    </w:p>
    <w:p>
      <w:pPr>
        <w:spacing w:after="0" w:line="417" w:lineRule="auto"/>
        <w:jc w:val="both"/>
        <w:sectPr>
          <w:footerReference w:type="default" r:id="rId11"/>
          <w:pgSz w:w="11910" w:h="16840"/>
          <w:pgMar w:top="1520" w:right="1280" w:bottom="1380" w:left="1680" w:header="0" w:footer="1198"/>
          <w:pgNumType w:start="7"/>
          <w:cols w:space="708"/>
        </w:sectPr>
      </w:pPr>
    </w:p>
    <w:p>
      <w:pPr>
        <w:pStyle w:val="BodyText"/>
        <w:spacing w:before="37" w:line="417" w:lineRule="auto"/>
        <w:ind w:right="238"/>
      </w:pPr>
      <w:r>
        <w:rPr>
          <w:spacing w:val="-2"/>
        </w:rPr>
        <w:t>仍面临许多挑战，如遗传标记物的鉴定、验证和临床应用等。未来，</w:t>
      </w:r>
      <w:r>
        <w:rPr>
          <w:spacing w:val="-7"/>
        </w:rPr>
        <w:t>随着分子生物学技术的发展和大数据的整合，遗传标记物在结肠癌早</w:t>
      </w:r>
      <w:r>
        <w:rPr>
          <w:spacing w:val="-2"/>
        </w:rPr>
        <w:t xml:space="preserve"> </w:t>
      </w:r>
      <w:r>
        <w:rPr>
          <w:spacing w:val="-2"/>
        </w:rPr>
        <w:t>期诊断中的价值将进一步得到发挥。</w:t>
      </w:r>
    </w:p>
    <w:p>
      <w:pPr>
        <w:pStyle w:val="BodyText"/>
        <w:ind w:left="0"/>
      </w:pPr>
    </w:p>
    <w:p>
      <w:pPr>
        <w:pStyle w:val="Heading1"/>
        <w:tabs>
          <w:tab w:val="left" w:pos="1725"/>
        </w:tabs>
      </w:pPr>
      <w:bookmarkStart w:id="2" w:name="_TOC_250005"/>
      <w:r>
        <w:t>第</w:t>
      </w:r>
      <w:r>
        <w:t>三</w:t>
      </w:r>
      <w:r>
        <w:t>部</w:t>
      </w:r>
      <w:r>
        <w:rPr>
          <w:spacing w:val="-10"/>
        </w:rPr>
        <w:t>分</w:t>
      </w:r>
      <w:r>
        <w:tab/>
        <w:t>遗</w:t>
      </w:r>
      <w:r>
        <w:t>传</w:t>
      </w:r>
      <w:r>
        <w:t>变</w:t>
      </w:r>
      <w:r>
        <w:t>异</w:t>
      </w:r>
      <w:r>
        <w:t>与</w:t>
      </w:r>
      <w:r>
        <w:t>结</w:t>
      </w:r>
      <w:r>
        <w:t>肠</w:t>
      </w:r>
      <w:r>
        <w:t>癌</w:t>
      </w:r>
      <w:r>
        <w:t>关</w:t>
      </w:r>
      <w:r>
        <w:t>联</w:t>
      </w:r>
      <w:bookmarkEnd w:id="2"/>
      <w:r>
        <w:rPr>
          <w:spacing w:val="-10"/>
        </w:rPr>
        <w:t>性</w:t>
      </w:r>
    </w:p>
    <w:p>
      <w:pPr>
        <w:pStyle w:val="BodyText"/>
        <w:spacing w:before="16"/>
        <w:ind w:left="0"/>
        <w:rPr>
          <w:rFonts w:ascii="Microsoft JhengHei"/>
          <w:b/>
          <w:sz w:val="15"/>
        </w:rPr>
      </w:pPr>
    </w:p>
    <w:tbl>
      <w:tblPr>
        <w:tblStyle w:val="TableNormal4"/>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7"/>
        <w:gridCol w:w="5539"/>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57" w:type="dxa"/>
          </w:tcPr>
          <w:p>
            <w:pPr>
              <w:pStyle w:val="TableParagraph"/>
              <w:spacing w:before="23"/>
              <w:rPr>
                <w:sz w:val="21"/>
              </w:rPr>
            </w:pPr>
            <w:r>
              <w:rPr>
                <w:spacing w:val="-4"/>
                <w:sz w:val="21"/>
              </w:rPr>
              <w:t>关键词</w:t>
            </w:r>
          </w:p>
        </w:tc>
        <w:tc>
          <w:tcPr>
            <w:tcW w:w="5539" w:type="dxa"/>
          </w:tcPr>
          <w:p>
            <w:pPr>
              <w:pStyle w:val="TableParagraph"/>
              <w:spacing w:before="23"/>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4367"/>
          <w:jc w:val="left"/>
        </w:trPr>
        <w:tc>
          <w:tcPr>
            <w:tcW w:w="2757" w:type="dxa"/>
          </w:tcPr>
          <w:p>
            <w:pPr>
              <w:pStyle w:val="TableParagraph"/>
              <w:spacing w:before="23"/>
              <w:rPr>
                <w:sz w:val="21"/>
              </w:rPr>
            </w:pPr>
            <w:r>
              <w:rPr>
                <w:spacing w:val="-1"/>
                <w:sz w:val="21"/>
              </w:rPr>
              <w:t>遗传易感性与结肠癌风险</w:t>
            </w:r>
          </w:p>
        </w:tc>
        <w:tc>
          <w:tcPr>
            <w:tcW w:w="5539" w:type="dxa"/>
          </w:tcPr>
          <w:p>
            <w:pPr>
              <w:pStyle w:val="TableParagraph"/>
              <w:spacing w:before="4"/>
              <w:ind w:left="0"/>
              <w:rPr>
                <w:rFonts w:ascii="Microsoft JhengHei"/>
                <w:b/>
                <w:sz w:val="18"/>
              </w:rPr>
            </w:pPr>
          </w:p>
          <w:p>
            <w:pPr>
              <w:pStyle w:val="TableParagraph"/>
              <w:numPr>
                <w:ilvl w:val="0"/>
                <w:numId w:val="40"/>
              </w:numPr>
              <w:tabs>
                <w:tab w:val="left" w:pos="371"/>
              </w:tabs>
              <w:spacing w:before="0" w:after="0" w:line="278" w:lineRule="auto"/>
              <w:ind w:left="108" w:right="-15" w:firstLine="0"/>
              <w:jc w:val="left"/>
              <w:rPr>
                <w:sz w:val="21"/>
              </w:rPr>
            </w:pPr>
            <w:r>
              <w:rPr>
                <w:spacing w:val="-10"/>
                <w:sz w:val="21"/>
              </w:rPr>
              <w:t>家族遗传史：具有一级亲属</w:t>
            </w:r>
            <w:r>
              <w:rPr>
                <w:sz w:val="21"/>
              </w:rPr>
              <w:t>（如父母、兄弟姐妹或子女</w:t>
            </w:r>
            <w:r>
              <w:rPr>
                <w:spacing w:val="-11"/>
                <w:sz w:val="21"/>
              </w:rPr>
              <w:t>）</w:t>
            </w:r>
            <w:r>
              <w:rPr>
                <w:spacing w:val="1"/>
                <w:sz w:val="21"/>
              </w:rPr>
              <w:t>患有结肠癌的个人，其自身患结肠癌的风险显著增加。研究显示，如果家族中有两位或以上成员患病，个体患病风</w:t>
            </w:r>
            <w:r>
              <w:rPr>
                <w:spacing w:val="-8"/>
                <w:sz w:val="21"/>
              </w:rPr>
              <w:t xml:space="preserve">险可提高至 </w:t>
            </w:r>
            <w:r>
              <w:rPr>
                <w:rFonts w:ascii="Times New Roman" w:eastAsia="Times New Roman"/>
                <w:sz w:val="21"/>
              </w:rPr>
              <w:t>50%</w:t>
            </w:r>
            <w:r>
              <w:rPr>
                <w:spacing w:val="-27"/>
                <w:sz w:val="21"/>
              </w:rPr>
              <w:t xml:space="preserve">至 </w:t>
            </w:r>
            <w:r>
              <w:rPr>
                <w:rFonts w:ascii="Times New Roman" w:eastAsia="Times New Roman"/>
                <w:sz w:val="21"/>
              </w:rPr>
              <w:t>80%</w:t>
            </w:r>
            <w:r>
              <w:rPr>
                <w:sz w:val="21"/>
              </w:rPr>
              <w:t>。</w:t>
            </w:r>
          </w:p>
          <w:p>
            <w:pPr>
              <w:pStyle w:val="TableParagraph"/>
              <w:numPr>
                <w:ilvl w:val="0"/>
                <w:numId w:val="40"/>
              </w:numPr>
              <w:tabs>
                <w:tab w:val="left" w:pos="376"/>
              </w:tabs>
              <w:spacing w:before="0" w:after="0" w:line="278" w:lineRule="auto"/>
              <w:ind w:left="108" w:right="96" w:firstLine="0"/>
              <w:jc w:val="both"/>
              <w:rPr>
                <w:sz w:val="21"/>
              </w:rPr>
            </w:pPr>
            <w:r>
              <w:rPr>
                <w:spacing w:val="-2"/>
                <w:sz w:val="21"/>
              </w:rPr>
              <w:t>遗传综合征：某些遗传综合征，如林奇综合症</w:t>
            </w:r>
            <w:r>
              <w:rPr>
                <w:spacing w:val="-2"/>
                <w:sz w:val="21"/>
              </w:rPr>
              <w:t>（</w:t>
            </w:r>
            <w:r>
              <w:rPr>
                <w:rFonts w:ascii="Times New Roman" w:eastAsia="Times New Roman"/>
                <w:spacing w:val="-2"/>
                <w:sz w:val="21"/>
              </w:rPr>
              <w:t>Lynch</w:t>
            </w:r>
            <w:r>
              <w:rPr>
                <w:rFonts w:ascii="Times New Roman" w:eastAsia="Times New Roman"/>
                <w:spacing w:val="-2"/>
                <w:sz w:val="21"/>
              </w:rPr>
              <w:t xml:space="preserve"> </w:t>
            </w:r>
            <w:r>
              <w:rPr>
                <w:rFonts w:ascii="Times New Roman" w:eastAsia="Times New Roman"/>
                <w:spacing w:val="-4"/>
                <w:sz w:val="21"/>
              </w:rPr>
              <w:t>syndrome</w:t>
            </w:r>
            <w:r>
              <w:rPr>
                <w:spacing w:val="-4"/>
                <w:sz w:val="21"/>
              </w:rPr>
              <w:t>）和家族性腺瘤性息肉病</w:t>
            </w:r>
            <w:r>
              <w:rPr>
                <w:spacing w:val="13"/>
                <w:sz w:val="21"/>
              </w:rPr>
              <w:t>（</w:t>
            </w:r>
            <w:r>
              <w:rPr>
                <w:rFonts w:ascii="Times New Roman" w:eastAsia="Times New Roman"/>
                <w:spacing w:val="12"/>
                <w:sz w:val="21"/>
              </w:rPr>
              <w:t>F</w:t>
            </w:r>
            <w:r>
              <w:rPr>
                <w:rFonts w:ascii="Times New Roman" w:eastAsia="Times New Roman"/>
                <w:spacing w:val="13"/>
                <w:sz w:val="21"/>
              </w:rPr>
              <w:t>A</w:t>
            </w:r>
            <w:r>
              <w:rPr>
                <w:rFonts w:ascii="Times New Roman" w:eastAsia="Times New Roman"/>
                <w:spacing w:val="12"/>
                <w:sz w:val="21"/>
              </w:rPr>
              <w:t>P</w:t>
            </w:r>
            <w:r>
              <w:rPr>
                <w:spacing w:val="-92"/>
                <w:sz w:val="21"/>
              </w:rPr>
              <w:t>）</w:t>
            </w:r>
            <w:r>
              <w:rPr>
                <w:spacing w:val="-4"/>
                <w:sz w:val="21"/>
              </w:rPr>
              <w:t>，显著增加了结</w:t>
            </w:r>
            <w:r>
              <w:rPr>
                <w:sz w:val="21"/>
              </w:rPr>
              <w:t xml:space="preserve">肠癌的风险。这些综合征由特定的基因突变引起，例如 </w:t>
            </w:r>
            <w:r>
              <w:rPr>
                <w:rFonts w:ascii="Times New Roman" w:eastAsia="Times New Roman"/>
                <w:sz w:val="21"/>
              </w:rPr>
              <w:t>MLH1</w:t>
            </w:r>
            <w:r>
              <w:rPr>
                <w:sz w:val="21"/>
              </w:rPr>
              <w:t>、</w:t>
            </w:r>
            <w:r>
              <w:rPr>
                <w:rFonts w:ascii="Times New Roman" w:eastAsia="Times New Roman"/>
                <w:sz w:val="21"/>
              </w:rPr>
              <w:t>MSH2</w:t>
            </w:r>
            <w:r>
              <w:rPr>
                <w:sz w:val="21"/>
              </w:rPr>
              <w:t>、</w:t>
            </w:r>
            <w:r>
              <w:rPr>
                <w:rFonts w:ascii="Times New Roman" w:eastAsia="Times New Roman"/>
                <w:sz w:val="21"/>
              </w:rPr>
              <w:t xml:space="preserve">APC </w:t>
            </w:r>
            <w:r>
              <w:rPr>
                <w:sz w:val="21"/>
              </w:rPr>
              <w:t>等基因。</w:t>
            </w:r>
          </w:p>
          <w:p>
            <w:pPr>
              <w:pStyle w:val="TableParagraph"/>
              <w:numPr>
                <w:ilvl w:val="0"/>
                <w:numId w:val="40"/>
              </w:numPr>
              <w:tabs>
                <w:tab w:val="left" w:pos="375"/>
              </w:tabs>
              <w:spacing w:before="0" w:after="0" w:line="278" w:lineRule="auto"/>
              <w:ind w:left="108" w:right="95" w:firstLine="0"/>
              <w:jc w:val="both"/>
              <w:rPr>
                <w:sz w:val="21"/>
              </w:rPr>
            </w:pPr>
            <w:r>
              <w:rPr>
                <w:spacing w:val="-3"/>
                <w:sz w:val="21"/>
              </w:rPr>
              <w:t xml:space="preserve">遗传变异：遗传变异是指 </w:t>
            </w:r>
            <w:r>
              <w:rPr>
                <w:rFonts w:ascii="Times New Roman" w:eastAsia="Times New Roman"/>
                <w:sz w:val="21"/>
              </w:rPr>
              <w:t>DNA</w:t>
            </w:r>
            <w:r>
              <w:rPr>
                <w:rFonts w:ascii="Times New Roman" w:eastAsia="Times New Roman"/>
                <w:spacing w:val="21"/>
                <w:sz w:val="21"/>
              </w:rPr>
              <w:t xml:space="preserve"> </w:t>
            </w:r>
            <w:r>
              <w:rPr>
                <w:sz w:val="21"/>
              </w:rPr>
              <w:t>序列中的单个核苷酸变</w:t>
            </w:r>
            <w:r>
              <w:rPr>
                <w:spacing w:val="-2"/>
                <w:sz w:val="21"/>
              </w:rPr>
              <w:t>化或染色体结构的改变。一些遗传变异已被证实与结肠癌</w:t>
            </w:r>
            <w:r>
              <w:rPr>
                <w:spacing w:val="-6"/>
                <w:sz w:val="21"/>
              </w:rPr>
              <w:t xml:space="preserve">的发生有关联，包括 </w:t>
            </w:r>
            <w:r>
              <w:rPr>
                <w:rFonts w:ascii="Times New Roman" w:eastAsia="Times New Roman"/>
                <w:spacing w:val="-4"/>
                <w:sz w:val="21"/>
              </w:rPr>
              <w:t>BRCA1/2</w:t>
            </w:r>
            <w:r>
              <w:rPr>
                <w:rFonts w:ascii="Times New Roman" w:eastAsia="Times New Roman"/>
                <w:spacing w:val="13"/>
                <w:sz w:val="21"/>
              </w:rPr>
              <w:t xml:space="preserve"> </w:t>
            </w:r>
            <w:r>
              <w:rPr>
                <w:spacing w:val="-4"/>
                <w:sz w:val="21"/>
              </w:rPr>
              <w:t>基因突变，这些突变不仅与</w:t>
            </w:r>
            <w:r>
              <w:rPr>
                <w:spacing w:val="-2"/>
                <w:sz w:val="21"/>
              </w:rPr>
              <w:t>乳腺癌和卵巢癌相关，也与结肠癌的风险增加有关。</w:t>
            </w:r>
          </w:p>
        </w:tc>
      </w:tr>
      <w:tr>
        <w:tblPrEx>
          <w:tblW w:w="0" w:type="auto"/>
          <w:jc w:val="left"/>
          <w:tblInd w:w="130" w:type="dxa"/>
          <w:tblLayout w:type="fixed"/>
          <w:tblCellMar>
            <w:top w:w="0" w:type="dxa"/>
            <w:left w:w="0" w:type="dxa"/>
            <w:bottom w:w="0" w:type="dxa"/>
            <w:right w:w="0" w:type="dxa"/>
          </w:tblCellMar>
          <w:tblLook w:val="01E0"/>
        </w:tblPrEx>
        <w:trPr>
          <w:trHeight w:val="4367"/>
          <w:jc w:val="left"/>
        </w:trPr>
        <w:tc>
          <w:tcPr>
            <w:tcW w:w="2757" w:type="dxa"/>
          </w:tcPr>
          <w:p>
            <w:pPr>
              <w:pStyle w:val="TableParagraph"/>
              <w:spacing w:before="23"/>
              <w:rPr>
                <w:sz w:val="21"/>
              </w:rPr>
            </w:pPr>
            <w:r>
              <w:rPr>
                <w:spacing w:val="-1"/>
                <w:sz w:val="21"/>
              </w:rPr>
              <w:t>基因表达与结肠癌早期诊断</w:t>
            </w:r>
          </w:p>
        </w:tc>
        <w:tc>
          <w:tcPr>
            <w:tcW w:w="5539" w:type="dxa"/>
          </w:tcPr>
          <w:p>
            <w:pPr>
              <w:pStyle w:val="TableParagraph"/>
              <w:spacing w:before="4"/>
              <w:ind w:left="0"/>
              <w:rPr>
                <w:rFonts w:ascii="Microsoft JhengHei"/>
                <w:b/>
                <w:sz w:val="18"/>
              </w:rPr>
            </w:pPr>
          </w:p>
          <w:p>
            <w:pPr>
              <w:pStyle w:val="TableParagraph"/>
              <w:numPr>
                <w:ilvl w:val="0"/>
                <w:numId w:val="39"/>
              </w:numPr>
              <w:tabs>
                <w:tab w:val="left" w:pos="371"/>
              </w:tabs>
              <w:spacing w:before="0" w:after="0" w:line="278" w:lineRule="auto"/>
              <w:ind w:left="108" w:right="-29" w:firstLine="0"/>
              <w:jc w:val="left"/>
              <w:rPr>
                <w:sz w:val="21"/>
              </w:rPr>
            </w:pPr>
            <w:r>
              <w:rPr>
                <w:spacing w:val="-9"/>
                <w:sz w:val="21"/>
              </w:rPr>
              <w:t>分子标志物：通过检测血液中的循环肿瘤</w:t>
            </w:r>
            <w:r>
              <w:rPr>
                <w:rFonts w:ascii="Times New Roman" w:eastAsia="Times New Roman"/>
                <w:spacing w:val="-1"/>
                <w:sz w:val="21"/>
              </w:rPr>
              <w:t>DN</w:t>
            </w:r>
            <w:r>
              <w:rPr>
                <w:rFonts w:ascii="Times New Roman" w:eastAsia="Times New Roman"/>
                <w:sz w:val="21"/>
              </w:rPr>
              <w:t>A</w:t>
            </w:r>
            <w:r>
              <w:rPr>
                <w:sz w:val="21"/>
              </w:rPr>
              <w:t>（</w:t>
            </w:r>
            <w:r>
              <w:rPr>
                <w:rFonts w:ascii="Times New Roman" w:eastAsia="Times New Roman"/>
                <w:spacing w:val="-1"/>
                <w:sz w:val="21"/>
              </w:rPr>
              <w:t>c</w:t>
            </w:r>
            <w:r>
              <w:rPr>
                <w:rFonts w:ascii="Times New Roman" w:eastAsia="Times New Roman"/>
                <w:sz w:val="21"/>
              </w:rPr>
              <w:t>tDN</w:t>
            </w:r>
            <w:r>
              <w:rPr>
                <w:rFonts w:ascii="Times New Roman" w:eastAsia="Times New Roman"/>
                <w:spacing w:val="-1"/>
                <w:sz w:val="21"/>
              </w:rPr>
              <w:t>A</w:t>
            </w:r>
            <w:r>
              <w:rPr>
                <w:sz w:val="21"/>
              </w:rPr>
              <w:t>）</w:t>
            </w:r>
            <w:r>
              <w:rPr>
                <w:spacing w:val="1"/>
                <w:sz w:val="21"/>
              </w:rPr>
              <w:t>或其他生物标志物，可以辅助早期诊断结肠癌。这些标志</w:t>
            </w:r>
            <w:r>
              <w:rPr>
                <w:spacing w:val="-5"/>
                <w:sz w:val="21"/>
              </w:rPr>
              <w:t xml:space="preserve">物可能包括特定的甲基化模式、微 </w:t>
            </w:r>
            <w:r>
              <w:rPr>
                <w:rFonts w:ascii="Times New Roman" w:eastAsia="Times New Roman"/>
                <w:sz w:val="21"/>
              </w:rPr>
              <w:t>RNA</w:t>
            </w:r>
            <w:r>
              <w:rPr>
                <w:sz w:val="21"/>
              </w:rPr>
              <w:t>（</w:t>
            </w:r>
            <w:r>
              <w:rPr>
                <w:rFonts w:ascii="Times New Roman" w:eastAsia="Times New Roman"/>
                <w:sz w:val="21"/>
              </w:rPr>
              <w:t>miRNA</w:t>
            </w:r>
            <w:r>
              <w:rPr>
                <w:spacing w:val="-19"/>
                <w:sz w:val="21"/>
              </w:rPr>
              <w:t>）</w:t>
            </w:r>
            <w:r>
              <w:rPr>
                <w:sz w:val="21"/>
              </w:rPr>
              <w:t>以及蛋白质生物标志物。</w:t>
            </w:r>
          </w:p>
          <w:p>
            <w:pPr>
              <w:pStyle w:val="TableParagraph"/>
              <w:numPr>
                <w:ilvl w:val="0"/>
                <w:numId w:val="39"/>
              </w:numPr>
              <w:tabs>
                <w:tab w:val="left" w:pos="372"/>
              </w:tabs>
              <w:spacing w:before="0" w:after="0" w:line="278" w:lineRule="auto"/>
              <w:ind w:left="108" w:right="-15" w:firstLine="0"/>
              <w:jc w:val="left"/>
              <w:rPr>
                <w:sz w:val="21"/>
              </w:rPr>
            </w:pPr>
            <w:r>
              <w:rPr>
                <w:sz w:val="21"/>
              </w:rPr>
              <w:t>基因表达谱分析：通过对结肠癌组织样本进行基因表达</w:t>
            </w:r>
            <w:r>
              <w:rPr>
                <w:spacing w:val="-7"/>
                <w:sz w:val="21"/>
              </w:rPr>
              <w:t>谱分析，可以发现与疾病发生发展密切相关的基因和通路。</w:t>
            </w:r>
            <w:r>
              <w:rPr>
                <w:spacing w:val="1"/>
                <w:sz w:val="21"/>
              </w:rPr>
              <w:t>这种分析有助于识别早期阶段的结肠癌，并可能指导个性化治疗方案的选择。</w:t>
            </w:r>
          </w:p>
          <w:p>
            <w:pPr>
              <w:pStyle w:val="TableParagraph"/>
              <w:numPr>
                <w:ilvl w:val="0"/>
                <w:numId w:val="39"/>
              </w:numPr>
              <w:tabs>
                <w:tab w:val="left" w:pos="372"/>
              </w:tabs>
              <w:spacing w:before="0" w:after="0" w:line="278" w:lineRule="auto"/>
              <w:ind w:left="108" w:right="96" w:firstLine="0"/>
              <w:jc w:val="both"/>
              <w:rPr>
                <w:sz w:val="21"/>
              </w:rPr>
            </w:pPr>
            <w:r>
              <w:rPr>
                <w:spacing w:val="-2"/>
                <w:sz w:val="21"/>
              </w:rPr>
              <w:t>液体活检技术：液体活检是一种非侵入性的检测方法，通过分析血液或其他体液中的生物标志物来监测癌症。这种方法在结肠癌早期诊断中的应用正在逐步得到研究和发</w:t>
            </w:r>
            <w:r>
              <w:rPr>
                <w:spacing w:val="-6"/>
                <w:sz w:val="21"/>
              </w:rPr>
              <w:t>展。</w:t>
            </w:r>
          </w:p>
        </w:tc>
      </w:tr>
      <w:tr>
        <w:tblPrEx>
          <w:tblW w:w="0" w:type="auto"/>
          <w:jc w:val="left"/>
          <w:tblInd w:w="130" w:type="dxa"/>
          <w:tblLayout w:type="fixed"/>
          <w:tblCellMar>
            <w:top w:w="0" w:type="dxa"/>
            <w:left w:w="0" w:type="dxa"/>
            <w:bottom w:w="0" w:type="dxa"/>
            <w:right w:w="0" w:type="dxa"/>
          </w:tblCellMar>
          <w:tblLook w:val="01E0"/>
        </w:tblPrEx>
        <w:trPr>
          <w:trHeight w:val="1247"/>
          <w:jc w:val="left"/>
        </w:trPr>
        <w:tc>
          <w:tcPr>
            <w:tcW w:w="2757" w:type="dxa"/>
          </w:tcPr>
          <w:p>
            <w:pPr>
              <w:pStyle w:val="TableParagraph"/>
              <w:spacing w:before="23"/>
              <w:rPr>
                <w:sz w:val="21"/>
              </w:rPr>
            </w:pPr>
            <w:r>
              <w:rPr>
                <w:spacing w:val="-1"/>
                <w:sz w:val="21"/>
              </w:rPr>
              <w:t>遗传变异与结肠癌预后</w:t>
            </w:r>
          </w:p>
        </w:tc>
        <w:tc>
          <w:tcPr>
            <w:tcW w:w="5539" w:type="dxa"/>
          </w:tcPr>
          <w:p>
            <w:pPr>
              <w:pStyle w:val="TableParagraph"/>
              <w:spacing w:before="18"/>
              <w:ind w:left="0"/>
              <w:rPr>
                <w:rFonts w:ascii="Microsoft JhengHei"/>
                <w:b/>
                <w:sz w:val="15"/>
              </w:rPr>
            </w:pPr>
          </w:p>
          <w:p>
            <w:pPr>
              <w:pStyle w:val="TableParagraph"/>
              <w:numPr>
                <w:ilvl w:val="0"/>
                <w:numId w:val="38"/>
              </w:numPr>
              <w:tabs>
                <w:tab w:val="left" w:pos="372"/>
              </w:tabs>
              <w:spacing w:before="0" w:after="0" w:line="310" w:lineRule="atLeast"/>
              <w:ind w:left="108" w:right="95" w:firstLine="0"/>
              <w:jc w:val="both"/>
              <w:rPr>
                <w:sz w:val="21"/>
              </w:rPr>
            </w:pPr>
            <w:r>
              <w:rPr>
                <w:spacing w:val="-2"/>
                <w:sz w:val="21"/>
              </w:rPr>
              <w:t>预后基因：特定遗传变异的存在可能影响结肠癌患者的</w:t>
            </w:r>
            <w:r>
              <w:rPr>
                <w:spacing w:val="-2"/>
                <w:sz w:val="21"/>
              </w:rPr>
              <w:t>预后。例如，</w:t>
            </w:r>
            <w:r>
              <w:rPr>
                <w:rFonts w:ascii="Times New Roman" w:eastAsia="Times New Roman"/>
                <w:spacing w:val="-2"/>
                <w:sz w:val="21"/>
              </w:rPr>
              <w:t>K-ras</w:t>
            </w:r>
            <w:r>
              <w:rPr>
                <w:rFonts w:ascii="Times New Roman" w:eastAsia="Times New Roman"/>
                <w:spacing w:val="-8"/>
                <w:sz w:val="21"/>
              </w:rPr>
              <w:t xml:space="preserve"> </w:t>
            </w:r>
            <w:r>
              <w:rPr>
                <w:spacing w:val="-2"/>
                <w:sz w:val="21"/>
              </w:rPr>
              <w:t>基因突变通常与较差的治疗反应和较短</w:t>
            </w:r>
            <w:r>
              <w:rPr>
                <w:spacing w:val="-2"/>
                <w:sz w:val="21"/>
              </w:rPr>
              <w:t>的无进展生存期相关。</w:t>
            </w:r>
          </w:p>
        </w:tc>
      </w:tr>
    </w:tbl>
    <w:p>
      <w:pPr>
        <w:spacing w:after="0" w:line="310" w:lineRule="atLeast"/>
        <w:jc w:val="both"/>
        <w:rPr>
          <w:sz w:val="21"/>
        </w:rPr>
        <w:sectPr>
          <w:footerReference w:type="default" r:id="rId12"/>
          <w:pgSz w:w="11910" w:h="16840"/>
          <w:pgMar w:top="1520" w:right="1280" w:bottom="1380" w:left="1680" w:header="0" w:footer="1198"/>
          <w:pgNumType w:start="8"/>
          <w:cols w:space="708"/>
        </w:sectPr>
      </w:pPr>
    </w:p>
    <w:tbl>
      <w:tblPr>
        <w:tblStyle w:val="TableNormal5"/>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7"/>
        <w:gridCol w:w="5539"/>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496"/>
          <w:jc w:val="left"/>
        </w:trPr>
        <w:tc>
          <w:tcPr>
            <w:tcW w:w="2757" w:type="dxa"/>
          </w:tcPr>
          <w:p>
            <w:pPr>
              <w:pStyle w:val="TableParagraph"/>
              <w:ind w:left="0"/>
              <w:rPr>
                <w:rFonts w:ascii="Times New Roman"/>
                <w:sz w:val="20"/>
              </w:rPr>
            </w:pPr>
          </w:p>
        </w:tc>
        <w:tc>
          <w:tcPr>
            <w:tcW w:w="5539" w:type="dxa"/>
          </w:tcPr>
          <w:p>
            <w:pPr>
              <w:pStyle w:val="TableParagraph"/>
              <w:numPr>
                <w:ilvl w:val="0"/>
                <w:numId w:val="37"/>
              </w:numPr>
              <w:tabs>
                <w:tab w:val="left" w:pos="374"/>
              </w:tabs>
              <w:spacing w:before="23" w:after="0" w:line="278" w:lineRule="auto"/>
              <w:ind w:left="108" w:right="96" w:firstLine="0"/>
              <w:jc w:val="both"/>
              <w:rPr>
                <w:sz w:val="21"/>
              </w:rPr>
            </w:pPr>
            <w:r>
              <w:rPr>
                <w:sz w:val="21"/>
              </w:rPr>
              <w:t>微卫星不稳定性（</w:t>
            </w:r>
            <w:r>
              <w:rPr>
                <w:rFonts w:ascii="Times New Roman" w:eastAsia="Times New Roman"/>
                <w:sz w:val="21"/>
              </w:rPr>
              <w:t>MSI</w:t>
            </w:r>
            <w:r>
              <w:rPr>
                <w:sz w:val="21"/>
              </w:rPr>
              <w:t>）：</w:t>
            </w:r>
            <w:r>
              <w:rPr>
                <w:rFonts w:ascii="Times New Roman" w:eastAsia="Times New Roman"/>
                <w:sz w:val="21"/>
              </w:rPr>
              <w:t xml:space="preserve">MSI </w:t>
            </w:r>
            <w:r>
              <w:rPr>
                <w:sz w:val="21"/>
              </w:rPr>
              <w:t>是评估结肠癌预后的重要指标之一。</w:t>
            </w:r>
            <w:r>
              <w:rPr>
                <w:rFonts w:ascii="Times New Roman" w:eastAsia="Times New Roman"/>
                <w:sz w:val="21"/>
              </w:rPr>
              <w:t xml:space="preserve">MSI </w:t>
            </w:r>
            <w:r>
              <w:rPr>
                <w:sz w:val="21"/>
              </w:rPr>
              <w:t>高的结肠癌患者可能对免疫检查点抑制</w:t>
            </w:r>
            <w:r>
              <w:rPr>
                <w:spacing w:val="-2"/>
                <w:sz w:val="21"/>
              </w:rPr>
              <w:t>剂治疗更敏感，从而改善预后。</w:t>
            </w:r>
          </w:p>
          <w:p>
            <w:pPr>
              <w:pStyle w:val="TableParagraph"/>
              <w:numPr>
                <w:ilvl w:val="0"/>
                <w:numId w:val="37"/>
              </w:numPr>
              <w:tabs>
                <w:tab w:val="left" w:pos="372"/>
              </w:tabs>
              <w:spacing w:before="0" w:after="0" w:line="278" w:lineRule="auto"/>
              <w:ind w:left="108" w:right="95" w:firstLine="0"/>
              <w:jc w:val="both"/>
              <w:rPr>
                <w:sz w:val="21"/>
              </w:rPr>
            </w:pPr>
            <w:r>
              <w:rPr>
                <w:spacing w:val="-2"/>
                <w:sz w:val="21"/>
              </w:rPr>
              <w:t>基因拷贝数变异：基因拷贝数的增加或减少可能与结肠</w:t>
            </w:r>
            <w:r>
              <w:rPr>
                <w:spacing w:val="-4"/>
                <w:sz w:val="21"/>
              </w:rPr>
              <w:t>癌的发展和预后有关。例如，</w:t>
            </w:r>
            <w:r>
              <w:rPr>
                <w:rFonts w:ascii="Times New Roman" w:eastAsia="Times New Roman"/>
                <w:spacing w:val="-4"/>
                <w:sz w:val="21"/>
              </w:rPr>
              <w:t>EGFR</w:t>
            </w:r>
            <w:r>
              <w:rPr>
                <w:rFonts w:ascii="Times New Roman" w:eastAsia="Times New Roman"/>
                <w:spacing w:val="-10"/>
                <w:sz w:val="21"/>
              </w:rPr>
              <w:t xml:space="preserve"> </w:t>
            </w:r>
            <w:r>
              <w:rPr>
                <w:spacing w:val="-4"/>
                <w:sz w:val="21"/>
              </w:rPr>
              <w:t>基因的扩增与不良预后</w:t>
            </w:r>
            <w:r>
              <w:rPr>
                <w:spacing w:val="-2"/>
                <w:sz w:val="21"/>
              </w:rPr>
              <w:t>相关，而某些抑癌基因的缺失则可能预示疾病的侵袭性和</w:t>
            </w:r>
            <w:r>
              <w:rPr>
                <w:spacing w:val="-2"/>
                <w:sz w:val="21"/>
              </w:rPr>
              <w:t>转移潜力。</w:t>
            </w:r>
          </w:p>
        </w:tc>
      </w:tr>
      <w:tr>
        <w:tblPrEx>
          <w:tblW w:w="0" w:type="auto"/>
          <w:jc w:val="left"/>
          <w:tblInd w:w="130" w:type="dxa"/>
          <w:tblLayout w:type="fixed"/>
          <w:tblCellMar>
            <w:top w:w="0" w:type="dxa"/>
            <w:left w:w="0" w:type="dxa"/>
            <w:bottom w:w="0" w:type="dxa"/>
            <w:right w:w="0" w:type="dxa"/>
          </w:tblCellMar>
          <w:tblLook w:val="01E0"/>
        </w:tblPrEx>
        <w:trPr>
          <w:trHeight w:val="3432"/>
          <w:jc w:val="left"/>
        </w:trPr>
        <w:tc>
          <w:tcPr>
            <w:tcW w:w="2757" w:type="dxa"/>
          </w:tcPr>
          <w:p>
            <w:pPr>
              <w:pStyle w:val="TableParagraph"/>
              <w:spacing w:before="23"/>
              <w:rPr>
                <w:sz w:val="21"/>
              </w:rPr>
            </w:pPr>
            <w:r>
              <w:rPr>
                <w:spacing w:val="-1"/>
                <w:sz w:val="21"/>
              </w:rPr>
              <w:t>遗传变异与结肠癌治疗策略</w:t>
            </w:r>
          </w:p>
        </w:tc>
        <w:tc>
          <w:tcPr>
            <w:tcW w:w="5539" w:type="dxa"/>
          </w:tcPr>
          <w:p>
            <w:pPr>
              <w:pStyle w:val="TableParagraph"/>
              <w:spacing w:before="4"/>
              <w:ind w:left="0"/>
              <w:rPr>
                <w:rFonts w:ascii="Microsoft JhengHei"/>
                <w:b/>
                <w:sz w:val="18"/>
              </w:rPr>
            </w:pPr>
          </w:p>
          <w:p>
            <w:pPr>
              <w:pStyle w:val="TableParagraph"/>
              <w:numPr>
                <w:ilvl w:val="0"/>
                <w:numId w:val="36"/>
              </w:numPr>
              <w:tabs>
                <w:tab w:val="left" w:pos="372"/>
              </w:tabs>
              <w:spacing w:before="0" w:after="0" w:line="278" w:lineRule="auto"/>
              <w:ind w:left="108" w:right="96" w:firstLine="0"/>
              <w:jc w:val="both"/>
              <w:rPr>
                <w:sz w:val="21"/>
              </w:rPr>
            </w:pPr>
            <w:r>
              <w:rPr>
                <w:spacing w:val="-2"/>
                <w:sz w:val="21"/>
              </w:rPr>
              <w:t>靶向治疗：针对特定遗传变异设计的药物可以更精确地</w:t>
            </w:r>
            <w:r>
              <w:rPr>
                <w:spacing w:val="-4"/>
                <w:sz w:val="21"/>
              </w:rPr>
              <w:t>攻击癌细胞。例如，</w:t>
            </w:r>
            <w:r>
              <w:rPr>
                <w:rFonts w:ascii="Times New Roman" w:eastAsia="Times New Roman"/>
                <w:spacing w:val="-4"/>
                <w:sz w:val="21"/>
              </w:rPr>
              <w:t>HER2</w:t>
            </w:r>
            <w:r>
              <w:rPr>
                <w:rFonts w:ascii="Times New Roman" w:eastAsia="Times New Roman"/>
                <w:spacing w:val="-10"/>
                <w:sz w:val="21"/>
              </w:rPr>
              <w:t xml:space="preserve"> </w:t>
            </w:r>
            <w:r>
              <w:rPr>
                <w:spacing w:val="-4"/>
                <w:sz w:val="21"/>
              </w:rPr>
              <w:t>阳性的结肠癌患者可以使用针对</w:t>
            </w:r>
            <w:r>
              <w:rPr>
                <w:spacing w:val="-4"/>
                <w:sz w:val="21"/>
              </w:rPr>
              <w:t xml:space="preserve"> </w:t>
            </w:r>
            <w:r>
              <w:rPr>
                <w:rFonts w:ascii="Times New Roman" w:eastAsia="Times New Roman"/>
                <w:sz w:val="21"/>
              </w:rPr>
              <w:t xml:space="preserve">HER2 </w:t>
            </w:r>
            <w:r>
              <w:rPr>
                <w:sz w:val="21"/>
              </w:rPr>
              <w:t>受体的药物进行治疗。</w:t>
            </w:r>
          </w:p>
          <w:p>
            <w:pPr>
              <w:pStyle w:val="TableParagraph"/>
              <w:numPr>
                <w:ilvl w:val="0"/>
                <w:numId w:val="36"/>
              </w:numPr>
              <w:tabs>
                <w:tab w:val="left" w:pos="372"/>
              </w:tabs>
              <w:spacing w:before="0" w:after="0" w:line="278" w:lineRule="auto"/>
              <w:ind w:left="108" w:right="96" w:firstLine="0"/>
              <w:jc w:val="both"/>
              <w:rPr>
                <w:sz w:val="21"/>
              </w:rPr>
            </w:pPr>
            <w:r>
              <w:rPr>
                <w:spacing w:val="-2"/>
                <w:sz w:val="21"/>
              </w:rPr>
              <w:t>免疫治疗：某些遗传变异可能影响结肠癌细胞对免疫治</w:t>
            </w:r>
            <w:r>
              <w:rPr>
                <w:spacing w:val="-2"/>
                <w:sz w:val="21"/>
              </w:rPr>
              <w:t>疗的反应。了解这些变异有助于选择最合适的免疫治疗策</w:t>
            </w:r>
            <w:r>
              <w:rPr>
                <w:spacing w:val="-2"/>
                <w:sz w:val="21"/>
              </w:rPr>
              <w:t>略，提高治疗效果。</w:t>
            </w:r>
          </w:p>
          <w:p>
            <w:pPr>
              <w:pStyle w:val="TableParagraph"/>
              <w:numPr>
                <w:ilvl w:val="0"/>
                <w:numId w:val="36"/>
              </w:numPr>
              <w:tabs>
                <w:tab w:val="left" w:pos="372"/>
              </w:tabs>
              <w:spacing w:before="0" w:after="0" w:line="278" w:lineRule="auto"/>
              <w:ind w:left="108" w:right="96" w:firstLine="0"/>
              <w:jc w:val="both"/>
              <w:rPr>
                <w:sz w:val="21"/>
              </w:rPr>
            </w:pPr>
            <w:r>
              <w:rPr>
                <w:spacing w:val="-2"/>
                <w:sz w:val="21"/>
              </w:rPr>
              <w:t>个体化治疗：基于遗传变异的信息，医生可以为每位患</w:t>
            </w:r>
            <w:r>
              <w:rPr>
                <w:spacing w:val="-2"/>
                <w:sz w:val="21"/>
              </w:rPr>
              <w:t>者制定个性化的治疗方案。这包括选择合适的化疗药物、</w:t>
            </w:r>
            <w:r>
              <w:rPr>
                <w:spacing w:val="-2"/>
                <w:sz w:val="21"/>
              </w:rPr>
              <w:t>靶向药物以及免疫治疗药物。</w:t>
            </w:r>
          </w:p>
        </w:tc>
      </w:tr>
      <w:tr>
        <w:tblPrEx>
          <w:tblW w:w="0" w:type="auto"/>
          <w:jc w:val="left"/>
          <w:tblInd w:w="130" w:type="dxa"/>
          <w:tblLayout w:type="fixed"/>
          <w:tblCellMar>
            <w:top w:w="0" w:type="dxa"/>
            <w:left w:w="0" w:type="dxa"/>
            <w:bottom w:w="0" w:type="dxa"/>
            <w:right w:w="0" w:type="dxa"/>
          </w:tblCellMar>
          <w:tblLook w:val="01E0"/>
        </w:tblPrEx>
        <w:trPr>
          <w:trHeight w:val="3432"/>
          <w:jc w:val="left"/>
        </w:trPr>
        <w:tc>
          <w:tcPr>
            <w:tcW w:w="2757" w:type="dxa"/>
          </w:tcPr>
          <w:p>
            <w:pPr>
              <w:pStyle w:val="TableParagraph"/>
              <w:spacing w:before="23"/>
              <w:rPr>
                <w:sz w:val="21"/>
              </w:rPr>
            </w:pPr>
            <w:r>
              <w:rPr>
                <w:spacing w:val="-1"/>
                <w:sz w:val="21"/>
              </w:rPr>
              <w:t>遗传变异与结肠癌筛查</w:t>
            </w:r>
          </w:p>
        </w:tc>
        <w:tc>
          <w:tcPr>
            <w:tcW w:w="5539" w:type="dxa"/>
          </w:tcPr>
          <w:p>
            <w:pPr>
              <w:pStyle w:val="TableParagraph"/>
              <w:spacing w:before="4"/>
              <w:ind w:left="0"/>
              <w:rPr>
                <w:rFonts w:ascii="Microsoft JhengHei"/>
                <w:b/>
                <w:sz w:val="18"/>
              </w:rPr>
            </w:pPr>
          </w:p>
          <w:p>
            <w:pPr>
              <w:pStyle w:val="TableParagraph"/>
              <w:numPr>
                <w:ilvl w:val="0"/>
                <w:numId w:val="35"/>
              </w:numPr>
              <w:tabs>
                <w:tab w:val="left" w:pos="372"/>
              </w:tabs>
              <w:spacing w:before="0" w:after="0" w:line="278" w:lineRule="auto"/>
              <w:ind w:left="108" w:right="96" w:firstLine="0"/>
              <w:jc w:val="both"/>
              <w:rPr>
                <w:sz w:val="21"/>
              </w:rPr>
            </w:pPr>
            <w:r>
              <w:rPr>
                <w:spacing w:val="-2"/>
                <w:sz w:val="21"/>
              </w:rPr>
              <w:t>高风险人群筛查：对于有结肠癌家族史或其他遗传易感</w:t>
            </w:r>
            <w:r>
              <w:rPr>
                <w:spacing w:val="-2"/>
                <w:sz w:val="21"/>
              </w:rPr>
              <w:t>性的人群，定期进行结肠镜检查和其他相关筛查措施至关</w:t>
            </w:r>
            <w:r>
              <w:rPr>
                <w:spacing w:val="-2"/>
                <w:sz w:val="21"/>
              </w:rPr>
              <w:t>重要。这有助于早期发现病变，降低死亡率。</w:t>
            </w:r>
          </w:p>
          <w:p>
            <w:pPr>
              <w:pStyle w:val="TableParagraph"/>
              <w:numPr>
                <w:ilvl w:val="0"/>
                <w:numId w:val="35"/>
              </w:numPr>
              <w:tabs>
                <w:tab w:val="left" w:pos="371"/>
              </w:tabs>
              <w:spacing w:before="0" w:after="0" w:line="278" w:lineRule="auto"/>
              <w:ind w:left="108" w:right="-15" w:firstLine="0"/>
              <w:jc w:val="left"/>
              <w:rPr>
                <w:sz w:val="21"/>
              </w:rPr>
            </w:pPr>
            <w:r>
              <w:rPr>
                <w:spacing w:val="-11"/>
                <w:sz w:val="21"/>
              </w:rPr>
              <w:t>遗传咨询：对于已知携带有结肠癌相关遗传变异的个体，</w:t>
            </w:r>
            <w:r>
              <w:rPr>
                <w:spacing w:val="1"/>
                <w:sz w:val="21"/>
              </w:rPr>
              <w:t>遗传咨询可以帮助他们了解自己的风险，并提供相应的筛查和管理建议。</w:t>
            </w:r>
          </w:p>
          <w:p>
            <w:pPr>
              <w:pStyle w:val="TableParagraph"/>
              <w:numPr>
                <w:ilvl w:val="0"/>
                <w:numId w:val="35"/>
              </w:numPr>
              <w:tabs>
                <w:tab w:val="left" w:pos="371"/>
              </w:tabs>
              <w:spacing w:before="0" w:after="0" w:line="278" w:lineRule="auto"/>
              <w:ind w:left="108" w:right="95" w:firstLine="0"/>
              <w:jc w:val="both"/>
              <w:rPr>
                <w:sz w:val="21"/>
              </w:rPr>
            </w:pPr>
            <w:r>
              <w:rPr>
                <w:spacing w:val="-2"/>
                <w:sz w:val="21"/>
              </w:rPr>
              <w:t>新型筛查技术：随着科技的发展，新的筛查技术如粪便</w:t>
            </w:r>
            <w:r>
              <w:rPr>
                <w:spacing w:val="-2"/>
                <w:sz w:val="21"/>
              </w:rPr>
              <w:t xml:space="preserve"> </w:t>
            </w:r>
            <w:r>
              <w:rPr>
                <w:rFonts w:ascii="Times New Roman" w:eastAsia="Times New Roman"/>
                <w:spacing w:val="-2"/>
                <w:sz w:val="21"/>
              </w:rPr>
              <w:t xml:space="preserve">DNA </w:t>
            </w:r>
            <w:r>
              <w:rPr>
                <w:spacing w:val="-2"/>
                <w:sz w:val="21"/>
              </w:rPr>
              <w:t>检测和血液无创筛查正在研发中，这些技术有望提高</w:t>
            </w:r>
            <w:r>
              <w:rPr>
                <w:spacing w:val="-2"/>
                <w:sz w:val="21"/>
              </w:rPr>
              <w:t>筛查的准确性和便利性。</w:t>
            </w:r>
          </w:p>
        </w:tc>
      </w:tr>
      <w:tr>
        <w:tblPrEx>
          <w:tblW w:w="0" w:type="auto"/>
          <w:jc w:val="left"/>
          <w:tblInd w:w="130" w:type="dxa"/>
          <w:tblLayout w:type="fixed"/>
          <w:tblCellMar>
            <w:top w:w="0" w:type="dxa"/>
            <w:left w:w="0" w:type="dxa"/>
            <w:bottom w:w="0" w:type="dxa"/>
            <w:right w:w="0" w:type="dxa"/>
          </w:tblCellMar>
          <w:tblLook w:val="01E0"/>
        </w:tblPrEx>
        <w:trPr>
          <w:trHeight w:val="3432"/>
          <w:jc w:val="left"/>
        </w:trPr>
        <w:tc>
          <w:tcPr>
            <w:tcW w:w="2757" w:type="dxa"/>
          </w:tcPr>
          <w:p>
            <w:pPr>
              <w:pStyle w:val="TableParagraph"/>
              <w:spacing w:before="23"/>
              <w:rPr>
                <w:sz w:val="21"/>
              </w:rPr>
            </w:pPr>
            <w:r>
              <w:rPr>
                <w:spacing w:val="-1"/>
                <w:sz w:val="21"/>
              </w:rPr>
              <w:t>遗传变异与结肠癌预防策略</w:t>
            </w:r>
          </w:p>
        </w:tc>
        <w:tc>
          <w:tcPr>
            <w:tcW w:w="5539" w:type="dxa"/>
          </w:tcPr>
          <w:p>
            <w:pPr>
              <w:pStyle w:val="TableParagraph"/>
              <w:spacing w:before="4"/>
              <w:ind w:left="0"/>
              <w:rPr>
                <w:rFonts w:ascii="Microsoft JhengHei"/>
                <w:b/>
                <w:sz w:val="18"/>
              </w:rPr>
            </w:pPr>
          </w:p>
          <w:p>
            <w:pPr>
              <w:pStyle w:val="TableParagraph"/>
              <w:numPr>
                <w:ilvl w:val="0"/>
                <w:numId w:val="34"/>
              </w:numPr>
              <w:tabs>
                <w:tab w:val="left" w:pos="372"/>
              </w:tabs>
              <w:spacing w:before="0" w:after="0" w:line="278" w:lineRule="auto"/>
              <w:ind w:left="108" w:right="96" w:firstLine="0"/>
              <w:jc w:val="both"/>
              <w:rPr>
                <w:sz w:val="21"/>
              </w:rPr>
            </w:pPr>
            <w:r>
              <w:rPr>
                <w:spacing w:val="-2"/>
                <w:sz w:val="21"/>
              </w:rPr>
              <w:t>健康生活方式：保持健康的生活方式，如均衡饮食、适</w:t>
            </w:r>
            <w:r>
              <w:rPr>
                <w:spacing w:val="-2"/>
                <w:sz w:val="21"/>
              </w:rPr>
              <w:t>量运动、戒烟限酒，可以降低结肠癌的风险。此外，定期</w:t>
            </w:r>
            <w:r>
              <w:rPr>
                <w:spacing w:val="-2"/>
                <w:sz w:val="21"/>
              </w:rPr>
              <w:t>进行体检也有助于早期发现问题。</w:t>
            </w:r>
          </w:p>
          <w:p>
            <w:pPr>
              <w:pStyle w:val="TableParagraph"/>
              <w:numPr>
                <w:ilvl w:val="0"/>
                <w:numId w:val="34"/>
              </w:numPr>
              <w:tabs>
                <w:tab w:val="left" w:pos="371"/>
              </w:tabs>
              <w:spacing w:before="0" w:after="0" w:line="278" w:lineRule="auto"/>
              <w:ind w:left="108" w:right="-15" w:firstLine="0"/>
              <w:jc w:val="left"/>
              <w:rPr>
                <w:sz w:val="21"/>
              </w:rPr>
            </w:pPr>
            <w:r>
              <w:rPr>
                <w:spacing w:val="-11"/>
                <w:sz w:val="21"/>
              </w:rPr>
              <w:t>预防性手术：对于已知携带有高度风险遗传变异的个体，</w:t>
            </w:r>
            <w:r>
              <w:rPr>
                <w:spacing w:val="1"/>
                <w:sz w:val="21"/>
              </w:rPr>
              <w:t>预防性手术如结肠切除术和结肠镜下息肉切除术可能是防止结肠癌发生的有效手段。</w:t>
            </w:r>
          </w:p>
          <w:p>
            <w:pPr>
              <w:pStyle w:val="TableParagraph"/>
              <w:numPr>
                <w:ilvl w:val="0"/>
                <w:numId w:val="34"/>
              </w:numPr>
              <w:tabs>
                <w:tab w:val="left" w:pos="372"/>
              </w:tabs>
              <w:spacing w:before="0" w:after="0" w:line="278" w:lineRule="auto"/>
              <w:ind w:left="108" w:right="95" w:firstLine="0"/>
              <w:jc w:val="both"/>
              <w:rPr>
                <w:sz w:val="21"/>
              </w:rPr>
            </w:pPr>
            <w:r>
              <w:rPr>
                <w:spacing w:val="-2"/>
                <w:sz w:val="21"/>
              </w:rPr>
              <w:t>化学预防：某些药物和天然化合物被认为具有预防结肠</w:t>
            </w:r>
            <w:r>
              <w:rPr>
                <w:spacing w:val="-2"/>
                <w:sz w:val="21"/>
              </w:rPr>
              <w:t>癌的作用。例如，阿司匹林和非甾体抗炎药（</w:t>
            </w:r>
            <w:r>
              <w:rPr>
                <w:rFonts w:ascii="Times New Roman" w:eastAsia="Times New Roman"/>
                <w:spacing w:val="-2"/>
                <w:sz w:val="21"/>
              </w:rPr>
              <w:t>NSAIDs</w:t>
            </w:r>
            <w:r>
              <w:rPr>
                <w:spacing w:val="-2"/>
                <w:sz w:val="21"/>
              </w:rPr>
              <w:t>）</w:t>
            </w:r>
            <w:r>
              <w:rPr>
                <w:spacing w:val="-2"/>
                <w:sz w:val="21"/>
              </w:rPr>
              <w:t>的</w:t>
            </w:r>
            <w:r>
              <w:rPr>
                <w:spacing w:val="-2"/>
                <w:sz w:val="21"/>
              </w:rPr>
              <w:t>使用与降低结肠癌风险有关。然而，这些预防措施的效果</w:t>
            </w:r>
          </w:p>
          <w:p>
            <w:pPr>
              <w:pStyle w:val="TableParagraph"/>
              <w:spacing w:line="269" w:lineRule="exact"/>
              <w:rPr>
                <w:sz w:val="21"/>
              </w:rPr>
            </w:pPr>
            <w:r>
              <w:rPr>
                <w:spacing w:val="-1"/>
                <w:sz w:val="21"/>
              </w:rPr>
              <w:t>和安全性需要进一步的研究来确认。</w:t>
            </w:r>
          </w:p>
        </w:tc>
      </w:tr>
      <w:tr>
        <w:tblPrEx>
          <w:tblW w:w="0" w:type="auto"/>
          <w:jc w:val="left"/>
          <w:tblInd w:w="130" w:type="dxa"/>
          <w:tblLayout w:type="fixed"/>
          <w:tblCellMar>
            <w:top w:w="0" w:type="dxa"/>
            <w:left w:w="0" w:type="dxa"/>
            <w:bottom w:w="0" w:type="dxa"/>
            <w:right w:w="0" w:type="dxa"/>
          </w:tblCellMar>
          <w:tblLook w:val="01E0"/>
        </w:tblPrEx>
        <w:trPr>
          <w:trHeight w:val="311"/>
          <w:jc w:val="left"/>
        </w:trPr>
        <w:tc>
          <w:tcPr>
            <w:tcW w:w="2757" w:type="dxa"/>
          </w:tcPr>
          <w:p>
            <w:pPr>
              <w:pStyle w:val="TableParagraph"/>
              <w:ind w:left="0"/>
              <w:rPr>
                <w:rFonts w:ascii="Times New Roman"/>
                <w:sz w:val="20"/>
              </w:rPr>
            </w:pPr>
          </w:p>
        </w:tc>
        <w:tc>
          <w:tcPr>
            <w:tcW w:w="5539" w:type="dxa"/>
          </w:tcPr>
          <w:p>
            <w:pPr>
              <w:pStyle w:val="TableParagraph"/>
              <w:ind w:left="0"/>
              <w:rPr>
                <w:rFonts w:ascii="Times New Roman"/>
                <w:sz w:val="20"/>
              </w:rPr>
            </w:pPr>
          </w:p>
        </w:tc>
      </w:tr>
    </w:tbl>
    <w:p>
      <w:pPr>
        <w:pStyle w:val="BodyText"/>
        <w:spacing w:before="5"/>
        <w:ind w:left="0"/>
        <w:rPr>
          <w:rFonts w:ascii="Microsoft JhengHei"/>
          <w:b/>
          <w:sz w:val="5"/>
        </w:rPr>
      </w:pPr>
    </w:p>
    <w:p>
      <w:pPr>
        <w:pStyle w:val="BodyText"/>
        <w:spacing w:before="61"/>
        <w:ind w:left="680"/>
      </w:pPr>
      <w:r>
        <w:rPr>
          <w:spacing w:val="-1"/>
        </w:rPr>
        <w:t>结肠癌早期诊断的遗传学基础：遗传变异与结肠癌关联性</w:t>
      </w:r>
    </w:p>
    <w:p>
      <w:pPr>
        <w:spacing w:after="0"/>
        <w:sectPr>
          <w:footerReference w:type="default" r:id="rId13"/>
          <w:type w:val="continuous"/>
          <w:pgSz w:w="11910" w:h="16840"/>
          <w:pgMar w:top="1400" w:right="1280" w:bottom="1380" w:left="1680" w:header="0" w:footer="1198"/>
          <w:pgNumType w:start="9"/>
          <w:cols w:space="708"/>
        </w:sectPr>
      </w:pPr>
    </w:p>
    <w:p>
      <w:pPr>
        <w:pStyle w:val="BodyText"/>
        <w:spacing w:before="37" w:line="417" w:lineRule="auto"/>
        <w:ind w:right="518"/>
        <w:jc w:val="both"/>
      </w:pPr>
      <w:r>
        <w:rPr>
          <w:spacing w:val="-7"/>
        </w:rPr>
        <w:t>结肠癌是全球范围内最常见的恶性肿瘤之一，其发病率和死亡率均较</w:t>
      </w:r>
      <w:r>
        <w:rPr>
          <w:spacing w:val="-4"/>
        </w:rPr>
        <w:t>高。近年来，随着分子生物学技术的快速发展，研究者们在结肠癌的</w:t>
      </w:r>
      <w:r>
        <w:rPr>
          <w:spacing w:val="-9"/>
        </w:rPr>
        <w:t>遗传学研究领域取得了显著进展。本文旨在探讨结肠癌早期诊断中的</w:t>
      </w:r>
      <w:r>
        <w:rPr>
          <w:spacing w:val="-2"/>
        </w:rPr>
        <w:t>遗传学基础，特别是遗传变异与结肠癌之间的关联性。</w:t>
      </w:r>
    </w:p>
    <w:p>
      <w:pPr>
        <w:pStyle w:val="BodyText"/>
        <w:spacing w:line="358" w:lineRule="exact"/>
      </w:pPr>
      <w:r>
        <w:rPr>
          <w:spacing w:val="-1"/>
        </w:rPr>
        <w:t>一、遗传变异与结肠癌风险</w:t>
      </w:r>
    </w:p>
    <w:p>
      <w:pPr>
        <w:pStyle w:val="BodyText"/>
        <w:spacing w:before="8"/>
        <w:ind w:left="0"/>
        <w:rPr>
          <w:sz w:val="20"/>
        </w:rPr>
      </w:pPr>
    </w:p>
    <w:p>
      <w:pPr>
        <w:pStyle w:val="BodyText"/>
        <w:spacing w:before="1" w:line="417" w:lineRule="auto"/>
        <w:ind w:right="238"/>
      </w:pPr>
      <w:r>
        <w:rPr>
          <w:spacing w:val="-2"/>
        </w:rPr>
        <w:t>遗传因素在结肠癌的发生发展中起着重要作用。多项研究发现，遗传</w:t>
      </w:r>
      <w:r>
        <w:rPr>
          <w:spacing w:val="-2"/>
        </w:rPr>
        <w:t xml:space="preserve"> </w:t>
      </w:r>
      <w:r>
        <w:t>变异与结肠癌风险之间存在显著关联。例如，APC</w:t>
      </w:r>
      <w:r>
        <w:rPr>
          <w:spacing w:val="-7"/>
        </w:rPr>
        <w:t xml:space="preserve"> 基因突变是家族性</w:t>
      </w:r>
      <w:r>
        <w:t xml:space="preserve"> 腺瘤性息肉病（FAP）</w:t>
      </w:r>
      <w:r>
        <w:rPr>
          <w:spacing w:val="-8"/>
        </w:rPr>
        <w:t xml:space="preserve">的主要病因，而 </w:t>
      </w:r>
      <w:r>
        <w:t>FAP</w:t>
      </w:r>
      <w:r>
        <w:rPr>
          <w:spacing w:val="-9"/>
        </w:rPr>
        <w:t xml:space="preserve"> 患者患结肠癌的风险极高。</w:t>
      </w:r>
      <w:r>
        <w:t>此外，家族性结直肠癌综合征（HNPCC）</w:t>
      </w:r>
      <w:r>
        <w:rPr>
          <w:spacing w:val="-21"/>
        </w:rPr>
        <w:t xml:space="preserve">与 </w:t>
      </w:r>
      <w:r>
        <w:t xml:space="preserve">MLH1、MSH2、MSH6、PMS2 </w:t>
      </w:r>
      <w:r>
        <w:rPr>
          <w:spacing w:val="-2"/>
        </w:rPr>
        <w:t>等错配修复基因（MMR）的突变有关，这些患者的结肠癌风险也明显</w:t>
      </w:r>
      <w:r>
        <w:rPr>
          <w:spacing w:val="40"/>
        </w:rPr>
        <w:t xml:space="preserve"> </w:t>
      </w:r>
      <w:r>
        <w:rPr>
          <w:spacing w:val="-4"/>
        </w:rPr>
        <w:t>增高。</w:t>
      </w:r>
    </w:p>
    <w:p>
      <w:pPr>
        <w:pStyle w:val="BodyText"/>
        <w:spacing w:line="357" w:lineRule="exact"/>
      </w:pPr>
      <w:r>
        <w:rPr>
          <w:spacing w:val="-1"/>
        </w:rPr>
        <w:t>二、遗传变异与结肠癌表型特征</w:t>
      </w:r>
    </w:p>
    <w:p>
      <w:pPr>
        <w:pStyle w:val="BodyText"/>
        <w:spacing w:before="8"/>
        <w:ind w:left="0"/>
        <w:rPr>
          <w:sz w:val="20"/>
        </w:rPr>
      </w:pPr>
    </w:p>
    <w:p>
      <w:pPr>
        <w:pStyle w:val="BodyText"/>
        <w:spacing w:before="1" w:line="417" w:lineRule="auto"/>
        <w:ind w:right="518"/>
        <w:jc w:val="both"/>
      </w:pPr>
      <w:r>
        <w:rPr>
          <w:spacing w:val="-8"/>
        </w:rPr>
        <w:t>遗传变异不仅影响个体患结肠癌的风险，还与结肠癌的表型特征密切</w:t>
      </w:r>
      <w:r>
        <w:t>相关。例如，KRAS、BRAF 等基因的突变与结肠癌的分化程度、淋巴</w:t>
      </w:r>
      <w:r>
        <w:rPr>
          <w:spacing w:val="-2"/>
        </w:rPr>
        <w:t>结转移及预后不良有关。此外，微卫星不稳定性（MSI）</w:t>
      </w:r>
      <w:r>
        <w:rPr>
          <w:spacing w:val="-17"/>
        </w:rPr>
        <w:t xml:space="preserve">是 </w:t>
      </w:r>
      <w:r>
        <w:rPr>
          <w:spacing w:val="-2"/>
        </w:rPr>
        <w:t>HNPCC</w:t>
      </w:r>
      <w:r>
        <w:rPr>
          <w:spacing w:val="-17"/>
        </w:rPr>
        <w:t xml:space="preserve"> 的</w:t>
      </w:r>
      <w:r>
        <w:rPr>
          <w:spacing w:val="-4"/>
        </w:rPr>
        <w:t>重要标志，MSI</w:t>
      </w:r>
      <w:r>
        <w:rPr>
          <w:spacing w:val="-5"/>
        </w:rPr>
        <w:t xml:space="preserve"> 阳性的结肠癌患者具有独特的临床病理特征，如肿瘤</w:t>
      </w:r>
      <w:r>
        <w:rPr>
          <w:spacing w:val="-2"/>
        </w:rPr>
        <w:t>大小较小、分化程度较高、淋巴结转移较少等。</w:t>
      </w:r>
    </w:p>
    <w:p>
      <w:pPr>
        <w:pStyle w:val="BodyText"/>
        <w:spacing w:line="358" w:lineRule="exact"/>
      </w:pPr>
      <w:r>
        <w:rPr>
          <w:spacing w:val="-1"/>
        </w:rPr>
        <w:t>三、遗传变异与结肠癌早期诊断</w:t>
      </w:r>
    </w:p>
    <w:p>
      <w:pPr>
        <w:pStyle w:val="BodyText"/>
        <w:spacing w:before="8"/>
        <w:ind w:left="0"/>
        <w:rPr>
          <w:sz w:val="20"/>
        </w:rPr>
      </w:pPr>
    </w:p>
    <w:p>
      <w:pPr>
        <w:pStyle w:val="BodyText"/>
        <w:spacing w:before="1" w:line="417" w:lineRule="auto"/>
        <w:ind w:right="518"/>
        <w:jc w:val="both"/>
      </w:pPr>
      <w:r>
        <w:rPr>
          <w:spacing w:val="-6"/>
        </w:rPr>
        <w:t>遗传变异的检测为结肠癌的早期诊断提供了新的思路。通过对高风险</w:t>
      </w:r>
      <w:r>
        <w:rPr>
          <w:spacing w:val="-12"/>
        </w:rPr>
        <w:t>人群的遗传变异筛查，可以识别出具有结肠癌家族史或遗传性结肠癌</w:t>
      </w:r>
      <w:r>
        <w:rPr>
          <w:spacing w:val="-4"/>
        </w:rPr>
        <w:t>综合征的患者，从而实现早期干预和治疗。此外，遗传变异检测还可</w:t>
      </w:r>
      <w:r>
        <w:rPr>
          <w:spacing w:val="-2"/>
        </w:rPr>
        <w:t>以指导结肠癌的靶向治疗和个体化治疗。</w:t>
      </w:r>
    </w:p>
    <w:p>
      <w:pPr>
        <w:spacing w:after="0" w:line="417" w:lineRule="auto"/>
        <w:jc w:val="both"/>
        <w:sectPr>
          <w:footerReference w:type="default" r:id="rId14"/>
          <w:pgSz w:w="11910" w:h="16840"/>
          <w:pgMar w:top="1520" w:right="1280" w:bottom="1380" w:left="1680" w:header="0" w:footer="1198"/>
          <w:pgNumType w:start="10"/>
          <w:cols w:space="708"/>
        </w:sectPr>
      </w:pPr>
    </w:p>
    <w:p>
      <w:pPr>
        <w:pStyle w:val="BodyText"/>
        <w:spacing w:before="37"/>
      </w:pPr>
      <w:r>
        <w:rPr>
          <w:spacing w:val="-1"/>
        </w:rPr>
        <w:t>四、遗传变异与结肠癌预后评估</w:t>
      </w:r>
    </w:p>
    <w:p>
      <w:pPr>
        <w:pStyle w:val="BodyText"/>
        <w:spacing w:before="8"/>
        <w:ind w:left="0"/>
        <w:rPr>
          <w:sz w:val="20"/>
        </w:rPr>
      </w:pPr>
    </w:p>
    <w:p>
      <w:pPr>
        <w:pStyle w:val="BodyText"/>
        <w:spacing w:before="1" w:line="417" w:lineRule="auto"/>
        <w:ind w:right="518"/>
        <w:jc w:val="both"/>
      </w:pPr>
      <w:r>
        <w:rPr>
          <w:spacing w:val="-2"/>
        </w:rPr>
        <w:t>遗传变异与结肠癌的预后密切相关。例如，MMR</w:t>
      </w:r>
      <w:r>
        <w:rPr>
          <w:spacing w:val="-9"/>
        </w:rPr>
        <w:t xml:space="preserve"> 基因突变、</w:t>
      </w:r>
      <w:r>
        <w:rPr>
          <w:spacing w:val="-2"/>
        </w:rPr>
        <w:t>p53</w:t>
      </w:r>
      <w:r>
        <w:rPr>
          <w:spacing w:val="-13"/>
        </w:rPr>
        <w:t xml:space="preserve"> 基因</w:t>
      </w:r>
      <w:r>
        <w:rPr>
          <w:spacing w:val="-2"/>
        </w:rPr>
        <w:t>突变、KRAS/BRAF</w:t>
      </w:r>
      <w:r>
        <w:rPr>
          <w:spacing w:val="-8"/>
        </w:rPr>
        <w:t xml:space="preserve"> 基因突变等均为结肠癌的不良预后因素。通过对结</w:t>
      </w:r>
      <w:r>
        <w:rPr>
          <w:spacing w:val="-4"/>
        </w:rPr>
        <w:t>肠癌患者的遗传变异检测，可以预测患者的预后情况，为临床决策提</w:t>
      </w:r>
      <w:r>
        <w:rPr>
          <w:spacing w:val="-4"/>
        </w:rPr>
        <w:t>供依据。</w:t>
      </w:r>
    </w:p>
    <w:p>
      <w:pPr>
        <w:pStyle w:val="BodyText"/>
        <w:spacing w:line="358" w:lineRule="exact"/>
      </w:pPr>
      <w:r>
        <w:rPr>
          <w:spacing w:val="-3"/>
        </w:rPr>
        <w:t>五、结语</w:t>
      </w:r>
    </w:p>
    <w:p>
      <w:pPr>
        <w:pStyle w:val="BodyText"/>
        <w:spacing w:before="8"/>
        <w:ind w:left="0"/>
        <w:rPr>
          <w:sz w:val="20"/>
        </w:rPr>
      </w:pPr>
    </w:p>
    <w:p>
      <w:pPr>
        <w:pStyle w:val="BodyText"/>
        <w:spacing w:before="1" w:line="417" w:lineRule="auto"/>
        <w:ind w:right="518"/>
        <w:jc w:val="both"/>
      </w:pPr>
      <w:r>
        <w:rPr>
          <w:spacing w:val="-4"/>
        </w:rPr>
        <w:t>综上所述，遗传变异在结肠癌的发生、发展、诊断和预后等方面发挥</w:t>
      </w:r>
      <w:r>
        <w:rPr>
          <w:spacing w:val="-4"/>
        </w:rPr>
        <w:t>着重要作用。随着分子生物学技术的发展，遗传变异检测有望成为结</w:t>
      </w:r>
      <w:r>
        <w:rPr>
          <w:spacing w:val="-4"/>
        </w:rPr>
        <w:t>肠癌早期诊断的重要手段。然而，遗传变异检测仍面临诸多挑战，如</w:t>
      </w:r>
      <w:r>
        <w:rPr>
          <w:spacing w:val="-4"/>
        </w:rPr>
        <w:t>检测方法的标准化、遗传咨询的需求等。未来，我们需要进一步研究</w:t>
      </w:r>
      <w:r>
        <w:rPr>
          <w:spacing w:val="-9"/>
        </w:rPr>
        <w:t>遗传变异与结肠癌之间的关系，以提高结肠癌的早期诊断率和改善患</w:t>
      </w:r>
      <w:r>
        <w:rPr>
          <w:spacing w:val="-2"/>
        </w:rPr>
        <w:t>者的预后。</w:t>
      </w:r>
    </w:p>
    <w:p>
      <w:pPr>
        <w:pStyle w:val="BodyText"/>
        <w:ind w:left="0"/>
      </w:pPr>
    </w:p>
    <w:p>
      <w:pPr>
        <w:pStyle w:val="Heading1"/>
        <w:spacing w:before="236"/>
        <w:jc w:val="both"/>
      </w:pPr>
      <w:bookmarkStart w:id="3" w:name="_TOC_250004"/>
      <w:r>
        <w:t>第四部分</w:t>
      </w:r>
      <w:r>
        <w:rPr>
          <w:spacing w:val="216"/>
          <w:w w:val="150"/>
        </w:rPr>
        <w:t xml:space="preserve"> </w:t>
      </w:r>
      <w:bookmarkEnd w:id="3"/>
      <w:r>
        <w:rPr>
          <w:spacing w:val="-1"/>
        </w:rPr>
        <w:t>基因检测在早期诊断中的应用</w:t>
      </w:r>
    </w:p>
    <w:p>
      <w:pPr>
        <w:pStyle w:val="BodyText"/>
        <w:spacing w:before="16"/>
        <w:ind w:left="0"/>
        <w:rPr>
          <w:rFonts w:ascii="Microsoft JhengHei"/>
          <w:b/>
          <w:sz w:val="15"/>
        </w:rPr>
      </w:pPr>
    </w:p>
    <w:tbl>
      <w:tblPr>
        <w:tblStyle w:val="TableNormal6"/>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0"/>
        <w:gridCol w:w="5536"/>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0" w:type="dxa"/>
          </w:tcPr>
          <w:p>
            <w:pPr>
              <w:pStyle w:val="TableParagraph"/>
              <w:spacing w:before="23"/>
              <w:rPr>
                <w:sz w:val="21"/>
              </w:rPr>
            </w:pPr>
            <w:r>
              <w:rPr>
                <w:spacing w:val="-4"/>
                <w:sz w:val="21"/>
              </w:rPr>
              <w:t>关键词</w:t>
            </w:r>
          </w:p>
        </w:tc>
        <w:tc>
          <w:tcPr>
            <w:tcW w:w="5536" w:type="dxa"/>
          </w:tcPr>
          <w:p>
            <w:pPr>
              <w:pStyle w:val="TableParagraph"/>
              <w:spacing w:before="23"/>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4367"/>
          <w:jc w:val="left"/>
        </w:trPr>
        <w:tc>
          <w:tcPr>
            <w:tcW w:w="2760" w:type="dxa"/>
          </w:tcPr>
          <w:p>
            <w:pPr>
              <w:pStyle w:val="TableParagraph"/>
              <w:spacing w:before="23" w:line="278" w:lineRule="auto"/>
              <w:ind w:right="96"/>
              <w:rPr>
                <w:sz w:val="21"/>
              </w:rPr>
            </w:pPr>
            <w:r>
              <w:rPr>
                <w:spacing w:val="-2"/>
                <w:sz w:val="21"/>
              </w:rPr>
              <w:t>基因检测技术在结肠癌早期</w:t>
            </w:r>
            <w:r>
              <w:rPr>
                <w:spacing w:val="-2"/>
                <w:sz w:val="21"/>
              </w:rPr>
              <w:t>诊断中的重要性</w:t>
            </w:r>
          </w:p>
        </w:tc>
        <w:tc>
          <w:tcPr>
            <w:tcW w:w="5536" w:type="dxa"/>
          </w:tcPr>
          <w:p>
            <w:pPr>
              <w:pStyle w:val="TableParagraph"/>
              <w:spacing w:before="4"/>
              <w:ind w:left="0"/>
              <w:rPr>
                <w:rFonts w:ascii="Microsoft JhengHei"/>
                <w:b/>
                <w:sz w:val="18"/>
              </w:rPr>
            </w:pPr>
          </w:p>
          <w:p>
            <w:pPr>
              <w:pStyle w:val="TableParagraph"/>
              <w:numPr>
                <w:ilvl w:val="0"/>
                <w:numId w:val="33"/>
              </w:numPr>
              <w:tabs>
                <w:tab w:val="left" w:pos="372"/>
              </w:tabs>
              <w:spacing w:before="0" w:after="0" w:line="278" w:lineRule="auto"/>
              <w:ind w:left="108" w:right="96" w:firstLine="0"/>
              <w:jc w:val="both"/>
              <w:rPr>
                <w:sz w:val="21"/>
              </w:rPr>
            </w:pPr>
            <w:r>
              <w:rPr>
                <w:spacing w:val="-2"/>
                <w:sz w:val="21"/>
              </w:rPr>
              <w:t>结肠癌作为全球范围内常见的恶性肿瘤，其早期诊断对</w:t>
            </w:r>
            <w:r>
              <w:rPr>
                <w:spacing w:val="-2"/>
                <w:sz w:val="21"/>
              </w:rPr>
              <w:t>于提高患者生存率至关重要。基因检测技术通过分析患者的遗传信息，可以有效地识别出结肠癌的高风险人群，从</w:t>
            </w:r>
            <w:r>
              <w:rPr>
                <w:spacing w:val="-2"/>
                <w:sz w:val="21"/>
              </w:rPr>
              <w:t>而实现早期筛查和干预。</w:t>
            </w:r>
          </w:p>
          <w:p>
            <w:pPr>
              <w:pStyle w:val="TableParagraph"/>
              <w:numPr>
                <w:ilvl w:val="0"/>
                <w:numId w:val="33"/>
              </w:numPr>
              <w:tabs>
                <w:tab w:val="left" w:pos="372"/>
              </w:tabs>
              <w:spacing w:before="0" w:after="0" w:line="278" w:lineRule="auto"/>
              <w:ind w:left="108" w:right="95" w:firstLine="0"/>
              <w:jc w:val="both"/>
              <w:rPr>
                <w:sz w:val="21"/>
              </w:rPr>
            </w:pPr>
            <w:r>
              <w:rPr>
                <w:spacing w:val="-2"/>
                <w:sz w:val="21"/>
              </w:rPr>
              <w:t>随着高通量测序技术的快速发展，基因检测的成本逐渐</w:t>
            </w:r>
            <w:r>
              <w:rPr>
                <w:spacing w:val="-2"/>
                <w:sz w:val="21"/>
              </w:rPr>
              <w:t>降低，使得大规模的人群筛查成为可能。通过对特定基因</w:t>
            </w:r>
            <w:r>
              <w:rPr>
                <w:spacing w:val="-4"/>
                <w:sz w:val="21"/>
              </w:rPr>
              <w:t>突变（</w:t>
            </w:r>
            <w:r>
              <w:rPr>
                <w:spacing w:val="-14"/>
                <w:sz w:val="21"/>
              </w:rPr>
              <w:t xml:space="preserve">如 </w:t>
            </w:r>
            <w:r>
              <w:rPr>
                <w:rFonts w:ascii="Times New Roman" w:eastAsia="Times New Roman"/>
                <w:spacing w:val="-4"/>
                <w:sz w:val="21"/>
              </w:rPr>
              <w:t>APC</w:t>
            </w:r>
            <w:r>
              <w:rPr>
                <w:spacing w:val="-4"/>
                <w:sz w:val="21"/>
              </w:rPr>
              <w:t>、</w:t>
            </w:r>
            <w:r>
              <w:rPr>
                <w:rFonts w:ascii="Times New Roman" w:eastAsia="Times New Roman"/>
                <w:spacing w:val="-4"/>
                <w:sz w:val="21"/>
              </w:rPr>
              <w:t>KRAS</w:t>
            </w:r>
            <w:r>
              <w:rPr>
                <w:spacing w:val="-4"/>
                <w:sz w:val="21"/>
              </w:rPr>
              <w:t>、</w:t>
            </w:r>
            <w:r>
              <w:rPr>
                <w:rFonts w:ascii="Times New Roman" w:eastAsia="Times New Roman"/>
                <w:spacing w:val="-4"/>
                <w:sz w:val="21"/>
              </w:rPr>
              <w:t>BRAF</w:t>
            </w:r>
            <w:r>
              <w:rPr>
                <w:rFonts w:ascii="Times New Roman" w:eastAsia="Times New Roman"/>
                <w:spacing w:val="-9"/>
                <w:sz w:val="21"/>
              </w:rPr>
              <w:t xml:space="preserve"> </w:t>
            </w:r>
            <w:r>
              <w:rPr>
                <w:spacing w:val="-4"/>
                <w:sz w:val="21"/>
              </w:rPr>
              <w:t>等）的检测，医生可以更准</w:t>
            </w:r>
            <w:r>
              <w:rPr>
                <w:spacing w:val="-2"/>
                <w:sz w:val="21"/>
              </w:rPr>
              <w:t>确地评估个体患结肠癌的风险。</w:t>
            </w:r>
          </w:p>
          <w:p>
            <w:pPr>
              <w:pStyle w:val="TableParagraph"/>
              <w:numPr>
                <w:ilvl w:val="0"/>
                <w:numId w:val="33"/>
              </w:numPr>
              <w:tabs>
                <w:tab w:val="left" w:pos="371"/>
              </w:tabs>
              <w:spacing w:before="0" w:after="0" w:line="278" w:lineRule="auto"/>
              <w:ind w:left="108" w:right="-15" w:firstLine="0"/>
              <w:jc w:val="left"/>
              <w:rPr>
                <w:sz w:val="21"/>
              </w:rPr>
            </w:pPr>
            <w:r>
              <w:rPr>
                <w:spacing w:val="-11"/>
                <w:sz w:val="21"/>
              </w:rPr>
              <w:t>此外，基因检测还可以帮助医生制定个性化的治疗方案。</w:t>
            </w:r>
            <w:r>
              <w:rPr>
                <w:spacing w:val="1"/>
                <w:sz w:val="21"/>
              </w:rPr>
              <w:t>例如，某些基因突变的结肠癌患者可能对某种化疗药物更为敏感，因此通过基因检测来指导治疗选择可以提高治疗效果。</w:t>
            </w:r>
          </w:p>
        </w:tc>
      </w:tr>
    </w:tbl>
    <w:p>
      <w:pPr>
        <w:spacing w:after="0" w:line="278" w:lineRule="auto"/>
        <w:jc w:val="left"/>
        <w:rPr>
          <w:sz w:val="21"/>
        </w:rPr>
        <w:sectPr>
          <w:footerReference w:type="default" r:id="rId15"/>
          <w:pgSz w:w="11910" w:h="16840"/>
          <w:pgMar w:top="1520" w:right="1280" w:bottom="1380" w:left="1680" w:header="0" w:footer="1198"/>
          <w:pgNumType w:start="11"/>
          <w:cols w:space="708"/>
        </w:sectPr>
      </w:pPr>
    </w:p>
    <w:tbl>
      <w:tblPr>
        <w:tblStyle w:val="TableNormal7"/>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0"/>
        <w:gridCol w:w="5536"/>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056"/>
          <w:jc w:val="left"/>
        </w:trPr>
        <w:tc>
          <w:tcPr>
            <w:tcW w:w="2760" w:type="dxa"/>
          </w:tcPr>
          <w:p>
            <w:pPr>
              <w:pStyle w:val="TableParagraph"/>
              <w:spacing w:before="23" w:line="278" w:lineRule="auto"/>
              <w:ind w:right="96"/>
              <w:rPr>
                <w:sz w:val="21"/>
              </w:rPr>
            </w:pPr>
            <w:r>
              <w:rPr>
                <w:spacing w:val="-2"/>
                <w:sz w:val="21"/>
              </w:rPr>
              <w:t>遗传标记物在结肠癌早期诊</w:t>
            </w:r>
            <w:r>
              <w:rPr>
                <w:spacing w:val="-2"/>
                <w:sz w:val="21"/>
              </w:rPr>
              <w:t>断中的作用</w:t>
            </w:r>
          </w:p>
        </w:tc>
        <w:tc>
          <w:tcPr>
            <w:tcW w:w="5536" w:type="dxa"/>
          </w:tcPr>
          <w:p>
            <w:pPr>
              <w:pStyle w:val="TableParagraph"/>
              <w:spacing w:before="4"/>
              <w:ind w:left="0"/>
              <w:rPr>
                <w:rFonts w:ascii="Microsoft JhengHei"/>
                <w:b/>
                <w:sz w:val="18"/>
              </w:rPr>
            </w:pPr>
          </w:p>
          <w:p>
            <w:pPr>
              <w:pStyle w:val="TableParagraph"/>
              <w:numPr>
                <w:ilvl w:val="0"/>
                <w:numId w:val="32"/>
              </w:numPr>
              <w:tabs>
                <w:tab w:val="left" w:pos="388"/>
              </w:tabs>
              <w:spacing w:before="0" w:after="0" w:line="278" w:lineRule="auto"/>
              <w:ind w:left="108" w:right="2" w:firstLine="0"/>
              <w:jc w:val="left"/>
              <w:rPr>
                <w:sz w:val="21"/>
              </w:rPr>
            </w:pPr>
            <w:r>
              <w:rPr>
                <w:spacing w:val="14"/>
                <w:sz w:val="21"/>
              </w:rPr>
              <w:t>遗传标记物是指与疾病发生发展密切相关的基因或</w:t>
            </w:r>
            <w:r>
              <w:rPr>
                <w:sz w:val="21"/>
              </w:rPr>
              <w:t xml:space="preserve"> </w:t>
            </w:r>
            <w:r>
              <w:rPr>
                <w:rFonts w:ascii="Times New Roman" w:eastAsia="Times New Roman"/>
                <w:sz w:val="21"/>
              </w:rPr>
              <w:t xml:space="preserve">DNA </w:t>
            </w:r>
            <w:r>
              <w:rPr>
                <w:sz w:val="21"/>
              </w:rPr>
              <w:t>序列。在结肠癌早期诊断中，研究人员已经发现了多</w:t>
            </w:r>
            <w:r>
              <w:rPr>
                <w:spacing w:val="-2"/>
                <w:sz w:val="21"/>
              </w:rPr>
              <w:t>个具有重要意义的遗传标记物，如微卫星不稳定性</w:t>
            </w:r>
            <w:r>
              <w:rPr>
                <w:spacing w:val="-2"/>
                <w:sz w:val="21"/>
              </w:rPr>
              <w:t>（</w:t>
            </w:r>
            <w:r>
              <w:rPr>
                <w:rFonts w:ascii="Times New Roman" w:eastAsia="Times New Roman"/>
                <w:spacing w:val="-2"/>
                <w:sz w:val="21"/>
              </w:rPr>
              <w:t>MSI</w:t>
            </w:r>
            <w:r>
              <w:rPr>
                <w:spacing w:val="-2"/>
                <w:sz w:val="21"/>
              </w:rPr>
              <w:t>）</w:t>
            </w:r>
            <w:r>
              <w:rPr>
                <w:spacing w:val="-2"/>
                <w:sz w:val="21"/>
              </w:rPr>
              <w:t>和错配修复（</w:t>
            </w:r>
            <w:r>
              <w:rPr>
                <w:rFonts w:ascii="Times New Roman" w:eastAsia="Times New Roman"/>
                <w:spacing w:val="-2"/>
                <w:sz w:val="21"/>
              </w:rPr>
              <w:t>MMR</w:t>
            </w:r>
            <w:r>
              <w:rPr>
                <w:spacing w:val="-2"/>
                <w:sz w:val="21"/>
              </w:rPr>
              <w:t>）基因突变。</w:t>
            </w:r>
          </w:p>
          <w:p>
            <w:pPr>
              <w:pStyle w:val="TableParagraph"/>
              <w:numPr>
                <w:ilvl w:val="0"/>
                <w:numId w:val="32"/>
              </w:numPr>
              <w:tabs>
                <w:tab w:val="left" w:pos="322"/>
              </w:tabs>
              <w:spacing w:before="0" w:after="0" w:line="278" w:lineRule="auto"/>
              <w:ind w:left="108" w:right="96" w:firstLine="0"/>
              <w:jc w:val="both"/>
              <w:rPr>
                <w:sz w:val="21"/>
              </w:rPr>
            </w:pPr>
            <w:r>
              <w:rPr>
                <w:rFonts w:ascii="Times New Roman" w:eastAsia="Times New Roman"/>
                <w:sz w:val="21"/>
              </w:rPr>
              <w:t>MSI</w:t>
            </w:r>
            <w:r>
              <w:rPr>
                <w:rFonts w:ascii="Times New Roman" w:eastAsia="Times New Roman"/>
                <w:spacing w:val="-3"/>
                <w:sz w:val="21"/>
              </w:rPr>
              <w:t xml:space="preserve"> </w:t>
            </w:r>
            <w:r>
              <w:rPr>
                <w:spacing w:val="-13"/>
                <w:sz w:val="21"/>
              </w:rPr>
              <w:t xml:space="preserve">和 </w:t>
            </w:r>
            <w:r>
              <w:rPr>
                <w:rFonts w:ascii="Times New Roman" w:eastAsia="Times New Roman"/>
                <w:sz w:val="21"/>
              </w:rPr>
              <w:t xml:space="preserve">MMR </w:t>
            </w:r>
            <w:r>
              <w:rPr>
                <w:sz w:val="21"/>
              </w:rPr>
              <w:t>基因突变是结肠癌的重要遗传特征，它们</w:t>
            </w:r>
            <w:r>
              <w:rPr>
                <w:spacing w:val="-2"/>
                <w:sz w:val="21"/>
              </w:rPr>
              <w:t>在肿瘤的发生过程中起着关键作用。通过对这些遗传标记物的检测，医生可以更早地发现结肠癌，并对其进行有效</w:t>
            </w:r>
            <w:r>
              <w:rPr>
                <w:spacing w:val="-4"/>
                <w:sz w:val="21"/>
              </w:rPr>
              <w:t>的治疗。</w:t>
            </w:r>
          </w:p>
          <w:p>
            <w:pPr>
              <w:pStyle w:val="TableParagraph"/>
              <w:numPr>
                <w:ilvl w:val="0"/>
                <w:numId w:val="32"/>
              </w:numPr>
              <w:tabs>
                <w:tab w:val="left" w:pos="372"/>
              </w:tabs>
              <w:spacing w:before="0" w:after="0" w:line="278" w:lineRule="auto"/>
              <w:ind w:left="108" w:right="96" w:firstLine="0"/>
              <w:jc w:val="both"/>
              <w:rPr>
                <w:sz w:val="21"/>
              </w:rPr>
            </w:pPr>
            <w:r>
              <w:rPr>
                <w:spacing w:val="-2"/>
                <w:sz w:val="21"/>
              </w:rPr>
              <w:t>然而，遗传标记物的检测并非万能，仍需要与其他诊断</w:t>
            </w:r>
            <w:r>
              <w:rPr>
                <w:spacing w:val="-2"/>
                <w:sz w:val="21"/>
              </w:rPr>
              <w:t>方法（如结肠镜检查）相结合，以提高诊断的准确性和可</w:t>
            </w:r>
            <w:r>
              <w:rPr>
                <w:spacing w:val="-4"/>
                <w:sz w:val="21"/>
              </w:rPr>
              <w:t>靠性。</w:t>
            </w:r>
          </w:p>
        </w:tc>
      </w:tr>
      <w:tr>
        <w:tblPrEx>
          <w:tblW w:w="0" w:type="auto"/>
          <w:jc w:val="left"/>
          <w:tblInd w:w="130" w:type="dxa"/>
          <w:tblLayout w:type="fixed"/>
          <w:tblCellMar>
            <w:top w:w="0" w:type="dxa"/>
            <w:left w:w="0" w:type="dxa"/>
            <w:bottom w:w="0" w:type="dxa"/>
            <w:right w:w="0" w:type="dxa"/>
          </w:tblCellMar>
          <w:tblLook w:val="01E0"/>
        </w:tblPrEx>
        <w:trPr>
          <w:trHeight w:val="4056"/>
          <w:jc w:val="left"/>
        </w:trPr>
        <w:tc>
          <w:tcPr>
            <w:tcW w:w="2760" w:type="dxa"/>
          </w:tcPr>
          <w:p>
            <w:pPr>
              <w:pStyle w:val="TableParagraph"/>
              <w:spacing w:before="23" w:line="278" w:lineRule="auto"/>
              <w:ind w:right="96"/>
              <w:rPr>
                <w:sz w:val="21"/>
              </w:rPr>
            </w:pPr>
            <w:r>
              <w:rPr>
                <w:spacing w:val="-2"/>
                <w:sz w:val="21"/>
              </w:rPr>
              <w:t>基于遗传学的结肠癌风险评</w:t>
            </w:r>
            <w:r>
              <w:rPr>
                <w:spacing w:val="-4"/>
                <w:sz w:val="21"/>
              </w:rPr>
              <w:t>估模型</w:t>
            </w:r>
          </w:p>
        </w:tc>
        <w:tc>
          <w:tcPr>
            <w:tcW w:w="5536" w:type="dxa"/>
          </w:tcPr>
          <w:p>
            <w:pPr>
              <w:pStyle w:val="TableParagraph"/>
              <w:spacing w:before="4"/>
              <w:ind w:left="0"/>
              <w:rPr>
                <w:rFonts w:ascii="Microsoft JhengHei"/>
                <w:b/>
                <w:sz w:val="18"/>
              </w:rPr>
            </w:pPr>
          </w:p>
          <w:p>
            <w:pPr>
              <w:pStyle w:val="TableParagraph"/>
              <w:numPr>
                <w:ilvl w:val="0"/>
                <w:numId w:val="31"/>
              </w:numPr>
              <w:tabs>
                <w:tab w:val="left" w:pos="372"/>
              </w:tabs>
              <w:spacing w:before="0" w:after="0" w:line="278" w:lineRule="auto"/>
              <w:ind w:left="108" w:right="96" w:firstLine="0"/>
              <w:jc w:val="both"/>
              <w:rPr>
                <w:sz w:val="21"/>
              </w:rPr>
            </w:pPr>
            <w:r>
              <w:rPr>
                <w:spacing w:val="-2"/>
                <w:sz w:val="21"/>
              </w:rPr>
              <w:t>结肠癌风险评估模型是一种基于遗传学原理的工具，用</w:t>
            </w:r>
            <w:r>
              <w:rPr>
                <w:spacing w:val="-2"/>
                <w:sz w:val="21"/>
              </w:rPr>
              <w:t>于预测个体在未来一段时间内患结肠癌的风险。这些模型通常考虑多种遗传因素和环境因素，以提供更全面的风险</w:t>
            </w:r>
            <w:r>
              <w:rPr>
                <w:spacing w:val="-4"/>
                <w:sz w:val="21"/>
              </w:rPr>
              <w:t>评估。</w:t>
            </w:r>
          </w:p>
          <w:p>
            <w:pPr>
              <w:pStyle w:val="TableParagraph"/>
              <w:numPr>
                <w:ilvl w:val="0"/>
                <w:numId w:val="31"/>
              </w:numPr>
              <w:tabs>
                <w:tab w:val="left" w:pos="372"/>
              </w:tabs>
              <w:spacing w:before="0" w:after="0" w:line="278" w:lineRule="auto"/>
              <w:ind w:left="108" w:right="96" w:firstLine="0"/>
              <w:jc w:val="both"/>
              <w:rPr>
                <w:sz w:val="21"/>
              </w:rPr>
            </w:pPr>
            <w:r>
              <w:rPr>
                <w:spacing w:val="-2"/>
                <w:sz w:val="21"/>
              </w:rPr>
              <w:t>风险评估模型可以帮助医生确定哪些人群需要进行定期</w:t>
            </w:r>
            <w:r>
              <w:rPr>
                <w:spacing w:val="-2"/>
                <w:sz w:val="21"/>
              </w:rPr>
              <w:t>的结肠癌筛查，从而实现早期发现和治疗。同时，这些模</w:t>
            </w:r>
            <w:r>
              <w:rPr>
                <w:spacing w:val="-2"/>
                <w:sz w:val="21"/>
              </w:rPr>
              <w:t>型也可以为高风险个体提供个性化的健康管理建议。</w:t>
            </w:r>
          </w:p>
          <w:p>
            <w:pPr>
              <w:pStyle w:val="TableParagraph"/>
              <w:numPr>
                <w:ilvl w:val="0"/>
                <w:numId w:val="31"/>
              </w:numPr>
              <w:tabs>
                <w:tab w:val="left" w:pos="372"/>
              </w:tabs>
              <w:spacing w:before="0" w:after="0" w:line="278" w:lineRule="auto"/>
              <w:ind w:left="108" w:right="96" w:firstLine="0"/>
              <w:jc w:val="both"/>
              <w:rPr>
                <w:sz w:val="21"/>
              </w:rPr>
            </w:pPr>
            <w:r>
              <w:rPr>
                <w:spacing w:val="-2"/>
                <w:sz w:val="21"/>
              </w:rPr>
              <w:t>随着大数据和人工智能技术的发展，未来的风险评估模</w:t>
            </w:r>
            <w:r>
              <w:rPr>
                <w:spacing w:val="-2"/>
                <w:sz w:val="21"/>
              </w:rPr>
              <w:t>型将更加精确和个性化。通过对大量遗传信息和临床数据的分析，研究人员可以不断优化现有的风险评估模型，提</w:t>
            </w:r>
            <w:r>
              <w:rPr>
                <w:spacing w:val="-2"/>
                <w:sz w:val="21"/>
              </w:rPr>
              <w:t>高其在实际应用中的效果。</w:t>
            </w:r>
          </w:p>
        </w:tc>
      </w:tr>
      <w:tr>
        <w:tblPrEx>
          <w:tblW w:w="0" w:type="auto"/>
          <w:jc w:val="left"/>
          <w:tblInd w:w="130" w:type="dxa"/>
          <w:tblLayout w:type="fixed"/>
          <w:tblCellMar>
            <w:top w:w="0" w:type="dxa"/>
            <w:left w:w="0" w:type="dxa"/>
            <w:bottom w:w="0" w:type="dxa"/>
            <w:right w:w="0" w:type="dxa"/>
          </w:tblCellMar>
          <w:tblLook w:val="01E0"/>
        </w:tblPrEx>
        <w:trPr>
          <w:trHeight w:val="4367"/>
          <w:jc w:val="left"/>
        </w:trPr>
        <w:tc>
          <w:tcPr>
            <w:tcW w:w="2760" w:type="dxa"/>
          </w:tcPr>
          <w:p>
            <w:pPr>
              <w:pStyle w:val="TableParagraph"/>
              <w:spacing w:before="23" w:line="278" w:lineRule="auto"/>
              <w:ind w:right="96"/>
              <w:rPr>
                <w:sz w:val="21"/>
              </w:rPr>
            </w:pPr>
            <w:r>
              <w:rPr>
                <w:spacing w:val="-2"/>
                <w:sz w:val="21"/>
              </w:rPr>
              <w:t>家族遗传史在结肠癌早期诊</w:t>
            </w:r>
            <w:r>
              <w:rPr>
                <w:spacing w:val="-2"/>
                <w:sz w:val="21"/>
              </w:rPr>
              <w:t>断中的作用</w:t>
            </w:r>
          </w:p>
        </w:tc>
        <w:tc>
          <w:tcPr>
            <w:tcW w:w="5536" w:type="dxa"/>
          </w:tcPr>
          <w:p>
            <w:pPr>
              <w:pStyle w:val="TableParagraph"/>
              <w:spacing w:before="4"/>
              <w:ind w:left="0"/>
              <w:rPr>
                <w:rFonts w:ascii="Microsoft JhengHei"/>
                <w:b/>
                <w:sz w:val="18"/>
              </w:rPr>
            </w:pPr>
          </w:p>
          <w:p>
            <w:pPr>
              <w:pStyle w:val="TableParagraph"/>
              <w:numPr>
                <w:ilvl w:val="0"/>
                <w:numId w:val="30"/>
              </w:numPr>
              <w:tabs>
                <w:tab w:val="left" w:pos="372"/>
              </w:tabs>
              <w:spacing w:before="0" w:after="0" w:line="278" w:lineRule="auto"/>
              <w:ind w:left="108" w:right="96" w:firstLine="0"/>
              <w:jc w:val="both"/>
              <w:rPr>
                <w:sz w:val="21"/>
              </w:rPr>
            </w:pPr>
            <w:r>
              <w:rPr>
                <w:spacing w:val="-2"/>
                <w:sz w:val="21"/>
              </w:rPr>
              <w:t>家族遗传史是结肠癌早期诊断中的一个重要因素。如果</w:t>
            </w:r>
            <w:r>
              <w:rPr>
                <w:spacing w:val="-2"/>
                <w:sz w:val="21"/>
              </w:rPr>
              <w:t>家族中有亲属曾患有结肠癌，那么个体患病的风险会显著增加。因此，对于有结肠癌家族史的人群，应进行定期的</w:t>
            </w:r>
            <w:r>
              <w:rPr>
                <w:spacing w:val="-2"/>
                <w:sz w:val="21"/>
              </w:rPr>
              <w:t>基因检测和筛查。</w:t>
            </w:r>
          </w:p>
          <w:p>
            <w:pPr>
              <w:pStyle w:val="TableParagraph"/>
              <w:numPr>
                <w:ilvl w:val="0"/>
                <w:numId w:val="30"/>
              </w:numPr>
              <w:tabs>
                <w:tab w:val="left" w:pos="372"/>
              </w:tabs>
              <w:spacing w:before="0" w:after="0" w:line="278" w:lineRule="auto"/>
              <w:ind w:left="108" w:right="96" w:firstLine="0"/>
              <w:jc w:val="both"/>
              <w:rPr>
                <w:sz w:val="21"/>
              </w:rPr>
            </w:pPr>
            <w:r>
              <w:rPr>
                <w:spacing w:val="-2"/>
                <w:sz w:val="21"/>
              </w:rPr>
              <w:t>通过对家族遗传史的分析，医生可以更好地了解患者的</w:t>
            </w:r>
            <w:r>
              <w:rPr>
                <w:spacing w:val="-2"/>
                <w:sz w:val="21"/>
              </w:rPr>
              <w:t>遗传背景，从而制定更有效的早期诊断策略。例如，对于</w:t>
            </w:r>
            <w:r>
              <w:rPr>
                <w:spacing w:val="-14"/>
                <w:sz w:val="21"/>
              </w:rPr>
              <w:t xml:space="preserve">有 </w:t>
            </w:r>
            <w:r>
              <w:rPr>
                <w:rFonts w:ascii="Times New Roman" w:eastAsia="Times New Roman"/>
                <w:spacing w:val="-4"/>
                <w:sz w:val="21"/>
              </w:rPr>
              <w:t>BRCA1/2</w:t>
            </w:r>
            <w:r>
              <w:rPr>
                <w:rFonts w:ascii="Times New Roman" w:eastAsia="Times New Roman"/>
                <w:spacing w:val="9"/>
                <w:sz w:val="21"/>
              </w:rPr>
              <w:t xml:space="preserve"> </w:t>
            </w:r>
            <w:r>
              <w:rPr>
                <w:spacing w:val="-4"/>
                <w:sz w:val="21"/>
              </w:rPr>
              <w:t>突变家族史的患者，医生可能会推荐更频繁的</w:t>
            </w:r>
            <w:r>
              <w:rPr>
                <w:spacing w:val="-2"/>
                <w:sz w:val="21"/>
              </w:rPr>
              <w:t>结肠镜检查。</w:t>
            </w:r>
          </w:p>
          <w:p>
            <w:pPr>
              <w:pStyle w:val="TableParagraph"/>
              <w:numPr>
                <w:ilvl w:val="0"/>
                <w:numId w:val="30"/>
              </w:numPr>
              <w:tabs>
                <w:tab w:val="left" w:pos="372"/>
              </w:tabs>
              <w:spacing w:before="0" w:after="0" w:line="278" w:lineRule="auto"/>
              <w:ind w:left="108" w:right="-15" w:firstLine="0"/>
              <w:jc w:val="left"/>
              <w:rPr>
                <w:sz w:val="21"/>
              </w:rPr>
            </w:pPr>
            <w:r>
              <w:rPr>
                <w:sz w:val="21"/>
              </w:rPr>
              <w:t>然而，家族遗传史并不能完全决定个体是否会发生结肠</w:t>
            </w:r>
            <w:r>
              <w:rPr>
                <w:spacing w:val="1"/>
                <w:sz w:val="21"/>
              </w:rPr>
              <w:t>癌。环境因素和生活方式也在结肠癌的发生中起着重要作</w:t>
            </w:r>
            <w:r>
              <w:rPr>
                <w:spacing w:val="-7"/>
                <w:sz w:val="21"/>
              </w:rPr>
              <w:t>用。因此，对于有结肠癌家族史的人群，除了基因检测外，</w:t>
            </w:r>
            <w:r>
              <w:rPr>
                <w:sz w:val="21"/>
              </w:rPr>
              <w:t>还需要保持健康的生活习惯，以减少患病风险。</w:t>
            </w:r>
          </w:p>
        </w:tc>
      </w:tr>
      <w:tr>
        <w:tblPrEx>
          <w:tblW w:w="0" w:type="auto"/>
          <w:jc w:val="left"/>
          <w:tblInd w:w="130" w:type="dxa"/>
          <w:tblLayout w:type="fixed"/>
          <w:tblCellMar>
            <w:top w:w="0" w:type="dxa"/>
            <w:left w:w="0" w:type="dxa"/>
            <w:bottom w:w="0" w:type="dxa"/>
            <w:right w:w="0" w:type="dxa"/>
          </w:tblCellMar>
          <w:tblLook w:val="01E0"/>
        </w:tblPrEx>
        <w:trPr>
          <w:trHeight w:val="1248"/>
          <w:jc w:val="left"/>
        </w:trPr>
        <w:tc>
          <w:tcPr>
            <w:tcW w:w="2760" w:type="dxa"/>
          </w:tcPr>
          <w:p>
            <w:pPr>
              <w:pStyle w:val="TableParagraph"/>
              <w:spacing w:before="23" w:line="278" w:lineRule="auto"/>
              <w:ind w:right="96"/>
              <w:rPr>
                <w:sz w:val="21"/>
              </w:rPr>
            </w:pPr>
            <w:r>
              <w:rPr>
                <w:spacing w:val="-2"/>
                <w:sz w:val="21"/>
              </w:rPr>
              <w:t>新兴基因编辑技术在结肠癌</w:t>
            </w:r>
            <w:r>
              <w:rPr>
                <w:spacing w:val="-2"/>
                <w:sz w:val="21"/>
              </w:rPr>
              <w:t>早期诊断中的应用</w:t>
            </w:r>
          </w:p>
        </w:tc>
        <w:tc>
          <w:tcPr>
            <w:tcW w:w="5536" w:type="dxa"/>
          </w:tcPr>
          <w:p>
            <w:pPr>
              <w:pStyle w:val="TableParagraph"/>
              <w:spacing w:before="18"/>
              <w:ind w:left="0"/>
              <w:rPr>
                <w:rFonts w:ascii="Microsoft JhengHei"/>
                <w:b/>
                <w:sz w:val="15"/>
              </w:rPr>
            </w:pPr>
          </w:p>
          <w:p>
            <w:pPr>
              <w:pStyle w:val="TableParagraph"/>
              <w:numPr>
                <w:ilvl w:val="0"/>
                <w:numId w:val="29"/>
              </w:numPr>
              <w:tabs>
                <w:tab w:val="left" w:pos="372"/>
              </w:tabs>
              <w:spacing w:before="0" w:after="0" w:line="310" w:lineRule="atLeast"/>
              <w:ind w:left="108" w:right="96" w:firstLine="0"/>
              <w:jc w:val="both"/>
              <w:rPr>
                <w:sz w:val="21"/>
              </w:rPr>
            </w:pPr>
            <w:r>
              <w:rPr>
                <w:spacing w:val="-5"/>
                <w:sz w:val="21"/>
              </w:rPr>
              <w:t xml:space="preserve">基因编辑技术，如 </w:t>
            </w:r>
            <w:r>
              <w:rPr>
                <w:rFonts w:ascii="Times New Roman" w:eastAsia="Times New Roman"/>
                <w:spacing w:val="-2"/>
                <w:sz w:val="21"/>
              </w:rPr>
              <w:t>CRISPR-Cas9</w:t>
            </w:r>
            <w:r>
              <w:rPr>
                <w:spacing w:val="-2"/>
                <w:sz w:val="21"/>
              </w:rPr>
              <w:t>，为结肠癌的早期诊断</w:t>
            </w:r>
            <w:r>
              <w:rPr>
                <w:spacing w:val="-2"/>
                <w:sz w:val="21"/>
              </w:rPr>
              <w:t>提供了新的可能性。通过精确地修改或替换基因组中的特定序列，基因编辑技术可以帮助研究人员发现与结肠癌相</w:t>
            </w:r>
          </w:p>
        </w:tc>
      </w:tr>
    </w:tbl>
    <w:p>
      <w:pPr>
        <w:spacing w:after="0" w:line="310" w:lineRule="atLeast"/>
        <w:jc w:val="both"/>
        <w:rPr>
          <w:sz w:val="21"/>
        </w:rPr>
      </w:pPr>
      <w:r>
        <w:rPr>
          <w:sz w:val="21"/>
        </w:rPr>
        <w:br/>
      </w:r>
      <w:r>
        <w:rPr>
          <w:sz w:val="2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https://d.book118.com/366033005221010101</w:t>
        </w:r>
      </w:hyperlink>
    </w:p>
    <w:p>
      <w:pPr>
        <w:spacing w:after="0" w:line="310" w:lineRule="atLeast"/>
        <w:jc w:val="both"/>
        <w:rPr>
          <w:sz w:val="21"/>
        </w:rPr>
      </w:pPr>
    </w:p>
    <w:sectPr>
      <w:footerReference w:type="default" r:id="rId17"/>
      <w:type w:val="continuous"/>
      <w:pgSz w:w="11910" w:h="16840"/>
      <w:pgMar w:top="1400" w:right="1280" w:bottom="1380" w:left="1680" w:header="0" w:footer="1198"/>
      <w:pgNumType w:start="12"/>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仿宋">
    <w:altName w:val="仿宋"/>
    <w:charset w:val="86"/>
    <w:family w:val="modern"/>
    <w:pitch w:val="fixed"/>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49" type="#_x0000_t202" style="width:29.05pt;height:12pt;margin-top:770.98pt;margin-left:284.4pt;mso-position-horizontal-relative:page;mso-position-vertical-relative:page;position:absolute;z-index:-25165824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8" type="#_x0000_t202" style="width:29.05pt;height:12pt;margin-top:770.98pt;margin-left:284.4pt;mso-position-horizontal-relative:page;mso-position-vertical-relative:page;position:absolute;z-index:-25164902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10</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9" type="#_x0000_t202" style="width:29.05pt;height:12pt;margin-top:770.98pt;margin-left:284.4pt;mso-position-horizontal-relative:page;mso-position-vertical-relative:page;position:absolute;z-index:-25164800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11</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0" type="#_x0000_t202" style="width:29.05pt;height:12pt;margin-top:770.98pt;margin-left:284.4pt;mso-position-horizontal-relative:page;mso-position-vertical-relative:page;position:absolute;z-index:-25164697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13</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0" type="#_x0000_t202" style="width:29.05pt;height:12pt;margin-top:770.98pt;margin-left:284.4pt;mso-position-horizontal-relative:page;mso-position-vertical-relative:page;position:absolute;z-index:-25165721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2</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1" type="#_x0000_t202" style="width:29.05pt;height:12pt;margin-top:770.98pt;margin-left:284.4pt;mso-position-horizontal-relative:page;mso-position-vertical-relative:page;position:absolute;z-index:-25165619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3</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2" type="#_x0000_t202" style="width:29.05pt;height:12pt;margin-top:770.98pt;margin-left:284.4pt;mso-position-horizontal-relative:page;mso-position-vertical-relative:page;position:absolute;z-index:-25165516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4</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3" type="#_x0000_t202" style="width:29.05pt;height:12pt;margin-top:770.98pt;margin-left:284.4pt;mso-position-horizontal-relative:page;mso-position-vertical-relative:page;position:absolute;z-index:-25165414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5</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4" type="#_x0000_t202" style="width:29.05pt;height:12pt;margin-top:770.98pt;margin-left:284.4pt;mso-position-horizontal-relative:page;mso-position-vertical-relative:page;position:absolute;z-index:-25165312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6</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5" type="#_x0000_t202" style="width:29.05pt;height:12pt;margin-top:770.98pt;margin-left:284.4pt;mso-position-horizontal-relative:page;mso-position-vertical-relative:page;position:absolute;z-index:-25165209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7</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6" type="#_x0000_t202" style="width:29.05pt;height:12pt;margin-top:770.98pt;margin-left:284.4pt;mso-position-horizontal-relative:page;mso-position-vertical-relative:page;position:absolute;z-index:-25165107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8</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7" type="#_x0000_t202" style="width:29.05pt;height:12pt;margin-top:770.98pt;margin-left:284.4pt;mso-position-horizontal-relative:page;mso-position-vertical-relative:page;position:absolute;z-index:-25165004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9</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DA50DA"/>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5" w:hanging="263"/>
      </w:pPr>
      <w:rPr>
        <w:rFonts w:hint="default"/>
        <w:lang w:val="en-US" w:eastAsia="zh-CN" w:bidi="ar-SA"/>
      </w:rPr>
    </w:lvl>
    <w:lvl w:ilvl="3">
      <w:start w:val="0"/>
      <w:numFmt w:val="bullet"/>
      <w:lvlText w:val="•"/>
      <w:lvlJc w:val="left"/>
      <w:pPr>
        <w:ind w:left="1727" w:hanging="263"/>
      </w:pPr>
      <w:rPr>
        <w:rFonts w:hint="default"/>
        <w:lang w:val="en-US" w:eastAsia="zh-CN" w:bidi="ar-SA"/>
      </w:rPr>
    </w:lvl>
    <w:lvl w:ilvl="4">
      <w:start w:val="0"/>
      <w:numFmt w:val="bullet"/>
      <w:lvlText w:val="•"/>
      <w:lvlJc w:val="left"/>
      <w:pPr>
        <w:ind w:left="2270" w:hanging="263"/>
      </w:pPr>
      <w:rPr>
        <w:rFonts w:hint="default"/>
        <w:lang w:val="en-US" w:eastAsia="zh-CN" w:bidi="ar-SA"/>
      </w:rPr>
    </w:lvl>
    <w:lvl w:ilvl="5">
      <w:start w:val="0"/>
      <w:numFmt w:val="bullet"/>
      <w:lvlText w:val="•"/>
      <w:lvlJc w:val="left"/>
      <w:pPr>
        <w:ind w:left="2813" w:hanging="263"/>
      </w:pPr>
      <w:rPr>
        <w:rFonts w:hint="default"/>
        <w:lang w:val="en-US" w:eastAsia="zh-CN" w:bidi="ar-SA"/>
      </w:rPr>
    </w:lvl>
    <w:lvl w:ilvl="6">
      <w:start w:val="0"/>
      <w:numFmt w:val="bullet"/>
      <w:lvlText w:val="•"/>
      <w:lvlJc w:val="left"/>
      <w:pPr>
        <w:ind w:left="3355" w:hanging="263"/>
      </w:pPr>
      <w:rPr>
        <w:rFonts w:hint="default"/>
        <w:lang w:val="en-US" w:eastAsia="zh-CN" w:bidi="ar-SA"/>
      </w:rPr>
    </w:lvl>
    <w:lvl w:ilvl="7">
      <w:start w:val="0"/>
      <w:numFmt w:val="bullet"/>
      <w:lvlText w:val="•"/>
      <w:lvlJc w:val="left"/>
      <w:pPr>
        <w:ind w:left="3898" w:hanging="263"/>
      </w:pPr>
      <w:rPr>
        <w:rFonts w:hint="default"/>
        <w:lang w:val="en-US" w:eastAsia="zh-CN" w:bidi="ar-SA"/>
      </w:rPr>
    </w:lvl>
    <w:lvl w:ilvl="8">
      <w:start w:val="0"/>
      <w:numFmt w:val="bullet"/>
      <w:lvlText w:val="•"/>
      <w:lvlJc w:val="left"/>
      <w:pPr>
        <w:ind w:left="4440" w:hanging="263"/>
      </w:pPr>
      <w:rPr>
        <w:rFonts w:hint="default"/>
        <w:lang w:val="en-US" w:eastAsia="zh-CN" w:bidi="ar-SA"/>
      </w:rPr>
    </w:lvl>
  </w:abstractNum>
  <w:abstractNum w:abstractNumId="1">
    <w:nsid w:val="0272A010"/>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abstractNum w:abstractNumId="2">
    <w:nsid w:val="04A75B6D"/>
    <w:multiLevelType w:val="hybridMultilevel"/>
    <w:tmpl w:val="00000000"/>
    <w:lvl w:ilvl="0">
      <w:start w:val="1"/>
      <w:numFmt w:val="decimal"/>
      <w:lvlText w:val="%1."/>
      <w:lvlJc w:val="left"/>
      <w:pPr>
        <w:ind w:left="108" w:hanging="28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80"/>
      </w:pPr>
      <w:rPr>
        <w:rFonts w:hint="default"/>
        <w:lang w:val="en-US" w:eastAsia="zh-CN" w:bidi="ar-SA"/>
      </w:rPr>
    </w:lvl>
    <w:lvl w:ilvl="2">
      <w:start w:val="0"/>
      <w:numFmt w:val="bullet"/>
      <w:lvlText w:val="•"/>
      <w:lvlJc w:val="left"/>
      <w:pPr>
        <w:ind w:left="1185" w:hanging="280"/>
      </w:pPr>
      <w:rPr>
        <w:rFonts w:hint="default"/>
        <w:lang w:val="en-US" w:eastAsia="zh-CN" w:bidi="ar-SA"/>
      </w:rPr>
    </w:lvl>
    <w:lvl w:ilvl="3">
      <w:start w:val="0"/>
      <w:numFmt w:val="bullet"/>
      <w:lvlText w:val="•"/>
      <w:lvlJc w:val="left"/>
      <w:pPr>
        <w:ind w:left="1727" w:hanging="280"/>
      </w:pPr>
      <w:rPr>
        <w:rFonts w:hint="default"/>
        <w:lang w:val="en-US" w:eastAsia="zh-CN" w:bidi="ar-SA"/>
      </w:rPr>
    </w:lvl>
    <w:lvl w:ilvl="4">
      <w:start w:val="0"/>
      <w:numFmt w:val="bullet"/>
      <w:lvlText w:val="•"/>
      <w:lvlJc w:val="left"/>
      <w:pPr>
        <w:ind w:left="2270" w:hanging="280"/>
      </w:pPr>
      <w:rPr>
        <w:rFonts w:hint="default"/>
        <w:lang w:val="en-US" w:eastAsia="zh-CN" w:bidi="ar-SA"/>
      </w:rPr>
    </w:lvl>
    <w:lvl w:ilvl="5">
      <w:start w:val="0"/>
      <w:numFmt w:val="bullet"/>
      <w:lvlText w:val="•"/>
      <w:lvlJc w:val="left"/>
      <w:pPr>
        <w:ind w:left="2813" w:hanging="280"/>
      </w:pPr>
      <w:rPr>
        <w:rFonts w:hint="default"/>
        <w:lang w:val="en-US" w:eastAsia="zh-CN" w:bidi="ar-SA"/>
      </w:rPr>
    </w:lvl>
    <w:lvl w:ilvl="6">
      <w:start w:val="0"/>
      <w:numFmt w:val="bullet"/>
      <w:lvlText w:val="•"/>
      <w:lvlJc w:val="left"/>
      <w:pPr>
        <w:ind w:left="3355" w:hanging="280"/>
      </w:pPr>
      <w:rPr>
        <w:rFonts w:hint="default"/>
        <w:lang w:val="en-US" w:eastAsia="zh-CN" w:bidi="ar-SA"/>
      </w:rPr>
    </w:lvl>
    <w:lvl w:ilvl="7">
      <w:start w:val="0"/>
      <w:numFmt w:val="bullet"/>
      <w:lvlText w:val="•"/>
      <w:lvlJc w:val="left"/>
      <w:pPr>
        <w:ind w:left="3898" w:hanging="280"/>
      </w:pPr>
      <w:rPr>
        <w:rFonts w:hint="default"/>
        <w:lang w:val="en-US" w:eastAsia="zh-CN" w:bidi="ar-SA"/>
      </w:rPr>
    </w:lvl>
    <w:lvl w:ilvl="8">
      <w:start w:val="0"/>
      <w:numFmt w:val="bullet"/>
      <w:lvlText w:val="•"/>
      <w:lvlJc w:val="left"/>
      <w:pPr>
        <w:ind w:left="4440" w:hanging="280"/>
      </w:pPr>
      <w:rPr>
        <w:rFonts w:hint="default"/>
        <w:lang w:val="en-US" w:eastAsia="zh-CN" w:bidi="ar-SA"/>
      </w:rPr>
    </w:lvl>
  </w:abstractNum>
  <w:abstractNum w:abstractNumId="3">
    <w:nsid w:val="053C7CDE"/>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abstractNum w:abstractNumId="4">
    <w:nsid w:val="07DAAA0F"/>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5" w:hanging="263"/>
      </w:pPr>
      <w:rPr>
        <w:rFonts w:hint="default"/>
        <w:lang w:val="en-US" w:eastAsia="zh-CN" w:bidi="ar-SA"/>
      </w:rPr>
    </w:lvl>
    <w:lvl w:ilvl="3">
      <w:start w:val="0"/>
      <w:numFmt w:val="bullet"/>
      <w:lvlText w:val="•"/>
      <w:lvlJc w:val="left"/>
      <w:pPr>
        <w:ind w:left="1728" w:hanging="263"/>
      </w:pPr>
      <w:rPr>
        <w:rFonts w:hint="default"/>
        <w:lang w:val="en-US" w:eastAsia="zh-CN" w:bidi="ar-SA"/>
      </w:rPr>
    </w:lvl>
    <w:lvl w:ilvl="4">
      <w:start w:val="0"/>
      <w:numFmt w:val="bullet"/>
      <w:lvlText w:val="•"/>
      <w:lvlJc w:val="left"/>
      <w:pPr>
        <w:ind w:left="2271" w:hanging="263"/>
      </w:pPr>
      <w:rPr>
        <w:rFonts w:hint="default"/>
        <w:lang w:val="en-US" w:eastAsia="zh-CN" w:bidi="ar-SA"/>
      </w:rPr>
    </w:lvl>
    <w:lvl w:ilvl="5">
      <w:start w:val="0"/>
      <w:numFmt w:val="bullet"/>
      <w:lvlText w:val="•"/>
      <w:lvlJc w:val="left"/>
      <w:pPr>
        <w:ind w:left="2814" w:hanging="263"/>
      </w:pPr>
      <w:rPr>
        <w:rFonts w:hint="default"/>
        <w:lang w:val="en-US" w:eastAsia="zh-CN" w:bidi="ar-SA"/>
      </w:rPr>
    </w:lvl>
    <w:lvl w:ilvl="6">
      <w:start w:val="0"/>
      <w:numFmt w:val="bullet"/>
      <w:lvlText w:val="•"/>
      <w:lvlJc w:val="left"/>
      <w:pPr>
        <w:ind w:left="3357" w:hanging="263"/>
      </w:pPr>
      <w:rPr>
        <w:rFonts w:hint="default"/>
        <w:lang w:val="en-US" w:eastAsia="zh-CN" w:bidi="ar-SA"/>
      </w:rPr>
    </w:lvl>
    <w:lvl w:ilvl="7">
      <w:start w:val="0"/>
      <w:numFmt w:val="bullet"/>
      <w:lvlText w:val="•"/>
      <w:lvlJc w:val="left"/>
      <w:pPr>
        <w:ind w:left="3900" w:hanging="263"/>
      </w:pPr>
      <w:rPr>
        <w:rFonts w:hint="default"/>
        <w:lang w:val="en-US" w:eastAsia="zh-CN" w:bidi="ar-SA"/>
      </w:rPr>
    </w:lvl>
    <w:lvl w:ilvl="8">
      <w:start w:val="0"/>
      <w:numFmt w:val="bullet"/>
      <w:lvlText w:val="•"/>
      <w:lvlJc w:val="left"/>
      <w:pPr>
        <w:ind w:left="4443" w:hanging="263"/>
      </w:pPr>
      <w:rPr>
        <w:rFonts w:hint="default"/>
        <w:lang w:val="en-US" w:eastAsia="zh-CN" w:bidi="ar-SA"/>
      </w:rPr>
    </w:lvl>
  </w:abstractNum>
  <w:abstractNum w:abstractNumId="5">
    <w:nsid w:val="08A206AC"/>
    <w:multiLevelType w:val="hybridMultilevel"/>
    <w:tmpl w:val="00000000"/>
    <w:lvl w:ilvl="0">
      <w:start w:val="1"/>
      <w:numFmt w:val="decimal"/>
      <w:lvlText w:val="%1."/>
      <w:lvlJc w:val="left"/>
      <w:pPr>
        <w:ind w:left="375" w:hanging="268"/>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5" w:hanging="268"/>
      </w:pPr>
      <w:rPr>
        <w:rFonts w:hint="default"/>
        <w:lang w:val="en-US" w:eastAsia="zh-CN" w:bidi="ar-SA"/>
      </w:rPr>
    </w:lvl>
    <w:lvl w:ilvl="2">
      <w:start w:val="0"/>
      <w:numFmt w:val="bullet"/>
      <w:lvlText w:val="•"/>
      <w:lvlJc w:val="left"/>
      <w:pPr>
        <w:ind w:left="1410" w:hanging="268"/>
      </w:pPr>
      <w:rPr>
        <w:rFonts w:hint="default"/>
        <w:lang w:val="en-US" w:eastAsia="zh-CN" w:bidi="ar-SA"/>
      </w:rPr>
    </w:lvl>
    <w:lvl w:ilvl="3">
      <w:start w:val="0"/>
      <w:numFmt w:val="bullet"/>
      <w:lvlText w:val="•"/>
      <w:lvlJc w:val="left"/>
      <w:pPr>
        <w:ind w:left="1925" w:hanging="268"/>
      </w:pPr>
      <w:rPr>
        <w:rFonts w:hint="default"/>
        <w:lang w:val="en-US" w:eastAsia="zh-CN" w:bidi="ar-SA"/>
      </w:rPr>
    </w:lvl>
    <w:lvl w:ilvl="4">
      <w:start w:val="0"/>
      <w:numFmt w:val="bullet"/>
      <w:lvlText w:val="•"/>
      <w:lvlJc w:val="left"/>
      <w:pPr>
        <w:ind w:left="2440" w:hanging="268"/>
      </w:pPr>
      <w:rPr>
        <w:rFonts w:hint="default"/>
        <w:lang w:val="en-US" w:eastAsia="zh-CN" w:bidi="ar-SA"/>
      </w:rPr>
    </w:lvl>
    <w:lvl w:ilvl="5">
      <w:start w:val="0"/>
      <w:numFmt w:val="bullet"/>
      <w:lvlText w:val="•"/>
      <w:lvlJc w:val="left"/>
      <w:pPr>
        <w:ind w:left="2955" w:hanging="268"/>
      </w:pPr>
      <w:rPr>
        <w:rFonts w:hint="default"/>
        <w:lang w:val="en-US" w:eastAsia="zh-CN" w:bidi="ar-SA"/>
      </w:rPr>
    </w:lvl>
    <w:lvl w:ilvl="6">
      <w:start w:val="0"/>
      <w:numFmt w:val="bullet"/>
      <w:lvlText w:val="•"/>
      <w:lvlJc w:val="left"/>
      <w:pPr>
        <w:ind w:left="3470" w:hanging="268"/>
      </w:pPr>
      <w:rPr>
        <w:rFonts w:hint="default"/>
        <w:lang w:val="en-US" w:eastAsia="zh-CN" w:bidi="ar-SA"/>
      </w:rPr>
    </w:lvl>
    <w:lvl w:ilvl="7">
      <w:start w:val="0"/>
      <w:numFmt w:val="bullet"/>
      <w:lvlText w:val="•"/>
      <w:lvlJc w:val="left"/>
      <w:pPr>
        <w:ind w:left="3985" w:hanging="268"/>
      </w:pPr>
      <w:rPr>
        <w:rFonts w:hint="default"/>
        <w:lang w:val="en-US" w:eastAsia="zh-CN" w:bidi="ar-SA"/>
      </w:rPr>
    </w:lvl>
    <w:lvl w:ilvl="8">
      <w:start w:val="0"/>
      <w:numFmt w:val="bullet"/>
      <w:lvlText w:val="•"/>
      <w:lvlJc w:val="left"/>
      <w:pPr>
        <w:ind w:left="4500" w:hanging="268"/>
      </w:pPr>
      <w:rPr>
        <w:rFonts w:hint="default"/>
        <w:lang w:val="en-US" w:eastAsia="zh-CN" w:bidi="ar-SA"/>
      </w:rPr>
    </w:lvl>
  </w:abstractNum>
  <w:abstractNum w:abstractNumId="6">
    <w:nsid w:val="0A94A87C"/>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7">
    <w:nsid w:val="0C66D9D4"/>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abstractNum w:abstractNumId="8">
    <w:nsid w:val="130B1667"/>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abstractNum w:abstractNumId="9">
    <w:nsid w:val="14BB342D"/>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abstractNum w:abstractNumId="10">
    <w:nsid w:val="1B46B06F"/>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abstractNum w:abstractNumId="11">
    <w:nsid w:val="1D16ABFE"/>
    <w:multiLevelType w:val="hybridMultilevel"/>
    <w:tmpl w:val="00000000"/>
    <w:lvl w:ilvl="0">
      <w:start w:val="2"/>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3" w:hanging="264"/>
      </w:pPr>
      <w:rPr>
        <w:rFonts w:hint="default"/>
        <w:lang w:val="en-US" w:eastAsia="zh-CN" w:bidi="ar-SA"/>
      </w:rPr>
    </w:lvl>
    <w:lvl w:ilvl="2">
      <w:start w:val="0"/>
      <w:numFmt w:val="bullet"/>
      <w:lvlText w:val="•"/>
      <w:lvlJc w:val="left"/>
      <w:pPr>
        <w:ind w:left="1186" w:hanging="264"/>
      </w:pPr>
      <w:rPr>
        <w:rFonts w:hint="default"/>
        <w:lang w:val="en-US" w:eastAsia="zh-CN" w:bidi="ar-SA"/>
      </w:rPr>
    </w:lvl>
    <w:lvl w:ilvl="3">
      <w:start w:val="0"/>
      <w:numFmt w:val="bullet"/>
      <w:lvlText w:val="•"/>
      <w:lvlJc w:val="left"/>
      <w:pPr>
        <w:ind w:left="1729" w:hanging="264"/>
      </w:pPr>
      <w:rPr>
        <w:rFonts w:hint="default"/>
        <w:lang w:val="en-US" w:eastAsia="zh-CN" w:bidi="ar-SA"/>
      </w:rPr>
    </w:lvl>
    <w:lvl w:ilvl="4">
      <w:start w:val="0"/>
      <w:numFmt w:val="bullet"/>
      <w:lvlText w:val="•"/>
      <w:lvlJc w:val="left"/>
      <w:pPr>
        <w:ind w:left="2272" w:hanging="264"/>
      </w:pPr>
      <w:rPr>
        <w:rFonts w:hint="default"/>
        <w:lang w:val="en-US" w:eastAsia="zh-CN" w:bidi="ar-SA"/>
      </w:rPr>
    </w:lvl>
    <w:lvl w:ilvl="5">
      <w:start w:val="0"/>
      <w:numFmt w:val="bullet"/>
      <w:lvlText w:val="•"/>
      <w:lvlJc w:val="left"/>
      <w:pPr>
        <w:ind w:left="2815" w:hanging="264"/>
      </w:pPr>
      <w:rPr>
        <w:rFonts w:hint="default"/>
        <w:lang w:val="en-US" w:eastAsia="zh-CN" w:bidi="ar-SA"/>
      </w:rPr>
    </w:lvl>
    <w:lvl w:ilvl="6">
      <w:start w:val="0"/>
      <w:numFmt w:val="bullet"/>
      <w:lvlText w:val="•"/>
      <w:lvlJc w:val="left"/>
      <w:pPr>
        <w:ind w:left="3358" w:hanging="264"/>
      </w:pPr>
      <w:rPr>
        <w:rFonts w:hint="default"/>
        <w:lang w:val="en-US" w:eastAsia="zh-CN" w:bidi="ar-SA"/>
      </w:rPr>
    </w:lvl>
    <w:lvl w:ilvl="7">
      <w:start w:val="0"/>
      <w:numFmt w:val="bullet"/>
      <w:lvlText w:val="•"/>
      <w:lvlJc w:val="left"/>
      <w:pPr>
        <w:ind w:left="3901" w:hanging="264"/>
      </w:pPr>
      <w:rPr>
        <w:rFonts w:hint="default"/>
        <w:lang w:val="en-US" w:eastAsia="zh-CN" w:bidi="ar-SA"/>
      </w:rPr>
    </w:lvl>
    <w:lvl w:ilvl="8">
      <w:start w:val="0"/>
      <w:numFmt w:val="bullet"/>
      <w:lvlText w:val="•"/>
      <w:lvlJc w:val="left"/>
      <w:pPr>
        <w:ind w:left="4444" w:hanging="264"/>
      </w:pPr>
      <w:rPr>
        <w:rFonts w:hint="default"/>
        <w:lang w:val="en-US" w:eastAsia="zh-CN" w:bidi="ar-SA"/>
      </w:rPr>
    </w:lvl>
  </w:abstractNum>
  <w:abstractNum w:abstractNumId="12">
    <w:nsid w:val="1D8987F7"/>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abstractNum w:abstractNumId="13">
    <w:nsid w:val="22C00ABA"/>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abstractNum w:abstractNumId="14">
    <w:nsid w:val="254652DE"/>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5" w:hanging="263"/>
      </w:pPr>
      <w:rPr>
        <w:rFonts w:hint="default"/>
        <w:lang w:val="en-US" w:eastAsia="zh-CN" w:bidi="ar-SA"/>
      </w:rPr>
    </w:lvl>
    <w:lvl w:ilvl="3">
      <w:start w:val="0"/>
      <w:numFmt w:val="bullet"/>
      <w:lvlText w:val="•"/>
      <w:lvlJc w:val="left"/>
      <w:pPr>
        <w:ind w:left="1728" w:hanging="263"/>
      </w:pPr>
      <w:rPr>
        <w:rFonts w:hint="default"/>
        <w:lang w:val="en-US" w:eastAsia="zh-CN" w:bidi="ar-SA"/>
      </w:rPr>
    </w:lvl>
    <w:lvl w:ilvl="4">
      <w:start w:val="0"/>
      <w:numFmt w:val="bullet"/>
      <w:lvlText w:val="•"/>
      <w:lvlJc w:val="left"/>
      <w:pPr>
        <w:ind w:left="2270" w:hanging="263"/>
      </w:pPr>
      <w:rPr>
        <w:rFonts w:hint="default"/>
        <w:lang w:val="en-US" w:eastAsia="zh-CN" w:bidi="ar-SA"/>
      </w:rPr>
    </w:lvl>
    <w:lvl w:ilvl="5">
      <w:start w:val="0"/>
      <w:numFmt w:val="bullet"/>
      <w:lvlText w:val="•"/>
      <w:lvlJc w:val="left"/>
      <w:pPr>
        <w:ind w:left="2813" w:hanging="263"/>
      </w:pPr>
      <w:rPr>
        <w:rFonts w:hint="default"/>
        <w:lang w:val="en-US" w:eastAsia="zh-CN" w:bidi="ar-SA"/>
      </w:rPr>
    </w:lvl>
    <w:lvl w:ilvl="6">
      <w:start w:val="0"/>
      <w:numFmt w:val="bullet"/>
      <w:lvlText w:val="•"/>
      <w:lvlJc w:val="left"/>
      <w:pPr>
        <w:ind w:left="3356" w:hanging="263"/>
      </w:pPr>
      <w:rPr>
        <w:rFonts w:hint="default"/>
        <w:lang w:val="en-US" w:eastAsia="zh-CN" w:bidi="ar-SA"/>
      </w:rPr>
    </w:lvl>
    <w:lvl w:ilvl="7">
      <w:start w:val="0"/>
      <w:numFmt w:val="bullet"/>
      <w:lvlText w:val="•"/>
      <w:lvlJc w:val="left"/>
      <w:pPr>
        <w:ind w:left="3898" w:hanging="263"/>
      </w:pPr>
      <w:rPr>
        <w:rFonts w:hint="default"/>
        <w:lang w:val="en-US" w:eastAsia="zh-CN" w:bidi="ar-SA"/>
      </w:rPr>
    </w:lvl>
    <w:lvl w:ilvl="8">
      <w:start w:val="0"/>
      <w:numFmt w:val="bullet"/>
      <w:lvlText w:val="•"/>
      <w:lvlJc w:val="left"/>
      <w:pPr>
        <w:ind w:left="4441" w:hanging="263"/>
      </w:pPr>
      <w:rPr>
        <w:rFonts w:hint="default"/>
        <w:lang w:val="en-US" w:eastAsia="zh-CN" w:bidi="ar-SA"/>
      </w:rPr>
    </w:lvl>
  </w:abstractNum>
  <w:abstractNum w:abstractNumId="15">
    <w:nsid w:val="26C59CE0"/>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16">
    <w:nsid w:val="2BE22060"/>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abstractNum w:abstractNumId="17">
    <w:nsid w:val="2F4EA5CA"/>
    <w:multiLevelType w:val="hybridMultilevel"/>
    <w:tmpl w:val="00000000"/>
    <w:lvl w:ilvl="0">
      <w:start w:val="1"/>
      <w:numFmt w:val="decimal"/>
      <w:lvlText w:val="%1."/>
      <w:lvlJc w:val="left"/>
      <w:pPr>
        <w:ind w:left="371"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4" w:hanging="264"/>
      </w:pPr>
      <w:rPr>
        <w:rFonts w:hint="default"/>
        <w:lang w:val="en-US" w:eastAsia="zh-CN" w:bidi="ar-SA"/>
      </w:rPr>
    </w:lvl>
    <w:lvl w:ilvl="2">
      <w:start w:val="0"/>
      <w:numFmt w:val="bullet"/>
      <w:lvlText w:val="•"/>
      <w:lvlJc w:val="left"/>
      <w:pPr>
        <w:ind w:left="1409" w:hanging="264"/>
      </w:pPr>
      <w:rPr>
        <w:rFonts w:hint="default"/>
        <w:lang w:val="en-US" w:eastAsia="zh-CN" w:bidi="ar-SA"/>
      </w:rPr>
    </w:lvl>
    <w:lvl w:ilvl="3">
      <w:start w:val="0"/>
      <w:numFmt w:val="bullet"/>
      <w:lvlText w:val="•"/>
      <w:lvlJc w:val="left"/>
      <w:pPr>
        <w:ind w:left="1923" w:hanging="264"/>
      </w:pPr>
      <w:rPr>
        <w:rFonts w:hint="default"/>
        <w:lang w:val="en-US" w:eastAsia="zh-CN" w:bidi="ar-SA"/>
      </w:rPr>
    </w:lvl>
    <w:lvl w:ilvl="4">
      <w:start w:val="0"/>
      <w:numFmt w:val="bullet"/>
      <w:lvlText w:val="•"/>
      <w:lvlJc w:val="left"/>
      <w:pPr>
        <w:ind w:left="2438" w:hanging="264"/>
      </w:pPr>
      <w:rPr>
        <w:rFonts w:hint="default"/>
        <w:lang w:val="en-US" w:eastAsia="zh-CN" w:bidi="ar-SA"/>
      </w:rPr>
    </w:lvl>
    <w:lvl w:ilvl="5">
      <w:start w:val="0"/>
      <w:numFmt w:val="bullet"/>
      <w:lvlText w:val="•"/>
      <w:lvlJc w:val="left"/>
      <w:pPr>
        <w:ind w:left="2953" w:hanging="264"/>
      </w:pPr>
      <w:rPr>
        <w:rFonts w:hint="default"/>
        <w:lang w:val="en-US" w:eastAsia="zh-CN" w:bidi="ar-SA"/>
      </w:rPr>
    </w:lvl>
    <w:lvl w:ilvl="6">
      <w:start w:val="0"/>
      <w:numFmt w:val="bullet"/>
      <w:lvlText w:val="•"/>
      <w:lvlJc w:val="left"/>
      <w:pPr>
        <w:ind w:left="3467" w:hanging="264"/>
      </w:pPr>
      <w:rPr>
        <w:rFonts w:hint="default"/>
        <w:lang w:val="en-US" w:eastAsia="zh-CN" w:bidi="ar-SA"/>
      </w:rPr>
    </w:lvl>
    <w:lvl w:ilvl="7">
      <w:start w:val="0"/>
      <w:numFmt w:val="bullet"/>
      <w:lvlText w:val="•"/>
      <w:lvlJc w:val="left"/>
      <w:pPr>
        <w:ind w:left="3982" w:hanging="264"/>
      </w:pPr>
      <w:rPr>
        <w:rFonts w:hint="default"/>
        <w:lang w:val="en-US" w:eastAsia="zh-CN" w:bidi="ar-SA"/>
      </w:rPr>
    </w:lvl>
    <w:lvl w:ilvl="8">
      <w:start w:val="0"/>
      <w:numFmt w:val="bullet"/>
      <w:lvlText w:val="•"/>
      <w:lvlJc w:val="left"/>
      <w:pPr>
        <w:ind w:left="4496" w:hanging="264"/>
      </w:pPr>
      <w:rPr>
        <w:rFonts w:hint="default"/>
        <w:lang w:val="en-US" w:eastAsia="zh-CN" w:bidi="ar-SA"/>
      </w:rPr>
    </w:lvl>
  </w:abstractNum>
  <w:abstractNum w:abstractNumId="18">
    <w:nsid w:val="3B02DA76"/>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abstractNum w:abstractNumId="19">
    <w:nsid w:val="3C966F0E"/>
    <w:multiLevelType w:val="hybridMultilevel"/>
    <w:tmpl w:val="00000000"/>
    <w:lvl w:ilvl="0">
      <w:start w:val="1"/>
      <w:numFmt w:val="decimal"/>
      <w:lvlText w:val="%1."/>
      <w:lvlJc w:val="left"/>
      <w:pPr>
        <w:ind w:left="371"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4" w:hanging="264"/>
      </w:pPr>
      <w:rPr>
        <w:rFonts w:hint="default"/>
        <w:lang w:val="en-US" w:eastAsia="zh-CN" w:bidi="ar-SA"/>
      </w:rPr>
    </w:lvl>
    <w:lvl w:ilvl="2">
      <w:start w:val="0"/>
      <w:numFmt w:val="bullet"/>
      <w:lvlText w:val="•"/>
      <w:lvlJc w:val="left"/>
      <w:pPr>
        <w:ind w:left="1409" w:hanging="264"/>
      </w:pPr>
      <w:rPr>
        <w:rFonts w:hint="default"/>
        <w:lang w:val="en-US" w:eastAsia="zh-CN" w:bidi="ar-SA"/>
      </w:rPr>
    </w:lvl>
    <w:lvl w:ilvl="3">
      <w:start w:val="0"/>
      <w:numFmt w:val="bullet"/>
      <w:lvlText w:val="•"/>
      <w:lvlJc w:val="left"/>
      <w:pPr>
        <w:ind w:left="1923" w:hanging="264"/>
      </w:pPr>
      <w:rPr>
        <w:rFonts w:hint="default"/>
        <w:lang w:val="en-US" w:eastAsia="zh-CN" w:bidi="ar-SA"/>
      </w:rPr>
    </w:lvl>
    <w:lvl w:ilvl="4">
      <w:start w:val="0"/>
      <w:numFmt w:val="bullet"/>
      <w:lvlText w:val="•"/>
      <w:lvlJc w:val="left"/>
      <w:pPr>
        <w:ind w:left="2438" w:hanging="264"/>
      </w:pPr>
      <w:rPr>
        <w:rFonts w:hint="default"/>
        <w:lang w:val="en-US" w:eastAsia="zh-CN" w:bidi="ar-SA"/>
      </w:rPr>
    </w:lvl>
    <w:lvl w:ilvl="5">
      <w:start w:val="0"/>
      <w:numFmt w:val="bullet"/>
      <w:lvlText w:val="•"/>
      <w:lvlJc w:val="left"/>
      <w:pPr>
        <w:ind w:left="2953" w:hanging="264"/>
      </w:pPr>
      <w:rPr>
        <w:rFonts w:hint="default"/>
        <w:lang w:val="en-US" w:eastAsia="zh-CN" w:bidi="ar-SA"/>
      </w:rPr>
    </w:lvl>
    <w:lvl w:ilvl="6">
      <w:start w:val="0"/>
      <w:numFmt w:val="bullet"/>
      <w:lvlText w:val="•"/>
      <w:lvlJc w:val="left"/>
      <w:pPr>
        <w:ind w:left="3467" w:hanging="264"/>
      </w:pPr>
      <w:rPr>
        <w:rFonts w:hint="default"/>
        <w:lang w:val="en-US" w:eastAsia="zh-CN" w:bidi="ar-SA"/>
      </w:rPr>
    </w:lvl>
    <w:lvl w:ilvl="7">
      <w:start w:val="0"/>
      <w:numFmt w:val="bullet"/>
      <w:lvlText w:val="•"/>
      <w:lvlJc w:val="left"/>
      <w:pPr>
        <w:ind w:left="3982" w:hanging="264"/>
      </w:pPr>
      <w:rPr>
        <w:rFonts w:hint="default"/>
        <w:lang w:val="en-US" w:eastAsia="zh-CN" w:bidi="ar-SA"/>
      </w:rPr>
    </w:lvl>
    <w:lvl w:ilvl="8">
      <w:start w:val="0"/>
      <w:numFmt w:val="bullet"/>
      <w:lvlText w:val="•"/>
      <w:lvlJc w:val="left"/>
      <w:pPr>
        <w:ind w:left="4496" w:hanging="264"/>
      </w:pPr>
      <w:rPr>
        <w:rFonts w:hint="default"/>
        <w:lang w:val="en-US" w:eastAsia="zh-CN" w:bidi="ar-SA"/>
      </w:rPr>
    </w:lvl>
  </w:abstractNum>
  <w:abstractNum w:abstractNumId="20">
    <w:nsid w:val="3E81BAD6"/>
    <w:multiLevelType w:val="hybridMultilevel"/>
    <w:tmpl w:val="00000000"/>
    <w:lvl w:ilvl="0">
      <w:start w:val="1"/>
      <w:numFmt w:val="decimal"/>
      <w:lvlText w:val="%1."/>
      <w:lvlJc w:val="left"/>
      <w:pPr>
        <w:ind w:left="380" w:hanging="27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5" w:hanging="273"/>
      </w:pPr>
      <w:rPr>
        <w:rFonts w:hint="default"/>
        <w:lang w:val="en-US" w:eastAsia="zh-CN" w:bidi="ar-SA"/>
      </w:rPr>
    </w:lvl>
    <w:lvl w:ilvl="2">
      <w:start w:val="0"/>
      <w:numFmt w:val="bullet"/>
      <w:lvlText w:val="•"/>
      <w:lvlJc w:val="left"/>
      <w:pPr>
        <w:ind w:left="1410" w:hanging="273"/>
      </w:pPr>
      <w:rPr>
        <w:rFonts w:hint="default"/>
        <w:lang w:val="en-US" w:eastAsia="zh-CN" w:bidi="ar-SA"/>
      </w:rPr>
    </w:lvl>
    <w:lvl w:ilvl="3">
      <w:start w:val="0"/>
      <w:numFmt w:val="bullet"/>
      <w:lvlText w:val="•"/>
      <w:lvlJc w:val="left"/>
      <w:pPr>
        <w:ind w:left="1925" w:hanging="273"/>
      </w:pPr>
      <w:rPr>
        <w:rFonts w:hint="default"/>
        <w:lang w:val="en-US" w:eastAsia="zh-CN" w:bidi="ar-SA"/>
      </w:rPr>
    </w:lvl>
    <w:lvl w:ilvl="4">
      <w:start w:val="0"/>
      <w:numFmt w:val="bullet"/>
      <w:lvlText w:val="•"/>
      <w:lvlJc w:val="left"/>
      <w:pPr>
        <w:ind w:left="2440" w:hanging="273"/>
      </w:pPr>
      <w:rPr>
        <w:rFonts w:hint="default"/>
        <w:lang w:val="en-US" w:eastAsia="zh-CN" w:bidi="ar-SA"/>
      </w:rPr>
    </w:lvl>
    <w:lvl w:ilvl="5">
      <w:start w:val="0"/>
      <w:numFmt w:val="bullet"/>
      <w:lvlText w:val="•"/>
      <w:lvlJc w:val="left"/>
      <w:pPr>
        <w:ind w:left="2955" w:hanging="273"/>
      </w:pPr>
      <w:rPr>
        <w:rFonts w:hint="default"/>
        <w:lang w:val="en-US" w:eastAsia="zh-CN" w:bidi="ar-SA"/>
      </w:rPr>
    </w:lvl>
    <w:lvl w:ilvl="6">
      <w:start w:val="0"/>
      <w:numFmt w:val="bullet"/>
      <w:lvlText w:val="•"/>
      <w:lvlJc w:val="left"/>
      <w:pPr>
        <w:ind w:left="3470" w:hanging="273"/>
      </w:pPr>
      <w:rPr>
        <w:rFonts w:hint="default"/>
        <w:lang w:val="en-US" w:eastAsia="zh-CN" w:bidi="ar-SA"/>
      </w:rPr>
    </w:lvl>
    <w:lvl w:ilvl="7">
      <w:start w:val="0"/>
      <w:numFmt w:val="bullet"/>
      <w:lvlText w:val="•"/>
      <w:lvlJc w:val="left"/>
      <w:pPr>
        <w:ind w:left="3985" w:hanging="273"/>
      </w:pPr>
      <w:rPr>
        <w:rFonts w:hint="default"/>
        <w:lang w:val="en-US" w:eastAsia="zh-CN" w:bidi="ar-SA"/>
      </w:rPr>
    </w:lvl>
    <w:lvl w:ilvl="8">
      <w:start w:val="0"/>
      <w:numFmt w:val="bullet"/>
      <w:lvlText w:val="•"/>
      <w:lvlJc w:val="left"/>
      <w:pPr>
        <w:ind w:left="4500" w:hanging="273"/>
      </w:pPr>
      <w:rPr>
        <w:rFonts w:hint="default"/>
        <w:lang w:val="en-US" w:eastAsia="zh-CN" w:bidi="ar-SA"/>
      </w:rPr>
    </w:lvl>
  </w:abstractNum>
  <w:abstractNum w:abstractNumId="21">
    <w:nsid w:val="3EABCEB7"/>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abstractNum w:abstractNumId="22">
    <w:nsid w:val="3F6AB951"/>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0"/>
      </w:pPr>
      <w:rPr>
        <w:rFonts w:hint="default"/>
        <w:lang w:val="en-US" w:eastAsia="zh-CN" w:bidi="ar-SA"/>
      </w:rPr>
    </w:lvl>
    <w:lvl w:ilvl="2">
      <w:start w:val="0"/>
      <w:numFmt w:val="bullet"/>
      <w:lvlText w:val="•"/>
      <w:lvlJc w:val="left"/>
      <w:pPr>
        <w:ind w:left="2221" w:hanging="420"/>
      </w:pPr>
      <w:rPr>
        <w:rFonts w:hint="default"/>
        <w:lang w:val="en-US" w:eastAsia="zh-CN" w:bidi="ar-SA"/>
      </w:rPr>
    </w:lvl>
    <w:lvl w:ilvl="3">
      <w:start w:val="0"/>
      <w:numFmt w:val="bullet"/>
      <w:lvlText w:val="•"/>
      <w:lvlJc w:val="left"/>
      <w:pPr>
        <w:ind w:left="3061" w:hanging="420"/>
      </w:pPr>
      <w:rPr>
        <w:rFonts w:hint="default"/>
        <w:lang w:val="en-US" w:eastAsia="zh-CN" w:bidi="ar-SA"/>
      </w:rPr>
    </w:lvl>
    <w:lvl w:ilvl="4">
      <w:start w:val="0"/>
      <w:numFmt w:val="bullet"/>
      <w:lvlText w:val="•"/>
      <w:lvlJc w:val="left"/>
      <w:pPr>
        <w:ind w:left="3902" w:hanging="420"/>
      </w:pPr>
      <w:rPr>
        <w:rFonts w:hint="default"/>
        <w:lang w:val="en-US" w:eastAsia="zh-CN" w:bidi="ar-SA"/>
      </w:rPr>
    </w:lvl>
    <w:lvl w:ilvl="5">
      <w:start w:val="0"/>
      <w:numFmt w:val="bullet"/>
      <w:lvlText w:val="•"/>
      <w:lvlJc w:val="left"/>
      <w:pPr>
        <w:ind w:left="4743" w:hanging="420"/>
      </w:pPr>
      <w:rPr>
        <w:rFonts w:hint="default"/>
        <w:lang w:val="en-US" w:eastAsia="zh-CN" w:bidi="ar-SA"/>
      </w:rPr>
    </w:lvl>
    <w:lvl w:ilvl="6">
      <w:start w:val="0"/>
      <w:numFmt w:val="bullet"/>
      <w:lvlText w:val="•"/>
      <w:lvlJc w:val="left"/>
      <w:pPr>
        <w:ind w:left="5583" w:hanging="420"/>
      </w:pPr>
      <w:rPr>
        <w:rFonts w:hint="default"/>
        <w:lang w:val="en-US" w:eastAsia="zh-CN" w:bidi="ar-SA"/>
      </w:rPr>
    </w:lvl>
    <w:lvl w:ilvl="7">
      <w:start w:val="0"/>
      <w:numFmt w:val="bullet"/>
      <w:lvlText w:val="•"/>
      <w:lvlJc w:val="left"/>
      <w:pPr>
        <w:ind w:left="6424" w:hanging="420"/>
      </w:pPr>
      <w:rPr>
        <w:rFonts w:hint="default"/>
        <w:lang w:val="en-US" w:eastAsia="zh-CN" w:bidi="ar-SA"/>
      </w:rPr>
    </w:lvl>
    <w:lvl w:ilvl="8">
      <w:start w:val="0"/>
      <w:numFmt w:val="bullet"/>
      <w:lvlText w:val="•"/>
      <w:lvlJc w:val="left"/>
      <w:pPr>
        <w:ind w:left="7264" w:hanging="420"/>
      </w:pPr>
      <w:rPr>
        <w:rFonts w:hint="default"/>
        <w:lang w:val="en-US" w:eastAsia="zh-CN" w:bidi="ar-SA"/>
      </w:rPr>
    </w:lvl>
  </w:abstractNum>
  <w:abstractNum w:abstractNumId="23">
    <w:nsid w:val="411DCE78"/>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5" w:hanging="263"/>
      </w:pPr>
      <w:rPr>
        <w:rFonts w:hint="default"/>
        <w:lang w:val="en-US" w:eastAsia="zh-CN" w:bidi="ar-SA"/>
      </w:rPr>
    </w:lvl>
    <w:lvl w:ilvl="3">
      <w:start w:val="0"/>
      <w:numFmt w:val="bullet"/>
      <w:lvlText w:val="•"/>
      <w:lvlJc w:val="left"/>
      <w:pPr>
        <w:ind w:left="1728" w:hanging="263"/>
      </w:pPr>
      <w:rPr>
        <w:rFonts w:hint="default"/>
        <w:lang w:val="en-US" w:eastAsia="zh-CN" w:bidi="ar-SA"/>
      </w:rPr>
    </w:lvl>
    <w:lvl w:ilvl="4">
      <w:start w:val="0"/>
      <w:numFmt w:val="bullet"/>
      <w:lvlText w:val="•"/>
      <w:lvlJc w:val="left"/>
      <w:pPr>
        <w:ind w:left="2271" w:hanging="263"/>
      </w:pPr>
      <w:rPr>
        <w:rFonts w:hint="default"/>
        <w:lang w:val="en-US" w:eastAsia="zh-CN" w:bidi="ar-SA"/>
      </w:rPr>
    </w:lvl>
    <w:lvl w:ilvl="5">
      <w:start w:val="0"/>
      <w:numFmt w:val="bullet"/>
      <w:lvlText w:val="•"/>
      <w:lvlJc w:val="left"/>
      <w:pPr>
        <w:ind w:left="2814" w:hanging="263"/>
      </w:pPr>
      <w:rPr>
        <w:rFonts w:hint="default"/>
        <w:lang w:val="en-US" w:eastAsia="zh-CN" w:bidi="ar-SA"/>
      </w:rPr>
    </w:lvl>
    <w:lvl w:ilvl="6">
      <w:start w:val="0"/>
      <w:numFmt w:val="bullet"/>
      <w:lvlText w:val="•"/>
      <w:lvlJc w:val="left"/>
      <w:pPr>
        <w:ind w:left="3357" w:hanging="263"/>
      </w:pPr>
      <w:rPr>
        <w:rFonts w:hint="default"/>
        <w:lang w:val="en-US" w:eastAsia="zh-CN" w:bidi="ar-SA"/>
      </w:rPr>
    </w:lvl>
    <w:lvl w:ilvl="7">
      <w:start w:val="0"/>
      <w:numFmt w:val="bullet"/>
      <w:lvlText w:val="•"/>
      <w:lvlJc w:val="left"/>
      <w:pPr>
        <w:ind w:left="3900" w:hanging="263"/>
      </w:pPr>
      <w:rPr>
        <w:rFonts w:hint="default"/>
        <w:lang w:val="en-US" w:eastAsia="zh-CN" w:bidi="ar-SA"/>
      </w:rPr>
    </w:lvl>
    <w:lvl w:ilvl="8">
      <w:start w:val="0"/>
      <w:numFmt w:val="bullet"/>
      <w:lvlText w:val="•"/>
      <w:lvlJc w:val="left"/>
      <w:pPr>
        <w:ind w:left="4443" w:hanging="263"/>
      </w:pPr>
      <w:rPr>
        <w:rFonts w:hint="default"/>
        <w:lang w:val="en-US" w:eastAsia="zh-CN" w:bidi="ar-SA"/>
      </w:rPr>
    </w:lvl>
  </w:abstractNum>
  <w:abstractNum w:abstractNumId="24">
    <w:nsid w:val="422CEB25"/>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1" w:hanging="264"/>
      </w:pPr>
      <w:rPr>
        <w:rFonts w:hint="default"/>
        <w:lang w:val="en-US" w:eastAsia="zh-CN" w:bidi="ar-SA"/>
      </w:rPr>
    </w:lvl>
  </w:abstractNum>
  <w:abstractNum w:abstractNumId="25">
    <w:nsid w:val="4280A3BA"/>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7" w:hanging="264"/>
      </w:pPr>
      <w:rPr>
        <w:rFonts w:hint="default"/>
        <w:lang w:val="en-US" w:eastAsia="zh-CN" w:bidi="ar-SA"/>
      </w:rPr>
    </w:lvl>
    <w:lvl w:ilvl="7">
      <w:start w:val="0"/>
      <w:numFmt w:val="bullet"/>
      <w:lvlText w:val="•"/>
      <w:lvlJc w:val="left"/>
      <w:pPr>
        <w:ind w:left="3900" w:hanging="264"/>
      </w:pPr>
      <w:rPr>
        <w:rFonts w:hint="default"/>
        <w:lang w:val="en-US" w:eastAsia="zh-CN" w:bidi="ar-SA"/>
      </w:rPr>
    </w:lvl>
    <w:lvl w:ilvl="8">
      <w:start w:val="0"/>
      <w:numFmt w:val="bullet"/>
      <w:lvlText w:val="•"/>
      <w:lvlJc w:val="left"/>
      <w:pPr>
        <w:ind w:left="4443" w:hanging="264"/>
      </w:pPr>
      <w:rPr>
        <w:rFonts w:hint="default"/>
        <w:lang w:val="en-US" w:eastAsia="zh-CN" w:bidi="ar-SA"/>
      </w:rPr>
    </w:lvl>
  </w:abstractNum>
  <w:abstractNum w:abstractNumId="26">
    <w:nsid w:val="486AEF13"/>
    <w:multiLevelType w:val="hybridMultilevel"/>
    <w:tmpl w:val="00000000"/>
    <w:lvl w:ilvl="0">
      <w:start w:val="1"/>
      <w:numFmt w:val="decimal"/>
      <w:lvlText w:val="%1."/>
      <w:lvlJc w:val="left"/>
      <w:pPr>
        <w:ind w:left="541"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2"/>
      </w:pPr>
      <w:rPr>
        <w:rFonts w:hint="default"/>
        <w:lang w:val="en-US" w:eastAsia="zh-CN" w:bidi="ar-SA"/>
      </w:rPr>
    </w:lvl>
    <w:lvl w:ilvl="2">
      <w:start w:val="0"/>
      <w:numFmt w:val="bullet"/>
      <w:lvlText w:val="•"/>
      <w:lvlJc w:val="left"/>
      <w:pPr>
        <w:ind w:left="2221" w:hanging="422"/>
      </w:pPr>
      <w:rPr>
        <w:rFonts w:hint="default"/>
        <w:lang w:val="en-US" w:eastAsia="zh-CN" w:bidi="ar-SA"/>
      </w:rPr>
    </w:lvl>
    <w:lvl w:ilvl="3">
      <w:start w:val="0"/>
      <w:numFmt w:val="bullet"/>
      <w:lvlText w:val="•"/>
      <w:lvlJc w:val="left"/>
      <w:pPr>
        <w:ind w:left="3061" w:hanging="422"/>
      </w:pPr>
      <w:rPr>
        <w:rFonts w:hint="default"/>
        <w:lang w:val="en-US" w:eastAsia="zh-CN" w:bidi="ar-SA"/>
      </w:rPr>
    </w:lvl>
    <w:lvl w:ilvl="4">
      <w:start w:val="0"/>
      <w:numFmt w:val="bullet"/>
      <w:lvlText w:val="•"/>
      <w:lvlJc w:val="left"/>
      <w:pPr>
        <w:ind w:left="3902" w:hanging="422"/>
      </w:pPr>
      <w:rPr>
        <w:rFonts w:hint="default"/>
        <w:lang w:val="en-US" w:eastAsia="zh-CN" w:bidi="ar-SA"/>
      </w:rPr>
    </w:lvl>
    <w:lvl w:ilvl="5">
      <w:start w:val="0"/>
      <w:numFmt w:val="bullet"/>
      <w:lvlText w:val="•"/>
      <w:lvlJc w:val="left"/>
      <w:pPr>
        <w:ind w:left="4743" w:hanging="422"/>
      </w:pPr>
      <w:rPr>
        <w:rFonts w:hint="default"/>
        <w:lang w:val="en-US" w:eastAsia="zh-CN" w:bidi="ar-SA"/>
      </w:rPr>
    </w:lvl>
    <w:lvl w:ilvl="6">
      <w:start w:val="0"/>
      <w:numFmt w:val="bullet"/>
      <w:lvlText w:val="•"/>
      <w:lvlJc w:val="left"/>
      <w:pPr>
        <w:ind w:left="5583" w:hanging="422"/>
      </w:pPr>
      <w:rPr>
        <w:rFonts w:hint="default"/>
        <w:lang w:val="en-US" w:eastAsia="zh-CN" w:bidi="ar-SA"/>
      </w:rPr>
    </w:lvl>
    <w:lvl w:ilvl="7">
      <w:start w:val="0"/>
      <w:numFmt w:val="bullet"/>
      <w:lvlText w:val="•"/>
      <w:lvlJc w:val="left"/>
      <w:pPr>
        <w:ind w:left="6424" w:hanging="422"/>
      </w:pPr>
      <w:rPr>
        <w:rFonts w:hint="default"/>
        <w:lang w:val="en-US" w:eastAsia="zh-CN" w:bidi="ar-SA"/>
      </w:rPr>
    </w:lvl>
    <w:lvl w:ilvl="8">
      <w:start w:val="0"/>
      <w:numFmt w:val="bullet"/>
      <w:lvlText w:val="•"/>
      <w:lvlJc w:val="left"/>
      <w:pPr>
        <w:ind w:left="7264" w:hanging="422"/>
      </w:pPr>
      <w:rPr>
        <w:rFonts w:hint="default"/>
        <w:lang w:val="en-US" w:eastAsia="zh-CN" w:bidi="ar-SA"/>
      </w:rPr>
    </w:lvl>
  </w:abstractNum>
  <w:abstractNum w:abstractNumId="27">
    <w:nsid w:val="495B1015"/>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4"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69" w:hanging="264"/>
      </w:pPr>
      <w:rPr>
        <w:rFonts w:hint="default"/>
        <w:lang w:val="en-US" w:eastAsia="zh-CN" w:bidi="ar-SA"/>
      </w:rPr>
    </w:lvl>
    <w:lvl w:ilvl="5">
      <w:start w:val="0"/>
      <w:numFmt w:val="bullet"/>
      <w:lvlText w:val="•"/>
      <w:lvlJc w:val="left"/>
      <w:pPr>
        <w:ind w:left="2812" w:hanging="264"/>
      </w:pPr>
      <w:rPr>
        <w:rFonts w:hint="default"/>
        <w:lang w:val="en-US" w:eastAsia="zh-CN" w:bidi="ar-SA"/>
      </w:rPr>
    </w:lvl>
    <w:lvl w:ilvl="6">
      <w:start w:val="0"/>
      <w:numFmt w:val="bullet"/>
      <w:lvlText w:val="•"/>
      <w:lvlJc w:val="left"/>
      <w:pPr>
        <w:ind w:left="3354" w:hanging="264"/>
      </w:pPr>
      <w:rPr>
        <w:rFonts w:hint="default"/>
        <w:lang w:val="en-US" w:eastAsia="zh-CN" w:bidi="ar-SA"/>
      </w:rPr>
    </w:lvl>
    <w:lvl w:ilvl="7">
      <w:start w:val="0"/>
      <w:numFmt w:val="bullet"/>
      <w:lvlText w:val="•"/>
      <w:lvlJc w:val="left"/>
      <w:pPr>
        <w:ind w:left="3896" w:hanging="264"/>
      </w:pPr>
      <w:rPr>
        <w:rFonts w:hint="default"/>
        <w:lang w:val="en-US" w:eastAsia="zh-CN" w:bidi="ar-SA"/>
      </w:rPr>
    </w:lvl>
    <w:lvl w:ilvl="8">
      <w:start w:val="0"/>
      <w:numFmt w:val="bullet"/>
      <w:lvlText w:val="•"/>
      <w:lvlJc w:val="left"/>
      <w:pPr>
        <w:ind w:left="4439" w:hanging="264"/>
      </w:pPr>
      <w:rPr>
        <w:rFonts w:hint="default"/>
        <w:lang w:val="en-US" w:eastAsia="zh-CN" w:bidi="ar-SA"/>
      </w:rPr>
    </w:lvl>
  </w:abstractNum>
  <w:abstractNum w:abstractNumId="28">
    <w:nsid w:val="4BD1E3EE"/>
    <w:multiLevelType w:val="hybridMultilevel"/>
    <w:tmpl w:val="00000000"/>
    <w:lvl w:ilvl="0">
      <w:start w:val="1"/>
      <w:numFmt w:val="decimal"/>
      <w:lvlText w:val="%1."/>
      <w:lvlJc w:val="left"/>
      <w:pPr>
        <w:ind w:left="380" w:hanging="27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5" w:hanging="273"/>
      </w:pPr>
      <w:rPr>
        <w:rFonts w:hint="default"/>
        <w:lang w:val="en-US" w:eastAsia="zh-CN" w:bidi="ar-SA"/>
      </w:rPr>
    </w:lvl>
    <w:lvl w:ilvl="2">
      <w:start w:val="0"/>
      <w:numFmt w:val="bullet"/>
      <w:lvlText w:val="•"/>
      <w:lvlJc w:val="left"/>
      <w:pPr>
        <w:ind w:left="1410" w:hanging="273"/>
      </w:pPr>
      <w:rPr>
        <w:rFonts w:hint="default"/>
        <w:lang w:val="en-US" w:eastAsia="zh-CN" w:bidi="ar-SA"/>
      </w:rPr>
    </w:lvl>
    <w:lvl w:ilvl="3">
      <w:start w:val="0"/>
      <w:numFmt w:val="bullet"/>
      <w:lvlText w:val="•"/>
      <w:lvlJc w:val="left"/>
      <w:pPr>
        <w:ind w:left="1925" w:hanging="273"/>
      </w:pPr>
      <w:rPr>
        <w:rFonts w:hint="default"/>
        <w:lang w:val="en-US" w:eastAsia="zh-CN" w:bidi="ar-SA"/>
      </w:rPr>
    </w:lvl>
    <w:lvl w:ilvl="4">
      <w:start w:val="0"/>
      <w:numFmt w:val="bullet"/>
      <w:lvlText w:val="•"/>
      <w:lvlJc w:val="left"/>
      <w:pPr>
        <w:ind w:left="2440" w:hanging="273"/>
      </w:pPr>
      <w:rPr>
        <w:rFonts w:hint="default"/>
        <w:lang w:val="en-US" w:eastAsia="zh-CN" w:bidi="ar-SA"/>
      </w:rPr>
    </w:lvl>
    <w:lvl w:ilvl="5">
      <w:start w:val="0"/>
      <w:numFmt w:val="bullet"/>
      <w:lvlText w:val="•"/>
      <w:lvlJc w:val="left"/>
      <w:pPr>
        <w:ind w:left="2955" w:hanging="273"/>
      </w:pPr>
      <w:rPr>
        <w:rFonts w:hint="default"/>
        <w:lang w:val="en-US" w:eastAsia="zh-CN" w:bidi="ar-SA"/>
      </w:rPr>
    </w:lvl>
    <w:lvl w:ilvl="6">
      <w:start w:val="0"/>
      <w:numFmt w:val="bullet"/>
      <w:lvlText w:val="•"/>
      <w:lvlJc w:val="left"/>
      <w:pPr>
        <w:ind w:left="3470" w:hanging="273"/>
      </w:pPr>
      <w:rPr>
        <w:rFonts w:hint="default"/>
        <w:lang w:val="en-US" w:eastAsia="zh-CN" w:bidi="ar-SA"/>
      </w:rPr>
    </w:lvl>
    <w:lvl w:ilvl="7">
      <w:start w:val="0"/>
      <w:numFmt w:val="bullet"/>
      <w:lvlText w:val="•"/>
      <w:lvlJc w:val="left"/>
      <w:pPr>
        <w:ind w:left="3985" w:hanging="273"/>
      </w:pPr>
      <w:rPr>
        <w:rFonts w:hint="default"/>
        <w:lang w:val="en-US" w:eastAsia="zh-CN" w:bidi="ar-SA"/>
      </w:rPr>
    </w:lvl>
    <w:lvl w:ilvl="8">
      <w:start w:val="0"/>
      <w:numFmt w:val="bullet"/>
      <w:lvlText w:val="•"/>
      <w:lvlJc w:val="left"/>
      <w:pPr>
        <w:ind w:left="4500" w:hanging="273"/>
      </w:pPr>
      <w:rPr>
        <w:rFonts w:hint="default"/>
        <w:lang w:val="en-US" w:eastAsia="zh-CN" w:bidi="ar-SA"/>
      </w:rPr>
    </w:lvl>
  </w:abstractNum>
  <w:abstractNum w:abstractNumId="29">
    <w:nsid w:val="4C52A6F1"/>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abstractNum w:abstractNumId="30">
    <w:nsid w:val="4C86CCBF"/>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7" w:hanging="264"/>
      </w:pPr>
      <w:rPr>
        <w:rFonts w:hint="default"/>
        <w:lang w:val="en-US" w:eastAsia="zh-CN" w:bidi="ar-SA"/>
      </w:rPr>
    </w:lvl>
    <w:lvl w:ilvl="7">
      <w:start w:val="0"/>
      <w:numFmt w:val="bullet"/>
      <w:lvlText w:val="•"/>
      <w:lvlJc w:val="left"/>
      <w:pPr>
        <w:ind w:left="3900" w:hanging="264"/>
      </w:pPr>
      <w:rPr>
        <w:rFonts w:hint="default"/>
        <w:lang w:val="en-US" w:eastAsia="zh-CN" w:bidi="ar-SA"/>
      </w:rPr>
    </w:lvl>
    <w:lvl w:ilvl="8">
      <w:start w:val="0"/>
      <w:numFmt w:val="bullet"/>
      <w:lvlText w:val="•"/>
      <w:lvlJc w:val="left"/>
      <w:pPr>
        <w:ind w:left="4443" w:hanging="264"/>
      </w:pPr>
      <w:rPr>
        <w:rFonts w:hint="default"/>
        <w:lang w:val="en-US" w:eastAsia="zh-CN" w:bidi="ar-SA"/>
      </w:rPr>
    </w:lvl>
  </w:abstractNum>
  <w:abstractNum w:abstractNumId="31">
    <w:nsid w:val="51C5F4AD"/>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1" w:hanging="264"/>
      </w:pPr>
      <w:rPr>
        <w:rFonts w:hint="default"/>
        <w:lang w:val="en-US" w:eastAsia="zh-CN" w:bidi="ar-SA"/>
      </w:rPr>
    </w:lvl>
  </w:abstractNum>
  <w:abstractNum w:abstractNumId="32">
    <w:nsid w:val="53810BDE"/>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7" w:hanging="264"/>
      </w:pPr>
      <w:rPr>
        <w:rFonts w:hint="default"/>
        <w:lang w:val="en-US" w:eastAsia="zh-CN" w:bidi="ar-SA"/>
      </w:rPr>
    </w:lvl>
    <w:lvl w:ilvl="7">
      <w:start w:val="0"/>
      <w:numFmt w:val="bullet"/>
      <w:lvlText w:val="•"/>
      <w:lvlJc w:val="left"/>
      <w:pPr>
        <w:ind w:left="3900" w:hanging="264"/>
      </w:pPr>
      <w:rPr>
        <w:rFonts w:hint="default"/>
        <w:lang w:val="en-US" w:eastAsia="zh-CN" w:bidi="ar-SA"/>
      </w:rPr>
    </w:lvl>
    <w:lvl w:ilvl="8">
      <w:start w:val="0"/>
      <w:numFmt w:val="bullet"/>
      <w:lvlText w:val="•"/>
      <w:lvlJc w:val="left"/>
      <w:pPr>
        <w:ind w:left="4443" w:hanging="264"/>
      </w:pPr>
      <w:rPr>
        <w:rFonts w:hint="default"/>
        <w:lang w:val="en-US" w:eastAsia="zh-CN" w:bidi="ar-SA"/>
      </w:rPr>
    </w:lvl>
  </w:abstractNum>
  <w:abstractNum w:abstractNumId="33">
    <w:nsid w:val="58F5E885"/>
    <w:multiLevelType w:val="hybridMultilevel"/>
    <w:tmpl w:val="00000000"/>
    <w:lvl w:ilvl="0">
      <w:start w:val="2"/>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abstractNum w:abstractNumId="34">
    <w:nsid w:val="5B05DCAF"/>
    <w:multiLevelType w:val="hybridMultilevel"/>
    <w:tmpl w:val="00000000"/>
    <w:lvl w:ilvl="0">
      <w:start w:val="2"/>
      <w:numFmt w:val="decimal"/>
      <w:lvlText w:val="%1."/>
      <w:lvlJc w:val="left"/>
      <w:pPr>
        <w:ind w:left="108" w:hanging="266"/>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6"/>
      </w:pPr>
      <w:rPr>
        <w:rFonts w:hint="default"/>
        <w:lang w:val="en-US" w:eastAsia="zh-CN" w:bidi="ar-SA"/>
      </w:rPr>
    </w:lvl>
    <w:lvl w:ilvl="2">
      <w:start w:val="0"/>
      <w:numFmt w:val="bullet"/>
      <w:lvlText w:val="•"/>
      <w:lvlJc w:val="left"/>
      <w:pPr>
        <w:ind w:left="1185" w:hanging="266"/>
      </w:pPr>
      <w:rPr>
        <w:rFonts w:hint="default"/>
        <w:lang w:val="en-US" w:eastAsia="zh-CN" w:bidi="ar-SA"/>
      </w:rPr>
    </w:lvl>
    <w:lvl w:ilvl="3">
      <w:start w:val="0"/>
      <w:numFmt w:val="bullet"/>
      <w:lvlText w:val="•"/>
      <w:lvlJc w:val="left"/>
      <w:pPr>
        <w:ind w:left="1728" w:hanging="266"/>
      </w:pPr>
      <w:rPr>
        <w:rFonts w:hint="default"/>
        <w:lang w:val="en-US" w:eastAsia="zh-CN" w:bidi="ar-SA"/>
      </w:rPr>
    </w:lvl>
    <w:lvl w:ilvl="4">
      <w:start w:val="0"/>
      <w:numFmt w:val="bullet"/>
      <w:lvlText w:val="•"/>
      <w:lvlJc w:val="left"/>
      <w:pPr>
        <w:ind w:left="2271" w:hanging="266"/>
      </w:pPr>
      <w:rPr>
        <w:rFonts w:hint="default"/>
        <w:lang w:val="en-US" w:eastAsia="zh-CN" w:bidi="ar-SA"/>
      </w:rPr>
    </w:lvl>
    <w:lvl w:ilvl="5">
      <w:start w:val="0"/>
      <w:numFmt w:val="bullet"/>
      <w:lvlText w:val="•"/>
      <w:lvlJc w:val="left"/>
      <w:pPr>
        <w:ind w:left="2814" w:hanging="266"/>
      </w:pPr>
      <w:rPr>
        <w:rFonts w:hint="default"/>
        <w:lang w:val="en-US" w:eastAsia="zh-CN" w:bidi="ar-SA"/>
      </w:rPr>
    </w:lvl>
    <w:lvl w:ilvl="6">
      <w:start w:val="0"/>
      <w:numFmt w:val="bullet"/>
      <w:lvlText w:val="•"/>
      <w:lvlJc w:val="left"/>
      <w:pPr>
        <w:ind w:left="3357" w:hanging="266"/>
      </w:pPr>
      <w:rPr>
        <w:rFonts w:hint="default"/>
        <w:lang w:val="en-US" w:eastAsia="zh-CN" w:bidi="ar-SA"/>
      </w:rPr>
    </w:lvl>
    <w:lvl w:ilvl="7">
      <w:start w:val="0"/>
      <w:numFmt w:val="bullet"/>
      <w:lvlText w:val="•"/>
      <w:lvlJc w:val="left"/>
      <w:pPr>
        <w:ind w:left="3900" w:hanging="266"/>
      </w:pPr>
      <w:rPr>
        <w:rFonts w:hint="default"/>
        <w:lang w:val="en-US" w:eastAsia="zh-CN" w:bidi="ar-SA"/>
      </w:rPr>
    </w:lvl>
    <w:lvl w:ilvl="8">
      <w:start w:val="0"/>
      <w:numFmt w:val="bullet"/>
      <w:lvlText w:val="•"/>
      <w:lvlJc w:val="left"/>
      <w:pPr>
        <w:ind w:left="4443" w:hanging="266"/>
      </w:pPr>
      <w:rPr>
        <w:rFonts w:hint="default"/>
        <w:lang w:val="en-US" w:eastAsia="zh-CN" w:bidi="ar-SA"/>
      </w:rPr>
    </w:lvl>
  </w:abstractNum>
  <w:abstractNum w:abstractNumId="35">
    <w:nsid w:val="5E0983BA"/>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4"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69" w:hanging="264"/>
      </w:pPr>
      <w:rPr>
        <w:rFonts w:hint="default"/>
        <w:lang w:val="en-US" w:eastAsia="zh-CN" w:bidi="ar-SA"/>
      </w:rPr>
    </w:lvl>
    <w:lvl w:ilvl="5">
      <w:start w:val="0"/>
      <w:numFmt w:val="bullet"/>
      <w:lvlText w:val="•"/>
      <w:lvlJc w:val="left"/>
      <w:pPr>
        <w:ind w:left="2812" w:hanging="264"/>
      </w:pPr>
      <w:rPr>
        <w:rFonts w:hint="default"/>
        <w:lang w:val="en-US" w:eastAsia="zh-CN" w:bidi="ar-SA"/>
      </w:rPr>
    </w:lvl>
    <w:lvl w:ilvl="6">
      <w:start w:val="0"/>
      <w:numFmt w:val="bullet"/>
      <w:lvlText w:val="•"/>
      <w:lvlJc w:val="left"/>
      <w:pPr>
        <w:ind w:left="3354" w:hanging="264"/>
      </w:pPr>
      <w:rPr>
        <w:rFonts w:hint="default"/>
        <w:lang w:val="en-US" w:eastAsia="zh-CN" w:bidi="ar-SA"/>
      </w:rPr>
    </w:lvl>
    <w:lvl w:ilvl="7">
      <w:start w:val="0"/>
      <w:numFmt w:val="bullet"/>
      <w:lvlText w:val="•"/>
      <w:lvlJc w:val="left"/>
      <w:pPr>
        <w:ind w:left="3896" w:hanging="264"/>
      </w:pPr>
      <w:rPr>
        <w:rFonts w:hint="default"/>
        <w:lang w:val="en-US" w:eastAsia="zh-CN" w:bidi="ar-SA"/>
      </w:rPr>
    </w:lvl>
    <w:lvl w:ilvl="8">
      <w:start w:val="0"/>
      <w:numFmt w:val="bullet"/>
      <w:lvlText w:val="•"/>
      <w:lvlJc w:val="left"/>
      <w:pPr>
        <w:ind w:left="4439" w:hanging="264"/>
      </w:pPr>
      <w:rPr>
        <w:rFonts w:hint="default"/>
        <w:lang w:val="en-US" w:eastAsia="zh-CN" w:bidi="ar-SA"/>
      </w:rPr>
    </w:lvl>
  </w:abstractNum>
  <w:abstractNum w:abstractNumId="36">
    <w:nsid w:val="5EABF351"/>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abstractNum w:abstractNumId="37">
    <w:nsid w:val="62AB7D5E"/>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4"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69" w:hanging="264"/>
      </w:pPr>
      <w:rPr>
        <w:rFonts w:hint="default"/>
        <w:lang w:val="en-US" w:eastAsia="zh-CN" w:bidi="ar-SA"/>
      </w:rPr>
    </w:lvl>
    <w:lvl w:ilvl="5">
      <w:start w:val="0"/>
      <w:numFmt w:val="bullet"/>
      <w:lvlText w:val="•"/>
      <w:lvlJc w:val="left"/>
      <w:pPr>
        <w:ind w:left="2812" w:hanging="264"/>
      </w:pPr>
      <w:rPr>
        <w:rFonts w:hint="default"/>
        <w:lang w:val="en-US" w:eastAsia="zh-CN" w:bidi="ar-SA"/>
      </w:rPr>
    </w:lvl>
    <w:lvl w:ilvl="6">
      <w:start w:val="0"/>
      <w:numFmt w:val="bullet"/>
      <w:lvlText w:val="•"/>
      <w:lvlJc w:val="left"/>
      <w:pPr>
        <w:ind w:left="3354" w:hanging="264"/>
      </w:pPr>
      <w:rPr>
        <w:rFonts w:hint="default"/>
        <w:lang w:val="en-US" w:eastAsia="zh-CN" w:bidi="ar-SA"/>
      </w:rPr>
    </w:lvl>
    <w:lvl w:ilvl="7">
      <w:start w:val="0"/>
      <w:numFmt w:val="bullet"/>
      <w:lvlText w:val="•"/>
      <w:lvlJc w:val="left"/>
      <w:pPr>
        <w:ind w:left="3896" w:hanging="264"/>
      </w:pPr>
      <w:rPr>
        <w:rFonts w:hint="default"/>
        <w:lang w:val="en-US" w:eastAsia="zh-CN" w:bidi="ar-SA"/>
      </w:rPr>
    </w:lvl>
    <w:lvl w:ilvl="8">
      <w:start w:val="0"/>
      <w:numFmt w:val="bullet"/>
      <w:lvlText w:val="•"/>
      <w:lvlJc w:val="left"/>
      <w:pPr>
        <w:ind w:left="4439" w:hanging="264"/>
      </w:pPr>
      <w:rPr>
        <w:rFonts w:hint="default"/>
        <w:lang w:val="en-US" w:eastAsia="zh-CN" w:bidi="ar-SA"/>
      </w:rPr>
    </w:lvl>
  </w:abstractNum>
  <w:abstractNum w:abstractNumId="38">
    <w:nsid w:val="6354C6F0"/>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abstractNum w:abstractNumId="39">
    <w:nsid w:val="6355D70C"/>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4"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69" w:hanging="264"/>
      </w:pPr>
      <w:rPr>
        <w:rFonts w:hint="default"/>
        <w:lang w:val="en-US" w:eastAsia="zh-CN" w:bidi="ar-SA"/>
      </w:rPr>
    </w:lvl>
    <w:lvl w:ilvl="5">
      <w:start w:val="0"/>
      <w:numFmt w:val="bullet"/>
      <w:lvlText w:val="•"/>
      <w:lvlJc w:val="left"/>
      <w:pPr>
        <w:ind w:left="2812" w:hanging="264"/>
      </w:pPr>
      <w:rPr>
        <w:rFonts w:hint="default"/>
        <w:lang w:val="en-US" w:eastAsia="zh-CN" w:bidi="ar-SA"/>
      </w:rPr>
    </w:lvl>
    <w:lvl w:ilvl="6">
      <w:start w:val="0"/>
      <w:numFmt w:val="bullet"/>
      <w:lvlText w:val="•"/>
      <w:lvlJc w:val="left"/>
      <w:pPr>
        <w:ind w:left="3354" w:hanging="264"/>
      </w:pPr>
      <w:rPr>
        <w:rFonts w:hint="default"/>
        <w:lang w:val="en-US" w:eastAsia="zh-CN" w:bidi="ar-SA"/>
      </w:rPr>
    </w:lvl>
    <w:lvl w:ilvl="7">
      <w:start w:val="0"/>
      <w:numFmt w:val="bullet"/>
      <w:lvlText w:val="•"/>
      <w:lvlJc w:val="left"/>
      <w:pPr>
        <w:ind w:left="3896" w:hanging="264"/>
      </w:pPr>
      <w:rPr>
        <w:rFonts w:hint="default"/>
        <w:lang w:val="en-US" w:eastAsia="zh-CN" w:bidi="ar-SA"/>
      </w:rPr>
    </w:lvl>
    <w:lvl w:ilvl="8">
      <w:start w:val="0"/>
      <w:numFmt w:val="bullet"/>
      <w:lvlText w:val="•"/>
      <w:lvlJc w:val="left"/>
      <w:pPr>
        <w:ind w:left="4439" w:hanging="264"/>
      </w:pPr>
      <w:rPr>
        <w:rFonts w:hint="default"/>
        <w:lang w:val="en-US" w:eastAsia="zh-CN" w:bidi="ar-SA"/>
      </w:rPr>
    </w:lvl>
  </w:abstractNum>
  <w:abstractNum w:abstractNumId="40">
    <w:nsid w:val="63CFEB5C"/>
    <w:multiLevelType w:val="hybridMultilevel"/>
    <w:tmpl w:val="00000000"/>
    <w:lvl w:ilvl="0">
      <w:start w:val="2"/>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4"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69" w:hanging="264"/>
      </w:pPr>
      <w:rPr>
        <w:rFonts w:hint="default"/>
        <w:lang w:val="en-US" w:eastAsia="zh-CN" w:bidi="ar-SA"/>
      </w:rPr>
    </w:lvl>
    <w:lvl w:ilvl="5">
      <w:start w:val="0"/>
      <w:numFmt w:val="bullet"/>
      <w:lvlText w:val="•"/>
      <w:lvlJc w:val="left"/>
      <w:pPr>
        <w:ind w:left="2812" w:hanging="264"/>
      </w:pPr>
      <w:rPr>
        <w:rFonts w:hint="default"/>
        <w:lang w:val="en-US" w:eastAsia="zh-CN" w:bidi="ar-SA"/>
      </w:rPr>
    </w:lvl>
    <w:lvl w:ilvl="6">
      <w:start w:val="0"/>
      <w:numFmt w:val="bullet"/>
      <w:lvlText w:val="•"/>
      <w:lvlJc w:val="left"/>
      <w:pPr>
        <w:ind w:left="3354" w:hanging="264"/>
      </w:pPr>
      <w:rPr>
        <w:rFonts w:hint="default"/>
        <w:lang w:val="en-US" w:eastAsia="zh-CN" w:bidi="ar-SA"/>
      </w:rPr>
    </w:lvl>
    <w:lvl w:ilvl="7">
      <w:start w:val="0"/>
      <w:numFmt w:val="bullet"/>
      <w:lvlText w:val="•"/>
      <w:lvlJc w:val="left"/>
      <w:pPr>
        <w:ind w:left="3896" w:hanging="264"/>
      </w:pPr>
      <w:rPr>
        <w:rFonts w:hint="default"/>
        <w:lang w:val="en-US" w:eastAsia="zh-CN" w:bidi="ar-SA"/>
      </w:rPr>
    </w:lvl>
    <w:lvl w:ilvl="8">
      <w:start w:val="0"/>
      <w:numFmt w:val="bullet"/>
      <w:lvlText w:val="•"/>
      <w:lvlJc w:val="left"/>
      <w:pPr>
        <w:ind w:left="4439" w:hanging="264"/>
      </w:pPr>
      <w:rPr>
        <w:rFonts w:hint="default"/>
        <w:lang w:val="en-US" w:eastAsia="zh-CN" w:bidi="ar-SA"/>
      </w:rPr>
    </w:lvl>
  </w:abstractNum>
  <w:abstractNum w:abstractNumId="41">
    <w:nsid w:val="65589BD2"/>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4"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69" w:hanging="264"/>
      </w:pPr>
      <w:rPr>
        <w:rFonts w:hint="default"/>
        <w:lang w:val="en-US" w:eastAsia="zh-CN" w:bidi="ar-SA"/>
      </w:rPr>
    </w:lvl>
    <w:lvl w:ilvl="5">
      <w:start w:val="0"/>
      <w:numFmt w:val="bullet"/>
      <w:lvlText w:val="•"/>
      <w:lvlJc w:val="left"/>
      <w:pPr>
        <w:ind w:left="2812" w:hanging="264"/>
      </w:pPr>
      <w:rPr>
        <w:rFonts w:hint="default"/>
        <w:lang w:val="en-US" w:eastAsia="zh-CN" w:bidi="ar-SA"/>
      </w:rPr>
    </w:lvl>
    <w:lvl w:ilvl="6">
      <w:start w:val="0"/>
      <w:numFmt w:val="bullet"/>
      <w:lvlText w:val="•"/>
      <w:lvlJc w:val="left"/>
      <w:pPr>
        <w:ind w:left="3354" w:hanging="264"/>
      </w:pPr>
      <w:rPr>
        <w:rFonts w:hint="default"/>
        <w:lang w:val="en-US" w:eastAsia="zh-CN" w:bidi="ar-SA"/>
      </w:rPr>
    </w:lvl>
    <w:lvl w:ilvl="7">
      <w:start w:val="0"/>
      <w:numFmt w:val="bullet"/>
      <w:lvlText w:val="•"/>
      <w:lvlJc w:val="left"/>
      <w:pPr>
        <w:ind w:left="3896" w:hanging="264"/>
      </w:pPr>
      <w:rPr>
        <w:rFonts w:hint="default"/>
        <w:lang w:val="en-US" w:eastAsia="zh-CN" w:bidi="ar-SA"/>
      </w:rPr>
    </w:lvl>
    <w:lvl w:ilvl="8">
      <w:start w:val="0"/>
      <w:numFmt w:val="bullet"/>
      <w:lvlText w:val="•"/>
      <w:lvlJc w:val="left"/>
      <w:pPr>
        <w:ind w:left="4439" w:hanging="264"/>
      </w:pPr>
      <w:rPr>
        <w:rFonts w:hint="default"/>
        <w:lang w:val="en-US" w:eastAsia="zh-CN" w:bidi="ar-SA"/>
      </w:rPr>
    </w:lvl>
  </w:abstractNum>
  <w:abstractNum w:abstractNumId="42">
    <w:nsid w:val="67D33DCA"/>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3" w:hanging="264"/>
      </w:pPr>
      <w:rPr>
        <w:rFonts w:hint="default"/>
        <w:lang w:val="en-US" w:eastAsia="zh-CN" w:bidi="ar-SA"/>
      </w:rPr>
    </w:lvl>
    <w:lvl w:ilvl="2">
      <w:start w:val="0"/>
      <w:numFmt w:val="bullet"/>
      <w:lvlText w:val="•"/>
      <w:lvlJc w:val="left"/>
      <w:pPr>
        <w:ind w:left="1186" w:hanging="264"/>
      </w:pPr>
      <w:rPr>
        <w:rFonts w:hint="default"/>
        <w:lang w:val="en-US" w:eastAsia="zh-CN" w:bidi="ar-SA"/>
      </w:rPr>
    </w:lvl>
    <w:lvl w:ilvl="3">
      <w:start w:val="0"/>
      <w:numFmt w:val="bullet"/>
      <w:lvlText w:val="•"/>
      <w:lvlJc w:val="left"/>
      <w:pPr>
        <w:ind w:left="1729" w:hanging="264"/>
      </w:pPr>
      <w:rPr>
        <w:rFonts w:hint="default"/>
        <w:lang w:val="en-US" w:eastAsia="zh-CN" w:bidi="ar-SA"/>
      </w:rPr>
    </w:lvl>
    <w:lvl w:ilvl="4">
      <w:start w:val="0"/>
      <w:numFmt w:val="bullet"/>
      <w:lvlText w:val="•"/>
      <w:lvlJc w:val="left"/>
      <w:pPr>
        <w:ind w:left="2272" w:hanging="264"/>
      </w:pPr>
      <w:rPr>
        <w:rFonts w:hint="default"/>
        <w:lang w:val="en-US" w:eastAsia="zh-CN" w:bidi="ar-SA"/>
      </w:rPr>
    </w:lvl>
    <w:lvl w:ilvl="5">
      <w:start w:val="0"/>
      <w:numFmt w:val="bullet"/>
      <w:lvlText w:val="•"/>
      <w:lvlJc w:val="left"/>
      <w:pPr>
        <w:ind w:left="2815" w:hanging="264"/>
      </w:pPr>
      <w:rPr>
        <w:rFonts w:hint="default"/>
        <w:lang w:val="en-US" w:eastAsia="zh-CN" w:bidi="ar-SA"/>
      </w:rPr>
    </w:lvl>
    <w:lvl w:ilvl="6">
      <w:start w:val="0"/>
      <w:numFmt w:val="bullet"/>
      <w:lvlText w:val="•"/>
      <w:lvlJc w:val="left"/>
      <w:pPr>
        <w:ind w:left="3358" w:hanging="264"/>
      </w:pPr>
      <w:rPr>
        <w:rFonts w:hint="default"/>
        <w:lang w:val="en-US" w:eastAsia="zh-CN" w:bidi="ar-SA"/>
      </w:rPr>
    </w:lvl>
    <w:lvl w:ilvl="7">
      <w:start w:val="0"/>
      <w:numFmt w:val="bullet"/>
      <w:lvlText w:val="•"/>
      <w:lvlJc w:val="left"/>
      <w:pPr>
        <w:ind w:left="3901" w:hanging="264"/>
      </w:pPr>
      <w:rPr>
        <w:rFonts w:hint="default"/>
        <w:lang w:val="en-US" w:eastAsia="zh-CN" w:bidi="ar-SA"/>
      </w:rPr>
    </w:lvl>
    <w:lvl w:ilvl="8">
      <w:start w:val="0"/>
      <w:numFmt w:val="bullet"/>
      <w:lvlText w:val="•"/>
      <w:lvlJc w:val="left"/>
      <w:pPr>
        <w:ind w:left="4444" w:hanging="264"/>
      </w:pPr>
      <w:rPr>
        <w:rFonts w:hint="default"/>
        <w:lang w:val="en-US" w:eastAsia="zh-CN" w:bidi="ar-SA"/>
      </w:rPr>
    </w:lvl>
  </w:abstractNum>
  <w:abstractNum w:abstractNumId="43">
    <w:nsid w:val="68F248C3"/>
    <w:multiLevelType w:val="hybridMultilevel"/>
    <w:tmpl w:val="00000000"/>
    <w:lvl w:ilvl="0">
      <w:start w:val="2"/>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70" w:hanging="264"/>
      </w:pPr>
      <w:rPr>
        <w:rFonts w:hint="default"/>
        <w:lang w:val="en-US" w:eastAsia="zh-CN" w:bidi="ar-SA"/>
      </w:rPr>
    </w:lvl>
    <w:lvl w:ilvl="5">
      <w:start w:val="0"/>
      <w:numFmt w:val="bullet"/>
      <w:lvlText w:val="•"/>
      <w:lvlJc w:val="left"/>
      <w:pPr>
        <w:ind w:left="2813" w:hanging="264"/>
      </w:pPr>
      <w:rPr>
        <w:rFonts w:hint="default"/>
        <w:lang w:val="en-US" w:eastAsia="zh-CN" w:bidi="ar-SA"/>
      </w:rPr>
    </w:lvl>
    <w:lvl w:ilvl="6">
      <w:start w:val="0"/>
      <w:numFmt w:val="bullet"/>
      <w:lvlText w:val="•"/>
      <w:lvlJc w:val="left"/>
      <w:pPr>
        <w:ind w:left="3355" w:hanging="264"/>
      </w:pPr>
      <w:rPr>
        <w:rFonts w:hint="default"/>
        <w:lang w:val="en-US" w:eastAsia="zh-CN" w:bidi="ar-SA"/>
      </w:rPr>
    </w:lvl>
    <w:lvl w:ilvl="7">
      <w:start w:val="0"/>
      <w:numFmt w:val="bullet"/>
      <w:lvlText w:val="•"/>
      <w:lvlJc w:val="left"/>
      <w:pPr>
        <w:ind w:left="3898" w:hanging="264"/>
      </w:pPr>
      <w:rPr>
        <w:rFonts w:hint="default"/>
        <w:lang w:val="en-US" w:eastAsia="zh-CN" w:bidi="ar-SA"/>
      </w:rPr>
    </w:lvl>
    <w:lvl w:ilvl="8">
      <w:start w:val="0"/>
      <w:numFmt w:val="bullet"/>
      <w:lvlText w:val="•"/>
      <w:lvlJc w:val="left"/>
      <w:pPr>
        <w:ind w:left="4440" w:hanging="264"/>
      </w:pPr>
      <w:rPr>
        <w:rFonts w:hint="default"/>
        <w:lang w:val="en-US" w:eastAsia="zh-CN" w:bidi="ar-SA"/>
      </w:rPr>
    </w:lvl>
  </w:abstractNum>
  <w:abstractNum w:abstractNumId="44">
    <w:nsid w:val="72A1E1B4"/>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4" w:hanging="264"/>
      </w:pPr>
      <w:rPr>
        <w:rFonts w:hint="default"/>
        <w:lang w:val="en-US" w:eastAsia="zh-CN" w:bidi="ar-SA"/>
      </w:rPr>
    </w:lvl>
    <w:lvl w:ilvl="3">
      <w:start w:val="0"/>
      <w:numFmt w:val="bullet"/>
      <w:lvlText w:val="•"/>
      <w:lvlJc w:val="left"/>
      <w:pPr>
        <w:ind w:left="1727" w:hanging="264"/>
      </w:pPr>
      <w:rPr>
        <w:rFonts w:hint="default"/>
        <w:lang w:val="en-US" w:eastAsia="zh-CN" w:bidi="ar-SA"/>
      </w:rPr>
    </w:lvl>
    <w:lvl w:ilvl="4">
      <w:start w:val="0"/>
      <w:numFmt w:val="bullet"/>
      <w:lvlText w:val="•"/>
      <w:lvlJc w:val="left"/>
      <w:pPr>
        <w:ind w:left="2269" w:hanging="264"/>
      </w:pPr>
      <w:rPr>
        <w:rFonts w:hint="default"/>
        <w:lang w:val="en-US" w:eastAsia="zh-CN" w:bidi="ar-SA"/>
      </w:rPr>
    </w:lvl>
    <w:lvl w:ilvl="5">
      <w:start w:val="0"/>
      <w:numFmt w:val="bullet"/>
      <w:lvlText w:val="•"/>
      <w:lvlJc w:val="left"/>
      <w:pPr>
        <w:ind w:left="2812" w:hanging="264"/>
      </w:pPr>
      <w:rPr>
        <w:rFonts w:hint="default"/>
        <w:lang w:val="en-US" w:eastAsia="zh-CN" w:bidi="ar-SA"/>
      </w:rPr>
    </w:lvl>
    <w:lvl w:ilvl="6">
      <w:start w:val="0"/>
      <w:numFmt w:val="bullet"/>
      <w:lvlText w:val="•"/>
      <w:lvlJc w:val="left"/>
      <w:pPr>
        <w:ind w:left="3354" w:hanging="264"/>
      </w:pPr>
      <w:rPr>
        <w:rFonts w:hint="default"/>
        <w:lang w:val="en-US" w:eastAsia="zh-CN" w:bidi="ar-SA"/>
      </w:rPr>
    </w:lvl>
    <w:lvl w:ilvl="7">
      <w:start w:val="0"/>
      <w:numFmt w:val="bullet"/>
      <w:lvlText w:val="•"/>
      <w:lvlJc w:val="left"/>
      <w:pPr>
        <w:ind w:left="3896" w:hanging="264"/>
      </w:pPr>
      <w:rPr>
        <w:rFonts w:hint="default"/>
        <w:lang w:val="en-US" w:eastAsia="zh-CN" w:bidi="ar-SA"/>
      </w:rPr>
    </w:lvl>
    <w:lvl w:ilvl="8">
      <w:start w:val="0"/>
      <w:numFmt w:val="bullet"/>
      <w:lvlText w:val="•"/>
      <w:lvlJc w:val="left"/>
      <w:pPr>
        <w:ind w:left="4439" w:hanging="264"/>
      </w:pPr>
      <w:rPr>
        <w:rFonts w:hint="default"/>
        <w:lang w:val="en-US" w:eastAsia="zh-CN" w:bidi="ar-SA"/>
      </w:rPr>
    </w:lvl>
  </w:abstractNum>
  <w:abstractNum w:abstractNumId="45">
    <w:nsid w:val="78176208"/>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46">
    <w:nsid w:val="7AC322DB"/>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7" w:hanging="264"/>
      </w:pPr>
      <w:rPr>
        <w:rFonts w:hint="default"/>
        <w:lang w:val="en-US" w:eastAsia="zh-CN" w:bidi="ar-SA"/>
      </w:rPr>
    </w:lvl>
    <w:lvl w:ilvl="7">
      <w:start w:val="0"/>
      <w:numFmt w:val="bullet"/>
      <w:lvlText w:val="•"/>
      <w:lvlJc w:val="left"/>
      <w:pPr>
        <w:ind w:left="3900" w:hanging="264"/>
      </w:pPr>
      <w:rPr>
        <w:rFonts w:hint="default"/>
        <w:lang w:val="en-US" w:eastAsia="zh-CN" w:bidi="ar-SA"/>
      </w:rPr>
    </w:lvl>
    <w:lvl w:ilvl="8">
      <w:start w:val="0"/>
      <w:numFmt w:val="bullet"/>
      <w:lvlText w:val="•"/>
      <w:lvlJc w:val="left"/>
      <w:pPr>
        <w:ind w:left="4443" w:hanging="264"/>
      </w:pPr>
      <w:rPr>
        <w:rFonts w:hint="default"/>
        <w:lang w:val="en-US" w:eastAsia="zh-CN" w:bidi="ar-SA"/>
      </w:rPr>
    </w:lvl>
  </w:abstractNum>
  <w:abstractNum w:abstractNumId="47">
    <w:nsid w:val="7D59FCAD"/>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3" w:hanging="264"/>
      </w:pPr>
      <w:rPr>
        <w:rFonts w:hint="default"/>
        <w:lang w:val="en-US" w:eastAsia="zh-CN" w:bidi="ar-SA"/>
      </w:rPr>
    </w:lvl>
    <w:lvl w:ilvl="2">
      <w:start w:val="0"/>
      <w:numFmt w:val="bullet"/>
      <w:lvlText w:val="•"/>
      <w:lvlJc w:val="left"/>
      <w:pPr>
        <w:ind w:left="1186" w:hanging="264"/>
      </w:pPr>
      <w:rPr>
        <w:rFonts w:hint="default"/>
        <w:lang w:val="en-US" w:eastAsia="zh-CN" w:bidi="ar-SA"/>
      </w:rPr>
    </w:lvl>
    <w:lvl w:ilvl="3">
      <w:start w:val="0"/>
      <w:numFmt w:val="bullet"/>
      <w:lvlText w:val="•"/>
      <w:lvlJc w:val="left"/>
      <w:pPr>
        <w:ind w:left="1729" w:hanging="264"/>
      </w:pPr>
      <w:rPr>
        <w:rFonts w:hint="default"/>
        <w:lang w:val="en-US" w:eastAsia="zh-CN" w:bidi="ar-SA"/>
      </w:rPr>
    </w:lvl>
    <w:lvl w:ilvl="4">
      <w:start w:val="0"/>
      <w:numFmt w:val="bullet"/>
      <w:lvlText w:val="•"/>
      <w:lvlJc w:val="left"/>
      <w:pPr>
        <w:ind w:left="2272" w:hanging="264"/>
      </w:pPr>
      <w:rPr>
        <w:rFonts w:hint="default"/>
        <w:lang w:val="en-US" w:eastAsia="zh-CN" w:bidi="ar-SA"/>
      </w:rPr>
    </w:lvl>
    <w:lvl w:ilvl="5">
      <w:start w:val="0"/>
      <w:numFmt w:val="bullet"/>
      <w:lvlText w:val="•"/>
      <w:lvlJc w:val="left"/>
      <w:pPr>
        <w:ind w:left="2815" w:hanging="264"/>
      </w:pPr>
      <w:rPr>
        <w:rFonts w:hint="default"/>
        <w:lang w:val="en-US" w:eastAsia="zh-CN" w:bidi="ar-SA"/>
      </w:rPr>
    </w:lvl>
    <w:lvl w:ilvl="6">
      <w:start w:val="0"/>
      <w:numFmt w:val="bullet"/>
      <w:lvlText w:val="•"/>
      <w:lvlJc w:val="left"/>
      <w:pPr>
        <w:ind w:left="3358" w:hanging="264"/>
      </w:pPr>
      <w:rPr>
        <w:rFonts w:hint="default"/>
        <w:lang w:val="en-US" w:eastAsia="zh-CN" w:bidi="ar-SA"/>
      </w:rPr>
    </w:lvl>
    <w:lvl w:ilvl="7">
      <w:start w:val="0"/>
      <w:numFmt w:val="bullet"/>
      <w:lvlText w:val="•"/>
      <w:lvlJc w:val="left"/>
      <w:pPr>
        <w:ind w:left="3901" w:hanging="264"/>
      </w:pPr>
      <w:rPr>
        <w:rFonts w:hint="default"/>
        <w:lang w:val="en-US" w:eastAsia="zh-CN" w:bidi="ar-SA"/>
      </w:rPr>
    </w:lvl>
    <w:lvl w:ilvl="8">
      <w:start w:val="0"/>
      <w:numFmt w:val="bullet"/>
      <w:lvlText w:val="•"/>
      <w:lvlJc w:val="left"/>
      <w:pPr>
        <w:ind w:left="4444" w:hanging="264"/>
      </w:pPr>
      <w:rPr>
        <w:rFonts w:hint="default"/>
        <w:lang w:val="en-US" w:eastAsia="zh-CN" w:bidi="ar-SA"/>
      </w:rPr>
    </w:lvl>
  </w:abstractNum>
  <w:abstractNum w:abstractNumId="48">
    <w:nsid w:val="7D85701D"/>
    <w:multiLevelType w:val="hybridMultilevel"/>
    <w:tmpl w:val="00000000"/>
    <w:lvl w:ilvl="0">
      <w:start w:val="1"/>
      <w:numFmt w:val="decimal"/>
      <w:lvlText w:val="%1."/>
      <w:lvlJc w:val="left"/>
      <w:pPr>
        <w:ind w:left="108" w:hanging="21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3" w:hanging="213"/>
      </w:pPr>
      <w:rPr>
        <w:rFonts w:hint="default"/>
        <w:lang w:val="en-US" w:eastAsia="zh-CN" w:bidi="ar-SA"/>
      </w:rPr>
    </w:lvl>
    <w:lvl w:ilvl="2">
      <w:start w:val="0"/>
      <w:numFmt w:val="bullet"/>
      <w:lvlText w:val="•"/>
      <w:lvlJc w:val="left"/>
      <w:pPr>
        <w:ind w:left="1186" w:hanging="213"/>
      </w:pPr>
      <w:rPr>
        <w:rFonts w:hint="default"/>
        <w:lang w:val="en-US" w:eastAsia="zh-CN" w:bidi="ar-SA"/>
      </w:rPr>
    </w:lvl>
    <w:lvl w:ilvl="3">
      <w:start w:val="0"/>
      <w:numFmt w:val="bullet"/>
      <w:lvlText w:val="•"/>
      <w:lvlJc w:val="left"/>
      <w:pPr>
        <w:ind w:left="1729" w:hanging="213"/>
      </w:pPr>
      <w:rPr>
        <w:rFonts w:hint="default"/>
        <w:lang w:val="en-US" w:eastAsia="zh-CN" w:bidi="ar-SA"/>
      </w:rPr>
    </w:lvl>
    <w:lvl w:ilvl="4">
      <w:start w:val="0"/>
      <w:numFmt w:val="bullet"/>
      <w:lvlText w:val="•"/>
      <w:lvlJc w:val="left"/>
      <w:pPr>
        <w:ind w:left="2272" w:hanging="213"/>
      </w:pPr>
      <w:rPr>
        <w:rFonts w:hint="default"/>
        <w:lang w:val="en-US" w:eastAsia="zh-CN" w:bidi="ar-SA"/>
      </w:rPr>
    </w:lvl>
    <w:lvl w:ilvl="5">
      <w:start w:val="0"/>
      <w:numFmt w:val="bullet"/>
      <w:lvlText w:val="•"/>
      <w:lvlJc w:val="left"/>
      <w:pPr>
        <w:ind w:left="2815" w:hanging="213"/>
      </w:pPr>
      <w:rPr>
        <w:rFonts w:hint="default"/>
        <w:lang w:val="en-US" w:eastAsia="zh-CN" w:bidi="ar-SA"/>
      </w:rPr>
    </w:lvl>
    <w:lvl w:ilvl="6">
      <w:start w:val="0"/>
      <w:numFmt w:val="bullet"/>
      <w:lvlText w:val="•"/>
      <w:lvlJc w:val="left"/>
      <w:pPr>
        <w:ind w:left="3358" w:hanging="213"/>
      </w:pPr>
      <w:rPr>
        <w:rFonts w:hint="default"/>
        <w:lang w:val="en-US" w:eastAsia="zh-CN" w:bidi="ar-SA"/>
      </w:rPr>
    </w:lvl>
    <w:lvl w:ilvl="7">
      <w:start w:val="0"/>
      <w:numFmt w:val="bullet"/>
      <w:lvlText w:val="•"/>
      <w:lvlJc w:val="left"/>
      <w:pPr>
        <w:ind w:left="3901" w:hanging="213"/>
      </w:pPr>
      <w:rPr>
        <w:rFonts w:hint="default"/>
        <w:lang w:val="en-US" w:eastAsia="zh-CN" w:bidi="ar-SA"/>
      </w:rPr>
    </w:lvl>
    <w:lvl w:ilvl="8">
      <w:start w:val="0"/>
      <w:numFmt w:val="bullet"/>
      <w:lvlText w:val="•"/>
      <w:lvlJc w:val="left"/>
      <w:pPr>
        <w:ind w:left="4444" w:hanging="213"/>
      </w:pPr>
      <w:rPr>
        <w:rFonts w:hint="default"/>
        <w:lang w:val="en-US" w:eastAsia="zh-CN" w:bidi="ar-SA"/>
      </w:rPr>
    </w:lvl>
  </w:abstractNum>
  <w:abstractNum w:abstractNumId="49">
    <w:nsid w:val="7EAF1375"/>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num w:numId="1">
    <w:abstractNumId w:val="7"/>
  </w:num>
  <w:num w:numId="2">
    <w:abstractNumId w:val="43"/>
  </w:num>
  <w:num w:numId="3">
    <w:abstractNumId w:val="19"/>
  </w:num>
  <w:num w:numId="4">
    <w:abstractNumId w:val="13"/>
  </w:num>
  <w:num w:numId="5">
    <w:abstractNumId w:val="0"/>
  </w:num>
  <w:num w:numId="6">
    <w:abstractNumId w:val="21"/>
  </w:num>
  <w:num w:numId="7">
    <w:abstractNumId w:val="17"/>
  </w:num>
  <w:num w:numId="8">
    <w:abstractNumId w:val="49"/>
  </w:num>
  <w:num w:numId="9">
    <w:abstractNumId w:val="31"/>
  </w:num>
  <w:num w:numId="10">
    <w:abstractNumId w:val="14"/>
  </w:num>
  <w:num w:numId="11">
    <w:abstractNumId w:val="24"/>
  </w:num>
  <w:num w:numId="12">
    <w:abstractNumId w:val="47"/>
  </w:num>
  <w:num w:numId="13">
    <w:abstractNumId w:val="28"/>
  </w:num>
  <w:num w:numId="14">
    <w:abstractNumId w:val="11"/>
  </w:num>
  <w:num w:numId="15">
    <w:abstractNumId w:val="5"/>
  </w:num>
  <w:num w:numId="16">
    <w:abstractNumId w:val="42"/>
  </w:num>
  <w:num w:numId="17">
    <w:abstractNumId w:val="48"/>
  </w:num>
  <w:num w:numId="18">
    <w:abstractNumId w:val="20"/>
  </w:num>
  <w:num w:numId="19">
    <w:abstractNumId w:val="44"/>
  </w:num>
  <w:num w:numId="20">
    <w:abstractNumId w:val="39"/>
  </w:num>
  <w:num w:numId="21">
    <w:abstractNumId w:val="40"/>
  </w:num>
  <w:num w:numId="22">
    <w:abstractNumId w:val="41"/>
  </w:num>
  <w:num w:numId="23">
    <w:abstractNumId w:val="27"/>
  </w:num>
  <w:num w:numId="24">
    <w:abstractNumId w:val="37"/>
  </w:num>
  <w:num w:numId="25">
    <w:abstractNumId w:val="35"/>
  </w:num>
  <w:num w:numId="26">
    <w:abstractNumId w:val="22"/>
  </w:num>
  <w:num w:numId="27">
    <w:abstractNumId w:val="29"/>
  </w:num>
  <w:num w:numId="28">
    <w:abstractNumId w:val="33"/>
  </w:num>
  <w:num w:numId="29">
    <w:abstractNumId w:val="12"/>
  </w:num>
  <w:num w:numId="30">
    <w:abstractNumId w:val="38"/>
  </w:num>
  <w:num w:numId="31">
    <w:abstractNumId w:val="9"/>
  </w:num>
  <w:num w:numId="32">
    <w:abstractNumId w:val="2"/>
  </w:num>
  <w:num w:numId="33">
    <w:abstractNumId w:val="8"/>
  </w:num>
  <w:num w:numId="34">
    <w:abstractNumId w:val="32"/>
  </w:num>
  <w:num w:numId="35">
    <w:abstractNumId w:val="30"/>
  </w:num>
  <w:num w:numId="36">
    <w:abstractNumId w:val="25"/>
  </w:num>
  <w:num w:numId="37">
    <w:abstractNumId w:val="34"/>
  </w:num>
  <w:num w:numId="38">
    <w:abstractNumId w:val="46"/>
  </w:num>
  <w:num w:numId="39">
    <w:abstractNumId w:val="4"/>
  </w:num>
  <w:num w:numId="40">
    <w:abstractNumId w:val="23"/>
  </w:num>
  <w:num w:numId="41">
    <w:abstractNumId w:val="26"/>
  </w:num>
  <w:num w:numId="42">
    <w:abstractNumId w:val="15"/>
  </w:num>
  <w:num w:numId="43">
    <w:abstractNumId w:val="36"/>
  </w:num>
  <w:num w:numId="44">
    <w:abstractNumId w:val="18"/>
  </w:num>
  <w:num w:numId="45">
    <w:abstractNumId w:val="16"/>
  </w:num>
  <w:num w:numId="46">
    <w:abstractNumId w:val="10"/>
  </w:num>
  <w:num w:numId="47">
    <w:abstractNumId w:val="1"/>
  </w:num>
  <w:num w:numId="48">
    <w:abstractNumId w:val="3"/>
  </w:num>
  <w:num w:numId="49">
    <w:abstractNumId w:val="6"/>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仿宋" w:eastAsia="仿宋" w:hAnsi="仿宋" w:cs="仿宋"/>
      <w:lang w:val="en-US" w:eastAsia="zh-CN" w:bidi="ar-SA"/>
    </w:rPr>
  </w:style>
  <w:style w:type="paragraph" w:styleId="Heading1">
    <w:name w:val="heading 1"/>
    <w:basedOn w:val="Normal"/>
    <w:uiPriority w:val="1"/>
    <w:qFormat/>
    <w:pPr>
      <w:spacing w:before="237"/>
      <w:ind w:left="120"/>
      <w:outlineLvl w:val="0"/>
    </w:pPr>
    <w:rPr>
      <w:rFonts w:ascii="Microsoft JhengHei" w:eastAsia="Microsoft JhengHei" w:hAnsi="Microsoft JhengHei" w:cs="Microsoft JhengHei"/>
      <w:b/>
      <w:bCs/>
      <w:sz w:val="32"/>
      <w:szCs w:val="32"/>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355"/>
      <w:ind w:left="540"/>
    </w:pPr>
    <w:rPr>
      <w:rFonts w:ascii="仿宋" w:eastAsia="仿宋" w:hAnsi="仿宋" w:cs="仿宋"/>
      <w:sz w:val="21"/>
      <w:szCs w:val="21"/>
      <w:lang w:val="en-US" w:eastAsia="zh-CN" w:bidi="ar-SA"/>
    </w:rPr>
  </w:style>
  <w:style w:type="paragraph" w:styleId="BodyText">
    <w:name w:val="Body Text"/>
    <w:basedOn w:val="Normal"/>
    <w:uiPriority w:val="1"/>
    <w:qFormat/>
    <w:pPr>
      <w:ind w:left="120"/>
    </w:pPr>
    <w:rPr>
      <w:rFonts w:ascii="仿宋" w:eastAsia="仿宋" w:hAnsi="仿宋" w:cs="仿宋"/>
      <w:sz w:val="28"/>
      <w:szCs w:val="28"/>
      <w:lang w:val="en-US" w:eastAsia="zh-CN" w:bidi="ar-SA"/>
    </w:rPr>
  </w:style>
  <w:style w:type="paragraph" w:styleId="Title">
    <w:name w:val="Title"/>
    <w:basedOn w:val="Normal"/>
    <w:uiPriority w:val="1"/>
    <w:qFormat/>
    <w:pPr>
      <w:spacing w:line="569" w:lineRule="exact"/>
      <w:ind w:left="1922" w:right="2321"/>
      <w:jc w:val="center"/>
    </w:pPr>
    <w:rPr>
      <w:rFonts w:ascii="Microsoft JhengHei" w:eastAsia="Microsoft JhengHei" w:hAnsi="Microsoft JhengHei" w:cs="Microsoft JhengHei"/>
      <w:b/>
      <w:bCs/>
      <w:sz w:val="36"/>
      <w:szCs w:val="36"/>
      <w:lang w:val="en-US" w:eastAsia="zh-CN" w:bidi="ar-SA"/>
    </w:rPr>
  </w:style>
  <w:style w:type="paragraph" w:styleId="ListParagraph">
    <w:name w:val="List Paragraph"/>
    <w:basedOn w:val="Normal"/>
    <w:uiPriority w:val="1"/>
    <w:qFormat/>
    <w:pPr>
      <w:ind w:left="120" w:right="518"/>
      <w:jc w:val="both"/>
    </w:pPr>
    <w:rPr>
      <w:rFonts w:ascii="仿宋" w:eastAsia="仿宋" w:hAnsi="仿宋" w:cs="仿宋"/>
      <w:lang w:val="en-US" w:eastAsia="zh-CN" w:bidi="ar-SA"/>
    </w:rPr>
  </w:style>
  <w:style w:type="paragraph" w:customStyle="1" w:styleId="TableParagraph">
    <w:name w:val="Table Paragraph"/>
    <w:basedOn w:val="Normal"/>
    <w:uiPriority w:val="1"/>
    <w:qFormat/>
    <w:pPr>
      <w:ind w:left="108"/>
    </w:pPr>
    <w:rPr>
      <w:rFonts w:ascii="仿宋" w:eastAsia="仿宋" w:hAnsi="仿宋" w:cs="仿宋"/>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 w:type="table" w:customStyle="1" w:styleId="TableNormal7">
    <w:name w:val="Table Normal_7"/>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hyperlink" Target="https://d.book118.com/366033005221010101" TargetMode="External" /><Relationship Id="rId17" Type="http://schemas.openxmlformats.org/officeDocument/2006/relationships/footer" Target="footer1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2024-03-05T05:07:02Z</dcterms:created>
  <dcterms:modified xsi:type="dcterms:W3CDTF">2024-03-05T05:07:02Z</dcterms:modified>
</cp:coreProperties>
</file>