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配电柜项目计划设计方案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8" w:history="1">
        <w:r>
          <w:rPr>
            <w:rFonts w:ascii="仿宋" w:eastAsia="仿宋" w:hAnsi="仿宋" w:cs="仿宋" w:hint="eastAsia"/>
            <w:lang w:eastAsia="zh-CN"/>
          </w:rPr>
          <w:t>前言</w:t>
        </w:r>
        <w:r>
          <w:tab/>
        </w:r>
        <w:r>
          <w:fldChar w:fldCharType="begin"/>
        </w:r>
        <w:r>
          <w:instrText xml:space="preserve"> PAGEREF _Toc2818 \h </w:instrText>
        </w:r>
        <w:r>
          <w:fldChar w:fldCharType="separate"/>
        </w:r>
        <w:r>
          <w:t>3</w:t>
        </w:r>
        <w:r>
          <w:fldChar w:fldCharType="end"/>
        </w:r>
      </w:hyperlink>
    </w:p>
    <w:p>
      <w:pPr>
        <w:pStyle w:val="TOC1"/>
        <w:tabs>
          <w:tab w:val="right" w:leader="dot" w:pos="8306"/>
        </w:tabs>
      </w:pPr>
      <w:hyperlink w:anchor="_Toc27180" w:history="1">
        <w:r>
          <w:rPr>
            <w:rFonts w:ascii="仿宋" w:eastAsia="仿宋" w:hAnsi="仿宋" w:cs="仿宋" w:hint="eastAsia"/>
            <w:lang w:eastAsia="zh-CN"/>
          </w:rPr>
          <w:t>一、配电柜项目选址可行性分析</w:t>
        </w:r>
        <w:r>
          <w:tab/>
        </w:r>
        <w:r>
          <w:fldChar w:fldCharType="begin"/>
        </w:r>
        <w:r>
          <w:instrText xml:space="preserve"> PAGEREF _Toc27180 \h </w:instrText>
        </w:r>
        <w:r>
          <w:fldChar w:fldCharType="separate"/>
        </w:r>
        <w:r>
          <w:t>3</w:t>
        </w:r>
        <w:r>
          <w:fldChar w:fldCharType="end"/>
        </w:r>
      </w:hyperlink>
    </w:p>
    <w:p>
      <w:pPr>
        <w:pStyle w:val="TOC2"/>
        <w:tabs>
          <w:tab w:val="right" w:leader="dot" w:pos="8306"/>
        </w:tabs>
      </w:pPr>
      <w:hyperlink w:anchor="_Toc17081" w:history="1">
        <w:r>
          <w:rPr>
            <w:rFonts w:ascii="仿宋" w:eastAsia="仿宋" w:hAnsi="仿宋" w:cs="仿宋" w:hint="eastAsia"/>
            <w:lang w:eastAsia="zh-CN"/>
          </w:rPr>
          <w:t>(一)、配电柜项目选址</w:t>
        </w:r>
        <w:r>
          <w:tab/>
        </w:r>
        <w:r>
          <w:fldChar w:fldCharType="begin"/>
        </w:r>
        <w:r>
          <w:instrText xml:space="preserve"> PAGEREF _Toc17081 \h </w:instrText>
        </w:r>
        <w:r>
          <w:fldChar w:fldCharType="separate"/>
        </w:r>
        <w:r>
          <w:t>3</w:t>
        </w:r>
        <w:r>
          <w:fldChar w:fldCharType="end"/>
        </w:r>
      </w:hyperlink>
    </w:p>
    <w:p>
      <w:pPr>
        <w:pStyle w:val="TOC2"/>
        <w:tabs>
          <w:tab w:val="right" w:leader="dot" w:pos="8306"/>
        </w:tabs>
      </w:pPr>
      <w:hyperlink w:anchor="_Toc29156" w:history="1">
        <w:r>
          <w:rPr>
            <w:rFonts w:ascii="仿宋" w:eastAsia="仿宋" w:hAnsi="仿宋" w:cs="仿宋" w:hint="eastAsia"/>
            <w:lang w:eastAsia="zh-CN"/>
          </w:rPr>
          <w:t>(二)、用地控制指标</w:t>
        </w:r>
        <w:r>
          <w:tab/>
        </w:r>
        <w:r>
          <w:fldChar w:fldCharType="begin"/>
        </w:r>
        <w:r>
          <w:instrText xml:space="preserve"> PAGEREF _Toc29156 \h </w:instrText>
        </w:r>
        <w:r>
          <w:fldChar w:fldCharType="separate"/>
        </w:r>
        <w:r>
          <w:t>3</w:t>
        </w:r>
        <w:r>
          <w:fldChar w:fldCharType="end"/>
        </w:r>
      </w:hyperlink>
    </w:p>
    <w:p>
      <w:pPr>
        <w:pStyle w:val="TOC2"/>
        <w:tabs>
          <w:tab w:val="right" w:leader="dot" w:pos="8306"/>
        </w:tabs>
      </w:pPr>
      <w:hyperlink w:anchor="_Toc10525" w:history="1">
        <w:r>
          <w:rPr>
            <w:rFonts w:ascii="仿宋" w:eastAsia="仿宋" w:hAnsi="仿宋" w:cs="仿宋" w:hint="eastAsia"/>
            <w:lang w:eastAsia="zh-CN"/>
          </w:rPr>
          <w:t>(三)、节约用地措施</w:t>
        </w:r>
        <w:r>
          <w:tab/>
        </w:r>
        <w:r>
          <w:fldChar w:fldCharType="begin"/>
        </w:r>
        <w:r>
          <w:instrText xml:space="preserve"> PAGEREF _Toc10525 \h </w:instrText>
        </w:r>
        <w:r>
          <w:fldChar w:fldCharType="separate"/>
        </w:r>
        <w:r>
          <w:t>5</w:t>
        </w:r>
        <w:r>
          <w:fldChar w:fldCharType="end"/>
        </w:r>
      </w:hyperlink>
    </w:p>
    <w:p>
      <w:pPr>
        <w:pStyle w:val="TOC2"/>
        <w:tabs>
          <w:tab w:val="right" w:leader="dot" w:pos="8306"/>
        </w:tabs>
      </w:pPr>
      <w:hyperlink w:anchor="_Toc10163" w:history="1">
        <w:r>
          <w:rPr>
            <w:rFonts w:ascii="仿宋" w:eastAsia="仿宋" w:hAnsi="仿宋" w:cs="仿宋" w:hint="eastAsia"/>
            <w:lang w:eastAsia="zh-CN"/>
          </w:rPr>
          <w:t>(四)、总图布置方案</w:t>
        </w:r>
        <w:r>
          <w:tab/>
        </w:r>
        <w:r>
          <w:fldChar w:fldCharType="begin"/>
        </w:r>
        <w:r>
          <w:instrText xml:space="preserve"> PAGEREF _Toc10163 \h </w:instrText>
        </w:r>
        <w:r>
          <w:fldChar w:fldCharType="separate"/>
        </w:r>
        <w:r>
          <w:t>6</w:t>
        </w:r>
        <w:r>
          <w:fldChar w:fldCharType="end"/>
        </w:r>
      </w:hyperlink>
    </w:p>
    <w:p>
      <w:pPr>
        <w:pStyle w:val="TOC2"/>
        <w:tabs>
          <w:tab w:val="right" w:leader="dot" w:pos="8306"/>
        </w:tabs>
      </w:pPr>
      <w:hyperlink w:anchor="_Toc10202" w:history="1">
        <w:r>
          <w:rPr>
            <w:rFonts w:ascii="仿宋" w:eastAsia="仿宋" w:hAnsi="仿宋" w:cs="仿宋" w:hint="eastAsia"/>
            <w:lang w:eastAsia="zh-CN"/>
          </w:rPr>
          <w:t>(五)、选址综合评价</w:t>
        </w:r>
        <w:r>
          <w:tab/>
        </w:r>
        <w:r>
          <w:fldChar w:fldCharType="begin"/>
        </w:r>
        <w:r>
          <w:instrText xml:space="preserve"> PAGEREF _Toc10202 \h </w:instrText>
        </w:r>
        <w:r>
          <w:fldChar w:fldCharType="separate"/>
        </w:r>
        <w:r>
          <w:t>7</w:t>
        </w:r>
        <w:r>
          <w:fldChar w:fldCharType="end"/>
        </w:r>
      </w:hyperlink>
    </w:p>
    <w:p>
      <w:pPr>
        <w:pStyle w:val="TOC1"/>
        <w:tabs>
          <w:tab w:val="right" w:leader="dot" w:pos="8306"/>
        </w:tabs>
      </w:pPr>
      <w:hyperlink w:anchor="_Toc14748" w:history="1">
        <w:r>
          <w:rPr>
            <w:rFonts w:ascii="仿宋" w:eastAsia="仿宋" w:hAnsi="仿宋" w:cs="仿宋" w:hint="eastAsia"/>
            <w:lang w:eastAsia="zh-CN"/>
          </w:rPr>
          <w:t>二、配电柜项目绩效评估</w:t>
        </w:r>
        <w:r>
          <w:tab/>
        </w:r>
        <w:r>
          <w:fldChar w:fldCharType="begin"/>
        </w:r>
        <w:r>
          <w:instrText xml:space="preserve"> PAGEREF _Toc14748 \h </w:instrText>
        </w:r>
        <w:r>
          <w:fldChar w:fldCharType="separate"/>
        </w:r>
        <w:r>
          <w:t>8</w:t>
        </w:r>
        <w:r>
          <w:fldChar w:fldCharType="end"/>
        </w:r>
      </w:hyperlink>
    </w:p>
    <w:p>
      <w:pPr>
        <w:pStyle w:val="TOC2"/>
        <w:tabs>
          <w:tab w:val="right" w:leader="dot" w:pos="8306"/>
        </w:tabs>
      </w:pPr>
      <w:hyperlink w:anchor="_Toc31717" w:history="1">
        <w:r>
          <w:rPr>
            <w:rFonts w:ascii="仿宋" w:eastAsia="仿宋" w:hAnsi="仿宋" w:cs="仿宋" w:hint="eastAsia"/>
            <w:lang w:eastAsia="zh-CN"/>
          </w:rPr>
          <w:t>(一)、绩效评估指标</w:t>
        </w:r>
        <w:r>
          <w:tab/>
        </w:r>
        <w:r>
          <w:fldChar w:fldCharType="begin"/>
        </w:r>
        <w:r>
          <w:instrText xml:space="preserve"> PAGEREF _Toc31717 \h </w:instrText>
        </w:r>
        <w:r>
          <w:fldChar w:fldCharType="separate"/>
        </w:r>
        <w:r>
          <w:t>8</w:t>
        </w:r>
        <w:r>
          <w:fldChar w:fldCharType="end"/>
        </w:r>
      </w:hyperlink>
    </w:p>
    <w:p>
      <w:pPr>
        <w:pStyle w:val="TOC2"/>
        <w:tabs>
          <w:tab w:val="right" w:leader="dot" w:pos="8306"/>
        </w:tabs>
      </w:pPr>
      <w:hyperlink w:anchor="_Toc975" w:history="1">
        <w:r>
          <w:rPr>
            <w:rFonts w:ascii="仿宋" w:eastAsia="仿宋" w:hAnsi="仿宋" w:cs="仿宋" w:hint="eastAsia"/>
            <w:lang w:eastAsia="zh-CN"/>
          </w:rPr>
          <w:t>(二)、绩效评估方法</w:t>
        </w:r>
        <w:r>
          <w:tab/>
        </w:r>
        <w:r>
          <w:fldChar w:fldCharType="begin"/>
        </w:r>
        <w:r>
          <w:instrText xml:space="preserve"> PAGEREF _Toc975 \h </w:instrText>
        </w:r>
        <w:r>
          <w:fldChar w:fldCharType="separate"/>
        </w:r>
        <w:r>
          <w:t>9</w:t>
        </w:r>
        <w:r>
          <w:fldChar w:fldCharType="end"/>
        </w:r>
      </w:hyperlink>
    </w:p>
    <w:p>
      <w:pPr>
        <w:pStyle w:val="TOC2"/>
        <w:tabs>
          <w:tab w:val="right" w:leader="dot" w:pos="8306"/>
        </w:tabs>
      </w:pPr>
      <w:hyperlink w:anchor="_Toc8052" w:history="1">
        <w:r>
          <w:rPr>
            <w:rFonts w:ascii="仿宋" w:eastAsia="仿宋" w:hAnsi="仿宋" w:cs="仿宋" w:hint="eastAsia"/>
            <w:lang w:eastAsia="zh-CN"/>
          </w:rPr>
          <w:t>(三)、绩效评估周期</w:t>
        </w:r>
        <w:r>
          <w:tab/>
        </w:r>
        <w:r>
          <w:fldChar w:fldCharType="begin"/>
        </w:r>
        <w:r>
          <w:instrText xml:space="preserve"> PAGEREF _Toc8052 \h </w:instrText>
        </w:r>
        <w:r>
          <w:fldChar w:fldCharType="separate"/>
        </w:r>
        <w:r>
          <w:t>10</w:t>
        </w:r>
        <w:r>
          <w:fldChar w:fldCharType="end"/>
        </w:r>
      </w:hyperlink>
    </w:p>
    <w:p>
      <w:pPr>
        <w:pStyle w:val="TOC1"/>
        <w:tabs>
          <w:tab w:val="right" w:leader="dot" w:pos="8306"/>
        </w:tabs>
      </w:pPr>
      <w:hyperlink w:anchor="_Toc4938" w:history="1">
        <w:r>
          <w:rPr>
            <w:rFonts w:ascii="仿宋" w:eastAsia="仿宋" w:hAnsi="仿宋" w:cs="仿宋" w:hint="eastAsia"/>
            <w:lang w:eastAsia="zh-CN"/>
          </w:rPr>
          <w:t>三、配电柜项目可持续发展</w:t>
        </w:r>
        <w:r>
          <w:tab/>
        </w:r>
        <w:r>
          <w:fldChar w:fldCharType="begin"/>
        </w:r>
        <w:r>
          <w:instrText xml:space="preserve"> PAGEREF _Toc4938 \h </w:instrText>
        </w:r>
        <w:r>
          <w:fldChar w:fldCharType="separate"/>
        </w:r>
        <w:r>
          <w:t>11</w:t>
        </w:r>
        <w:r>
          <w:fldChar w:fldCharType="end"/>
        </w:r>
      </w:hyperlink>
    </w:p>
    <w:p>
      <w:pPr>
        <w:pStyle w:val="TOC2"/>
        <w:tabs>
          <w:tab w:val="right" w:leader="dot" w:pos="8306"/>
        </w:tabs>
      </w:pPr>
      <w:hyperlink w:anchor="_Toc166" w:history="1">
        <w:r>
          <w:rPr>
            <w:rFonts w:ascii="仿宋" w:eastAsia="仿宋" w:hAnsi="仿宋" w:cs="仿宋" w:hint="eastAsia"/>
            <w:lang w:eastAsia="zh-CN"/>
          </w:rPr>
          <w:t>(一)、可持续战略与实践</w:t>
        </w:r>
        <w:r>
          <w:tab/>
        </w:r>
        <w:r>
          <w:fldChar w:fldCharType="begin"/>
        </w:r>
        <w:r>
          <w:instrText xml:space="preserve"> PAGEREF _Toc166 \h </w:instrText>
        </w:r>
        <w:r>
          <w:fldChar w:fldCharType="separate"/>
        </w:r>
        <w:r>
          <w:t>11</w:t>
        </w:r>
        <w:r>
          <w:fldChar w:fldCharType="end"/>
        </w:r>
      </w:hyperlink>
    </w:p>
    <w:p>
      <w:pPr>
        <w:pStyle w:val="TOC2"/>
        <w:tabs>
          <w:tab w:val="right" w:leader="dot" w:pos="8306"/>
        </w:tabs>
      </w:pPr>
      <w:hyperlink w:anchor="_Toc18021" w:history="1">
        <w:r>
          <w:rPr>
            <w:rFonts w:ascii="仿宋" w:eastAsia="仿宋" w:hAnsi="仿宋" w:cs="仿宋" w:hint="eastAsia"/>
            <w:lang w:eastAsia="zh-CN"/>
          </w:rPr>
          <w:t>(二)、环保与社会责任</w:t>
        </w:r>
        <w:r>
          <w:tab/>
        </w:r>
        <w:r>
          <w:fldChar w:fldCharType="begin"/>
        </w:r>
        <w:r>
          <w:instrText xml:space="preserve"> PAGEREF _Toc18021 \h </w:instrText>
        </w:r>
        <w:r>
          <w:fldChar w:fldCharType="separate"/>
        </w:r>
        <w:r>
          <w:t>12</w:t>
        </w:r>
        <w:r>
          <w:fldChar w:fldCharType="end"/>
        </w:r>
      </w:hyperlink>
    </w:p>
    <w:p>
      <w:pPr>
        <w:pStyle w:val="TOC1"/>
        <w:tabs>
          <w:tab w:val="right" w:leader="dot" w:pos="8306"/>
        </w:tabs>
      </w:pPr>
      <w:hyperlink w:anchor="_Toc21090" w:history="1">
        <w:r>
          <w:rPr>
            <w:rFonts w:ascii="仿宋" w:eastAsia="仿宋" w:hAnsi="仿宋" w:cs="仿宋" w:hint="eastAsia"/>
            <w:lang w:eastAsia="zh-CN"/>
          </w:rPr>
          <w:t>四、市场分析、调研</w:t>
        </w:r>
        <w:r>
          <w:tab/>
        </w:r>
        <w:r>
          <w:fldChar w:fldCharType="begin"/>
        </w:r>
        <w:r>
          <w:instrText xml:space="preserve"> PAGEREF _Toc21090 \h </w:instrText>
        </w:r>
        <w:r>
          <w:fldChar w:fldCharType="separate"/>
        </w:r>
        <w:r>
          <w:t>13</w:t>
        </w:r>
        <w:r>
          <w:fldChar w:fldCharType="end"/>
        </w:r>
      </w:hyperlink>
    </w:p>
    <w:p>
      <w:pPr>
        <w:pStyle w:val="TOC2"/>
        <w:tabs>
          <w:tab w:val="right" w:leader="dot" w:pos="8306"/>
        </w:tabs>
      </w:pPr>
      <w:hyperlink w:anchor="_Toc17069" w:history="1">
        <w:r>
          <w:rPr>
            <w:rFonts w:ascii="仿宋" w:eastAsia="仿宋" w:hAnsi="仿宋" w:cs="仿宋" w:hint="eastAsia"/>
            <w:lang w:eastAsia="zh-CN"/>
          </w:rPr>
          <w:t>(一)、配电柜行业分析</w:t>
        </w:r>
        <w:r>
          <w:tab/>
        </w:r>
        <w:r>
          <w:fldChar w:fldCharType="begin"/>
        </w:r>
        <w:r>
          <w:instrText xml:space="preserve"> PAGEREF _Toc17069 \h </w:instrText>
        </w:r>
        <w:r>
          <w:fldChar w:fldCharType="separate"/>
        </w:r>
        <w:r>
          <w:t>13</w:t>
        </w:r>
        <w:r>
          <w:fldChar w:fldCharType="end"/>
        </w:r>
      </w:hyperlink>
    </w:p>
    <w:p>
      <w:pPr>
        <w:pStyle w:val="TOC2"/>
        <w:tabs>
          <w:tab w:val="right" w:leader="dot" w:pos="8306"/>
        </w:tabs>
      </w:pPr>
      <w:hyperlink w:anchor="_Toc28983" w:history="1">
        <w:r>
          <w:rPr>
            <w:rFonts w:ascii="仿宋" w:eastAsia="仿宋" w:hAnsi="仿宋" w:cs="仿宋" w:hint="eastAsia"/>
            <w:lang w:eastAsia="zh-CN"/>
          </w:rPr>
          <w:t>(二)、配电柜市场分析预测</w:t>
        </w:r>
        <w:r>
          <w:tab/>
        </w:r>
        <w:r>
          <w:fldChar w:fldCharType="begin"/>
        </w:r>
        <w:r>
          <w:instrText xml:space="preserve"> PAGEREF _Toc28983 \h </w:instrText>
        </w:r>
        <w:r>
          <w:fldChar w:fldCharType="separate"/>
        </w:r>
        <w:r>
          <w:t>14</w:t>
        </w:r>
        <w:r>
          <w:fldChar w:fldCharType="end"/>
        </w:r>
      </w:hyperlink>
    </w:p>
    <w:p>
      <w:pPr>
        <w:pStyle w:val="TOC1"/>
        <w:tabs>
          <w:tab w:val="right" w:leader="dot" w:pos="8306"/>
        </w:tabs>
      </w:pPr>
      <w:hyperlink w:anchor="_Toc29381" w:history="1">
        <w:r>
          <w:rPr>
            <w:rFonts w:ascii="仿宋" w:eastAsia="仿宋" w:hAnsi="仿宋" w:cs="仿宋" w:hint="eastAsia"/>
            <w:lang w:eastAsia="zh-CN"/>
          </w:rPr>
          <w:t>五、配电柜项目危机管理</w:t>
        </w:r>
        <w:r>
          <w:tab/>
        </w:r>
        <w:r>
          <w:fldChar w:fldCharType="begin"/>
        </w:r>
        <w:r>
          <w:instrText xml:space="preserve"> PAGEREF _Toc29381 \h </w:instrText>
        </w:r>
        <w:r>
          <w:fldChar w:fldCharType="separate"/>
        </w:r>
        <w:r>
          <w:t>14</w:t>
        </w:r>
        <w:r>
          <w:fldChar w:fldCharType="end"/>
        </w:r>
      </w:hyperlink>
    </w:p>
    <w:p>
      <w:pPr>
        <w:pStyle w:val="TOC2"/>
        <w:tabs>
          <w:tab w:val="right" w:leader="dot" w:pos="8306"/>
        </w:tabs>
      </w:pPr>
      <w:hyperlink w:anchor="_Toc25674" w:history="1">
        <w:r>
          <w:rPr>
            <w:rFonts w:ascii="仿宋" w:eastAsia="仿宋" w:hAnsi="仿宋" w:cs="仿宋" w:hint="eastAsia"/>
            <w:lang w:eastAsia="zh-CN"/>
          </w:rPr>
          <w:t>(一)、危机预警与识别</w:t>
        </w:r>
        <w:r>
          <w:tab/>
        </w:r>
        <w:r>
          <w:fldChar w:fldCharType="begin"/>
        </w:r>
        <w:r>
          <w:instrText xml:space="preserve"> PAGEREF _Toc25674 \h </w:instrText>
        </w:r>
        <w:r>
          <w:fldChar w:fldCharType="separate"/>
        </w:r>
        <w:r>
          <w:t>14</w:t>
        </w:r>
        <w:r>
          <w:fldChar w:fldCharType="end"/>
        </w:r>
      </w:hyperlink>
    </w:p>
    <w:p>
      <w:pPr>
        <w:pStyle w:val="TOC2"/>
        <w:tabs>
          <w:tab w:val="right" w:leader="dot" w:pos="8306"/>
        </w:tabs>
      </w:pPr>
      <w:hyperlink w:anchor="_Toc5156" w:history="1">
        <w:r>
          <w:rPr>
            <w:rFonts w:ascii="仿宋" w:eastAsia="仿宋" w:hAnsi="仿宋" w:cs="仿宋" w:hint="eastAsia"/>
            <w:lang w:eastAsia="zh-CN"/>
          </w:rPr>
          <w:t>(二)、危机应对与恢复</w:t>
        </w:r>
        <w:r>
          <w:tab/>
        </w:r>
        <w:r>
          <w:fldChar w:fldCharType="begin"/>
        </w:r>
        <w:r>
          <w:instrText xml:space="preserve"> PAGEREF _Toc5156 \h </w:instrText>
        </w:r>
        <w:r>
          <w:fldChar w:fldCharType="separate"/>
        </w:r>
        <w:r>
          <w:t>15</w:t>
        </w:r>
        <w:r>
          <w:fldChar w:fldCharType="end"/>
        </w:r>
      </w:hyperlink>
    </w:p>
    <w:p>
      <w:pPr>
        <w:pStyle w:val="TOC1"/>
        <w:tabs>
          <w:tab w:val="right" w:leader="dot" w:pos="8306"/>
        </w:tabs>
      </w:pPr>
      <w:hyperlink w:anchor="_Toc651" w:history="1">
        <w:r>
          <w:rPr>
            <w:rFonts w:ascii="仿宋" w:eastAsia="仿宋" w:hAnsi="仿宋" w:cs="仿宋" w:hint="eastAsia"/>
            <w:lang w:eastAsia="zh-CN"/>
          </w:rPr>
          <w:t>六、配电柜项目土建工程</w:t>
        </w:r>
        <w:r>
          <w:tab/>
        </w:r>
        <w:r>
          <w:fldChar w:fldCharType="begin"/>
        </w:r>
        <w:r>
          <w:instrText xml:space="preserve"> PAGEREF _Toc651 \h </w:instrText>
        </w:r>
        <w:r>
          <w:fldChar w:fldCharType="separate"/>
        </w:r>
        <w:r>
          <w:t>17</w:t>
        </w:r>
        <w:r>
          <w:fldChar w:fldCharType="end"/>
        </w:r>
      </w:hyperlink>
    </w:p>
    <w:p>
      <w:pPr>
        <w:pStyle w:val="TOC2"/>
        <w:tabs>
          <w:tab w:val="right" w:leader="dot" w:pos="8306"/>
        </w:tabs>
      </w:pPr>
      <w:hyperlink w:anchor="_Toc23526" w:history="1">
        <w:r>
          <w:rPr>
            <w:rFonts w:ascii="仿宋" w:eastAsia="仿宋" w:hAnsi="仿宋" w:cs="仿宋" w:hint="eastAsia"/>
            <w:lang w:eastAsia="zh-CN"/>
          </w:rPr>
          <w:t>(一)、建筑工程设计原则</w:t>
        </w:r>
        <w:r>
          <w:tab/>
        </w:r>
        <w:r>
          <w:fldChar w:fldCharType="begin"/>
        </w:r>
        <w:r>
          <w:instrText xml:space="preserve"> PAGEREF _Toc23526 \h </w:instrText>
        </w:r>
        <w:r>
          <w:fldChar w:fldCharType="separate"/>
        </w:r>
        <w:r>
          <w:t>17</w:t>
        </w:r>
        <w:r>
          <w:fldChar w:fldCharType="end"/>
        </w:r>
      </w:hyperlink>
    </w:p>
    <w:p>
      <w:pPr>
        <w:pStyle w:val="TOC2"/>
        <w:tabs>
          <w:tab w:val="right" w:leader="dot" w:pos="8306"/>
        </w:tabs>
      </w:pPr>
      <w:hyperlink w:anchor="_Toc18127" w:history="1">
        <w:r>
          <w:rPr>
            <w:rFonts w:ascii="仿宋" w:eastAsia="仿宋" w:hAnsi="仿宋" w:cs="仿宋" w:hint="eastAsia"/>
            <w:lang w:eastAsia="zh-CN"/>
          </w:rPr>
          <w:t>(二)、土建工程设计年限及安全等级</w:t>
        </w:r>
        <w:r>
          <w:tab/>
        </w:r>
        <w:r>
          <w:fldChar w:fldCharType="begin"/>
        </w:r>
        <w:r>
          <w:instrText xml:space="preserve"> PAGEREF _Toc18127 \h </w:instrText>
        </w:r>
        <w:r>
          <w:fldChar w:fldCharType="separate"/>
        </w:r>
        <w:r>
          <w:t>18</w:t>
        </w:r>
        <w:r>
          <w:fldChar w:fldCharType="end"/>
        </w:r>
      </w:hyperlink>
    </w:p>
    <w:p>
      <w:pPr>
        <w:pStyle w:val="TOC2"/>
        <w:tabs>
          <w:tab w:val="right" w:leader="dot" w:pos="8306"/>
        </w:tabs>
      </w:pPr>
      <w:hyperlink w:anchor="_Toc13074" w:history="1">
        <w:r>
          <w:rPr>
            <w:rFonts w:ascii="仿宋" w:eastAsia="仿宋" w:hAnsi="仿宋" w:cs="仿宋" w:hint="eastAsia"/>
            <w:lang w:eastAsia="zh-CN"/>
          </w:rPr>
          <w:t>(三)、建筑工程设计总体要求</w:t>
        </w:r>
        <w:r>
          <w:tab/>
        </w:r>
        <w:r>
          <w:fldChar w:fldCharType="begin"/>
        </w:r>
        <w:r>
          <w:instrText xml:space="preserve"> PAGEREF _Toc13074 \h </w:instrText>
        </w:r>
        <w:r>
          <w:fldChar w:fldCharType="separate"/>
        </w:r>
        <w:r>
          <w:t>19</w:t>
        </w:r>
        <w:r>
          <w:fldChar w:fldCharType="end"/>
        </w:r>
      </w:hyperlink>
    </w:p>
    <w:p>
      <w:pPr>
        <w:pStyle w:val="TOC2"/>
        <w:tabs>
          <w:tab w:val="right" w:leader="dot" w:pos="8306"/>
        </w:tabs>
      </w:pPr>
      <w:hyperlink w:anchor="_Toc29059" w:history="1">
        <w:r>
          <w:rPr>
            <w:rFonts w:ascii="仿宋" w:eastAsia="仿宋" w:hAnsi="仿宋" w:cs="仿宋" w:hint="eastAsia"/>
            <w:lang w:eastAsia="zh-CN"/>
          </w:rPr>
          <w:t>(四)、土建工程建设指标</w:t>
        </w:r>
        <w:r>
          <w:tab/>
        </w:r>
        <w:r>
          <w:fldChar w:fldCharType="begin"/>
        </w:r>
        <w:r>
          <w:instrText xml:space="preserve"> PAGEREF _Toc29059 \h </w:instrText>
        </w:r>
        <w:r>
          <w:fldChar w:fldCharType="separate"/>
        </w:r>
        <w:r>
          <w:t>20</w:t>
        </w:r>
        <w:r>
          <w:fldChar w:fldCharType="end"/>
        </w:r>
      </w:hyperlink>
    </w:p>
    <w:p>
      <w:pPr>
        <w:pStyle w:val="TOC1"/>
        <w:tabs>
          <w:tab w:val="right" w:leader="dot" w:pos="8306"/>
        </w:tabs>
      </w:pPr>
      <w:hyperlink w:anchor="_Toc19955" w:history="1">
        <w:r>
          <w:rPr>
            <w:rFonts w:ascii="仿宋" w:eastAsia="仿宋" w:hAnsi="仿宋" w:cs="仿宋" w:hint="eastAsia"/>
            <w:lang w:eastAsia="zh-CN"/>
          </w:rPr>
          <w:t>七、配电柜项目人力资源管理</w:t>
        </w:r>
        <w:r>
          <w:tab/>
        </w:r>
        <w:r>
          <w:fldChar w:fldCharType="begin"/>
        </w:r>
        <w:r>
          <w:instrText xml:space="preserve"> PAGEREF _Toc19955 \h </w:instrText>
        </w:r>
        <w:r>
          <w:fldChar w:fldCharType="separate"/>
        </w:r>
        <w:r>
          <w:t>20</w:t>
        </w:r>
        <w:r>
          <w:fldChar w:fldCharType="end"/>
        </w:r>
      </w:hyperlink>
    </w:p>
    <w:p>
      <w:pPr>
        <w:pStyle w:val="TOC2"/>
        <w:tabs>
          <w:tab w:val="right" w:leader="dot" w:pos="8306"/>
        </w:tabs>
      </w:pPr>
      <w:hyperlink w:anchor="_Toc19720" w:history="1">
        <w:r>
          <w:rPr>
            <w:rFonts w:ascii="仿宋" w:eastAsia="仿宋" w:hAnsi="仿宋" w:cs="仿宋" w:hint="eastAsia"/>
            <w:lang w:eastAsia="zh-CN"/>
          </w:rPr>
          <w:t>(一)、建立健全的预算管理制度</w:t>
        </w:r>
        <w:r>
          <w:tab/>
        </w:r>
        <w:r>
          <w:fldChar w:fldCharType="begin"/>
        </w:r>
        <w:r>
          <w:instrText xml:space="preserve"> PAGEREF _Toc19720 \h </w:instrText>
        </w:r>
        <w:r>
          <w:fldChar w:fldCharType="separate"/>
        </w:r>
        <w:r>
          <w:t>20</w:t>
        </w:r>
        <w:r>
          <w:fldChar w:fldCharType="end"/>
        </w:r>
      </w:hyperlink>
    </w:p>
    <w:p>
      <w:pPr>
        <w:pStyle w:val="TOC2"/>
        <w:tabs>
          <w:tab w:val="right" w:leader="dot" w:pos="8306"/>
        </w:tabs>
      </w:pPr>
      <w:hyperlink w:anchor="_Toc16262" w:history="1">
        <w:r>
          <w:rPr>
            <w:rFonts w:ascii="仿宋" w:eastAsia="仿宋" w:hAnsi="仿宋" w:cs="仿宋" w:hint="eastAsia"/>
            <w:lang w:eastAsia="zh-CN"/>
          </w:rPr>
          <w:t>(二)、加强资金流动监控</w:t>
        </w:r>
        <w:r>
          <w:tab/>
        </w:r>
        <w:r>
          <w:fldChar w:fldCharType="begin"/>
        </w:r>
        <w:r>
          <w:instrText xml:space="preserve"> PAGEREF _Toc16262 \h </w:instrText>
        </w:r>
        <w:r>
          <w:fldChar w:fldCharType="separate"/>
        </w:r>
        <w:r>
          <w:t>22</w:t>
        </w:r>
        <w:r>
          <w:fldChar w:fldCharType="end"/>
        </w:r>
      </w:hyperlink>
    </w:p>
    <w:p>
      <w:pPr>
        <w:pStyle w:val="TOC2"/>
        <w:tabs>
          <w:tab w:val="right" w:leader="dot" w:pos="8306"/>
        </w:tabs>
      </w:pPr>
      <w:hyperlink w:anchor="_Toc20998" w:history="1">
        <w:r>
          <w:rPr>
            <w:rFonts w:ascii="仿宋" w:eastAsia="仿宋" w:hAnsi="仿宋" w:cs="仿宋" w:hint="eastAsia"/>
            <w:lang w:eastAsia="zh-CN"/>
          </w:rPr>
          <w:t>(三)、制定完善的风险控制机制</w:t>
        </w:r>
        <w:r>
          <w:tab/>
        </w:r>
        <w:r>
          <w:fldChar w:fldCharType="begin"/>
        </w:r>
        <w:r>
          <w:instrText xml:space="preserve"> PAGEREF _Toc20998 \h </w:instrText>
        </w:r>
        <w:r>
          <w:fldChar w:fldCharType="separate"/>
        </w:r>
        <w:r>
          <w:t>23</w:t>
        </w:r>
        <w:r>
          <w:fldChar w:fldCharType="end"/>
        </w:r>
      </w:hyperlink>
    </w:p>
    <w:p>
      <w:pPr>
        <w:pStyle w:val="TOC2"/>
        <w:tabs>
          <w:tab w:val="right" w:leader="dot" w:pos="8306"/>
        </w:tabs>
      </w:pPr>
      <w:hyperlink w:anchor="_Toc28935" w:history="1">
        <w:r>
          <w:rPr>
            <w:rFonts w:ascii="仿宋" w:eastAsia="仿宋" w:hAnsi="仿宋" w:cs="仿宋" w:hint="eastAsia"/>
            <w:lang w:eastAsia="zh-CN"/>
          </w:rPr>
          <w:t>(四)、优化成本管理</w:t>
        </w:r>
        <w:r>
          <w:tab/>
        </w:r>
        <w:r>
          <w:fldChar w:fldCharType="begin"/>
        </w:r>
        <w:r>
          <w:instrText xml:space="preserve"> PAGEREF _Toc28935 \h </w:instrText>
        </w:r>
        <w:r>
          <w:fldChar w:fldCharType="separate"/>
        </w:r>
        <w:r>
          <w:t>24</w:t>
        </w:r>
        <w:r>
          <w:fldChar w:fldCharType="end"/>
        </w:r>
      </w:hyperlink>
    </w:p>
    <w:p>
      <w:pPr>
        <w:pStyle w:val="TOC1"/>
        <w:tabs>
          <w:tab w:val="right" w:leader="dot" w:pos="8306"/>
        </w:tabs>
      </w:pPr>
      <w:hyperlink w:anchor="_Toc4913" w:history="1">
        <w:r>
          <w:rPr>
            <w:rFonts w:ascii="仿宋" w:eastAsia="仿宋" w:hAnsi="仿宋" w:cs="仿宋" w:hint="eastAsia"/>
            <w:lang w:eastAsia="zh-CN"/>
          </w:rPr>
          <w:t>八、配电柜项目创新与研发</w:t>
        </w:r>
        <w:r>
          <w:tab/>
        </w:r>
        <w:r>
          <w:fldChar w:fldCharType="begin"/>
        </w:r>
        <w:r>
          <w:instrText xml:space="preserve"> PAGEREF _Toc4913 \h </w:instrText>
        </w:r>
        <w:r>
          <w:fldChar w:fldCharType="separate"/>
        </w:r>
        <w:r>
          <w:t>25</w:t>
        </w:r>
        <w:r>
          <w:fldChar w:fldCharType="end"/>
        </w:r>
      </w:hyperlink>
    </w:p>
    <w:p>
      <w:pPr>
        <w:pStyle w:val="TOC2"/>
        <w:tabs>
          <w:tab w:val="right" w:leader="dot" w:pos="8306"/>
        </w:tabs>
      </w:pPr>
      <w:hyperlink w:anchor="_Toc26396" w:history="1">
        <w:r>
          <w:rPr>
            <w:rFonts w:ascii="仿宋" w:eastAsia="仿宋" w:hAnsi="仿宋" w:cs="仿宋" w:hint="eastAsia"/>
            <w:lang w:eastAsia="zh-CN"/>
          </w:rPr>
          <w:t>(一)、创新策略与方向</w:t>
        </w:r>
        <w:r>
          <w:tab/>
        </w:r>
        <w:r>
          <w:fldChar w:fldCharType="begin"/>
        </w:r>
        <w:r>
          <w:instrText xml:space="preserve"> PAGEREF _Toc26396 \h </w:instrText>
        </w:r>
        <w:r>
          <w:fldChar w:fldCharType="separate"/>
        </w:r>
        <w:r>
          <w:t>25</w:t>
        </w:r>
        <w:r>
          <w:fldChar w:fldCharType="end"/>
        </w:r>
      </w:hyperlink>
    </w:p>
    <w:p>
      <w:pPr>
        <w:pStyle w:val="TOC2"/>
        <w:tabs>
          <w:tab w:val="right" w:leader="dot" w:pos="8306"/>
        </w:tabs>
      </w:pPr>
      <w:hyperlink w:anchor="_Toc21588" w:history="1">
        <w:r>
          <w:rPr>
            <w:rFonts w:ascii="仿宋" w:eastAsia="仿宋" w:hAnsi="仿宋" w:cs="仿宋" w:hint="eastAsia"/>
            <w:lang w:eastAsia="zh-CN"/>
          </w:rPr>
          <w:t>(二)、研发规划与投入</w:t>
        </w:r>
        <w:r>
          <w:tab/>
        </w:r>
        <w:r>
          <w:fldChar w:fldCharType="begin"/>
        </w:r>
        <w:r>
          <w:instrText xml:space="preserve"> PAGEREF _Toc21588 \h </w:instrText>
        </w:r>
        <w:r>
          <w:fldChar w:fldCharType="separate"/>
        </w:r>
        <w:r>
          <w:t>27</w:t>
        </w:r>
        <w:r>
          <w:fldChar w:fldCharType="end"/>
        </w:r>
      </w:hyperlink>
    </w:p>
    <w:p>
      <w:pPr>
        <w:pStyle w:val="TOC1"/>
        <w:tabs>
          <w:tab w:val="right" w:leader="dot" w:pos="8306"/>
        </w:tabs>
      </w:pPr>
      <w:hyperlink w:anchor="_Toc18742" w:history="1">
        <w:r>
          <w:rPr>
            <w:rFonts w:ascii="仿宋" w:eastAsia="仿宋" w:hAnsi="仿宋" w:cs="仿宋" w:hint="eastAsia"/>
            <w:lang w:eastAsia="zh-CN"/>
          </w:rPr>
          <w:t>九、配电柜项目风险管理</w:t>
        </w:r>
        <w:r>
          <w:tab/>
        </w:r>
        <w:r>
          <w:fldChar w:fldCharType="begin"/>
        </w:r>
        <w:r>
          <w:instrText xml:space="preserve"> PAGEREF _Toc18742 \h </w:instrText>
        </w:r>
        <w:r>
          <w:fldChar w:fldCharType="separate"/>
        </w:r>
        <w:r>
          <w:t>28</w:t>
        </w:r>
        <w:r>
          <w:fldChar w:fldCharType="end"/>
        </w:r>
      </w:hyperlink>
    </w:p>
    <w:p>
      <w:pPr>
        <w:pStyle w:val="TOC2"/>
        <w:tabs>
          <w:tab w:val="right" w:leader="dot" w:pos="8306"/>
        </w:tabs>
      </w:pPr>
      <w:hyperlink w:anchor="_Toc3745" w:history="1">
        <w:r>
          <w:rPr>
            <w:rFonts w:ascii="仿宋" w:eastAsia="仿宋" w:hAnsi="仿宋" w:cs="仿宋" w:hint="eastAsia"/>
            <w:lang w:eastAsia="zh-CN"/>
          </w:rPr>
          <w:t>(一)、风险识别与评估</w:t>
        </w:r>
        <w:r>
          <w:tab/>
        </w:r>
        <w:r>
          <w:fldChar w:fldCharType="begin"/>
        </w:r>
        <w:r>
          <w:instrText xml:space="preserve"> PAGEREF _Toc3745 \h </w:instrText>
        </w:r>
        <w:r>
          <w:fldChar w:fldCharType="separate"/>
        </w:r>
        <w:r>
          <w:t>28</w:t>
        </w:r>
        <w:r>
          <w:fldChar w:fldCharType="end"/>
        </w:r>
      </w:hyperlink>
    </w:p>
    <w:p>
      <w:pPr>
        <w:pStyle w:val="TOC2"/>
        <w:tabs>
          <w:tab w:val="right" w:leader="dot" w:pos="8306"/>
        </w:tabs>
      </w:pPr>
      <w:hyperlink w:anchor="_Toc1310" w:history="1">
        <w:r>
          <w:rPr>
            <w:rFonts w:ascii="仿宋" w:eastAsia="仿宋" w:hAnsi="仿宋" w:cs="仿宋" w:hint="eastAsia"/>
            <w:lang w:eastAsia="zh-CN"/>
          </w:rPr>
          <w:t>(二)、风险应对策略</w:t>
        </w:r>
        <w:r>
          <w:tab/>
        </w:r>
        <w:r>
          <w:fldChar w:fldCharType="begin"/>
        </w:r>
        <w:r>
          <w:instrText xml:space="preserve"> PAGEREF _Toc1310 \h </w:instrText>
        </w:r>
        <w:r>
          <w:fldChar w:fldCharType="separate"/>
        </w:r>
        <w:r>
          <w:t>30</w:t>
        </w:r>
        <w:r>
          <w:fldChar w:fldCharType="end"/>
        </w:r>
      </w:hyperlink>
    </w:p>
    <w:p>
      <w:pPr>
        <w:pStyle w:val="TOC2"/>
        <w:tabs>
          <w:tab w:val="right" w:leader="dot" w:pos="8306"/>
        </w:tabs>
      </w:pPr>
      <w:hyperlink w:anchor="_Toc29847" w:history="1">
        <w:r>
          <w:rPr>
            <w:rFonts w:ascii="仿宋" w:eastAsia="仿宋" w:hAnsi="仿宋" w:cs="仿宋" w:hint="eastAsia"/>
            <w:lang w:eastAsia="zh-CN"/>
          </w:rPr>
          <w:t>(三)、风险监控与控制</w:t>
        </w:r>
        <w:r>
          <w:tab/>
        </w:r>
        <w:r>
          <w:fldChar w:fldCharType="begin"/>
        </w:r>
        <w:r>
          <w:instrText xml:space="preserve"> PAGEREF _Toc29847 \h </w:instrText>
        </w:r>
        <w:r>
          <w:fldChar w:fldCharType="separate"/>
        </w:r>
        <w:r>
          <w:t>31</w:t>
        </w:r>
        <w:r>
          <w:fldChar w:fldCharType="end"/>
        </w:r>
      </w:hyperlink>
    </w:p>
    <w:p>
      <w:pPr>
        <w:pStyle w:val="TOC1"/>
        <w:tabs>
          <w:tab w:val="right" w:leader="dot" w:pos="8306"/>
        </w:tabs>
      </w:pPr>
      <w:hyperlink w:anchor="_Toc30668" w:history="1">
        <w:r>
          <w:rPr>
            <w:rFonts w:ascii="仿宋" w:eastAsia="仿宋" w:hAnsi="仿宋" w:cs="仿宋" w:hint="eastAsia"/>
            <w:lang w:eastAsia="zh-CN"/>
          </w:rPr>
          <w:t>十、配电柜项目人力资源培养与发展</w:t>
        </w:r>
        <w:r>
          <w:tab/>
        </w:r>
        <w:r>
          <w:fldChar w:fldCharType="begin"/>
        </w:r>
        <w:r>
          <w:instrText xml:space="preserve"> PAGEREF _Toc30668 \h </w:instrText>
        </w:r>
        <w:r>
          <w:fldChar w:fldCharType="separate"/>
        </w:r>
        <w:r>
          <w:t>32</w:t>
        </w:r>
        <w:r>
          <w:fldChar w:fldCharType="end"/>
        </w:r>
      </w:hyperlink>
    </w:p>
    <w:p>
      <w:pPr>
        <w:pStyle w:val="TOC2"/>
        <w:tabs>
          <w:tab w:val="right" w:leader="dot" w:pos="8306"/>
        </w:tabs>
      </w:pPr>
      <w:hyperlink w:anchor="_Toc23036" w:history="1">
        <w:r>
          <w:rPr>
            <w:rFonts w:ascii="仿宋" w:eastAsia="仿宋" w:hAnsi="仿宋" w:cs="仿宋" w:hint="eastAsia"/>
            <w:lang w:eastAsia="zh-CN"/>
          </w:rPr>
          <w:t>(一)、人才需求与规划</w:t>
        </w:r>
        <w:r>
          <w:tab/>
        </w:r>
        <w:r>
          <w:fldChar w:fldCharType="begin"/>
        </w:r>
        <w:r>
          <w:instrText xml:space="preserve"> PAGEREF _Toc23036 \h </w:instrText>
        </w:r>
        <w:r>
          <w:fldChar w:fldCharType="separate"/>
        </w:r>
        <w:r>
          <w:t>32</w:t>
        </w:r>
        <w:r>
          <w:fldChar w:fldCharType="end"/>
        </w:r>
      </w:hyperlink>
    </w:p>
    <w:p>
      <w:pPr>
        <w:pStyle w:val="TOC2"/>
        <w:tabs>
          <w:tab w:val="right" w:leader="dot" w:pos="8306"/>
        </w:tabs>
      </w:pPr>
      <w:hyperlink w:anchor="_Toc3567" w:history="1">
        <w:r>
          <w:rPr>
            <w:rFonts w:ascii="仿宋" w:eastAsia="仿宋" w:hAnsi="仿宋" w:cs="仿宋" w:hint="eastAsia"/>
            <w:lang w:eastAsia="zh-CN"/>
          </w:rPr>
          <w:t>(二)、培训与发展计划</w:t>
        </w:r>
        <w:r>
          <w:tab/>
        </w:r>
        <w:r>
          <w:fldChar w:fldCharType="begin"/>
        </w:r>
        <w:r>
          <w:instrText xml:space="preserve"> PAGEREF _Toc3567 \h </w:instrText>
        </w:r>
        <w:r>
          <w:fldChar w:fldCharType="separate"/>
        </w:r>
        <w:r>
          <w:t>33</w:t>
        </w:r>
        <w:r>
          <w:fldChar w:fldCharType="end"/>
        </w:r>
      </w:hyperlink>
    </w:p>
    <w:p>
      <w:pPr>
        <w:pStyle w:val="TOC1"/>
        <w:tabs>
          <w:tab w:val="right" w:leader="dot" w:pos="8306"/>
        </w:tabs>
      </w:pPr>
      <w:hyperlink w:anchor="_Toc18620" w:history="1">
        <w:r>
          <w:rPr>
            <w:rFonts w:ascii="仿宋" w:eastAsia="仿宋" w:hAnsi="仿宋" w:cs="仿宋" w:hint="eastAsia"/>
            <w:lang w:eastAsia="zh-CN"/>
          </w:rPr>
          <w:t>十一、生产安全保护</w:t>
        </w:r>
        <w:r>
          <w:tab/>
        </w:r>
        <w:r>
          <w:fldChar w:fldCharType="begin"/>
        </w:r>
        <w:r>
          <w:instrText xml:space="preserve"> PAGEREF _Toc18620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65" w:history="1">
        <w:r>
          <w:rPr>
            <w:rFonts w:ascii="仿宋" w:eastAsia="仿宋" w:hAnsi="仿宋" w:cs="仿宋" w:hint="eastAsia"/>
            <w:lang w:eastAsia="zh-CN"/>
          </w:rPr>
          <w:t>(一)、消防安全</w:t>
        </w:r>
        <w:r>
          <w:tab/>
        </w:r>
        <w:r>
          <w:fldChar w:fldCharType="begin"/>
        </w:r>
        <w:r>
          <w:instrText xml:space="preserve"> PAGEREF _Toc8665 \h </w:instrText>
        </w:r>
        <w:r>
          <w:fldChar w:fldCharType="separate"/>
        </w:r>
        <w:r>
          <w:t>33</w:t>
        </w:r>
        <w:r>
          <w:fldChar w:fldCharType="end"/>
        </w:r>
      </w:hyperlink>
    </w:p>
    <w:p>
      <w:pPr>
        <w:pStyle w:val="TOC2"/>
        <w:tabs>
          <w:tab w:val="right" w:leader="dot" w:pos="8306"/>
        </w:tabs>
      </w:pPr>
      <w:hyperlink w:anchor="_Toc4522" w:history="1">
        <w:r>
          <w:rPr>
            <w:rFonts w:ascii="仿宋" w:eastAsia="仿宋" w:hAnsi="仿宋" w:cs="仿宋" w:hint="eastAsia"/>
            <w:lang w:eastAsia="zh-CN"/>
          </w:rPr>
          <w:t>(二)、防火防爆总图布置措施</w:t>
        </w:r>
        <w:r>
          <w:tab/>
        </w:r>
        <w:r>
          <w:fldChar w:fldCharType="begin"/>
        </w:r>
        <w:r>
          <w:instrText xml:space="preserve"> PAGEREF _Toc4522 \h </w:instrText>
        </w:r>
        <w:r>
          <w:fldChar w:fldCharType="separate"/>
        </w:r>
        <w:r>
          <w:t>35</w:t>
        </w:r>
        <w:r>
          <w:fldChar w:fldCharType="end"/>
        </w:r>
      </w:hyperlink>
    </w:p>
    <w:p>
      <w:pPr>
        <w:pStyle w:val="TOC2"/>
        <w:tabs>
          <w:tab w:val="right" w:leader="dot" w:pos="8306"/>
        </w:tabs>
      </w:pPr>
      <w:hyperlink w:anchor="_Toc18858" w:history="1">
        <w:r>
          <w:rPr>
            <w:rFonts w:ascii="仿宋" w:eastAsia="仿宋" w:hAnsi="仿宋" w:cs="仿宋" w:hint="eastAsia"/>
            <w:lang w:eastAsia="zh-CN"/>
          </w:rPr>
          <w:t>(三)、自然灾害防范措施</w:t>
        </w:r>
        <w:r>
          <w:tab/>
        </w:r>
        <w:r>
          <w:fldChar w:fldCharType="begin"/>
        </w:r>
        <w:r>
          <w:instrText xml:space="preserve"> PAGEREF _Toc18858 \h </w:instrText>
        </w:r>
        <w:r>
          <w:fldChar w:fldCharType="separate"/>
        </w:r>
        <w:r>
          <w:t>36</w:t>
        </w:r>
        <w:r>
          <w:fldChar w:fldCharType="end"/>
        </w:r>
      </w:hyperlink>
    </w:p>
    <w:p>
      <w:pPr>
        <w:pStyle w:val="TOC2"/>
        <w:tabs>
          <w:tab w:val="right" w:leader="dot" w:pos="8306"/>
        </w:tabs>
      </w:pPr>
      <w:hyperlink w:anchor="_Toc24704" w:history="1">
        <w:r>
          <w:rPr>
            <w:rFonts w:ascii="仿宋" w:eastAsia="仿宋" w:hAnsi="仿宋" w:cs="仿宋" w:hint="eastAsia"/>
            <w:lang w:eastAsia="zh-CN"/>
          </w:rPr>
          <w:t>(四)、安全色及安全标志使用要求</w:t>
        </w:r>
        <w:r>
          <w:tab/>
        </w:r>
        <w:r>
          <w:fldChar w:fldCharType="begin"/>
        </w:r>
        <w:r>
          <w:instrText xml:space="preserve"> PAGEREF _Toc24704 \h </w:instrText>
        </w:r>
        <w:r>
          <w:fldChar w:fldCharType="separate"/>
        </w:r>
        <w:r>
          <w:t>37</w:t>
        </w:r>
        <w:r>
          <w:fldChar w:fldCharType="end"/>
        </w:r>
      </w:hyperlink>
    </w:p>
    <w:p>
      <w:pPr>
        <w:pStyle w:val="TOC2"/>
        <w:tabs>
          <w:tab w:val="right" w:leader="dot" w:pos="8306"/>
        </w:tabs>
      </w:pPr>
      <w:hyperlink w:anchor="_Toc8173" w:history="1">
        <w:r>
          <w:rPr>
            <w:rFonts w:ascii="仿宋" w:eastAsia="仿宋" w:hAnsi="仿宋" w:cs="仿宋" w:hint="eastAsia"/>
            <w:lang w:eastAsia="zh-CN"/>
          </w:rPr>
          <w:t>(五)、防尘防毒措施</w:t>
        </w:r>
        <w:r>
          <w:tab/>
        </w:r>
        <w:r>
          <w:fldChar w:fldCharType="begin"/>
        </w:r>
        <w:r>
          <w:instrText xml:space="preserve"> PAGEREF _Toc8173 \h </w:instrText>
        </w:r>
        <w:r>
          <w:fldChar w:fldCharType="separate"/>
        </w:r>
        <w:r>
          <w:t>37</w:t>
        </w:r>
        <w:r>
          <w:fldChar w:fldCharType="end"/>
        </w:r>
      </w:hyperlink>
    </w:p>
    <w:p>
      <w:pPr>
        <w:pStyle w:val="TOC2"/>
        <w:tabs>
          <w:tab w:val="right" w:leader="dot" w:pos="8306"/>
        </w:tabs>
      </w:pPr>
      <w:hyperlink w:anchor="_Toc21640" w:history="1">
        <w:r>
          <w:rPr>
            <w:rFonts w:ascii="仿宋" w:eastAsia="仿宋" w:hAnsi="仿宋" w:cs="仿宋" w:hint="eastAsia"/>
            <w:lang w:eastAsia="zh-CN"/>
          </w:rPr>
          <w:t>(六)、防静电、触电防护及防雷措施</w:t>
        </w:r>
        <w:r>
          <w:tab/>
        </w:r>
        <w:r>
          <w:fldChar w:fldCharType="begin"/>
        </w:r>
        <w:r>
          <w:instrText xml:space="preserve"> PAGEREF _Toc21640 \h </w:instrText>
        </w:r>
        <w:r>
          <w:fldChar w:fldCharType="separate"/>
        </w:r>
        <w:r>
          <w:t>38</w:t>
        </w:r>
        <w:r>
          <w:fldChar w:fldCharType="end"/>
        </w:r>
      </w:hyperlink>
    </w:p>
    <w:p>
      <w:pPr>
        <w:pStyle w:val="TOC2"/>
        <w:tabs>
          <w:tab w:val="right" w:leader="dot" w:pos="8306"/>
        </w:tabs>
      </w:pPr>
      <w:hyperlink w:anchor="_Toc8710" w:history="1">
        <w:r>
          <w:rPr>
            <w:rFonts w:ascii="仿宋" w:eastAsia="仿宋" w:hAnsi="仿宋" w:cs="仿宋" w:hint="eastAsia"/>
            <w:lang w:eastAsia="zh-CN"/>
          </w:rPr>
          <w:t>(七)、机械设备安全保障措施</w:t>
        </w:r>
        <w:r>
          <w:tab/>
        </w:r>
        <w:r>
          <w:fldChar w:fldCharType="begin"/>
        </w:r>
        <w:r>
          <w:instrText xml:space="preserve"> PAGEREF _Toc8710 \h </w:instrText>
        </w:r>
        <w:r>
          <w:fldChar w:fldCharType="separate"/>
        </w:r>
        <w:r>
          <w:t>40</w:t>
        </w:r>
        <w:r>
          <w:fldChar w:fldCharType="end"/>
        </w:r>
      </w:hyperlink>
    </w:p>
    <w:p>
      <w:pPr>
        <w:pStyle w:val="TOC1"/>
        <w:tabs>
          <w:tab w:val="right" w:leader="dot" w:pos="8306"/>
        </w:tabs>
      </w:pPr>
      <w:hyperlink w:anchor="_Toc27598" w:history="1">
        <w:r>
          <w:rPr>
            <w:rFonts w:ascii="仿宋" w:eastAsia="仿宋" w:hAnsi="仿宋" w:cs="仿宋" w:hint="eastAsia"/>
            <w:lang w:eastAsia="zh-CN"/>
          </w:rPr>
          <w:t>十二、配电柜项目投资规划</w:t>
        </w:r>
        <w:r>
          <w:tab/>
        </w:r>
        <w:r>
          <w:fldChar w:fldCharType="begin"/>
        </w:r>
        <w:r>
          <w:instrText xml:space="preserve"> PAGEREF _Toc27598 \h </w:instrText>
        </w:r>
        <w:r>
          <w:fldChar w:fldCharType="separate"/>
        </w:r>
        <w:r>
          <w:t>41</w:t>
        </w:r>
        <w:r>
          <w:fldChar w:fldCharType="end"/>
        </w:r>
      </w:hyperlink>
    </w:p>
    <w:p>
      <w:pPr>
        <w:pStyle w:val="TOC2"/>
        <w:tabs>
          <w:tab w:val="right" w:leader="dot" w:pos="8306"/>
        </w:tabs>
      </w:pPr>
      <w:hyperlink w:anchor="_Toc23328" w:history="1">
        <w:r>
          <w:rPr>
            <w:rFonts w:ascii="仿宋" w:eastAsia="仿宋" w:hAnsi="仿宋" w:cs="仿宋" w:hint="eastAsia"/>
            <w:lang w:eastAsia="zh-CN"/>
          </w:rPr>
          <w:t>(一)、配电柜项目总投资估算</w:t>
        </w:r>
        <w:r>
          <w:tab/>
        </w:r>
        <w:r>
          <w:fldChar w:fldCharType="begin"/>
        </w:r>
        <w:r>
          <w:instrText xml:space="preserve"> PAGEREF _Toc23328 \h </w:instrText>
        </w:r>
        <w:r>
          <w:fldChar w:fldCharType="separate"/>
        </w:r>
        <w:r>
          <w:t>41</w:t>
        </w:r>
        <w:r>
          <w:fldChar w:fldCharType="end"/>
        </w:r>
      </w:hyperlink>
    </w:p>
    <w:p>
      <w:pPr>
        <w:pStyle w:val="TOC2"/>
        <w:tabs>
          <w:tab w:val="right" w:leader="dot" w:pos="8306"/>
        </w:tabs>
      </w:pPr>
      <w:hyperlink w:anchor="_Toc15581" w:history="1">
        <w:r>
          <w:rPr>
            <w:rFonts w:ascii="仿宋" w:eastAsia="仿宋" w:hAnsi="仿宋" w:cs="仿宋" w:hint="eastAsia"/>
            <w:lang w:eastAsia="zh-CN"/>
          </w:rPr>
          <w:t>(二)、资金筹措</w:t>
        </w:r>
        <w:r>
          <w:tab/>
        </w:r>
        <w:r>
          <w:fldChar w:fldCharType="begin"/>
        </w:r>
        <w:r>
          <w:instrText xml:space="preserve"> PAGEREF _Toc15581 \h </w:instrText>
        </w:r>
        <w:r>
          <w:fldChar w:fldCharType="separate"/>
        </w:r>
        <w:r>
          <w:t>42</w:t>
        </w:r>
        <w:r>
          <w:fldChar w:fldCharType="end"/>
        </w:r>
      </w:hyperlink>
    </w:p>
    <w:p>
      <w:pPr>
        <w:pStyle w:val="TOC1"/>
        <w:tabs>
          <w:tab w:val="right" w:leader="dot" w:pos="8306"/>
        </w:tabs>
      </w:pPr>
      <w:hyperlink w:anchor="_Toc1917" w:history="1">
        <w:r>
          <w:rPr>
            <w:rFonts w:ascii="仿宋" w:eastAsia="仿宋" w:hAnsi="仿宋" w:cs="仿宋" w:hint="eastAsia"/>
            <w:lang w:eastAsia="zh-CN"/>
          </w:rPr>
          <w:t>十三、质量管理体系</w:t>
        </w:r>
        <w:r>
          <w:tab/>
        </w:r>
        <w:r>
          <w:fldChar w:fldCharType="begin"/>
        </w:r>
        <w:r>
          <w:instrText xml:space="preserve"> PAGEREF _Toc1917 \h </w:instrText>
        </w:r>
        <w:r>
          <w:fldChar w:fldCharType="separate"/>
        </w:r>
        <w:r>
          <w:t>43</w:t>
        </w:r>
        <w:r>
          <w:fldChar w:fldCharType="end"/>
        </w:r>
      </w:hyperlink>
    </w:p>
    <w:p>
      <w:pPr>
        <w:pStyle w:val="TOC2"/>
        <w:tabs>
          <w:tab w:val="right" w:leader="dot" w:pos="8306"/>
        </w:tabs>
      </w:pPr>
      <w:hyperlink w:anchor="_Toc6984" w:history="1">
        <w:r>
          <w:rPr>
            <w:rFonts w:ascii="仿宋" w:eastAsia="仿宋" w:hAnsi="仿宋" w:cs="仿宋" w:hint="eastAsia"/>
            <w:lang w:eastAsia="zh-CN"/>
          </w:rPr>
          <w:t>(一)、质量目标与方针</w:t>
        </w:r>
        <w:r>
          <w:tab/>
        </w:r>
        <w:r>
          <w:fldChar w:fldCharType="begin"/>
        </w:r>
        <w:r>
          <w:instrText xml:space="preserve"> PAGEREF _Toc6984 \h </w:instrText>
        </w:r>
        <w:r>
          <w:fldChar w:fldCharType="separate"/>
        </w:r>
        <w:r>
          <w:t>43</w:t>
        </w:r>
        <w:r>
          <w:fldChar w:fldCharType="end"/>
        </w:r>
      </w:hyperlink>
    </w:p>
    <w:p>
      <w:pPr>
        <w:pStyle w:val="TOC2"/>
        <w:tabs>
          <w:tab w:val="right" w:leader="dot" w:pos="8306"/>
        </w:tabs>
      </w:pPr>
      <w:hyperlink w:anchor="_Toc31573" w:history="1">
        <w:r>
          <w:rPr>
            <w:rFonts w:ascii="仿宋" w:eastAsia="仿宋" w:hAnsi="仿宋" w:cs="仿宋" w:hint="eastAsia"/>
            <w:lang w:eastAsia="zh-CN"/>
          </w:rPr>
          <w:t>(二)、质量管理责任</w:t>
        </w:r>
        <w:r>
          <w:tab/>
        </w:r>
        <w:r>
          <w:fldChar w:fldCharType="begin"/>
        </w:r>
        <w:r>
          <w:instrText xml:space="preserve"> PAGEREF _Toc31573 \h </w:instrText>
        </w:r>
        <w:r>
          <w:fldChar w:fldCharType="separate"/>
        </w:r>
        <w:r>
          <w:t>44</w:t>
        </w:r>
        <w:r>
          <w:fldChar w:fldCharType="end"/>
        </w:r>
      </w:hyperlink>
    </w:p>
    <w:p>
      <w:pPr>
        <w:pStyle w:val="TOC2"/>
        <w:tabs>
          <w:tab w:val="right" w:leader="dot" w:pos="8306"/>
        </w:tabs>
      </w:pPr>
      <w:hyperlink w:anchor="_Toc25999" w:history="1">
        <w:r>
          <w:rPr>
            <w:rFonts w:ascii="仿宋" w:eastAsia="仿宋" w:hAnsi="仿宋" w:cs="仿宋" w:hint="eastAsia"/>
            <w:lang w:eastAsia="zh-CN"/>
          </w:rPr>
          <w:t>(三)、质量管理体系文件</w:t>
        </w:r>
        <w:r>
          <w:tab/>
        </w:r>
        <w:r>
          <w:fldChar w:fldCharType="begin"/>
        </w:r>
        <w:r>
          <w:instrText xml:space="preserve"> PAGEREF _Toc25999 \h </w:instrText>
        </w:r>
        <w:r>
          <w:fldChar w:fldCharType="separate"/>
        </w:r>
        <w:r>
          <w:t>45</w:t>
        </w:r>
        <w:r>
          <w:fldChar w:fldCharType="end"/>
        </w:r>
      </w:hyperlink>
    </w:p>
    <w:p>
      <w:pPr>
        <w:pStyle w:val="TOC2"/>
        <w:tabs>
          <w:tab w:val="right" w:leader="dot" w:pos="8306"/>
        </w:tabs>
      </w:pPr>
      <w:hyperlink w:anchor="_Toc12717" w:history="1">
        <w:r>
          <w:rPr>
            <w:rFonts w:ascii="仿宋" w:eastAsia="仿宋" w:hAnsi="仿宋" w:cs="仿宋" w:hint="eastAsia"/>
            <w:lang w:eastAsia="zh-CN"/>
          </w:rPr>
          <w:t>(四)、质量培训与教育</w:t>
        </w:r>
        <w:r>
          <w:tab/>
        </w:r>
        <w:r>
          <w:fldChar w:fldCharType="begin"/>
        </w:r>
        <w:r>
          <w:instrText xml:space="preserve"> PAGEREF _Toc12717 \h </w:instrText>
        </w:r>
        <w:r>
          <w:fldChar w:fldCharType="separate"/>
        </w:r>
        <w:r>
          <w:t>47</w:t>
        </w:r>
        <w:r>
          <w:fldChar w:fldCharType="end"/>
        </w:r>
      </w:hyperlink>
    </w:p>
    <w:p>
      <w:pPr>
        <w:pStyle w:val="TOC2"/>
        <w:tabs>
          <w:tab w:val="right" w:leader="dot" w:pos="8306"/>
        </w:tabs>
      </w:pPr>
      <w:hyperlink w:anchor="_Toc28452" w:history="1">
        <w:r>
          <w:rPr>
            <w:rFonts w:ascii="仿宋" w:eastAsia="仿宋" w:hAnsi="仿宋" w:cs="仿宋" w:hint="eastAsia"/>
            <w:lang w:eastAsia="zh-CN"/>
          </w:rPr>
          <w:t>(五)、质量审核与评价</w:t>
        </w:r>
        <w:r>
          <w:tab/>
        </w:r>
        <w:r>
          <w:fldChar w:fldCharType="begin"/>
        </w:r>
        <w:r>
          <w:instrText xml:space="preserve"> PAGEREF _Toc28452 \h </w:instrText>
        </w:r>
        <w:r>
          <w:fldChar w:fldCharType="separate"/>
        </w:r>
        <w:r>
          <w:t>49</w:t>
        </w:r>
        <w:r>
          <w:fldChar w:fldCharType="end"/>
        </w:r>
      </w:hyperlink>
    </w:p>
    <w:p>
      <w:pPr>
        <w:pStyle w:val="TOC2"/>
        <w:tabs>
          <w:tab w:val="right" w:leader="dot" w:pos="8306"/>
        </w:tabs>
      </w:pPr>
      <w:hyperlink w:anchor="_Toc19136" w:history="1">
        <w:r>
          <w:rPr>
            <w:rFonts w:ascii="仿宋" w:eastAsia="仿宋" w:hAnsi="仿宋" w:cs="仿宋" w:hint="eastAsia"/>
            <w:lang w:eastAsia="zh-CN"/>
          </w:rPr>
          <w:t>(六)、不符合与纠正措施</w:t>
        </w:r>
        <w:r>
          <w:tab/>
        </w:r>
        <w:r>
          <w:fldChar w:fldCharType="begin"/>
        </w:r>
        <w:r>
          <w:instrText xml:space="preserve"> PAGEREF _Toc19136 \h </w:instrText>
        </w:r>
        <w:r>
          <w:fldChar w:fldCharType="separate"/>
        </w:r>
        <w:r>
          <w:t>50</w:t>
        </w:r>
        <w:r>
          <w:fldChar w:fldCharType="end"/>
        </w:r>
      </w:hyperlink>
    </w:p>
    <w:p>
      <w:pPr>
        <w:pStyle w:val="TOC1"/>
        <w:tabs>
          <w:tab w:val="right" w:leader="dot" w:pos="8306"/>
        </w:tabs>
      </w:pPr>
      <w:hyperlink w:anchor="_Toc20375" w:history="1">
        <w:r>
          <w:rPr>
            <w:rFonts w:ascii="仿宋" w:eastAsia="仿宋" w:hAnsi="仿宋" w:cs="仿宋" w:hint="eastAsia"/>
            <w:lang w:eastAsia="zh-CN"/>
          </w:rPr>
          <w:t>十四、风险识别与分类</w:t>
        </w:r>
        <w:r>
          <w:tab/>
        </w:r>
        <w:r>
          <w:fldChar w:fldCharType="begin"/>
        </w:r>
        <w:r>
          <w:instrText xml:space="preserve"> PAGEREF _Toc20375 \h </w:instrText>
        </w:r>
        <w:r>
          <w:fldChar w:fldCharType="separate"/>
        </w:r>
        <w:r>
          <w:t>51</w:t>
        </w:r>
        <w:r>
          <w:fldChar w:fldCharType="end"/>
        </w:r>
      </w:hyperlink>
    </w:p>
    <w:p>
      <w:pPr>
        <w:pStyle w:val="TOC2"/>
        <w:tabs>
          <w:tab w:val="right" w:leader="dot" w:pos="8306"/>
        </w:tabs>
      </w:pPr>
      <w:hyperlink w:anchor="_Toc16126" w:history="1">
        <w:r>
          <w:rPr>
            <w:rFonts w:ascii="仿宋" w:eastAsia="仿宋" w:hAnsi="仿宋" w:cs="仿宋" w:hint="eastAsia"/>
            <w:lang w:eastAsia="zh-CN"/>
          </w:rPr>
          <w:t>(一)、风险识别</w:t>
        </w:r>
        <w:r>
          <w:tab/>
        </w:r>
        <w:r>
          <w:fldChar w:fldCharType="begin"/>
        </w:r>
        <w:r>
          <w:instrText xml:space="preserve"> PAGEREF _Toc16126 \h </w:instrText>
        </w:r>
        <w:r>
          <w:fldChar w:fldCharType="separate"/>
        </w:r>
        <w:r>
          <w:t>51</w:t>
        </w:r>
        <w:r>
          <w:fldChar w:fldCharType="end"/>
        </w:r>
      </w:hyperlink>
    </w:p>
    <w:p>
      <w:pPr>
        <w:pStyle w:val="TOC2"/>
        <w:tabs>
          <w:tab w:val="right" w:leader="dot" w:pos="8306"/>
        </w:tabs>
      </w:pPr>
      <w:hyperlink w:anchor="_Toc26681" w:history="1">
        <w:r>
          <w:rPr>
            <w:rFonts w:ascii="仿宋" w:eastAsia="仿宋" w:hAnsi="仿宋" w:cs="仿宋" w:hint="eastAsia"/>
            <w:lang w:eastAsia="zh-CN"/>
          </w:rPr>
          <w:t>(二)、风险分类</w:t>
        </w:r>
        <w:r>
          <w:tab/>
        </w:r>
        <w:r>
          <w:fldChar w:fldCharType="begin"/>
        </w:r>
        <w:r>
          <w:instrText xml:space="preserve"> PAGEREF _Toc26681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180"/>
      <w:r>
        <w:rPr>
          <w:rFonts w:ascii="仿宋" w:eastAsia="仿宋" w:hAnsi="仿宋" w:cs="仿宋" w:hint="eastAsia"/>
          <w:sz w:val="28"/>
          <w:lang w:eastAsia="zh-CN"/>
        </w:rPr>
        <w:t>一、配电柜项目选址可行性分析</w:t>
      </w:r>
      <w:bookmarkEnd w:id="2"/>
    </w:p>
    <w:p>
      <w:pPr>
        <w:pStyle w:val="Heading2"/>
        <w:rPr>
          <w:rFonts w:ascii="仿宋" w:eastAsia="仿宋" w:hAnsi="仿宋" w:cs="仿宋" w:hint="eastAsia"/>
          <w:lang w:eastAsia="zh-CN"/>
        </w:rPr>
      </w:pPr>
      <w:bookmarkStart w:id="3" w:name="_Toc17081"/>
      <w:r>
        <w:rPr>
          <w:rFonts w:ascii="仿宋" w:eastAsia="仿宋" w:hAnsi="仿宋" w:cs="仿宋" w:hint="eastAsia"/>
          <w:lang w:eastAsia="zh-CN"/>
        </w:rPr>
        <w:t>(一)、配电柜项目选址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该配电柜项目选址位于XX省XX市XX区XXX街道</w:t>
      </w:r>
    </w:p>
    <w:p>
      <w:pPr>
        <w:pStyle w:val="Heading2"/>
        <w:ind w:firstLine="560" w:firstLineChars="200"/>
        <w:rPr>
          <w:rFonts w:ascii="仿宋" w:eastAsia="仿宋" w:hAnsi="仿宋" w:cs="仿宋" w:hint="eastAsia"/>
          <w:sz w:val="28"/>
          <w:lang w:eastAsia="zh-CN"/>
        </w:rPr>
      </w:pPr>
      <w:bookmarkStart w:id="4" w:name="_Toc2915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配电柜项目的征地面积将根据配电柜项目的实际规模和需求进行精确规划。具体面积XXX平方米，旨在确保配电柜项目不仅能够满足当前的发展需求，还能够预留空间以适应未来的扩展。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净用地面积是在征地面积基础上去除不可利用面积后的实际可开发用地。具体面积XXX平方米，考虑到环保、交通、安全等多方面因素，以确保配电柜项目在整体利用效率上达到最优。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配电柜项目计划建设的建筑总规模具体面积XXX平方米。这一规模的确定综合考虑了配电柜项目的性质、规模，以及城市规划的相关要求，确保建筑布局与周边环境协调一致。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绿地率是配电柜项目用地中被规划为绿地的比例。具体面积XXX平方米，旨在通过合理规划绿地，改善配电柜项目周边环境，提升居民生活质量，并符合城市整体绿化规划。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容积率是用地上可以建设的建筑总体积与用地面积之比。具体面积XXX，通过合理的容积率规划，确保配电柜项目建筑规模与周边环境和谐共生。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确保配电柜项目选址与当地城市规划相一致，具体面积XXX平方米。通过与城市规划部门深入沟通，确保配电柜项目不仅符合城市的整体发展方向，还能够融入城市的发展布局，为城市的长远发展贡献力量。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充分了解并确保配电柜项目选址符合当地产业政策，具体面积XXX平方米。这包括配电柜项目对当地经济的促进作用，以及对相关产业的带动效应，确保配电柜项目与地方政府的产业政策保持一致，促进共赢合作。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用地总体要求必须符合环保和可持续发展的原则，具体面积XXX平方米。通过采用绿色建筑设计、节能减排等措施，确保配电柜项目在建设和运营过程中对环境的影响最小化，达到可持续发展的要求。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确保配电柜项目选址具备必要的公共设施配套，具体面积XXX平方米。这包括交通便利性、教育、医疗等基础设施，以提高居民生活品质，使得配电柜项目选址更具吸引力。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考虑用地总体要求对当地社会稳定性的影响，具体面积XXX平方米。通过深入了解当地社区反馈，确保配电柜项目的选址和建设过程对当地社会和谐稳定产生积极作用。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配电柜项目选址不仅符合法规和规划，还在实际操作中具有可行性。这一全面规划将为配电柜项目的成功实施提供坚实的基础，确保配电柜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52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配电柜项目的设备规划和空间设计中，我们将采取灵活设备布局的措施。设备布局将根据实际需求进行灵活设计，避免不必要的浪费。通过合理规划设备摆放位置，我们将提高设备的利用率，减少设备间距，以确保配电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配电柜项目内部引入共享设施的概念，例如共享会议室、办公区等。通过这种方式，我们可以减少对资源的重复建设，提高资源共享效率，从而减小配电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1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配电柜项目的总图布置中，我们将不同功能区域进行明确的规划，以最大程度满足配电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020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我们首先关注市场因素，包括潜在客户分布、竞争对手位置、市场需求等。通过深入的市场调研，我们能够更准确地评估选址对于市场开拓和产品销售的影响，确保配电柜项目能够在有利的市场环境中蓬勃发展。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配电柜项目对环境的影响是综合评价的重要因素之一。我们将详细考虑选址周边的自然环境、生态保护区、水源地等情况，确保配电柜项目的建设和运营对环境影响最小化，并符合当地的环保法规标准。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对选址的评价还需充分考虑当地政府的产业政策和法规。我们将详细了解配电柜项目所在地的相关政策，确保配电柜项目的规划和运营与当地法规相符，降低不必要的法律风险。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考虑到社会稳定性对企业运营的重要性，我们将评估选址地区的社会安全情况、劳工关系、社区反馈等方面，以确保配电柜项目的建设和运营不会受到社会稳定性的负面影响。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最后，我们将综合考虑用地成本，包括土地购置费用、土地开发成本等。通过对用地成本的详细评估，我们能够做出更为精确的经济效益分析，为配电柜项目的投资决策提供有力支持。</w:t>
      </w:r>
    </w:p>
    <w:p>
      <w:pPr>
        <w:pStyle w:val="Heading1"/>
        <w:ind w:firstLine="560" w:firstLineChars="200"/>
        <w:rPr>
          <w:rFonts w:ascii="仿宋" w:eastAsia="仿宋" w:hAnsi="仿宋" w:cs="仿宋" w:hint="eastAsia"/>
          <w:sz w:val="28"/>
          <w:lang w:eastAsia="zh-CN"/>
        </w:rPr>
      </w:pPr>
      <w:bookmarkStart w:id="8" w:name="_Toc14748"/>
      <w:r>
        <w:rPr>
          <w:rFonts w:ascii="仿宋" w:eastAsia="仿宋" w:hAnsi="仿宋" w:cs="仿宋" w:hint="eastAsia"/>
          <w:sz w:val="28"/>
          <w:lang w:eastAsia="zh-CN"/>
        </w:rPr>
        <w:t>二、配电柜项目绩效评估</w:t>
      </w:r>
      <w:bookmarkEnd w:id="8"/>
    </w:p>
    <w:p>
      <w:pPr>
        <w:pStyle w:val="Heading2"/>
        <w:rPr>
          <w:rFonts w:ascii="仿宋" w:eastAsia="仿宋" w:hAnsi="仿宋" w:cs="仿宋" w:hint="eastAsia"/>
          <w:lang w:eastAsia="zh-CN"/>
        </w:rPr>
      </w:pPr>
      <w:bookmarkStart w:id="9" w:name="_Toc3171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在配电柜项目中，我们设计了一套全面的绩效评估指标，以确保配电柜项目的可控和成功交付。这些指标跨足配电柜项目目标、成本、进度和质量等多个维度，为我们提供了全面洞察配电柜项目的健康状况。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配电柜项目目标达成率是我们关注的首要指标。我们设定了明确的目标，并通过定期监测和评估，迅速发现并应对潜在的目标偏差。这为配电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成本绩效是另一个核心关注点。通过实际成本与预算成本的对比分析，我们深入了解成本差异的原因，及时调整资源分配，保持配电柜项目在经济效益方面的合理水平。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进度作为关键的绩效指标之一，得到了精心的关注。我们制定了详细的配电柜项目进度计划，并设立了进度符合度指标，确保实际进度与计划进度保持一致。这使我们能够快速发现和解决潜在的进度问题，保持配电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配电柜项目绩效的不可或缺的一环。我们引入了一系列的质量标准和客户满意度指标，以确保配电柜项目交付的成果在质量上达到或超越预期水平。通过持续监测这些指标，我们努力提升配电柜项目整体质量水平，为配电柜项目的成功交付提供有力保障。通过这些科学且全面的绩效评估，我们能够更好地引导配电柜项目的持续改进，确保配电柜项目目标的顺利达成。</w:t>
      </w:r>
    </w:p>
    <w:p>
      <w:pPr>
        <w:pStyle w:val="Heading2"/>
        <w:ind w:firstLine="560" w:firstLineChars="200"/>
        <w:rPr>
          <w:rFonts w:ascii="仿宋" w:eastAsia="仿宋" w:hAnsi="仿宋" w:cs="仿宋" w:hint="eastAsia"/>
          <w:sz w:val="28"/>
          <w:lang w:eastAsia="zh-CN"/>
        </w:rPr>
      </w:pPr>
      <w:bookmarkStart w:id="10" w:name="_Toc97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绩效评估是配电柜项目中的关键环节，为确保配电柜项目达到预期目标，我们采用了多层次、多维度的绩效评估方法。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配电柜项目的战略目标对齐，确保每个决策和行动都与配电柜项目整体目标保持一致。团队会定期召开战略对齐会议，审视当前工作与配电柜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配电柜项目进度、质量、成本和风险等方面。这些指标通过数据收集和分析，为配电柜项目管理团队提供了客观的评估依据。例如，我们通过配电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绩效评估不仅仅停留在配电柜项目内部，还考虑了配电柜项目对外部环境的影响。我们定期进行干系人满意度调查，以了解各利益相关方对配电柜项目的期望和满意度，并及时做出调整。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这种多层次、多角度的绩效评估方法，使得我们能够全面了解配电柜项目的运行状态，及时做出调整，确保配电柜项目在不断变化的环境中保持稳健前行。</w:t>
      </w:r>
    </w:p>
    <w:p>
      <w:pPr>
        <w:pStyle w:val="Heading2"/>
        <w:ind w:firstLine="560" w:firstLineChars="200"/>
        <w:rPr>
          <w:rFonts w:ascii="仿宋" w:eastAsia="仿宋" w:hAnsi="仿宋" w:cs="仿宋" w:hint="eastAsia"/>
          <w:sz w:val="28"/>
          <w:lang w:eastAsia="zh-CN"/>
        </w:rPr>
      </w:pPr>
      <w:bookmarkStart w:id="11" w:name="_Toc805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为了确保配电柜项目的有效管理和不断优化，我们采用了精心设计的绩效评估周期。这个周期旨在实现灵活、实时和全面的评估，以适应配电柜项目执行中的各种挑战。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配电柜项目的不同需求，分为短期、中期和长期。短期评估关注每个迭代或工作周期，以及时发现和解决当前任务中的问题。中期评估涵盖几个迭代，深入了解整体配电柜项目的趋势和性能。长期评估则着眼于整个配电柜项目阶段，确保配电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配电柜项目管理工具和协作平台，团队成员能够随时更新和分享配电柜项目数据。这种实时性的反馈机制使我们能够及时察觉潜在问题，快速调整，保持配电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配电柜项目的决策制定密不可分。每个周期的配电柜项目回顾会议成为集体总结经验、识别问题深层次原因并找到创新解决方案的平台。这种定期的反思与调整机制使配电柜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938"/>
      <w:r>
        <w:rPr>
          <w:rFonts w:ascii="仿宋" w:eastAsia="仿宋" w:hAnsi="仿宋" w:cs="仿宋" w:hint="eastAsia"/>
          <w:sz w:val="28"/>
          <w:lang w:eastAsia="zh-CN"/>
        </w:rPr>
        <w:t>三、配电柜项目可持续发展</w:t>
      </w:r>
      <w:bookmarkEnd w:id="12"/>
    </w:p>
    <w:p>
      <w:pPr>
        <w:pStyle w:val="Heading2"/>
        <w:rPr>
          <w:rFonts w:ascii="仿宋" w:eastAsia="仿宋" w:hAnsi="仿宋" w:cs="仿宋" w:hint="eastAsia"/>
          <w:lang w:eastAsia="zh-CN"/>
        </w:rPr>
      </w:pPr>
      <w:bookmarkStart w:id="13" w:name="_Toc166"/>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配电柜项目中，配电柜项目团队着眼于未来，明确了可持续发展的战略方向。制定的具体可持续发展目标包括降低资源使用、采用环保技术、最大化社会效益等。这一步骤不仅有助于配电柜项目在环保和社会责任方面达到最高标准，也为未来提供了明确的指引，确保配电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可持续实践的融入配电柜项目管理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配电柜项目管理周期。从配电柜项目规划开始，配电柜项目团队就考虑了环境和社会的因素。在执行阶段，配电柜项目团队积极推动绿色技术的应用，优化资源利用。此外，关注员工的社会责任，通过培训和沟通活动提高员工对可持续发展的认知，使他们能够在日常工作中践行可持续实践。这些举措不仅为配电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802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扎根于配电柜项目的可持续发展理念，我们深信环保与社会责任是配电柜项目成功的关键支柱。在配电柜项目的每一步，我们都致力于通过创新和实践，履行对环境和社会的坚定责任。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团队通过引入先进的环保技术、建立高效的废物处理系统以及推动能源节约措施，积极履行环保责任。定期的环保监测和评估确保配电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电柜项目不仅致力于自身可持续发展，还注重对社会的回馈。通过支持社区配电柜项目、参与慈善事业、提供培训机会等方式，配电柜项目积极履行社会责任。与当地社区建立积极互动，关注员工的工作与生活平衡，以及员工的身心健康，是配电柜项目在社会责任层面的关键举措。这样的实践不仅增强了配电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109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7069"/>
      <w:r>
        <w:rPr>
          <w:rFonts w:ascii="仿宋" w:eastAsia="仿宋" w:hAnsi="仿宋" w:cs="仿宋" w:hint="eastAsia"/>
          <w:lang w:eastAsia="zh-CN"/>
        </w:rPr>
        <w:t>(一)、配电柜行业分析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配电柜行业一直以来都是市场的关注焦点。行业内的发展趋势、竞争态势以及潜在机会都对配电柜项目的推进产生深远的影响。通过深入研究行业的整体概貌，我们将更好地理解行业的核心特征，为配电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柜行业，技术一直是推动创新和发展的关键因素。我们将对当前技术趋势进行详尽分析，包括但不限于人工智能、大数据应用、先进制造技术等。这有助于配电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配电柜项目成功的基础。我们将对主要竞争对手进行深入研究，包括其市场份额、产品特点、市场定位等。通过全面了解竞争对手的优势和劣势，配电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983"/>
      <w:r>
        <w:rPr>
          <w:rFonts w:ascii="仿宋" w:eastAsia="仿宋" w:hAnsi="仿宋" w:cs="仿宋" w:hint="eastAsia"/>
          <w:sz w:val="28"/>
          <w:lang w:eastAsia="zh-CN"/>
        </w:rPr>
        <w:t>(二)、配电柜市场分析预测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通过对市场规模的深入调研，我们将预测配电柜市场未来的增长趋势。这包括市场的整体规模、各细分领域的发展趋势等。配电柜项目可以根据市场的扩张速度和潜在机会，制定更符合市场需求的发展策略。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了解消费者的需求是市场分析的核心。我们将通过调查研究，深入挖掘目标消费者的需求特点、购买习惯以及对产品和服务的期望。这有助于配电柜项目更好地定位目标市场，提供更符合消费者期待的解决方案。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配电柜项目实施过程中需要充分考虑的因素。我们将对市场风险进行全面评估，包括但不限于政策法规风险、市场竞争风险、技术变革风险等。通过对潜在风险的深入分析，配电柜项目可以制定相应的风险缓解策略，降低不确定性对配电柜项目的影响。</w:t>
      </w:r>
    </w:p>
    <w:p>
      <w:pPr>
        <w:pStyle w:val="Heading1"/>
        <w:ind w:firstLine="560" w:firstLineChars="200"/>
        <w:rPr>
          <w:rFonts w:ascii="仿宋" w:eastAsia="仿宋" w:hAnsi="仿宋" w:cs="仿宋" w:hint="eastAsia"/>
          <w:sz w:val="28"/>
          <w:lang w:eastAsia="zh-CN"/>
        </w:rPr>
      </w:pPr>
      <w:bookmarkStart w:id="18" w:name="_Toc29381"/>
      <w:r>
        <w:rPr>
          <w:rFonts w:ascii="仿宋" w:eastAsia="仿宋" w:hAnsi="仿宋" w:cs="仿宋" w:hint="eastAsia"/>
          <w:sz w:val="28"/>
          <w:lang w:eastAsia="zh-CN"/>
        </w:rPr>
        <w:t>五、配电柜项目危机管理</w:t>
      </w:r>
      <w:bookmarkEnd w:id="18"/>
    </w:p>
    <w:p>
      <w:pPr>
        <w:pStyle w:val="Heading2"/>
        <w:rPr>
          <w:rFonts w:ascii="仿宋" w:eastAsia="仿宋" w:hAnsi="仿宋" w:cs="仿宋" w:hint="eastAsia"/>
          <w:lang w:eastAsia="zh-CN"/>
        </w:rPr>
      </w:pPr>
      <w:bookmarkStart w:id="19" w:name="_Toc2567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柜项目危机管理中，危机预警与识别是确保配电柜项目稳健运行的核心步骤。通过建立全面的监测机制，配电柜项目团队旨在及时发现和理解潜在的风险和危机因素，以便采取及时的预防和应对措施，确保配电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首先，通过深入的风险评估，配电柜项目团队全面分析了整个配电柜项目和各个阶段可能存在的威胁。这包括准确评估每个潜在风险的发生概率和可能影响的程度，为后续危机预警提供了有力支持。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配电柜项目团队着重于明确定义配电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配电柜项目进展的持续监控，团队能够及时发现潜在问题并作出迅速反应。配电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在这一阶段，团队的专业素养和反应速度将发挥至关重要的作用，以确保潜在危机能够在初期得到有效的处理，最大程度地减轻负面影响。通过危机预警与识别，配电柜项目得以更有序、可控地推进。</w:t>
      </w:r>
    </w:p>
    <w:p>
      <w:pPr>
        <w:pStyle w:val="Heading2"/>
        <w:ind w:firstLine="560" w:firstLineChars="200"/>
        <w:rPr>
          <w:rFonts w:ascii="仿宋" w:eastAsia="仿宋" w:hAnsi="仿宋" w:cs="仿宋" w:hint="eastAsia"/>
          <w:sz w:val="28"/>
          <w:lang w:eastAsia="zh-CN"/>
        </w:rPr>
      </w:pPr>
      <w:bookmarkStart w:id="20" w:name="_Toc5156"/>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在危机发生时，配电柜项目团队立即行动，成立了应急小组。该小组的任务是迅速制定并实施紧急应对措施，以最小化潜在损失。以下是采取的主要措施：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暂停配电柜项目进度：为遏制危机蔓延，配电柜项目暂时停止进行，以便全面评估当前状况。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资源重新分配：重新评估配电柜项目资源的分配，确保最大限度地减小损失。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实时沟通：与关键利益相关者建立实时沟通机制，向他们传递配电柜项目危机的实际状况，保障配电柜项目核心利益。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在紧急应对的同时，配电柜项目团队强调了团队协作和有效沟通的重要性。以下是团队协作的关键举措：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信息共享机制：建立了信息共享平台，确保团队成员能够及时获取配电柜项目危机的实时信息。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领导者沟通：配电柜项目领导者通过定期会议和即时沟通工具，指导团队应对危机，保持团队稳定运行。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随着危机得到初步控制，配电柜项目团队转向制定恢复计划，以确保配电柜项目能够从中迅速恢复。主要恢复计划包括：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修复受损的进度计划：重新评估配电柜项目进度，制定修复计划，确保配电柜项目尽快回归正常进程。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重新调整资源分配：优化资源分配，确保配电柜项目在有限资源下高效运转。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https://d.book118.com/366220051203010101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E6E78"/>
    <w:rsid w:val="6D3E6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22005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2024-03-01T14:40:00Z</dcterms:created>
  <dcterms:modified xsi:type="dcterms:W3CDTF">2024-03-01T14:40:45Z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89075F1807A2486FAF6F4C84221162D2_11</vt:lpwstr>
  </property>
  <property fmtid="{D5CDD505-2E9C-101B-9397-08002B2CF9AE}" pid="3" name="KSOProductBuildVer">
    <vt:lpwstr>2052-12.1.0.16388</vt:lpwstr>
  </property>
</Properties>
</file>