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ind w:left="208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306555" cy="6118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555" cy="6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7"/>
        </w:rPr>
      </w:pPr>
    </w:p>
    <w:p>
      <w:pPr>
        <w:pStyle w:val="Title"/>
      </w:pPr>
      <w:r>
        <w:rPr>
          <w:spacing w:val="-2"/>
        </w:rPr>
        <w:t>专业建设发展规划</w:t>
      </w:r>
    </w:p>
    <w:p>
      <w:pPr>
        <w:spacing w:before="5"/>
        <w:ind w:left="178" w:right="0" w:firstLine="0"/>
        <w:jc w:val="center"/>
        <w:rPr>
          <w:rFonts w:ascii="Microsoft JhengHei" w:eastAsia="Microsoft JhengHei"/>
          <w:b/>
          <w:sz w:val="44"/>
        </w:rPr>
      </w:pPr>
      <w:r>
        <w:rPr>
          <w:rFonts w:ascii="Microsoft JhengHei" w:eastAsia="Microsoft JhengHei"/>
          <w:b/>
          <w:w w:val="90"/>
          <w:sz w:val="44"/>
        </w:rPr>
        <w:t>（2014-2020</w:t>
      </w:r>
      <w:r>
        <w:rPr>
          <w:rFonts w:ascii="Microsoft JhengHei" w:eastAsia="Microsoft JhengHei"/>
          <w:b/>
          <w:spacing w:val="-1"/>
          <w:sz w:val="44"/>
        </w:rPr>
        <w:t xml:space="preserve"> </w:t>
      </w:r>
      <w:r>
        <w:rPr>
          <w:rFonts w:ascii="Microsoft JhengHei" w:eastAsia="Microsoft JhengHei"/>
          <w:b/>
          <w:w w:val="90"/>
          <w:sz w:val="44"/>
        </w:rPr>
        <w:t>年</w:t>
      </w:r>
      <w:r>
        <w:rPr>
          <w:rFonts w:ascii="Microsoft JhengHei" w:eastAsia="Microsoft JhengHei"/>
          <w:b/>
          <w:spacing w:val="-10"/>
          <w:w w:val="90"/>
          <w:sz w:val="44"/>
        </w:rPr>
        <w:t>）</w:t>
      </w:r>
    </w:p>
    <w:p>
      <w:pPr>
        <w:pStyle w:val="BodyText"/>
        <w:spacing w:before="9"/>
        <w:rPr>
          <w:rFonts w:ascii="Microsoft JhengHei"/>
          <w:b/>
          <w:sz w:val="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3018154</wp:posOffset>
            </wp:positionH>
            <wp:positionV relativeFrom="paragraph">
              <wp:posOffset>126486</wp:posOffset>
            </wp:positionV>
            <wp:extent cx="1544065" cy="1525524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065" cy="1525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Microsoft JhengHei"/>
          <w:b/>
          <w:sz w:val="44"/>
        </w:rPr>
      </w:pPr>
    </w:p>
    <w:p>
      <w:pPr>
        <w:pStyle w:val="BodyText"/>
        <w:rPr>
          <w:rFonts w:ascii="Microsoft JhengHei"/>
          <w:b/>
          <w:sz w:val="44"/>
        </w:rPr>
      </w:pPr>
    </w:p>
    <w:p>
      <w:pPr>
        <w:pStyle w:val="BodyText"/>
        <w:rPr>
          <w:rFonts w:ascii="Microsoft JhengHei"/>
          <w:b/>
          <w:sz w:val="44"/>
        </w:rPr>
      </w:pPr>
    </w:p>
    <w:p>
      <w:pPr>
        <w:pStyle w:val="BodyText"/>
        <w:rPr>
          <w:rFonts w:ascii="Microsoft JhengHei"/>
          <w:b/>
          <w:sz w:val="44"/>
        </w:rPr>
      </w:pPr>
    </w:p>
    <w:p>
      <w:pPr>
        <w:pStyle w:val="BodyText"/>
        <w:rPr>
          <w:rFonts w:ascii="Microsoft JhengHei"/>
          <w:b/>
          <w:sz w:val="44"/>
        </w:rPr>
      </w:pPr>
    </w:p>
    <w:p>
      <w:pPr>
        <w:pStyle w:val="BodyText"/>
        <w:rPr>
          <w:rFonts w:ascii="Microsoft JhengHei"/>
          <w:b/>
          <w:sz w:val="25"/>
        </w:rPr>
      </w:pPr>
    </w:p>
    <w:p>
      <w:pPr>
        <w:spacing w:before="0" w:line="561" w:lineRule="auto"/>
        <w:ind w:left="3933" w:right="3752" w:firstLine="0"/>
        <w:jc w:val="center"/>
        <w:rPr>
          <w:rFonts w:ascii="黑体" w:eastAsia="黑体"/>
          <w:sz w:val="30"/>
        </w:rPr>
      </w:pPr>
      <w:r>
        <w:rPr>
          <w:rFonts w:ascii="黑体" w:eastAsia="黑体"/>
          <w:spacing w:val="-2"/>
          <w:sz w:val="30"/>
        </w:rPr>
        <w:t>厦门东海职业技术学院</w:t>
      </w:r>
      <w:r>
        <w:rPr>
          <w:rFonts w:ascii="黑体" w:eastAsia="黑体"/>
          <w:spacing w:val="-11"/>
          <w:sz w:val="30"/>
        </w:rPr>
        <w:t xml:space="preserve">二 </w:t>
      </w:r>
      <w:r>
        <w:rPr>
          <w:rFonts w:ascii="Times New Roman" w:eastAsia="Times New Roman"/>
          <w:sz w:val="30"/>
        </w:rPr>
        <w:t xml:space="preserve">0 </w:t>
      </w:r>
      <w:r>
        <w:rPr>
          <w:rFonts w:ascii="黑体" w:eastAsia="黑体"/>
          <w:sz w:val="30"/>
        </w:rPr>
        <w:t>一四年七月</w:t>
      </w:r>
    </w:p>
    <w:p>
      <w:pPr>
        <w:spacing w:after="0" w:line="561" w:lineRule="auto"/>
        <w:jc w:val="center"/>
        <w:rPr>
          <w:rFonts w:ascii="黑体" w:eastAsia="黑体"/>
          <w:sz w:val="30"/>
        </w:rPr>
        <w:sectPr>
          <w:type w:val="continuous"/>
          <w:pgSz w:w="11910" w:h="16840"/>
          <w:pgMar w:top="1480" w:right="700" w:bottom="280" w:left="520" w:header="708" w:footer="708"/>
          <w:cols w:space="708"/>
        </w:sectPr>
      </w:pPr>
    </w:p>
    <w:p>
      <w:pPr>
        <w:pStyle w:val="Heading1"/>
        <w:tabs>
          <w:tab w:val="left" w:pos="1089"/>
        </w:tabs>
        <w:spacing w:line="521" w:lineRule="exact"/>
        <w:jc w:val="center"/>
      </w:pPr>
      <w:r>
        <w:rPr>
          <w:spacing w:val="-10"/>
        </w:rPr>
        <w:t>目</w:t>
      </w:r>
      <w:r>
        <w:tab/>
      </w:r>
      <w:r>
        <w:rPr>
          <w:spacing w:val="-10"/>
        </w:rPr>
        <w:t>录</w:t>
      </w:r>
    </w:p>
    <w:p>
      <w:pPr>
        <w:spacing w:after="0" w:line="521" w:lineRule="exact"/>
        <w:jc w:val="center"/>
        <w:sectPr>
          <w:pgSz w:w="11910" w:h="16840"/>
          <w:pgMar w:top="1600" w:right="700" w:bottom="1974" w:left="520" w:header="708" w:footer="708"/>
          <w:pgNumType w:start="2"/>
          <w:cols w:space="708"/>
        </w:sectPr>
      </w:pPr>
    </w:p>
    <w:sdt>
      <w:sdtPr>
        <w:id w:val="11078138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hyphen" w:pos="9856"/>
            </w:tabs>
            <w:spacing w:before="158"/>
            <w:rPr>
              <w:rFonts w:ascii="宋体" w:eastAsia="宋体"/>
              <w:b w:val="0"/>
              <w:i w:val="0"/>
              <w:sz w:val="24"/>
            </w:rPr>
          </w:pPr>
          <w:hyperlink w:anchor="_TOC_250024" w:history="1">
            <w:r>
              <w:rPr>
                <w:i w:val="0"/>
                <w:sz w:val="24"/>
              </w:rPr>
              <w:t>一、指导思</w:t>
            </w:r>
            <w:r>
              <w:rPr>
                <w:i w:val="0"/>
                <w:spacing w:val="-10"/>
                <w:sz w:val="24"/>
              </w:rPr>
              <w:t>想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rFonts w:ascii="宋体" w:eastAsia="宋体"/>
                <w:b w:val="0"/>
                <w:i w:val="0"/>
                <w:spacing w:val="-10"/>
                <w:sz w:val="24"/>
              </w:rPr>
              <w:t>1</w:t>
            </w:r>
          </w:hyperlink>
        </w:p>
        <w:p>
          <w:pPr>
            <w:pStyle w:val="TOC1"/>
            <w:tabs>
              <w:tab w:val="right" w:leader="hyphen" w:pos="9856"/>
            </w:tabs>
            <w:spacing w:before="198"/>
            <w:rPr>
              <w:rFonts w:ascii="宋体" w:eastAsia="宋体"/>
              <w:b w:val="0"/>
              <w:i w:val="0"/>
              <w:sz w:val="24"/>
            </w:rPr>
          </w:pPr>
          <w:hyperlink w:anchor="_TOC_250023" w:history="1">
            <w:r>
              <w:rPr>
                <w:i w:val="0"/>
                <w:sz w:val="24"/>
              </w:rPr>
              <w:t>二、建设目</w:t>
            </w:r>
            <w:r>
              <w:rPr>
                <w:i w:val="0"/>
                <w:spacing w:val="-10"/>
                <w:sz w:val="24"/>
              </w:rPr>
              <w:t>标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rFonts w:ascii="宋体" w:eastAsia="宋体"/>
                <w:b w:val="0"/>
                <w:i w:val="0"/>
                <w:spacing w:val="-10"/>
                <w:sz w:val="24"/>
              </w:rPr>
              <w:t>1</w:t>
            </w:r>
          </w:hyperlink>
        </w:p>
        <w:p>
          <w:pPr>
            <w:pStyle w:val="TOC2"/>
            <w:tabs>
              <w:tab w:val="right" w:pos="9856"/>
            </w:tabs>
            <w:spacing w:before="278"/>
          </w:pPr>
          <w:r>
            <w:pict>
              <v:line id="_x0000_s1025" style="mso-position-horizontal-relative:page;position:absolute;z-index:-251657216" from="248.85pt,21.5pt" to="512.85pt,21.5pt" stroked="t" strokecolor="black" strokeweight="0.42pt">
                <v:stroke dashstyle="longDash"/>
              </v:line>
            </w:pict>
          </w:r>
          <w:hyperlink w:anchor="_TOC_250022" w:history="1">
            <w:r>
              <w:t>（一）专业结构的调整优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21" w:history="1">
            <w:r>
              <w:t>（二）人才培养模式的创</w:t>
            </w:r>
            <w:r>
              <w:rPr>
                <w:spacing w:val="-10"/>
              </w:rPr>
              <w:t>新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2"/>
            <w:tabs>
              <w:tab w:val="right" w:leader="hyphen" w:pos="9856"/>
            </w:tabs>
          </w:pPr>
          <w:hyperlink w:anchor="_TOC_250020" w:history="1">
            <w:r>
              <w:t>（三）课程建设和教学改</w:t>
            </w:r>
            <w:r>
              <w:rPr>
                <w:spacing w:val="-10"/>
              </w:rPr>
              <w:t>革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19" w:history="1">
            <w:r>
              <w:t>（四）师资力量的逐步增</w:t>
            </w:r>
            <w:r>
              <w:rPr>
                <w:spacing w:val="-10"/>
              </w:rPr>
              <w:t>强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2"/>
            <w:tabs>
              <w:tab w:val="right" w:leader="hyphen" w:pos="9856"/>
            </w:tabs>
          </w:pPr>
          <w:hyperlink w:anchor="_TOC_250018" w:history="1">
            <w:r>
              <w:t>（五）实训基地建设的推</w:t>
            </w:r>
            <w:r>
              <w:rPr>
                <w:spacing w:val="-10"/>
              </w:rPr>
              <w:t>进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hyphen" w:pos="9856"/>
            </w:tabs>
            <w:spacing w:before="254"/>
            <w:rPr>
              <w:rFonts w:ascii="宋体" w:eastAsia="宋体"/>
              <w:b w:val="0"/>
              <w:i w:val="0"/>
              <w:sz w:val="24"/>
            </w:rPr>
          </w:pPr>
          <w:hyperlink w:anchor="_TOC_250017" w:history="1">
            <w:r>
              <w:rPr>
                <w:i w:val="0"/>
                <w:sz w:val="24"/>
              </w:rPr>
              <w:t>三、建设基</w:t>
            </w:r>
            <w:r>
              <w:rPr>
                <w:i w:val="0"/>
                <w:spacing w:val="-10"/>
                <w:sz w:val="24"/>
              </w:rPr>
              <w:t>础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rFonts w:ascii="宋体" w:eastAsia="宋体"/>
                <w:b w:val="0"/>
                <w:i w:val="0"/>
                <w:spacing w:val="-10"/>
                <w:sz w:val="24"/>
              </w:rPr>
              <w:t>3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77"/>
          </w:pPr>
          <w:hyperlink w:anchor="_TOC_250016" w:history="1">
            <w:r>
              <w:t>（一）专业建设背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15" w:history="1">
            <w:r>
              <w:t>（二）专业招生及在校生人</w:t>
            </w:r>
            <w:r>
              <w:rPr>
                <w:spacing w:val="-10"/>
              </w:rPr>
              <w:t>数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2"/>
            <w:tabs>
              <w:tab w:val="right" w:leader="hyphen" w:pos="9856"/>
            </w:tabs>
          </w:pPr>
          <w:hyperlink w:anchor="_TOC_250014" w:history="1">
            <w:r>
              <w:t>（三）现有基</w:t>
            </w:r>
            <w:r>
              <w:rPr>
                <w:spacing w:val="-10"/>
              </w:rPr>
              <w:t>础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4"/>
            <w:numPr>
              <w:ilvl w:val="0"/>
              <w:numId w:val="18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专业建设现</w:t>
          </w:r>
          <w:r>
            <w:rPr>
              <w:spacing w:val="-10"/>
            </w:rPr>
            <w:t>状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4</w:t>
          </w:r>
        </w:p>
        <w:p>
          <w:pPr>
            <w:pStyle w:val="TOC4"/>
            <w:numPr>
              <w:ilvl w:val="0"/>
              <w:numId w:val="18"/>
            </w:numPr>
            <w:tabs>
              <w:tab w:val="left" w:pos="2469"/>
              <w:tab w:val="right" w:leader="hyphen" w:pos="9857"/>
            </w:tabs>
            <w:spacing w:before="212" w:after="0" w:line="240" w:lineRule="auto"/>
            <w:ind w:left="2469" w:right="0" w:hanging="361"/>
            <w:jc w:val="left"/>
          </w:pPr>
          <w:r>
            <w:t>校内实训基地（室）现</w:t>
          </w:r>
          <w:r>
            <w:rPr>
              <w:spacing w:val="-10"/>
            </w:rPr>
            <w:t>状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5</w:t>
          </w:r>
        </w:p>
        <w:p>
          <w:pPr>
            <w:pStyle w:val="TOC4"/>
            <w:numPr>
              <w:ilvl w:val="0"/>
              <w:numId w:val="18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校外实训基地现</w:t>
          </w:r>
          <w:r>
            <w:rPr>
              <w:spacing w:val="-10"/>
            </w:rPr>
            <w:t>状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6</w:t>
          </w:r>
        </w:p>
        <w:p>
          <w:pPr>
            <w:pStyle w:val="TOC2"/>
            <w:tabs>
              <w:tab w:val="right" w:leader="hyphen" w:pos="9856"/>
            </w:tabs>
          </w:pPr>
          <w:hyperlink w:anchor="_TOC_250013" w:history="1">
            <w:r>
              <w:t>（四）问题与差</w:t>
            </w:r>
            <w:r>
              <w:rPr>
                <w:spacing w:val="-10"/>
              </w:rPr>
              <w:t>距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4"/>
            <w:numPr>
              <w:ilvl w:val="0"/>
              <w:numId w:val="16"/>
            </w:numPr>
            <w:tabs>
              <w:tab w:val="left" w:pos="2468"/>
              <w:tab w:val="right" w:leader="hyphen" w:pos="9857"/>
            </w:tabs>
            <w:spacing w:before="213" w:after="0" w:line="240" w:lineRule="auto"/>
            <w:ind w:left="2468" w:right="0" w:hanging="360"/>
            <w:jc w:val="left"/>
          </w:pPr>
          <w:r>
            <w:t>教学基础设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6</w:t>
          </w:r>
        </w:p>
        <w:p>
          <w:pPr>
            <w:pStyle w:val="TOC4"/>
            <w:numPr>
              <w:ilvl w:val="0"/>
              <w:numId w:val="16"/>
            </w:numPr>
            <w:tabs>
              <w:tab w:val="left" w:pos="2468"/>
              <w:tab w:val="right" w:leader="hyphen" w:pos="9857"/>
            </w:tabs>
            <w:spacing w:before="212" w:after="0" w:line="240" w:lineRule="auto"/>
            <w:ind w:left="2468" w:right="0" w:hanging="360"/>
            <w:jc w:val="left"/>
          </w:pPr>
          <w:r>
            <w:t>师资队伍的结</w:t>
          </w:r>
          <w:r>
            <w:rPr>
              <w:spacing w:val="-10"/>
            </w:rPr>
            <w:t>构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6</w:t>
          </w:r>
        </w:p>
        <w:p>
          <w:pPr>
            <w:pStyle w:val="TOC4"/>
            <w:numPr>
              <w:ilvl w:val="0"/>
              <w:numId w:val="16"/>
            </w:numPr>
            <w:tabs>
              <w:tab w:val="left" w:pos="2468"/>
              <w:tab w:val="right" w:leader="hyphen" w:pos="9857"/>
            </w:tabs>
            <w:spacing w:before="213" w:after="0" w:line="240" w:lineRule="auto"/>
            <w:ind w:left="2468" w:right="0" w:hanging="360"/>
            <w:jc w:val="left"/>
          </w:pPr>
          <w:r>
            <w:t>社会服务能</w:t>
          </w:r>
          <w:r>
            <w:rPr>
              <w:spacing w:val="-10"/>
            </w:rPr>
            <w:t>力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6</w:t>
          </w:r>
        </w:p>
        <w:p>
          <w:pPr>
            <w:pStyle w:val="TOC1"/>
            <w:tabs>
              <w:tab w:val="right" w:leader="hyphen" w:pos="9856"/>
            </w:tabs>
            <w:rPr>
              <w:rFonts w:ascii="宋体" w:eastAsia="宋体"/>
              <w:b w:val="0"/>
              <w:i w:val="0"/>
              <w:sz w:val="24"/>
            </w:rPr>
          </w:pPr>
          <w:hyperlink w:anchor="_TOC_250012" w:history="1">
            <w:r>
              <w:rPr>
                <w:i w:val="0"/>
                <w:sz w:val="24"/>
              </w:rPr>
              <w:t>四、建设举</w:t>
            </w:r>
            <w:r>
              <w:rPr>
                <w:i w:val="0"/>
                <w:spacing w:val="-10"/>
                <w:sz w:val="24"/>
              </w:rPr>
              <w:t>措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rFonts w:ascii="宋体" w:eastAsia="宋体"/>
                <w:b w:val="0"/>
                <w:i w:val="0"/>
                <w:spacing w:val="-10"/>
                <w:sz w:val="24"/>
              </w:rPr>
              <w:t>7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78"/>
          </w:pPr>
          <w:hyperlink w:anchor="_TOC_250011" w:history="1">
            <w:r>
              <w:t>（一）专业设置更加适应经济社会需</w:t>
            </w:r>
            <w:r>
              <w:rPr>
                <w:spacing w:val="-10"/>
              </w:rPr>
              <w:t>求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4"/>
            <w:numPr>
              <w:ilvl w:val="0"/>
              <w:numId w:val="15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调整、优化专业结构布</w:t>
          </w:r>
          <w:r>
            <w:rPr>
              <w:spacing w:val="-10"/>
            </w:rPr>
            <w:t>局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7</w:t>
          </w:r>
        </w:p>
        <w:p>
          <w:pPr>
            <w:pStyle w:val="TOC4"/>
            <w:numPr>
              <w:ilvl w:val="0"/>
              <w:numId w:val="15"/>
            </w:numPr>
            <w:tabs>
              <w:tab w:val="left" w:pos="2469"/>
              <w:tab w:val="right" w:leader="hyphen" w:pos="9857"/>
            </w:tabs>
            <w:spacing w:before="212" w:after="0" w:line="240" w:lineRule="auto"/>
            <w:ind w:left="2469" w:right="0" w:hanging="361"/>
            <w:jc w:val="left"/>
          </w:pPr>
          <w:r>
            <w:t>紧跟产业结构调整，拓展新增专</w:t>
          </w:r>
          <w:r>
            <w:rPr>
              <w:spacing w:val="-10"/>
            </w:rPr>
            <w:t>业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7</w:t>
          </w:r>
        </w:p>
        <w:p>
          <w:pPr>
            <w:pStyle w:val="TOC4"/>
            <w:numPr>
              <w:ilvl w:val="0"/>
              <w:numId w:val="15"/>
            </w:numPr>
            <w:tabs>
              <w:tab w:val="left" w:pos="2469"/>
              <w:tab w:val="right" w:leader="hyphen" w:pos="9857"/>
            </w:tabs>
            <w:spacing w:before="213" w:after="20" w:line="240" w:lineRule="auto"/>
            <w:ind w:left="2469" w:right="0" w:hanging="361"/>
            <w:jc w:val="left"/>
            <w:sectPr>
              <w:type w:val="continuous"/>
              <w:pgSz w:w="11910" w:h="16840"/>
              <w:pgMar w:top="1580" w:right="700" w:bottom="1974" w:left="520" w:header="708" w:footer="708"/>
              <w:pgNumType w:start="3"/>
              <w:cols w:space="708"/>
            </w:sectPr>
          </w:pPr>
          <w:r>
            <w:t>以能力为本位，巩固提升传统专</w:t>
          </w:r>
          <w:r>
            <w:rPr>
              <w:spacing w:val="-10"/>
            </w:rPr>
            <w:t>业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7</w:t>
          </w:r>
        </w:p>
      </w:sdtContent>
    </w:sdt>
    <w:sdt>
      <w:sdtPr>
        <w:id w:val="47157159"/>
        <w:docPartObj>
          <w:docPartGallery w:val="Table of Contents"/>
          <w:docPartUnique/>
        </w:docPartObj>
      </w:sdtPr>
      <w:sdtContent>
        <w:p>
          <w:pPr>
            <w:pStyle w:val="TOC4"/>
            <w:numPr>
              <w:ilvl w:val="0"/>
              <w:numId w:val="15"/>
            </w:numPr>
            <w:tabs>
              <w:tab w:val="left" w:pos="2469"/>
              <w:tab w:val="right" w:leader="hyphen" w:pos="9857"/>
            </w:tabs>
            <w:spacing w:before="38" w:after="0" w:line="240" w:lineRule="auto"/>
            <w:ind w:left="2469" w:right="0" w:hanging="361"/>
            <w:jc w:val="left"/>
          </w:pPr>
          <w:r>
            <w:t>及时把握就业动向，淘汰缺乏生命力的专</w:t>
          </w:r>
          <w:r>
            <w:rPr>
              <w:spacing w:val="-10"/>
            </w:rPr>
            <w:t>业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8</w:t>
          </w:r>
        </w:p>
        <w:p>
          <w:pPr>
            <w:pStyle w:val="TOC2"/>
            <w:tabs>
              <w:tab w:val="right" w:leader="hyphen" w:pos="9856"/>
            </w:tabs>
          </w:pPr>
          <w:hyperlink w:anchor="_TOC_250010" w:history="1">
            <w:r>
              <w:t>（二）推进人才培养模式创新，打造品牌和特色专</w:t>
            </w:r>
            <w:r>
              <w:rPr>
                <w:spacing w:val="-10"/>
              </w:rPr>
              <w:t>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09" w:history="1">
            <w:r>
              <w:t>（三）深化教改、创新教学模式、提高人才培养质</w:t>
            </w:r>
            <w:r>
              <w:rPr>
                <w:spacing w:val="-10"/>
              </w:rPr>
              <w:t>量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3"/>
            <w:numPr>
              <w:ilvl w:val="0"/>
              <w:numId w:val="14"/>
            </w:numPr>
            <w:tabs>
              <w:tab w:val="left" w:pos="2421"/>
              <w:tab w:val="right" w:leader="hyphen" w:pos="9859"/>
            </w:tabs>
            <w:spacing w:before="212" w:after="0" w:line="240" w:lineRule="auto"/>
            <w:ind w:left="2420" w:right="0" w:hanging="362"/>
            <w:jc w:val="left"/>
          </w:pPr>
          <w:r>
            <w:t>以工作过程为导向，构建专业课程体</w:t>
          </w:r>
          <w:r>
            <w:rPr>
              <w:spacing w:val="-10"/>
            </w:rPr>
            <w:t>系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10</w:t>
          </w:r>
        </w:p>
        <w:p>
          <w:pPr>
            <w:pStyle w:val="TOC4"/>
            <w:numPr>
              <w:ilvl w:val="0"/>
              <w:numId w:val="14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围绕素质提升，深化教学内容改</w:t>
          </w:r>
          <w:r>
            <w:rPr>
              <w:spacing w:val="-10"/>
            </w:rPr>
            <w:t>革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10</w:t>
          </w:r>
        </w:p>
        <w:p>
          <w:pPr>
            <w:pStyle w:val="TOC4"/>
            <w:numPr>
              <w:ilvl w:val="0"/>
              <w:numId w:val="14"/>
            </w:numPr>
            <w:tabs>
              <w:tab w:val="left" w:pos="2469"/>
              <w:tab w:val="right" w:leader="hyphen" w:pos="9857"/>
            </w:tabs>
            <w:spacing w:before="212" w:after="0" w:line="240" w:lineRule="auto"/>
            <w:ind w:left="2469" w:right="0" w:hanging="361"/>
            <w:jc w:val="left"/>
          </w:pPr>
          <w:r>
            <w:t>创新教学模式，更新课程教学方法与手</w:t>
          </w:r>
          <w:r>
            <w:rPr>
              <w:spacing w:val="-10"/>
            </w:rPr>
            <w:t>段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11</w:t>
          </w:r>
        </w:p>
        <w:p>
          <w:pPr>
            <w:pStyle w:val="TOC4"/>
            <w:numPr>
              <w:ilvl w:val="0"/>
              <w:numId w:val="14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加强实践教学，注重职业能力训</w:t>
          </w:r>
          <w:r>
            <w:rPr>
              <w:spacing w:val="-10"/>
            </w:rPr>
            <w:t>练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11</w:t>
          </w:r>
        </w:p>
        <w:p>
          <w:pPr>
            <w:pStyle w:val="TOC2"/>
            <w:tabs>
              <w:tab w:val="right" w:leader="hyphen" w:pos="9856"/>
            </w:tabs>
          </w:pPr>
          <w:hyperlink w:anchor="_TOC_250008" w:history="1">
            <w:r>
              <w:t>（四）人才强校、优化师资结构、提升师资队伍素</w:t>
            </w:r>
            <w:r>
              <w:rPr>
                <w:spacing w:val="-10"/>
              </w:rPr>
              <w:t>质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4"/>
            <w:numPr>
              <w:ilvl w:val="0"/>
              <w:numId w:val="13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培养优秀青年拔尖人</w:t>
          </w:r>
          <w:r>
            <w:rPr>
              <w:spacing w:val="-10"/>
            </w:rPr>
            <w:t>才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12</w:t>
          </w:r>
        </w:p>
        <w:p>
          <w:pPr>
            <w:pStyle w:val="TOC4"/>
            <w:numPr>
              <w:ilvl w:val="0"/>
              <w:numId w:val="13"/>
            </w:numPr>
            <w:tabs>
              <w:tab w:val="left" w:pos="2469"/>
              <w:tab w:val="right" w:leader="hyphen" w:pos="9857"/>
            </w:tabs>
            <w:spacing w:before="212" w:after="0" w:line="240" w:lineRule="auto"/>
            <w:ind w:left="2469" w:right="0" w:hanging="361"/>
            <w:jc w:val="left"/>
          </w:pPr>
          <w:r>
            <w:t>造就一支以教学和技术服务骨干为带头人的师资队</w:t>
          </w:r>
          <w:r>
            <w:rPr>
              <w:spacing w:val="-10"/>
            </w:rPr>
            <w:t>伍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13</w:t>
          </w:r>
        </w:p>
        <w:p>
          <w:pPr>
            <w:pStyle w:val="TOC4"/>
            <w:numPr>
              <w:ilvl w:val="0"/>
              <w:numId w:val="13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提高专业实践及技术服务能</w:t>
          </w:r>
          <w:r>
            <w:rPr>
              <w:spacing w:val="-10"/>
            </w:rPr>
            <w:t>力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13</w:t>
          </w:r>
        </w:p>
        <w:p>
          <w:pPr>
            <w:pStyle w:val="TOC4"/>
            <w:numPr>
              <w:ilvl w:val="0"/>
              <w:numId w:val="13"/>
            </w:numPr>
            <w:tabs>
              <w:tab w:val="left" w:pos="2469"/>
              <w:tab w:val="right" w:leader="hyphen" w:pos="9857"/>
            </w:tabs>
            <w:spacing w:before="212" w:after="0" w:line="240" w:lineRule="auto"/>
            <w:ind w:left="2469" w:right="0" w:hanging="361"/>
            <w:jc w:val="left"/>
          </w:pPr>
          <w:r>
            <w:t>加大引进力度，改善师资队伍的学历结构、专业结</w:t>
          </w:r>
          <w:r>
            <w:rPr>
              <w:spacing w:val="-10"/>
            </w:rPr>
            <w:t>构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13</w:t>
          </w:r>
        </w:p>
        <w:p>
          <w:pPr>
            <w:pStyle w:val="TOC4"/>
            <w:numPr>
              <w:ilvl w:val="0"/>
              <w:numId w:val="13"/>
            </w:numPr>
            <w:tabs>
              <w:tab w:val="left" w:pos="2469"/>
              <w:tab w:val="right" w:leader="hyphen" w:pos="9857"/>
            </w:tabs>
            <w:spacing w:before="213" w:after="0" w:line="240" w:lineRule="auto"/>
            <w:ind w:left="2469" w:right="0" w:hanging="361"/>
            <w:jc w:val="left"/>
          </w:pPr>
          <w:r>
            <w:t>加快师资队伍的“双师”素质培</w:t>
          </w:r>
          <w:r>
            <w:rPr>
              <w:spacing w:val="-10"/>
            </w:rPr>
            <w:t>养</w:t>
          </w:r>
          <w:r>
            <w:rPr>
              <w:rFonts w:ascii="Times New Roman" w:eastAsia="Times New Roman" w:hAnsi="Times New Roman"/>
            </w:rPr>
            <w:tab/>
          </w:r>
          <w:r>
            <w:rPr>
              <w:spacing w:val="-5"/>
            </w:rPr>
            <w:t>13</w:t>
          </w:r>
        </w:p>
        <w:p>
          <w:pPr>
            <w:pStyle w:val="TOC4"/>
            <w:numPr>
              <w:ilvl w:val="0"/>
              <w:numId w:val="13"/>
            </w:numPr>
            <w:tabs>
              <w:tab w:val="left" w:pos="2469"/>
              <w:tab w:val="right" w:leader="hyphen" w:pos="9857"/>
            </w:tabs>
            <w:spacing w:before="212" w:after="0" w:line="240" w:lineRule="auto"/>
            <w:ind w:left="2469" w:right="0" w:hanging="361"/>
            <w:jc w:val="left"/>
          </w:pPr>
          <w:r>
            <w:t>建立稳定的兼职教师队</w:t>
          </w:r>
          <w:r>
            <w:rPr>
              <w:spacing w:val="-10"/>
            </w:rPr>
            <w:t>伍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14</w:t>
          </w:r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07" w:history="1">
            <w:r>
              <w:t>（五）注重实践、对接龙头企业、改善实验实训条</w:t>
            </w:r>
            <w:r>
              <w:rPr>
                <w:spacing w:val="-10"/>
              </w:rPr>
              <w:t>件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2"/>
            <w:tabs>
              <w:tab w:val="right" w:leader="hyphen" w:pos="9856"/>
            </w:tabs>
          </w:pPr>
          <w:hyperlink w:anchor="_TOC_250006" w:history="1">
            <w:r>
              <w:t>（六）规模稳定、提高就业质量，提升社会服务能</w:t>
            </w:r>
            <w:r>
              <w:rPr>
                <w:spacing w:val="-10"/>
              </w:rPr>
              <w:t>力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05" w:history="1">
            <w:r>
              <w:t>（七）完善制度、规范教学管理、健全质量保障体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4"/>
            <w:tabs>
              <w:tab w:val="right" w:leader="hyphen" w:pos="9857"/>
            </w:tabs>
            <w:spacing w:before="212"/>
            <w:ind w:left="2108" w:firstLine="0"/>
          </w:pPr>
          <w:r>
            <w:t>１.强化过程管理，保障教学运行稳定有</w:t>
          </w:r>
          <w:r>
            <w:rPr>
              <w:spacing w:val="-10"/>
            </w:rPr>
            <w:t>序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21</w:t>
          </w:r>
        </w:p>
        <w:p>
          <w:pPr>
            <w:pStyle w:val="TOC4"/>
            <w:tabs>
              <w:tab w:val="right" w:leader="hyphen" w:pos="9857"/>
            </w:tabs>
            <w:ind w:left="2108" w:firstLine="0"/>
          </w:pPr>
          <w:r>
            <w:t>２.实施多元评价，完善教学质量监控体</w:t>
          </w:r>
          <w:r>
            <w:rPr>
              <w:spacing w:val="-10"/>
            </w:rPr>
            <w:t>系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22</w:t>
          </w:r>
        </w:p>
        <w:p>
          <w:pPr>
            <w:pStyle w:val="TOC4"/>
            <w:tabs>
              <w:tab w:val="right" w:leader="hyphen" w:pos="9857"/>
            </w:tabs>
            <w:spacing w:before="212"/>
            <w:ind w:left="2108" w:firstLine="0"/>
          </w:pPr>
          <w:r>
            <w:t>３.坚持育人为本，全面提高学生综合素</w:t>
          </w:r>
          <w:r>
            <w:rPr>
              <w:spacing w:val="-10"/>
            </w:rPr>
            <w:t>质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23</w:t>
          </w:r>
        </w:p>
        <w:p>
          <w:pPr>
            <w:pStyle w:val="TOC1"/>
            <w:tabs>
              <w:tab w:val="right" w:leader="hyphen" w:pos="9856"/>
            </w:tabs>
            <w:rPr>
              <w:rFonts w:ascii="宋体" w:eastAsia="宋体"/>
              <w:b w:val="0"/>
              <w:i w:val="0"/>
              <w:sz w:val="24"/>
            </w:rPr>
          </w:pPr>
          <w:hyperlink w:anchor="_TOC_250004" w:history="1">
            <w:r>
              <w:rPr>
                <w:i w:val="0"/>
                <w:sz w:val="24"/>
              </w:rPr>
              <w:t>五、保障措</w:t>
            </w:r>
            <w:r>
              <w:rPr>
                <w:i w:val="0"/>
                <w:spacing w:val="-10"/>
                <w:sz w:val="24"/>
              </w:rPr>
              <w:t>施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rFonts w:ascii="宋体" w:eastAsia="宋体"/>
                <w:b w:val="0"/>
                <w:i w:val="0"/>
                <w:spacing w:val="-5"/>
                <w:sz w:val="24"/>
              </w:rPr>
              <w:t>24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78"/>
          </w:pPr>
          <w:hyperlink w:anchor="_TOC_250003" w:history="1">
            <w:r>
              <w:t>（一）组织保</w:t>
            </w:r>
            <w:r>
              <w:rPr>
                <w:spacing w:val="-10"/>
              </w:rPr>
              <w:t>障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02" w:history="1">
            <w:r>
              <w:t>（二）机制保</w:t>
            </w:r>
            <w:r>
              <w:rPr>
                <w:spacing w:val="-10"/>
              </w:rPr>
              <w:t>障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2"/>
            <w:tabs>
              <w:tab w:val="right" w:leader="hyphen" w:pos="9856"/>
            </w:tabs>
          </w:pPr>
          <w:hyperlink w:anchor="_TOC_250001" w:history="1">
            <w:r>
              <w:t>（三）制度保</w:t>
            </w:r>
            <w:r>
              <w:rPr>
                <w:spacing w:val="-10"/>
              </w:rPr>
              <w:t>障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2"/>
            <w:tabs>
              <w:tab w:val="right" w:leader="hyphen" w:pos="9856"/>
            </w:tabs>
            <w:spacing w:before="213"/>
          </w:pPr>
          <w:hyperlink w:anchor="_TOC_250000" w:history="1">
            <w:r>
              <w:t>（四）资金保</w:t>
            </w:r>
            <w:r>
              <w:rPr>
                <w:spacing w:val="-10"/>
              </w:rPr>
              <w:t>障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25</w:t>
            </w:r>
          </w:hyperlink>
        </w:p>
      </w:sdtContent>
    </w:sdt>
    <w:p>
      <w:pPr>
        <w:spacing w:after="0"/>
        <w:sectPr>
          <w:type w:val="nextPage"/>
          <w:pgSz w:w="11910" w:h="16840"/>
          <w:pgMar w:top="1580" w:right="700" w:bottom="1974" w:left="520" w:header="708" w:footer="708"/>
          <w:pgNumType w:start="4"/>
          <w:cols w:space="708"/>
          <w:titlePg w:val="0"/>
        </w:sectPr>
      </w:pPr>
    </w:p>
    <w:p>
      <w:pPr>
        <w:spacing w:before="0" w:line="603" w:lineRule="exact"/>
        <w:ind w:left="4347" w:right="0" w:firstLine="0"/>
        <w:jc w:val="left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spacing w:val="-2"/>
          <w:sz w:val="36"/>
        </w:rPr>
        <w:t>专业建设发展规划</w:t>
      </w:r>
    </w:p>
    <w:p>
      <w:pPr>
        <w:spacing w:before="0" w:line="486" w:lineRule="exact"/>
        <w:ind w:left="4621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w w:val="90"/>
          <w:sz w:val="28"/>
        </w:rPr>
        <w:t>（2014-2020</w:t>
      </w:r>
      <w:r>
        <w:rPr>
          <w:rFonts w:ascii="Microsoft JhengHei" w:eastAsia="Microsoft JhengHei"/>
          <w:b/>
          <w:spacing w:val="3"/>
          <w:sz w:val="28"/>
        </w:rPr>
        <w:t xml:space="preserve"> </w:t>
      </w:r>
      <w:r>
        <w:rPr>
          <w:rFonts w:ascii="Microsoft JhengHei" w:eastAsia="Microsoft JhengHei"/>
          <w:b/>
          <w:w w:val="90"/>
          <w:sz w:val="28"/>
        </w:rPr>
        <w:t>年</w:t>
      </w:r>
      <w:r>
        <w:rPr>
          <w:rFonts w:ascii="Microsoft JhengHei" w:eastAsia="Microsoft JhengHei"/>
          <w:b/>
          <w:spacing w:val="-10"/>
          <w:w w:val="90"/>
          <w:sz w:val="28"/>
        </w:rPr>
        <w:t>）</w:t>
      </w:r>
    </w:p>
    <w:p>
      <w:pPr>
        <w:pStyle w:val="Heading2"/>
        <w:spacing w:line="541" w:lineRule="exact"/>
      </w:pPr>
      <w:bookmarkStart w:id="0" w:name="_TOC_250024"/>
      <w:bookmarkEnd w:id="0"/>
      <w:r>
        <w:rPr>
          <w:spacing w:val="-2"/>
        </w:rPr>
        <w:t>一、指导思想</w:t>
      </w:r>
    </w:p>
    <w:p>
      <w:pPr>
        <w:pStyle w:val="BodyText"/>
        <w:spacing w:before="127" w:line="405" w:lineRule="auto"/>
        <w:ind w:left="1068" w:right="767" w:firstLine="480"/>
      </w:pPr>
      <w:r>
        <w:rPr>
          <w:spacing w:val="-8"/>
        </w:rPr>
        <w:t>根据《国务院关于大力推进职业教育改革与发展的决定》、《国务院关于大力发</w:t>
      </w:r>
      <w:r>
        <w:rPr>
          <w:spacing w:val="1"/>
        </w:rPr>
        <w:t>展职业教育的决定》及《国务院关于加快发展现代职业教育的决定》等有关高等职业技术教育的文件精神，遵循高等职业技术教育和人才市场的规律。及时跟踪市场</w:t>
      </w:r>
      <w:r>
        <w:rPr>
          <w:spacing w:val="-4"/>
        </w:rPr>
        <w:t>需求的变化，主动适应区域、行业经济和社会发展的需要，认真研究职业岗位</w:t>
      </w:r>
      <w:r>
        <w:t>（群</w:t>
      </w:r>
      <w:r>
        <w:rPr>
          <w:spacing w:val="-17"/>
        </w:rPr>
        <w:t>）</w:t>
      </w:r>
      <w:r>
        <w:rPr>
          <w:spacing w:val="1"/>
        </w:rPr>
        <w:t>对人才培养的实际需要，根据学校的办学条件，有针对性地调整和设置专业，优化专业结构。以教育思想、教育观念的更新为先导，以专业能力的提高为本位，以职业素质的培养为核心，以专业建设为基础，以教学内容与课程体系改革为重点，有重点、分步骤地开展专业建设。依托泉舜，立足厦门，贴近产业，彰显特色，重点做大、做强、做优厦门市的电子、机械、航运物流、旅游会展、财政金融、软件与</w:t>
      </w:r>
      <w:r>
        <w:rPr>
          <w:spacing w:val="-3"/>
        </w:rPr>
        <w:t>信息服务业等支柱产业，为区域经济社会发展培养高素质技术技能型人才”。</w:t>
      </w:r>
    </w:p>
    <w:p>
      <w:pPr>
        <w:pStyle w:val="Heading2"/>
      </w:pPr>
      <w:bookmarkStart w:id="1" w:name="_TOC_250023"/>
      <w:bookmarkEnd w:id="1"/>
      <w:r>
        <w:rPr>
          <w:spacing w:val="-2"/>
        </w:rPr>
        <w:t>二、建设目标</w:t>
      </w:r>
    </w:p>
    <w:p>
      <w:pPr>
        <w:pStyle w:val="Heading4"/>
        <w:spacing w:before="48" w:line="240" w:lineRule="auto"/>
      </w:pPr>
      <w:bookmarkStart w:id="2" w:name="_TOC_250022"/>
      <w:r>
        <w:t>（一）</w:t>
      </w:r>
      <w:bookmarkEnd w:id="2"/>
      <w:r>
        <w:rPr>
          <w:spacing w:val="-2"/>
        </w:rPr>
        <w:t>专业结构的调整优化</w:t>
      </w:r>
    </w:p>
    <w:p>
      <w:pPr>
        <w:pStyle w:val="BodyText"/>
        <w:spacing w:before="116" w:line="446" w:lineRule="auto"/>
        <w:ind w:left="1068" w:right="887" w:firstLine="480"/>
        <w:jc w:val="both"/>
      </w:pPr>
      <w:r>
        <w:rPr>
          <w:spacing w:val="-2"/>
        </w:rPr>
        <w:t>依托本地产业结构调整和市场需要，重点建设优势专业，巩固原有传统专业，</w:t>
      </w:r>
      <w:r>
        <w:rPr>
          <w:spacing w:val="-5"/>
        </w:rPr>
        <w:t xml:space="preserve">努力创建有竞争力的新兴专业，不断调整优化专业结构。到 </w:t>
      </w:r>
      <w:r>
        <w:rPr>
          <w:spacing w:val="-4"/>
        </w:rPr>
        <w:t>2020</w:t>
      </w:r>
      <w:r>
        <w:rPr>
          <w:spacing w:val="-8"/>
        </w:rPr>
        <w:t xml:space="preserve"> 年，我院高职专业</w:t>
      </w:r>
      <w:r>
        <w:rPr>
          <w:spacing w:val="-7"/>
        </w:rPr>
        <w:t xml:space="preserve">总数拟达 </w:t>
      </w:r>
      <w:r>
        <w:rPr>
          <w:spacing w:val="-4"/>
        </w:rPr>
        <w:t>42</w:t>
      </w:r>
      <w:r>
        <w:rPr>
          <w:spacing w:val="-8"/>
        </w:rPr>
        <w:t xml:space="preserve"> 个，专业分布交通运输类、建筑工程类、财政金融类、旅游会展类、艺</w:t>
      </w:r>
      <w:r>
        <w:rPr>
          <w:spacing w:val="-2"/>
        </w:rPr>
        <w:t>术设计类等大类。逐步形成以酒店管理、物流管理、建筑工程技术和空中乘务为特</w:t>
      </w:r>
      <w:r>
        <w:rPr>
          <w:spacing w:val="-2"/>
        </w:rPr>
        <w:t>色，理、工、经管和交通运输专业协调发展、与社会经济发展相适应、具有学院特</w:t>
      </w:r>
      <w:r>
        <w:rPr>
          <w:spacing w:val="-2"/>
        </w:rPr>
        <w:t xml:space="preserve">色的、以培养“一技之长+综合素质”的技术技能型人才为目标的专业体系。在现有 </w:t>
      </w:r>
      <w:r>
        <w:rPr>
          <w:spacing w:val="-4"/>
        </w:rPr>
        <w:t>2</w:t>
      </w:r>
      <w:r>
        <w:rPr>
          <w:spacing w:val="-11"/>
        </w:rPr>
        <w:t xml:space="preserve"> 个市级重点专业及 </w:t>
      </w:r>
      <w:r>
        <w:rPr>
          <w:spacing w:val="-4"/>
        </w:rPr>
        <w:t>4</w:t>
      </w:r>
      <w:r>
        <w:rPr>
          <w:spacing w:val="-10"/>
        </w:rPr>
        <w:t xml:space="preserve"> 个院级重点、特色专业的基础上，新建 </w:t>
      </w:r>
      <w:r>
        <w:rPr>
          <w:spacing w:val="-4"/>
        </w:rPr>
        <w:t>2～3</w:t>
      </w:r>
      <w:r>
        <w:rPr>
          <w:spacing w:val="-9"/>
        </w:rPr>
        <w:t xml:space="preserve"> 个省级重点及特</w:t>
      </w:r>
      <w:r>
        <w:rPr>
          <w:spacing w:val="-4"/>
        </w:rPr>
        <w:t>色专业、3～5</w:t>
      </w:r>
      <w:r>
        <w:rPr>
          <w:spacing w:val="-8"/>
        </w:rPr>
        <w:t xml:space="preserve"> 个市级重点及特色专业、</w:t>
      </w:r>
      <w:r>
        <w:rPr>
          <w:spacing w:val="-4"/>
        </w:rPr>
        <w:t>10</w:t>
      </w:r>
      <w:r>
        <w:rPr>
          <w:spacing w:val="-8"/>
        </w:rPr>
        <w:t xml:space="preserve"> 个以上院级重点及特色专业，以重点专业</w:t>
      </w:r>
      <w:r>
        <w:rPr>
          <w:spacing w:val="-2"/>
        </w:rPr>
        <w:t>为龙头带动专业群建设，促进专业的科学全面发展。</w:t>
      </w:r>
    </w:p>
    <w:p>
      <w:pPr>
        <w:pStyle w:val="BodyText"/>
        <w:spacing w:line="303" w:lineRule="exact"/>
        <w:ind w:left="1548"/>
      </w:pPr>
      <w:r>
        <w:rPr>
          <w:spacing w:val="-1"/>
        </w:rPr>
        <w:t>坚持“规模、质量、结构、效益”协调发展的原则，充分发挥优势，注重内涵</w:t>
      </w:r>
    </w:p>
    <w:p>
      <w:pPr>
        <w:spacing w:after="0" w:line="303" w:lineRule="exact"/>
        <w:sectPr>
          <w:footerReference w:type="default" r:id="rId6"/>
          <w:pgSz w:w="11910" w:h="16840"/>
          <w:pgMar w:top="1920" w:right="700" w:bottom="820" w:left="520" w:header="0" w:footer="631"/>
          <w:pgNumType w:start="1"/>
          <w:cols w:space="708"/>
        </w:sectPr>
      </w:pPr>
    </w:p>
    <w:p>
      <w:pPr>
        <w:pStyle w:val="BodyText"/>
        <w:spacing w:before="56" w:line="446" w:lineRule="auto"/>
        <w:ind w:left="1068" w:right="886"/>
        <w:jc w:val="both"/>
      </w:pPr>
      <w:r>
        <w:rPr>
          <w:spacing w:val="-2"/>
        </w:rPr>
        <w:t>建设和特色培育，形成结构合理、特点鲜明、优势凸显，有可持续发展前景，面向</w:t>
      </w:r>
      <w:r>
        <w:rPr>
          <w:spacing w:val="-2"/>
        </w:rPr>
        <w:t>现代农业、先进制造业、现代服务业、战略性新兴产业和社会管理等领域的专业结</w:t>
      </w:r>
      <w:r>
        <w:rPr>
          <w:spacing w:val="-4"/>
        </w:rPr>
        <w:t>构体系。</w:t>
      </w:r>
    </w:p>
    <w:p>
      <w:pPr>
        <w:pStyle w:val="Heading4"/>
      </w:pPr>
      <w:bookmarkStart w:id="3" w:name="_TOC_250021"/>
      <w:r>
        <w:t>（二）</w:t>
      </w:r>
      <w:bookmarkEnd w:id="3"/>
      <w:r>
        <w:rPr>
          <w:spacing w:val="-2"/>
        </w:rPr>
        <w:t>人才培养模式的创新</w:t>
      </w:r>
    </w:p>
    <w:p>
      <w:pPr>
        <w:pStyle w:val="BodyText"/>
        <w:spacing w:before="115" w:line="446" w:lineRule="auto"/>
        <w:ind w:left="1068" w:right="886" w:firstLine="480"/>
        <w:jc w:val="both"/>
      </w:pPr>
      <w:r>
        <w:rPr>
          <w:spacing w:val="-2"/>
        </w:rPr>
        <w:t>按照学院关于人才培养的总体要求，进一步解放思想，转变观念，充分适应厦</w:t>
      </w:r>
      <w:r>
        <w:rPr>
          <w:spacing w:val="-2"/>
        </w:rPr>
        <w:t>门及周边区域经济社会的发展需求，广泛开展社会调查和论证，改革传统人才培养</w:t>
      </w:r>
      <w:r>
        <w:rPr>
          <w:spacing w:val="-2"/>
        </w:rPr>
        <w:t>模式，制定与社会发展和学院特色相适应的</w:t>
      </w:r>
      <w:r>
        <w:rPr>
          <w:color w:val="0000CC"/>
          <w:spacing w:val="-2"/>
        </w:rPr>
        <w:t>人</w:t>
      </w:r>
      <w:r>
        <w:rPr>
          <w:spacing w:val="-2"/>
        </w:rPr>
        <w:t>才培养方案。以厦门市重点专业酒店</w:t>
      </w:r>
      <w:r>
        <w:rPr>
          <w:spacing w:val="-2"/>
        </w:rPr>
        <w:t>管理专业为示范，探索建立校企共同协商制定的教学设计、教学实施、监控与评价</w:t>
      </w:r>
      <w:r>
        <w:rPr>
          <w:spacing w:val="-2"/>
        </w:rPr>
        <w:t>的运行机制。校企共同协商制定高技能专业人才的实践教学质量标准体系、制定相</w:t>
      </w:r>
      <w:r>
        <w:rPr>
          <w:spacing w:val="-2"/>
        </w:rPr>
        <w:t>应的核心实践教学环节与关键指标，制定实训基地的建设与运行管理方案，共同设</w:t>
      </w:r>
      <w:r>
        <w:rPr>
          <w:spacing w:val="-2"/>
        </w:rPr>
        <w:t>计制定人才培养的质量监控与保障体系、质量评价体系。以重点及特色专业的人才</w:t>
      </w:r>
      <w:r>
        <w:rPr>
          <w:spacing w:val="-2"/>
        </w:rPr>
        <w:t>培养模式改革，带动全院其它各专业的人才培养模式的创新。</w:t>
      </w:r>
    </w:p>
    <w:p>
      <w:pPr>
        <w:pStyle w:val="Heading4"/>
        <w:spacing w:line="401" w:lineRule="exact"/>
      </w:pPr>
      <w:bookmarkStart w:id="4" w:name="_TOC_250020"/>
      <w:r>
        <w:t>（三）</w:t>
      </w:r>
      <w:bookmarkEnd w:id="4"/>
      <w:r>
        <w:rPr>
          <w:spacing w:val="-2"/>
        </w:rPr>
        <w:t>课程建设和教学改革</w:t>
      </w:r>
    </w:p>
    <w:p>
      <w:pPr>
        <w:pStyle w:val="BodyText"/>
        <w:spacing w:before="116" w:line="446" w:lineRule="auto"/>
        <w:ind w:left="1068" w:right="886" w:firstLine="480"/>
        <w:jc w:val="both"/>
      </w:pPr>
      <w:r>
        <w:rPr>
          <w:spacing w:val="-2"/>
        </w:rPr>
        <w:t>根据行业技术领域和职业岗位任职需求，参照国家职业资格标准，建立突出职</w:t>
      </w:r>
      <w:r>
        <w:rPr>
          <w:spacing w:val="-2"/>
        </w:rPr>
        <w:t>业能力培养的课程标准，规范课程教学要求，改革与优化课程体系，深度优化专业</w:t>
      </w:r>
      <w:r>
        <w:rPr>
          <w:spacing w:val="-2"/>
        </w:rPr>
        <w:t>技能课程的教学内容，开发职业教育新课程。建立与完善课程建设的监控机制、评</w:t>
      </w:r>
      <w:r>
        <w:rPr>
          <w:spacing w:val="-2"/>
        </w:rPr>
        <w:t>价机制、激励机制和管理机制。大力加强工学结合、基于工作过程的课程建设。积</w:t>
      </w:r>
      <w:r>
        <w:rPr>
          <w:spacing w:val="-2"/>
        </w:rPr>
        <w:t>极与行业企业合作，共同制定课程标准、共同开发课程、共同开发教材、共同建立</w:t>
      </w:r>
      <w:r>
        <w:rPr>
          <w:spacing w:val="-2"/>
        </w:rPr>
        <w:t>考核标准。有针对性地采取工学交替，任务驱动、项目导向、课堂与实习地点一体</w:t>
      </w:r>
      <w:r>
        <w:rPr>
          <w:spacing w:val="-2"/>
        </w:rPr>
        <w:t>化等行动导向的教学模式。充分应用现代化的教学技术，推动教育教学改革与产业</w:t>
      </w:r>
      <w:r>
        <w:rPr>
          <w:spacing w:val="-2"/>
        </w:rPr>
        <w:t>转型升级衔接配套，实现教学改革的新突破。</w:t>
      </w:r>
    </w:p>
    <w:p>
      <w:pPr>
        <w:pStyle w:val="Heading4"/>
        <w:spacing w:line="401" w:lineRule="exact"/>
      </w:pPr>
      <w:bookmarkStart w:id="5" w:name="_TOC_250019"/>
      <w:r>
        <w:t>（四）</w:t>
      </w:r>
      <w:bookmarkEnd w:id="5"/>
      <w:r>
        <w:rPr>
          <w:spacing w:val="-2"/>
        </w:rPr>
        <w:t>师资力量的逐步增强</w:t>
      </w:r>
    </w:p>
    <w:p>
      <w:pPr>
        <w:pStyle w:val="BodyText"/>
        <w:spacing w:before="116" w:line="446" w:lineRule="auto"/>
        <w:ind w:left="1068" w:right="887" w:firstLine="480"/>
        <w:jc w:val="both"/>
      </w:pPr>
      <w:r>
        <w:rPr>
          <w:spacing w:val="-23"/>
        </w:rPr>
        <w:t>牢固树立“人才强校”的意识，高度重视师资队伍的建设。全面实施师资队伍“梯</w:t>
      </w:r>
      <w:r>
        <w:rPr>
          <w:spacing w:val="-13"/>
        </w:rPr>
        <w:t>队建设方案”，加强年轻新教师的培养，提高其教育教学能力和实践能力；重视中青</w:t>
      </w:r>
      <w:r>
        <w:rPr>
          <w:spacing w:val="-1"/>
        </w:rPr>
        <w:t>年骨干教师的发展，发挥其模范带头作用；做好专业带头人的选拔，彰显其引领作</w:t>
      </w:r>
    </w:p>
    <w:p>
      <w:pPr>
        <w:spacing w:after="0" w:line="446" w:lineRule="auto"/>
        <w:jc w:val="both"/>
        <w:sectPr>
          <w:footerReference w:type="default" r:id="rId7"/>
          <w:pgSz w:w="11910" w:h="16840"/>
          <w:pgMar w:top="1500" w:right="700" w:bottom="820" w:left="520" w:header="0" w:footer="631"/>
          <w:pgNumType w:start="2"/>
          <w:cols w:space="708"/>
        </w:sectPr>
      </w:pPr>
    </w:p>
    <w:p>
      <w:pPr>
        <w:pStyle w:val="BodyText"/>
        <w:spacing w:before="56" w:line="446" w:lineRule="auto"/>
        <w:ind w:left="1068" w:right="886"/>
        <w:jc w:val="both"/>
      </w:pPr>
      <w:r>
        <w:rPr>
          <w:spacing w:val="-2"/>
        </w:rPr>
        <w:t>用；注重名师的打造和引进，发挥其辐射作用。优化师资队伍的年龄结构、学历结</w:t>
      </w:r>
      <w:r>
        <w:rPr>
          <w:spacing w:val="-2"/>
        </w:rPr>
        <w:t>构、职称结构、性别结构、学缘结构等，全面提升队伍的“双师”素质，确实增强</w:t>
      </w:r>
      <w:r>
        <w:rPr>
          <w:spacing w:val="-2"/>
        </w:rPr>
        <w:t>师资的力量。</w:t>
      </w:r>
    </w:p>
    <w:p>
      <w:pPr>
        <w:pStyle w:val="Heading4"/>
      </w:pPr>
      <w:bookmarkStart w:id="6" w:name="_TOC_250018"/>
      <w:r>
        <w:t>（五）</w:t>
      </w:r>
      <w:bookmarkEnd w:id="6"/>
      <w:r>
        <w:rPr>
          <w:spacing w:val="-2"/>
        </w:rPr>
        <w:t>实训基地建设的推进</w:t>
      </w:r>
    </w:p>
    <w:p>
      <w:pPr>
        <w:pStyle w:val="BodyText"/>
        <w:spacing w:before="115" w:line="446" w:lineRule="auto"/>
        <w:ind w:left="1068" w:right="767" w:firstLine="480"/>
      </w:pPr>
      <w:r>
        <w:rPr>
          <w:spacing w:val="1"/>
        </w:rPr>
        <w:t>在校内实训基地建设按照先进性、仿真性、现场性、综合性的思路。在实训设备的技术要求上立足与行业的发展同步，具备一定的先进性，使学生在实训过程中能够学习、掌握和运用本专业先进的技术、工艺和技能；保证学生能按照职业岗位群的要求进行实际操作训练。为充分利用资源，节约资金，规划中尽可能综合协调</w:t>
      </w:r>
      <w:r>
        <w:rPr>
          <w:spacing w:val="-4"/>
        </w:rPr>
        <w:t>各相关专业实训的需要，优化配置，体现一定的综合性。在建设中注意与社会融合，</w:t>
      </w:r>
      <w:r>
        <w:rPr>
          <w:spacing w:val="1"/>
        </w:rPr>
        <w:t>力争建设完成后能更多地承担各级各类职业技能培训，使其发挥社会服务功能，并产生一定的社会经济效益。建成的实训基地成为提高学生实验技能、科学素养和创新能力的理想场所，同时在省内同类学校中具有示范性和辐射性。</w:t>
      </w:r>
    </w:p>
    <w:p>
      <w:pPr>
        <w:pStyle w:val="Heading2"/>
        <w:spacing w:line="431" w:lineRule="exact"/>
      </w:pPr>
      <w:bookmarkStart w:id="7" w:name="_TOC_250017"/>
      <w:bookmarkEnd w:id="7"/>
      <w:r>
        <w:rPr>
          <w:spacing w:val="-2"/>
        </w:rPr>
        <w:t>三、建设基础</w:t>
      </w:r>
    </w:p>
    <w:p>
      <w:pPr>
        <w:pStyle w:val="Heading4"/>
        <w:spacing w:before="48" w:line="240" w:lineRule="auto"/>
      </w:pPr>
      <w:bookmarkStart w:id="8" w:name="_TOC_250016"/>
      <w:r>
        <w:t>（一）</w:t>
      </w:r>
      <w:bookmarkEnd w:id="8"/>
      <w:r>
        <w:rPr>
          <w:spacing w:val="-2"/>
        </w:rPr>
        <w:t>专业建设背景</w:t>
      </w:r>
    </w:p>
    <w:p>
      <w:pPr>
        <w:pStyle w:val="BodyText"/>
        <w:spacing w:before="116" w:line="446" w:lineRule="auto"/>
        <w:ind w:left="1068" w:right="887" w:firstLine="480"/>
        <w:jc w:val="both"/>
      </w:pPr>
      <w:r>
        <w:rPr>
          <w:spacing w:val="-11"/>
        </w:rPr>
        <w:t xml:space="preserve">厦门东海职业技术学院于 </w:t>
      </w:r>
      <w:r>
        <w:rPr>
          <w:spacing w:val="-10"/>
        </w:rPr>
        <w:t>2002</w:t>
      </w:r>
      <w:r>
        <w:rPr>
          <w:spacing w:val="-17"/>
        </w:rPr>
        <w:t xml:space="preserve"> 年 </w:t>
      </w:r>
      <w:r>
        <w:rPr>
          <w:spacing w:val="-10"/>
        </w:rPr>
        <w:t>8</w:t>
      </w:r>
      <w:r>
        <w:rPr>
          <w:spacing w:val="-13"/>
        </w:rPr>
        <w:t xml:space="preserve"> 月获福建省教育厅批准筹建，</w:t>
      </w:r>
      <w:r>
        <w:rPr>
          <w:spacing w:val="-10"/>
        </w:rPr>
        <w:t>2007</w:t>
      </w:r>
      <w:r>
        <w:rPr>
          <w:spacing w:val="-17"/>
        </w:rPr>
        <w:t xml:space="preserve"> 年 </w:t>
      </w:r>
      <w:r>
        <w:rPr>
          <w:spacing w:val="-10"/>
        </w:rPr>
        <w:t>3</w:t>
      </w:r>
      <w:r>
        <w:rPr>
          <w:spacing w:val="-14"/>
        </w:rPr>
        <w:t xml:space="preserve"> 月经</w:t>
      </w:r>
      <w:r>
        <w:rPr>
          <w:spacing w:val="-2"/>
        </w:rPr>
        <w:t>福建省人民政府批准，国家教育部备案，纳入全国高考统招计划，具有独立颁发国</w:t>
      </w:r>
      <w:r>
        <w:rPr>
          <w:spacing w:val="-2"/>
        </w:rPr>
        <w:t>家承认的高等专科文凭资格的全日制综合性普通民办高等职业院校，也是千年古城</w:t>
      </w:r>
      <w:r>
        <w:rPr>
          <w:spacing w:val="-8"/>
        </w:rPr>
        <w:t xml:space="preserve">同安区唯一的一所高等院校。 </w:t>
      </w:r>
      <w:r>
        <w:rPr>
          <w:spacing w:val="-6"/>
        </w:rPr>
        <w:t>2013</w:t>
      </w:r>
      <w:r>
        <w:rPr>
          <w:spacing w:val="-18"/>
        </w:rPr>
        <w:t xml:space="preserve"> 年 </w:t>
      </w:r>
      <w:r>
        <w:rPr>
          <w:spacing w:val="-6"/>
        </w:rPr>
        <w:t>9</w:t>
      </w:r>
      <w:r>
        <w:rPr>
          <w:spacing w:val="-18"/>
        </w:rPr>
        <w:t xml:space="preserve"> 月 </w:t>
      </w:r>
      <w:r>
        <w:rPr>
          <w:spacing w:val="-6"/>
        </w:rPr>
        <w:t>23</w:t>
      </w:r>
      <w:r>
        <w:rPr>
          <w:spacing w:val="-11"/>
        </w:rPr>
        <w:t xml:space="preserve"> 日，泉舜集团获学院举办权，同年 </w:t>
      </w:r>
      <w:r>
        <w:rPr>
          <w:spacing w:val="-6"/>
        </w:rPr>
        <w:t>10</w:t>
      </w:r>
      <w:r>
        <w:rPr>
          <w:spacing w:val="-11"/>
        </w:rPr>
        <w:t xml:space="preserve">月 </w:t>
      </w:r>
      <w:r>
        <w:t>21</w:t>
      </w:r>
      <w:r>
        <w:rPr>
          <w:spacing w:val="-5"/>
        </w:rPr>
        <w:t xml:space="preserve"> 日完成学院新董事会与学院领导团队的组建，并顺利完成了工作交接。</w:t>
      </w:r>
    </w:p>
    <w:p>
      <w:pPr>
        <w:pStyle w:val="BodyText"/>
        <w:spacing w:line="305" w:lineRule="exact"/>
        <w:ind w:left="1548"/>
        <w:jc w:val="both"/>
      </w:pPr>
      <w:r>
        <w:rPr>
          <w:spacing w:val="-3"/>
        </w:rPr>
        <w:t xml:space="preserve">学院办学地址位于厦门市同安区，校园首期建设占地 </w:t>
      </w:r>
      <w:r>
        <w:t>260</w:t>
      </w:r>
      <w:r>
        <w:rPr>
          <w:spacing w:val="-9"/>
        </w:rPr>
        <w:t xml:space="preserve"> 亩，校舍总建筑面积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46" w:lineRule="auto"/>
        <w:ind w:left="1068" w:right="797"/>
      </w:pPr>
      <w:r>
        <w:rPr>
          <w:spacing w:val="-2"/>
        </w:rPr>
        <w:t>6.67</w:t>
      </w:r>
      <w:r>
        <w:rPr>
          <w:spacing w:val="-13"/>
        </w:rPr>
        <w:t xml:space="preserve"> 万平方米,教学行政用房面积 </w:t>
      </w:r>
      <w:r>
        <w:rPr>
          <w:spacing w:val="-2"/>
        </w:rPr>
        <w:t>3.64</w:t>
      </w:r>
      <w:r>
        <w:rPr>
          <w:spacing w:val="-13"/>
        </w:rPr>
        <w:t xml:space="preserve"> 万平方米，校内专业实验室实训基地 </w:t>
      </w:r>
      <w:r>
        <w:rPr>
          <w:spacing w:val="-2"/>
        </w:rPr>
        <w:t>36</w:t>
      </w:r>
      <w:r>
        <w:rPr>
          <w:spacing w:val="-19"/>
        </w:rPr>
        <w:t xml:space="preserve"> 个，</w:t>
      </w:r>
      <w:r>
        <w:rPr>
          <w:spacing w:val="-4"/>
        </w:rPr>
        <w:t xml:space="preserve">校外实习实训基地 </w:t>
      </w:r>
      <w:r>
        <w:t>60</w:t>
      </w:r>
      <w:r>
        <w:rPr>
          <w:spacing w:val="-8"/>
        </w:rPr>
        <w:t xml:space="preserve"> 个，学院教学仪器设备总值 </w:t>
      </w:r>
      <w:r>
        <w:t>1371</w:t>
      </w:r>
      <w:r>
        <w:rPr>
          <w:spacing w:val="-9"/>
        </w:rPr>
        <w:t xml:space="preserve"> 万元，图书馆藏书 </w:t>
      </w:r>
      <w:r>
        <w:t>17.36</w:t>
      </w:r>
      <w:r>
        <w:rPr>
          <w:spacing w:val="-19"/>
        </w:rPr>
        <w:t xml:space="preserve"> 万</w:t>
      </w:r>
      <w:r>
        <w:rPr>
          <w:spacing w:val="-3"/>
        </w:rPr>
        <w:t xml:space="preserve">余册，固定资产总值 </w:t>
      </w:r>
      <w:r>
        <w:t>2.084</w:t>
      </w:r>
      <w:r>
        <w:rPr>
          <w:spacing w:val="-6"/>
        </w:rPr>
        <w:t xml:space="preserve"> 亿元。</w:t>
      </w:r>
    </w:p>
    <w:p>
      <w:pPr>
        <w:pStyle w:val="BodyText"/>
        <w:spacing w:line="446" w:lineRule="auto"/>
        <w:ind w:left="1068" w:right="857" w:firstLine="480"/>
      </w:pPr>
      <w:r>
        <w:rPr>
          <w:spacing w:val="-4"/>
        </w:rPr>
        <w:t xml:space="preserve">学院实行董事会领导下的院长负责制，设置有 </w:t>
      </w:r>
      <w:r>
        <w:rPr>
          <w:spacing w:val="-2"/>
        </w:rPr>
        <w:t>20</w:t>
      </w:r>
      <w:r>
        <w:rPr>
          <w:spacing w:val="-9"/>
        </w:rPr>
        <w:t xml:space="preserve"> 个机构，党群行政职能处室、</w:t>
      </w:r>
      <w:r>
        <w:rPr>
          <w:spacing w:val="-1"/>
        </w:rPr>
        <w:t>教学督导室、图书馆、实验管理中心等。学院目前设有经济管理系、旅游会展系、</w:t>
      </w:r>
    </w:p>
    <w:p>
      <w:pPr>
        <w:spacing w:after="0" w:line="446" w:lineRule="auto"/>
        <w:sectPr>
          <w:footerReference w:type="default" r:id="rId8"/>
          <w:pgSz w:w="11910" w:h="16840"/>
          <w:pgMar w:top="1500" w:right="700" w:bottom="820" w:left="520" w:header="0" w:footer="631"/>
          <w:pgNumType w:start="3"/>
          <w:cols w:space="708"/>
        </w:sectPr>
      </w:pPr>
    </w:p>
    <w:p>
      <w:pPr>
        <w:pStyle w:val="BodyText"/>
        <w:spacing w:before="56" w:line="446" w:lineRule="auto"/>
        <w:ind w:left="1068" w:right="886"/>
        <w:jc w:val="both"/>
      </w:pPr>
      <w:r>
        <w:rPr>
          <w:spacing w:val="-4"/>
        </w:rPr>
        <w:t xml:space="preserve">信息工程系、外语系、艺术系、环境科学系 </w:t>
      </w:r>
      <w:r>
        <w:rPr>
          <w:spacing w:val="-2"/>
        </w:rPr>
        <w:t>6</w:t>
      </w:r>
      <w:r>
        <w:rPr>
          <w:spacing w:val="-10"/>
        </w:rPr>
        <w:t xml:space="preserve"> 个专业系和 </w:t>
      </w:r>
      <w:r>
        <w:rPr>
          <w:spacing w:val="-2"/>
        </w:rPr>
        <w:t>1</w:t>
      </w:r>
      <w:r>
        <w:rPr>
          <w:spacing w:val="-7"/>
        </w:rPr>
        <w:t xml:space="preserve"> 个公共教学部，筹建校</w:t>
      </w:r>
      <w:r>
        <w:rPr>
          <w:spacing w:val="-2"/>
        </w:rPr>
        <w:t>企紧密型合作的通用航空学院、中兴通讯新新思学院、中海航学院、豪生国际酒店</w:t>
      </w:r>
      <w:r>
        <w:rPr>
          <w:spacing w:val="-2"/>
        </w:rPr>
        <w:t>学院等二级学院。</w:t>
      </w:r>
    </w:p>
    <w:p>
      <w:pPr>
        <w:pStyle w:val="BodyText"/>
        <w:spacing w:line="446" w:lineRule="auto"/>
        <w:ind w:left="1068" w:right="857" w:firstLine="480"/>
        <w:jc w:val="both"/>
      </w:pPr>
      <w:r>
        <w:rPr>
          <w:w w:val="90"/>
        </w:rPr>
        <w:t>截</w:t>
      </w:r>
      <w:r>
        <w:rPr>
          <w:w w:val="90"/>
        </w:rPr>
        <w:t>至</w:t>
      </w:r>
      <w:r>
        <w:rPr>
          <w:w w:val="90"/>
        </w:rPr>
        <w:t xml:space="preserve"> 2013 年 12 月 31 </w:t>
      </w:r>
      <w:r>
        <w:rPr>
          <w:w w:val="90"/>
        </w:rPr>
        <w:t>日</w:t>
      </w:r>
      <w:r>
        <w:rPr>
          <w:w w:val="90"/>
        </w:rPr>
        <w:t xml:space="preserve">，2013 </w:t>
      </w:r>
      <w:r>
        <w:rPr>
          <w:w w:val="90"/>
        </w:rPr>
        <w:t>届</w:t>
      </w:r>
      <w:r>
        <w:rPr>
          <w:w w:val="90"/>
        </w:rPr>
        <w:t>毕</w:t>
      </w:r>
      <w:r>
        <w:rPr>
          <w:w w:val="90"/>
        </w:rPr>
        <w:t>业</w:t>
      </w:r>
      <w:r>
        <w:rPr>
          <w:w w:val="90"/>
        </w:rPr>
        <w:t>生</w:t>
      </w:r>
      <w:r>
        <w:rPr>
          <w:w w:val="90"/>
        </w:rPr>
        <w:t>就</w:t>
      </w:r>
      <w:r>
        <w:rPr>
          <w:w w:val="90"/>
        </w:rPr>
        <w:t>业</w:t>
      </w:r>
      <w:r>
        <w:rPr>
          <w:w w:val="90"/>
        </w:rPr>
        <w:t>率</w:t>
      </w:r>
      <w:r>
        <w:rPr>
          <w:w w:val="90"/>
        </w:rPr>
        <w:t xml:space="preserve"> 94.88%；</w:t>
      </w:r>
      <w:r>
        <w:rPr>
          <w:w w:val="90"/>
        </w:rPr>
        <w:t>至</w:t>
      </w:r>
      <w:r>
        <w:rPr>
          <w:w w:val="90"/>
        </w:rPr>
        <w:t xml:space="preserve"> 2014 年 9 月 1 日， </w:t>
      </w:r>
      <w:r>
        <w:rPr>
          <w:spacing w:val="-2"/>
        </w:rPr>
        <w:t>2014</w:t>
      </w:r>
      <w:r>
        <w:rPr>
          <w:spacing w:val="-8"/>
        </w:rPr>
        <w:t xml:space="preserve"> 届毕业生就业率达 </w:t>
      </w:r>
      <w:r>
        <w:rPr>
          <w:spacing w:val="-2"/>
        </w:rPr>
        <w:t>92.11%</w:t>
      </w:r>
      <w:r>
        <w:rPr>
          <w:spacing w:val="-3"/>
        </w:rPr>
        <w:t xml:space="preserve">。学院毕业生就业指导工作获 </w:t>
      </w:r>
      <w:r>
        <w:rPr>
          <w:spacing w:val="-2"/>
        </w:rPr>
        <w:t>2011</w:t>
      </w:r>
      <w:r>
        <w:rPr>
          <w:spacing w:val="-7"/>
        </w:rPr>
        <w:t xml:space="preserve"> 年度省级优秀荣</w:t>
      </w:r>
      <w:r>
        <w:rPr>
          <w:spacing w:val="-8"/>
        </w:rPr>
        <w:t xml:space="preserve">誉称号。学院现有教职工 </w:t>
      </w:r>
      <w:r>
        <w:rPr>
          <w:spacing w:val="-6"/>
        </w:rPr>
        <w:t>188</w:t>
      </w:r>
      <w:r>
        <w:rPr>
          <w:spacing w:val="-12"/>
        </w:rPr>
        <w:t xml:space="preserve"> 人，其中专任教师 </w:t>
      </w:r>
      <w:r>
        <w:rPr>
          <w:spacing w:val="-6"/>
        </w:rPr>
        <w:t>104</w:t>
      </w:r>
      <w:r>
        <w:rPr>
          <w:spacing w:val="-12"/>
        </w:rPr>
        <w:t xml:space="preserve"> 人，校内兼课人员 </w:t>
      </w:r>
      <w:r>
        <w:rPr>
          <w:spacing w:val="-6"/>
        </w:rPr>
        <w:t>13</w:t>
      </w:r>
      <w:r>
        <w:rPr>
          <w:spacing w:val="-10"/>
        </w:rPr>
        <w:t xml:space="preserve"> 人，兼职</w:t>
      </w:r>
      <w:r>
        <w:rPr>
          <w:spacing w:val="-10"/>
        </w:rPr>
        <w:t xml:space="preserve">教师 </w:t>
      </w:r>
      <w:r>
        <w:rPr>
          <w:spacing w:val="-6"/>
        </w:rPr>
        <w:t>51</w:t>
      </w:r>
      <w:r>
        <w:rPr>
          <w:spacing w:val="-10"/>
        </w:rPr>
        <w:t xml:space="preserve"> 人。</w:t>
      </w:r>
      <w:r>
        <w:rPr>
          <w:spacing w:val="-6"/>
        </w:rPr>
        <w:t>2013</w:t>
      </w:r>
      <w:r>
        <w:rPr>
          <w:spacing w:val="-17"/>
        </w:rPr>
        <w:t xml:space="preserve"> 年学院先后被评为厦门市学校综治安全目标管理“先进单位”、“平</w:t>
      </w:r>
      <w:r>
        <w:rPr>
          <w:spacing w:val="-20"/>
        </w:rPr>
        <w:t>安先行学校”。</w:t>
      </w:r>
    </w:p>
    <w:p>
      <w:pPr>
        <w:pStyle w:val="Heading4"/>
        <w:spacing w:line="402" w:lineRule="exact"/>
      </w:pPr>
      <w:bookmarkStart w:id="9" w:name="_TOC_250015"/>
      <w:r>
        <w:t>（二）</w:t>
      </w:r>
      <w:bookmarkEnd w:id="9"/>
      <w:r>
        <w:rPr>
          <w:spacing w:val="-1"/>
        </w:rPr>
        <w:t>专业招生及在校生人数</w:t>
      </w:r>
    </w:p>
    <w:p>
      <w:pPr>
        <w:pStyle w:val="BodyText"/>
        <w:spacing w:before="114" w:line="446" w:lineRule="auto"/>
        <w:ind w:left="1068" w:right="887" w:firstLine="480"/>
        <w:jc w:val="both"/>
      </w:pPr>
      <w:r>
        <w:rPr>
          <w:spacing w:val="-2"/>
        </w:rPr>
        <w:t>2014 年教育部备案的专业有酒店管理、国际商务、工程造价、建筑工程技术、</w:t>
      </w:r>
      <w:r>
        <w:rPr>
          <w:spacing w:val="-9"/>
        </w:rPr>
        <w:t xml:space="preserve">计算机网络技术、环境监测与评价等 </w:t>
      </w:r>
      <w:r>
        <w:rPr>
          <w:spacing w:val="-8"/>
        </w:rPr>
        <w:t>24</w:t>
      </w:r>
      <w:r>
        <w:rPr>
          <w:spacing w:val="-11"/>
        </w:rPr>
        <w:t xml:space="preserve"> 个高职专业。</w:t>
      </w:r>
      <w:r>
        <w:rPr>
          <w:spacing w:val="-8"/>
        </w:rPr>
        <w:t>2013-2014</w:t>
      </w:r>
      <w:r>
        <w:rPr>
          <w:spacing w:val="-13"/>
        </w:rPr>
        <w:t xml:space="preserve"> 学年有 </w:t>
      </w:r>
      <w:r>
        <w:rPr>
          <w:spacing w:val="-8"/>
        </w:rPr>
        <w:t>24</w:t>
      </w:r>
      <w:r>
        <w:rPr>
          <w:spacing w:val="-11"/>
        </w:rPr>
        <w:t xml:space="preserve"> 个招生专</w:t>
      </w:r>
      <w:r>
        <w:rPr>
          <w:spacing w:val="-12"/>
        </w:rPr>
        <w:t xml:space="preserve">业，到 </w:t>
      </w:r>
      <w:r>
        <w:t>2014</w:t>
      </w:r>
      <w:r>
        <w:rPr>
          <w:spacing w:val="-32"/>
        </w:rPr>
        <w:t xml:space="preserve"> 年 </w:t>
      </w:r>
      <w:r>
        <w:t>7</w:t>
      </w:r>
      <w:r>
        <w:rPr>
          <w:spacing w:val="-24"/>
        </w:rPr>
        <w:t xml:space="preserve"> 月有 </w:t>
      </w:r>
      <w:r>
        <w:t>5</w:t>
      </w:r>
      <w:r>
        <w:rPr>
          <w:spacing w:val="-12"/>
        </w:rPr>
        <w:t xml:space="preserve"> 届毕业生，截至 </w:t>
      </w:r>
      <w:r>
        <w:t>2014</w:t>
      </w:r>
      <w:r>
        <w:rPr>
          <w:spacing w:val="-32"/>
        </w:rPr>
        <w:t xml:space="preserve"> 年 </w:t>
      </w:r>
      <w:r>
        <w:t>10</w:t>
      </w:r>
      <w:r>
        <w:rPr>
          <w:spacing w:val="-17"/>
        </w:rPr>
        <w:t xml:space="preserve"> 月在校生 </w:t>
      </w:r>
      <w:r>
        <w:t>1838</w:t>
      </w:r>
      <w:r>
        <w:rPr>
          <w:spacing w:val="-16"/>
        </w:rPr>
        <w:t xml:space="preserve"> 人。</w:t>
      </w:r>
    </w:p>
    <w:p>
      <w:pPr>
        <w:pStyle w:val="Heading4"/>
      </w:pPr>
      <w:bookmarkStart w:id="10" w:name="_TOC_250014"/>
      <w:r>
        <w:t>（三）</w:t>
      </w:r>
      <w:bookmarkEnd w:id="10"/>
      <w:r>
        <w:rPr>
          <w:spacing w:val="-3"/>
        </w:rPr>
        <w:t>现有基础</w:t>
      </w:r>
    </w:p>
    <w:p>
      <w:pPr>
        <w:pStyle w:val="ListParagraph"/>
        <w:numPr>
          <w:ilvl w:val="0"/>
          <w:numId w:val="12"/>
        </w:numPr>
        <w:tabs>
          <w:tab w:val="left" w:pos="1909"/>
        </w:tabs>
        <w:spacing w:before="158" w:after="0" w:line="240" w:lineRule="auto"/>
        <w:ind w:left="1909" w:right="0" w:hanging="361"/>
        <w:jc w:val="left"/>
        <w:rPr>
          <w:sz w:val="24"/>
        </w:rPr>
      </w:pPr>
      <w:r>
        <w:rPr>
          <w:spacing w:val="-2"/>
          <w:sz w:val="24"/>
        </w:rPr>
        <w:t>专业建设现状</w:t>
      </w:r>
    </w:p>
    <w:p>
      <w:pPr>
        <w:pStyle w:val="BodyText"/>
        <w:spacing w:before="170" w:line="446" w:lineRule="auto"/>
        <w:ind w:left="1068" w:right="887" w:firstLine="480"/>
        <w:jc w:val="both"/>
      </w:pPr>
      <w:r>
        <w:rPr>
          <w:spacing w:val="-6"/>
        </w:rPr>
        <w:t xml:space="preserve">学院目前建有 </w:t>
      </w:r>
      <w:r>
        <w:rPr>
          <w:spacing w:val="-4"/>
        </w:rPr>
        <w:t>2</w:t>
      </w:r>
      <w:r>
        <w:rPr>
          <w:spacing w:val="-8"/>
        </w:rPr>
        <w:t xml:space="preserve"> 个厦门市市级重点专业</w:t>
      </w:r>
      <w:r>
        <w:rPr>
          <w:spacing w:val="-4"/>
        </w:rPr>
        <w:t>（酒店管理和物流管理</w:t>
      </w:r>
      <w:r>
        <w:rPr>
          <w:spacing w:val="-120"/>
        </w:rPr>
        <w:t>）</w:t>
      </w:r>
      <w:r>
        <w:rPr>
          <w:spacing w:val="-4"/>
        </w:rPr>
        <w:t>、7</w:t>
      </w:r>
      <w:r>
        <w:rPr>
          <w:spacing w:val="-8"/>
        </w:rPr>
        <w:t xml:space="preserve"> 个院级重点</w:t>
      </w:r>
      <w:r>
        <w:rPr>
          <w:spacing w:val="-2"/>
        </w:rPr>
        <w:t>专业（酒店管理、物流管理、计算机网络技术、投资与理财、建筑工程技术及国际</w:t>
      </w:r>
      <w:r>
        <w:rPr>
          <w:spacing w:val="-6"/>
        </w:rPr>
        <w:t>商务</w:t>
      </w:r>
      <w:r>
        <w:rPr>
          <w:spacing w:val="-120"/>
        </w:rPr>
        <w:t>）</w:t>
      </w:r>
      <w:r>
        <w:rPr>
          <w:spacing w:val="-9"/>
        </w:rPr>
        <w:t xml:space="preserve">；中央财政支持实训基地建设项目 </w:t>
      </w:r>
      <w:r>
        <w:rPr>
          <w:spacing w:val="-6"/>
        </w:rPr>
        <w:t>1</w:t>
      </w:r>
      <w:r>
        <w:rPr>
          <w:spacing w:val="-11"/>
        </w:rPr>
        <w:t xml:space="preserve"> 个；并建成省级精品课程 </w:t>
      </w:r>
      <w:r>
        <w:rPr>
          <w:spacing w:val="-6"/>
        </w:rPr>
        <w:t>1</w:t>
      </w:r>
      <w:r>
        <w:rPr>
          <w:spacing w:val="-10"/>
        </w:rPr>
        <w:t xml:space="preserve"> 门、校级精品</w:t>
      </w:r>
      <w:r>
        <w:rPr>
          <w:spacing w:val="-14"/>
        </w:rPr>
        <w:t xml:space="preserve">课程 </w:t>
      </w:r>
      <w:r>
        <w:t>10</w:t>
      </w:r>
      <w:r>
        <w:rPr>
          <w:spacing w:val="-10"/>
        </w:rPr>
        <w:t xml:space="preserve"> 门；具有全国优秀教师 </w:t>
      </w:r>
      <w:r>
        <w:t>1</w:t>
      </w:r>
      <w:r>
        <w:rPr>
          <w:spacing w:val="-11"/>
        </w:rPr>
        <w:t xml:space="preserve"> 名、省级教学名师 </w:t>
      </w:r>
      <w:r>
        <w:t>2</w:t>
      </w:r>
      <w:r>
        <w:rPr>
          <w:spacing w:val="-11"/>
        </w:rPr>
        <w:t xml:space="preserve"> 名、市级优秀人才 </w:t>
      </w:r>
      <w:r>
        <w:t>1</w:t>
      </w:r>
      <w:r>
        <w:rPr>
          <w:spacing w:val="-14"/>
        </w:rPr>
        <w:t xml:space="preserve"> 名。</w:t>
      </w:r>
    </w:p>
    <w:p>
      <w:pPr>
        <w:pStyle w:val="BodyText"/>
        <w:spacing w:line="446" w:lineRule="auto"/>
        <w:ind w:left="1068" w:right="857" w:firstLine="480"/>
        <w:jc w:val="both"/>
      </w:pPr>
      <w:r>
        <w:rPr>
          <w:spacing w:val="-8"/>
        </w:rPr>
        <w:t xml:space="preserve">各类教改立项 </w:t>
      </w:r>
      <w:r>
        <w:rPr>
          <w:spacing w:val="-4"/>
        </w:rPr>
        <w:t>27</w:t>
      </w:r>
      <w:r>
        <w:rPr>
          <w:spacing w:val="-12"/>
        </w:rPr>
        <w:t xml:space="preserve"> 项，其中院级 </w:t>
      </w:r>
      <w:r>
        <w:rPr>
          <w:spacing w:val="-4"/>
        </w:rPr>
        <w:t>11</w:t>
      </w:r>
      <w:r>
        <w:rPr>
          <w:spacing w:val="-12"/>
        </w:rPr>
        <w:t xml:space="preserve"> 项，厦门市级 </w:t>
      </w:r>
      <w:r>
        <w:rPr>
          <w:spacing w:val="-4"/>
        </w:rPr>
        <w:t>3</w:t>
      </w:r>
      <w:r>
        <w:rPr>
          <w:spacing w:val="-12"/>
        </w:rPr>
        <w:t xml:space="preserve"> 项，省级 </w:t>
      </w:r>
      <w:r>
        <w:rPr>
          <w:spacing w:val="-4"/>
        </w:rPr>
        <w:t>2</w:t>
      </w:r>
      <w:r>
        <w:rPr>
          <w:spacing w:val="-12"/>
        </w:rPr>
        <w:t xml:space="preserve"> 项;科研立项 </w:t>
      </w:r>
      <w:r>
        <w:rPr>
          <w:spacing w:val="-4"/>
        </w:rPr>
        <w:t>19</w:t>
      </w:r>
      <w:r>
        <w:rPr>
          <w:spacing w:val="-13"/>
        </w:rPr>
        <w:t xml:space="preserve">项，其中部级 </w:t>
      </w:r>
      <w:r>
        <w:rPr>
          <w:spacing w:val="-12"/>
        </w:rPr>
        <w:t>1</w:t>
      </w:r>
      <w:r>
        <w:rPr>
          <w:spacing w:val="-20"/>
        </w:rPr>
        <w:t xml:space="preserve"> 项，省教育厅 </w:t>
      </w:r>
      <w:r>
        <w:rPr>
          <w:spacing w:val="-12"/>
        </w:rPr>
        <w:t>A</w:t>
      </w:r>
      <w:r>
        <w:rPr>
          <w:spacing w:val="-15"/>
        </w:rPr>
        <w:t xml:space="preserve"> 类人文社科研究项目 </w:t>
      </w:r>
      <w:r>
        <w:rPr>
          <w:spacing w:val="-12"/>
        </w:rPr>
        <w:t>7</w:t>
      </w:r>
      <w:r>
        <w:rPr>
          <w:spacing w:val="-14"/>
        </w:rPr>
        <w:t xml:space="preserve"> 项、</w:t>
      </w:r>
      <w:r>
        <w:rPr>
          <w:spacing w:val="-12"/>
        </w:rPr>
        <w:t>B</w:t>
      </w:r>
      <w:r>
        <w:rPr>
          <w:spacing w:val="-15"/>
        </w:rPr>
        <w:t xml:space="preserve"> 类科技研究项目计划 </w:t>
      </w:r>
      <w:r>
        <w:rPr>
          <w:spacing w:val="-12"/>
        </w:rPr>
        <w:t>11</w:t>
      </w:r>
      <w:r>
        <w:rPr>
          <w:spacing w:val="-8"/>
        </w:rPr>
        <w:t>项。2007</w:t>
      </w:r>
      <w:r>
        <w:rPr>
          <w:spacing w:val="-12"/>
        </w:rPr>
        <w:t xml:space="preserve"> 年以来，教师在各种学术刊物上发表教科研论文 </w:t>
      </w:r>
      <w:r>
        <w:rPr>
          <w:spacing w:val="-8"/>
        </w:rPr>
        <w:t>130</w:t>
      </w:r>
      <w:r>
        <w:rPr>
          <w:spacing w:val="-12"/>
        </w:rPr>
        <w:t xml:space="preserve"> 余篇。其中，有 </w:t>
      </w:r>
      <w:r>
        <w:rPr>
          <w:spacing w:val="-8"/>
        </w:rPr>
        <w:t>18</w:t>
      </w:r>
      <w:r>
        <w:rPr>
          <w:spacing w:val="-12"/>
        </w:rPr>
        <w:t xml:space="preserve"> 篇</w:t>
      </w:r>
      <w:r>
        <w:rPr>
          <w:spacing w:val="-4"/>
        </w:rPr>
        <w:t xml:space="preserve">论文被推荐参加《厦门市科协 </w:t>
      </w:r>
      <w:r>
        <w:rPr>
          <w:spacing w:val="-2"/>
        </w:rPr>
        <w:t>2011</w:t>
      </w:r>
      <w:r>
        <w:rPr>
          <w:spacing w:val="-7"/>
        </w:rPr>
        <w:t xml:space="preserve"> 年学术年会》暨《厦门市第一届高校科协年会》</w:t>
      </w:r>
      <w:r>
        <w:rPr>
          <w:spacing w:val="-4"/>
        </w:rPr>
        <w:t xml:space="preserve">交流；有 </w:t>
      </w:r>
      <w:r>
        <w:t>4</w:t>
      </w:r>
      <w:r>
        <w:rPr>
          <w:spacing w:val="-5"/>
        </w:rPr>
        <w:t xml:space="preserve"> 篇学生“精细化”教育与管理工作案例论文获厦门市教育局、厦门市辅</w:t>
      </w:r>
      <w:r>
        <w:rPr>
          <w:spacing w:val="-2"/>
        </w:rPr>
        <w:t>导员协会表彰。学院重视教材建设，积极鼓励教师参与教材的编写工作。至今自编</w:t>
      </w:r>
      <w:r>
        <w:rPr>
          <w:spacing w:val="-4"/>
        </w:rPr>
        <w:t xml:space="preserve">和参编教材 </w:t>
      </w:r>
      <w:r>
        <w:t>15</w:t>
      </w:r>
      <w:r>
        <w:rPr>
          <w:spacing w:val="-5"/>
        </w:rPr>
        <w:t xml:space="preserve"> 部，并已在教学中使用。</w:t>
      </w:r>
    </w:p>
    <w:p>
      <w:pPr>
        <w:spacing w:after="0" w:line="446" w:lineRule="auto"/>
        <w:jc w:val="both"/>
        <w:sectPr>
          <w:footerReference w:type="default" r:id="rId9"/>
          <w:pgSz w:w="11910" w:h="16840"/>
          <w:pgMar w:top="1500" w:right="700" w:bottom="820" w:left="520" w:header="0" w:footer="631"/>
          <w:pgNumType w:start="4"/>
          <w:cols w:space="708"/>
        </w:sectPr>
      </w:pPr>
    </w:p>
    <w:p>
      <w:pPr>
        <w:pStyle w:val="BodyText"/>
        <w:spacing w:before="56" w:line="446" w:lineRule="auto"/>
        <w:ind w:left="1068" w:right="887" w:firstLine="480"/>
        <w:jc w:val="both"/>
      </w:pPr>
      <w:r>
        <w:rPr>
          <w:spacing w:val="-2"/>
        </w:rPr>
        <w:t>建立了一支人员精干、素质优良、结构合理、专兼结合、特色鲜明、相对稳定</w:t>
      </w:r>
      <w:r>
        <w:t>的教师队伍，教师总数（折合）141</w:t>
      </w:r>
      <w:r>
        <w:rPr>
          <w:spacing w:val="-10"/>
        </w:rPr>
        <w:t xml:space="preserve"> 人，生师比 </w:t>
      </w:r>
      <w:r>
        <w:t>14.14：1；青年教师具有硕士以上</w:t>
      </w:r>
      <w:r>
        <w:rPr>
          <w:spacing w:val="-9"/>
        </w:rPr>
        <w:t xml:space="preserve">学位专任教师 </w:t>
      </w:r>
      <w:r>
        <w:rPr>
          <w:spacing w:val="-6"/>
        </w:rPr>
        <w:t>17</w:t>
      </w:r>
      <w:r>
        <w:rPr>
          <w:spacing w:val="-11"/>
        </w:rPr>
        <w:t xml:space="preserve"> 人，占专任青年教师的比例为 </w:t>
      </w:r>
      <w:r>
        <w:rPr>
          <w:spacing w:val="-6"/>
        </w:rPr>
        <w:t>21.25%；聘请了一批行业、企业一线</w:t>
      </w:r>
      <w:r>
        <w:rPr>
          <w:spacing w:val="-2"/>
        </w:rPr>
        <w:t>的专业人才和能工巧匠，加强实践教学。2014 年引进了空中乘务、投资与理财、建</w:t>
      </w:r>
      <w:r>
        <w:rPr>
          <w:spacing w:val="-1"/>
        </w:rPr>
        <w:t xml:space="preserve">筑工程技术、食品化工专业的四位实践经验丰富的专业带头人，校内遴选出了 </w:t>
      </w:r>
      <w:r>
        <w:t>6</w:t>
      </w:r>
      <w:r>
        <w:rPr>
          <w:spacing w:val="-15"/>
        </w:rPr>
        <w:t xml:space="preserve"> 位</w:t>
      </w:r>
      <w:r>
        <w:rPr>
          <w:spacing w:val="-3"/>
        </w:rPr>
        <w:t xml:space="preserve">专业带头人和 </w:t>
      </w:r>
      <w:r>
        <w:t>5</w:t>
      </w:r>
      <w:r>
        <w:rPr>
          <w:spacing w:val="-5"/>
        </w:rPr>
        <w:t xml:space="preserve"> 位专业负责人。</w:t>
      </w:r>
    </w:p>
    <w:p>
      <w:pPr>
        <w:pStyle w:val="ListParagraph"/>
        <w:numPr>
          <w:ilvl w:val="0"/>
          <w:numId w:val="12"/>
        </w:numPr>
        <w:tabs>
          <w:tab w:val="left" w:pos="1909"/>
        </w:tabs>
        <w:spacing w:before="39" w:after="0" w:line="240" w:lineRule="auto"/>
        <w:ind w:left="1909" w:right="0" w:hanging="361"/>
        <w:jc w:val="left"/>
        <w:rPr>
          <w:sz w:val="24"/>
        </w:rPr>
      </w:pPr>
      <w:r>
        <w:rPr>
          <w:sz w:val="24"/>
        </w:rPr>
        <w:t>校内实训基地（室）</w:t>
      </w:r>
      <w:r>
        <w:rPr>
          <w:spacing w:val="-5"/>
          <w:sz w:val="24"/>
        </w:rPr>
        <w:t>现状</w:t>
      </w:r>
    </w:p>
    <w:p>
      <w:pPr>
        <w:pStyle w:val="BodyText"/>
        <w:spacing w:before="170" w:line="446" w:lineRule="auto"/>
        <w:ind w:left="1068" w:right="887" w:firstLine="480"/>
        <w:jc w:val="both"/>
      </w:pPr>
      <w:r>
        <w:rPr>
          <w:spacing w:val="-8"/>
        </w:rPr>
        <w:t xml:space="preserve">学院现有 </w:t>
      </w:r>
      <w:r>
        <w:rPr>
          <w:spacing w:val="-2"/>
        </w:rPr>
        <w:t>36</w:t>
      </w:r>
      <w:r>
        <w:rPr>
          <w:spacing w:val="-9"/>
        </w:rPr>
        <w:t xml:space="preserve"> 个校内实验、实训场所，涵盖 </w:t>
      </w:r>
      <w:r>
        <w:rPr>
          <w:spacing w:val="-2"/>
        </w:rPr>
        <w:t>24</w:t>
      </w:r>
      <w:r>
        <w:rPr>
          <w:spacing w:val="-7"/>
        </w:rPr>
        <w:t xml:space="preserve"> 个专业。校内实验、实习、实训</w:t>
      </w:r>
      <w:r>
        <w:rPr>
          <w:spacing w:val="-34"/>
        </w:rPr>
        <w:t>场所</w:t>
      </w:r>
      <w:r>
        <w:rPr>
          <w:spacing w:val="-2"/>
        </w:rPr>
        <w:t>（含合作共建</w:t>
      </w:r>
      <w:r>
        <w:rPr>
          <w:spacing w:val="-66"/>
        </w:rPr>
        <w:t>）</w:t>
      </w:r>
      <w:r>
        <w:rPr>
          <w:spacing w:val="-5"/>
        </w:rPr>
        <w:t xml:space="preserve">及附属用房面积为 </w:t>
      </w:r>
      <w:r>
        <w:rPr>
          <w:spacing w:val="-2"/>
        </w:rPr>
        <w:t>12029</w:t>
      </w:r>
      <w:r>
        <w:rPr>
          <w:spacing w:val="-22"/>
        </w:rPr>
        <w:t xml:space="preserve"> 平方米，生均实验、实习、实训场所</w:t>
      </w:r>
      <w:r>
        <w:rPr>
          <w:spacing w:val="-2"/>
        </w:rPr>
        <w:t>（</w:t>
      </w:r>
      <w:r>
        <w:rPr>
          <w:spacing w:val="-2"/>
        </w:rPr>
        <w:t>含合作共建）</w:t>
      </w:r>
      <w:r>
        <w:rPr>
          <w:spacing w:val="-5"/>
        </w:rPr>
        <w:t xml:space="preserve">及附属用房面积为 </w:t>
      </w:r>
      <w:r>
        <w:rPr>
          <w:spacing w:val="-2"/>
        </w:rPr>
        <w:t>6.54</w:t>
      </w:r>
      <w:r>
        <w:rPr>
          <w:spacing w:val="-9"/>
        </w:rPr>
        <w:t xml:space="preserve"> 平方米。教学科研仪器设备总值 </w:t>
      </w:r>
      <w:r>
        <w:rPr>
          <w:spacing w:val="-2"/>
        </w:rPr>
        <w:t>1371</w:t>
      </w:r>
      <w:r>
        <w:rPr>
          <w:spacing w:val="-8"/>
        </w:rPr>
        <w:t xml:space="preserve"> 万元，生</w:t>
      </w:r>
      <w:r>
        <w:rPr>
          <w:spacing w:val="-2"/>
        </w:rPr>
        <w:t xml:space="preserve">均教学仪器设备总值为 </w:t>
      </w:r>
      <w:r>
        <w:t>7459</w:t>
      </w:r>
      <w:r>
        <w:rPr>
          <w:spacing w:val="-8"/>
        </w:rPr>
        <w:t xml:space="preserve"> 元。</w:t>
      </w:r>
    </w:p>
    <w:p>
      <w:pPr>
        <w:pStyle w:val="BodyText"/>
        <w:spacing w:line="446" w:lineRule="auto"/>
        <w:ind w:left="1068" w:right="887" w:firstLine="480"/>
        <w:jc w:val="both"/>
      </w:pPr>
      <w:r>
        <w:rPr>
          <w:spacing w:val="-1"/>
        </w:rPr>
        <w:t xml:space="preserve">学院原有艺术设计、计算机应用、电工、计算机网络和计算机组装等 </w:t>
      </w:r>
      <w:r>
        <w:t>8</w:t>
      </w:r>
      <w:r>
        <w:rPr>
          <w:spacing w:val="-8"/>
        </w:rPr>
        <w:t xml:space="preserve"> 个实验</w:t>
      </w:r>
      <w:r>
        <w:rPr>
          <w:spacing w:val="-2"/>
        </w:rPr>
        <w:t>室。2012 年我院计算机应用与软件技术专业获得“中央财政支持的实训基地建设项</w:t>
      </w:r>
      <w:r>
        <w:rPr>
          <w:spacing w:val="-20"/>
        </w:rPr>
        <w:t xml:space="preserve">目”，共投入资金 </w:t>
      </w:r>
      <w:r>
        <w:rPr>
          <w:spacing w:val="-4"/>
        </w:rPr>
        <w:t>400</w:t>
      </w:r>
      <w:r>
        <w:rPr>
          <w:spacing w:val="-8"/>
        </w:rPr>
        <w:t xml:space="preserve"> 万元，建成了综合布线、网络技术、软件工程、金融实务、单</w:t>
      </w:r>
      <w:r>
        <w:rPr>
          <w:spacing w:val="-7"/>
        </w:rPr>
        <w:t xml:space="preserve">片机与 </w:t>
      </w:r>
      <w:r>
        <w:rPr>
          <w:spacing w:val="-4"/>
        </w:rPr>
        <w:t>PLC</w:t>
      </w:r>
      <w:r>
        <w:rPr>
          <w:spacing w:val="-5"/>
        </w:rPr>
        <w:t xml:space="preserve">、计算机控制、电子基础技能、数字媒体室、计算机应用、企业沙盘 </w:t>
      </w:r>
      <w:r>
        <w:rPr>
          <w:spacing w:val="-4"/>
        </w:rPr>
        <w:t>ER</w:t>
      </w:r>
      <w:r>
        <w:rPr>
          <w:spacing w:val="-4"/>
        </w:rPr>
        <w:t>P</w:t>
      </w:r>
      <w:r>
        <w:rPr>
          <w:spacing w:val="-7"/>
        </w:rPr>
        <w:t xml:space="preserve">和艺术设计等 </w:t>
      </w:r>
      <w:r>
        <w:rPr>
          <w:spacing w:val="-4"/>
        </w:rPr>
        <w:t>13</w:t>
      </w:r>
      <w:r>
        <w:rPr>
          <w:spacing w:val="-8"/>
        </w:rPr>
        <w:t xml:space="preserve"> 间实训室。依托中央财政支持的实训基地建设项目，学院为教室配</w:t>
      </w:r>
      <w:r>
        <w:rPr>
          <w:spacing w:val="-11"/>
        </w:rPr>
        <w:t xml:space="preserve">备 </w:t>
      </w:r>
      <w:r>
        <w:t>58</w:t>
      </w:r>
      <w:r>
        <w:rPr>
          <w:spacing w:val="-5"/>
        </w:rPr>
        <w:t xml:space="preserve"> 套多媒体设备，学院办公配备校务办公系统，全面实行信息化校园管理。</w:t>
      </w:r>
    </w:p>
    <w:p>
      <w:pPr>
        <w:pStyle w:val="BodyText"/>
        <w:spacing w:line="446" w:lineRule="auto"/>
        <w:ind w:left="1068" w:right="767" w:firstLine="480"/>
      </w:pPr>
      <w:r>
        <w:rPr>
          <w:spacing w:val="1"/>
        </w:rPr>
        <w:t>泉舜集团获得我院的举办权后加大了学院校内实践基地投入，把集团的厦门纸</w:t>
      </w:r>
      <w:r>
        <w:rPr>
          <w:spacing w:val="-2"/>
        </w:rPr>
        <w:t>塑容器有限公司纳为我院的校办工场，大大改善了我院多个专业的实践、实训条件。</w:t>
      </w:r>
    </w:p>
    <w:p>
      <w:pPr>
        <w:pStyle w:val="BodyText"/>
        <w:spacing w:line="446" w:lineRule="auto"/>
        <w:ind w:left="1068" w:right="887" w:firstLine="480"/>
        <w:jc w:val="both"/>
      </w:pPr>
      <w:r>
        <w:rPr>
          <w:spacing w:val="-8"/>
        </w:rPr>
        <w:t>2014</w:t>
      </w:r>
      <w:r>
        <w:rPr>
          <w:spacing w:val="-13"/>
        </w:rPr>
        <w:t xml:space="preserve"> 年度学院投入资金近 </w:t>
      </w:r>
      <w:r>
        <w:rPr>
          <w:spacing w:val="-8"/>
        </w:rPr>
        <w:t>30</w:t>
      </w:r>
      <w:r>
        <w:rPr>
          <w:spacing w:val="-13"/>
        </w:rPr>
        <w:t xml:space="preserve"> 万元，建设了会计和物流管理 </w:t>
      </w:r>
      <w:r>
        <w:rPr>
          <w:spacing w:val="-8"/>
        </w:rPr>
        <w:t>2</w:t>
      </w:r>
      <w:r>
        <w:rPr>
          <w:spacing w:val="-12"/>
        </w:rPr>
        <w:t xml:space="preserve"> 个专业实训室；与</w:t>
      </w:r>
      <w:r>
        <w:rPr>
          <w:spacing w:val="-2"/>
        </w:rPr>
        <w:t xml:space="preserve">用友新道科技有限公司合作，投入约 </w:t>
      </w:r>
      <w:r>
        <w:t>200</w:t>
      </w:r>
      <w:r>
        <w:rPr>
          <w:spacing w:val="-6"/>
        </w:rPr>
        <w:t xml:space="preserve"> 万元建设“管理软件应用工程”专业实践</w:t>
      </w:r>
      <w:r>
        <w:rPr>
          <w:spacing w:val="-4"/>
        </w:rPr>
        <w:t>教学基地，该实训基地包括沙盘实验室、新道人才培养实验室资源库、ERP</w:t>
      </w:r>
      <w:r>
        <w:rPr>
          <w:spacing w:val="-9"/>
        </w:rPr>
        <w:t xml:space="preserve"> 实验室和</w:t>
      </w:r>
      <w:r>
        <w:rPr>
          <w:spacing w:val="-2"/>
        </w:rPr>
        <w:t>虚拟商业社会环境仿真等实训室，项目分三期建设，第一期已经完成了“新道先天</w:t>
      </w:r>
      <w:r>
        <w:t>特质沙盘”和“会计信息化教考系统（U8.72）60</w:t>
      </w:r>
      <w:r>
        <w:rPr>
          <w:spacing w:val="-9"/>
        </w:rPr>
        <w:t xml:space="preserve"> 许可”实训室的建设 ，目前已经</w:t>
      </w:r>
      <w:r>
        <w:rPr>
          <w:spacing w:val="-2"/>
        </w:rPr>
        <w:t>投入使用。</w:t>
      </w:r>
    </w:p>
    <w:p>
      <w:pPr>
        <w:spacing w:after="0" w:line="446" w:lineRule="auto"/>
        <w:jc w:val="both"/>
        <w:sectPr>
          <w:footerReference w:type="default" r:id="rId10"/>
          <w:pgSz w:w="11910" w:h="16840"/>
          <w:pgMar w:top="1500" w:right="700" w:bottom="820" w:left="520" w:header="0" w:footer="631"/>
          <w:pgNumType w:start="5"/>
          <w:cols w:space="708"/>
        </w:sectPr>
      </w:pPr>
    </w:p>
    <w:p>
      <w:pPr>
        <w:pStyle w:val="ListParagraph"/>
        <w:numPr>
          <w:ilvl w:val="0"/>
          <w:numId w:val="12"/>
        </w:numPr>
        <w:tabs>
          <w:tab w:val="left" w:pos="1909"/>
        </w:tabs>
        <w:spacing w:before="38" w:after="0" w:line="240" w:lineRule="auto"/>
        <w:ind w:left="1909" w:right="0" w:hanging="361"/>
        <w:jc w:val="left"/>
        <w:rPr>
          <w:sz w:val="24"/>
        </w:rPr>
      </w:pPr>
      <w:r>
        <w:rPr>
          <w:spacing w:val="-2"/>
          <w:sz w:val="24"/>
        </w:rPr>
        <w:t>校外实训基地现状</w:t>
      </w:r>
    </w:p>
    <w:p>
      <w:pPr>
        <w:pStyle w:val="BodyText"/>
        <w:spacing w:before="170" w:line="446" w:lineRule="auto"/>
        <w:ind w:left="1068" w:right="797" w:firstLine="480"/>
        <w:jc w:val="both"/>
      </w:pPr>
      <w:r>
        <w:rPr>
          <w:spacing w:val="-8"/>
        </w:rPr>
        <w:t xml:space="preserve">建立了校外实习实训基地 </w:t>
      </w:r>
      <w:r>
        <w:rPr>
          <w:spacing w:val="-6"/>
        </w:rPr>
        <w:t>60</w:t>
      </w:r>
      <w:r>
        <w:rPr>
          <w:spacing w:val="-12"/>
        </w:rPr>
        <w:t xml:space="preserve"> 个</w:t>
      </w:r>
      <w:r>
        <w:rPr>
          <w:spacing w:val="-6"/>
        </w:rPr>
        <w:t>，2013-2014</w:t>
      </w:r>
      <w:r>
        <w:rPr>
          <w:spacing w:val="-10"/>
        </w:rPr>
        <w:t xml:space="preserve"> 学年接待学生实训实习 </w:t>
      </w:r>
      <w:r>
        <w:rPr>
          <w:spacing w:val="-6"/>
        </w:rPr>
        <w:t>2982</w:t>
      </w:r>
      <w:r>
        <w:rPr>
          <w:spacing w:val="-9"/>
        </w:rPr>
        <w:t xml:space="preserve"> 人次。</w:t>
      </w:r>
      <w:r>
        <w:rPr>
          <w:spacing w:val="-2"/>
        </w:rPr>
        <w:t>这些实习实训基地基本能够满足学院主要专业的校外实习实训。</w:t>
      </w:r>
    </w:p>
    <w:p>
      <w:pPr>
        <w:pStyle w:val="BodyText"/>
        <w:spacing w:line="446" w:lineRule="auto"/>
        <w:ind w:left="1068" w:right="887" w:firstLine="480"/>
        <w:jc w:val="both"/>
      </w:pPr>
      <w:r>
        <w:rPr>
          <w:spacing w:val="-15"/>
        </w:rPr>
        <w:t xml:space="preserve">至 </w:t>
      </w:r>
      <w:r>
        <w:rPr>
          <w:spacing w:val="-6"/>
        </w:rPr>
        <w:t>2014</w:t>
      </w:r>
      <w:r>
        <w:rPr>
          <w:spacing w:val="-18"/>
        </w:rPr>
        <w:t xml:space="preserve"> 年 </w:t>
      </w:r>
      <w:r>
        <w:rPr>
          <w:spacing w:val="-6"/>
        </w:rPr>
        <w:t>6</w:t>
      </w:r>
      <w:r>
        <w:rPr>
          <w:spacing w:val="-10"/>
        </w:rPr>
        <w:t xml:space="preserve"> 月底，学院共与北京通用航空产业基地投资控股有限公司、北京泽</w:t>
      </w:r>
      <w:r>
        <w:rPr>
          <w:spacing w:val="-2"/>
        </w:rPr>
        <w:t>仁恒通科技有限公司、用友新道科技有限公司、泉舜集团（厦门）房地产股份有限</w:t>
      </w:r>
      <w:r>
        <w:rPr>
          <w:spacing w:val="-6"/>
        </w:rPr>
        <w:t xml:space="preserve">公司等 </w:t>
      </w:r>
      <w:r>
        <w:t>60</w:t>
      </w:r>
      <w:r>
        <w:rPr>
          <w:spacing w:val="-5"/>
        </w:rPr>
        <w:t xml:space="preserve"> 家著名企业签订了合作协议，实施了校企紧密型合作。</w:t>
      </w:r>
    </w:p>
    <w:p>
      <w:pPr>
        <w:pStyle w:val="BodyText"/>
        <w:spacing w:line="446" w:lineRule="auto"/>
        <w:ind w:left="1068" w:right="887" w:firstLine="480"/>
        <w:jc w:val="both"/>
      </w:pPr>
      <w:r>
        <w:rPr>
          <w:spacing w:val="-5"/>
        </w:rPr>
        <w:t xml:space="preserve">此外，学院建立了厦门东海职业技术学院职业技能鉴定站，可开展 </w:t>
      </w:r>
      <w:r>
        <w:rPr>
          <w:spacing w:val="-4"/>
        </w:rPr>
        <w:t>18</w:t>
      </w:r>
      <w:r>
        <w:rPr>
          <w:spacing w:val="-9"/>
        </w:rPr>
        <w:t xml:space="preserve"> 个工种鉴</w:t>
      </w:r>
      <w:r>
        <w:rPr>
          <w:spacing w:val="-2"/>
        </w:rPr>
        <w:t xml:space="preserve">定或职业资格考试。目前学院鉴定站对社会开展技能鉴定达 </w:t>
      </w:r>
      <w:r>
        <w:t>787</w:t>
      </w:r>
      <w:r>
        <w:rPr>
          <w:spacing w:val="-6"/>
        </w:rPr>
        <w:t xml:space="preserve"> 人次，面向在校生</w:t>
      </w:r>
      <w:r>
        <w:rPr>
          <w:spacing w:val="-8"/>
        </w:rPr>
        <w:t xml:space="preserve">的达 </w:t>
      </w:r>
      <w:r>
        <w:t>753</w:t>
      </w:r>
      <w:r>
        <w:rPr>
          <w:spacing w:val="-6"/>
        </w:rPr>
        <w:t xml:space="preserve"> 人次。</w:t>
      </w:r>
    </w:p>
    <w:p>
      <w:pPr>
        <w:pStyle w:val="Heading4"/>
      </w:pPr>
      <w:bookmarkStart w:id="11" w:name="_TOC_250013"/>
      <w:r>
        <w:t>（四）</w:t>
      </w:r>
      <w:bookmarkEnd w:id="11"/>
      <w:r>
        <w:rPr>
          <w:spacing w:val="-2"/>
        </w:rPr>
        <w:t>问题与差距</w:t>
      </w:r>
    </w:p>
    <w:p>
      <w:pPr>
        <w:pStyle w:val="ListParagraph"/>
        <w:numPr>
          <w:ilvl w:val="0"/>
          <w:numId w:val="11"/>
        </w:numPr>
        <w:tabs>
          <w:tab w:val="left" w:pos="1908"/>
        </w:tabs>
        <w:spacing w:before="156" w:after="0" w:line="240" w:lineRule="auto"/>
        <w:ind w:left="1908" w:right="0" w:hanging="360"/>
        <w:jc w:val="left"/>
        <w:rPr>
          <w:sz w:val="24"/>
        </w:rPr>
      </w:pPr>
      <w:r>
        <w:rPr>
          <w:spacing w:val="-2"/>
          <w:sz w:val="24"/>
        </w:rPr>
        <w:t>教学基础设施</w:t>
      </w:r>
    </w:p>
    <w:p>
      <w:pPr>
        <w:pStyle w:val="BodyText"/>
        <w:spacing w:before="170" w:line="446" w:lineRule="auto"/>
        <w:ind w:left="1068" w:right="886" w:firstLine="480"/>
      </w:pPr>
      <w:r>
        <w:rPr>
          <w:spacing w:val="-2"/>
        </w:rPr>
        <w:t>近几年来，学院在教学基础设施及实验实训基地建设方面做了大量工作，但随</w:t>
      </w:r>
      <w:r>
        <w:rPr>
          <w:spacing w:val="-2"/>
        </w:rPr>
        <w:t>着办学规模的逐步增大，学院综合办学条件需进一步配套和完善。</w:t>
      </w:r>
    </w:p>
    <w:p>
      <w:pPr>
        <w:pStyle w:val="ListParagraph"/>
        <w:numPr>
          <w:ilvl w:val="0"/>
          <w:numId w:val="11"/>
        </w:numPr>
        <w:tabs>
          <w:tab w:val="left" w:pos="1908"/>
        </w:tabs>
        <w:spacing w:before="41" w:after="0" w:line="240" w:lineRule="auto"/>
        <w:ind w:left="1908" w:right="0" w:hanging="360"/>
        <w:jc w:val="left"/>
        <w:rPr>
          <w:sz w:val="24"/>
        </w:rPr>
      </w:pPr>
      <w:r>
        <w:rPr>
          <w:spacing w:val="-2"/>
          <w:sz w:val="24"/>
        </w:rPr>
        <w:t>师资队伍的结构</w:t>
      </w:r>
    </w:p>
    <w:p>
      <w:pPr>
        <w:pStyle w:val="BodyText"/>
        <w:spacing w:before="171" w:line="446" w:lineRule="auto"/>
        <w:ind w:left="1068" w:right="886" w:firstLine="480"/>
        <w:jc w:val="both"/>
      </w:pPr>
      <w:r>
        <w:rPr>
          <w:spacing w:val="-2"/>
        </w:rPr>
        <w:t>由于学校发展周期比较短，年轻教师的比例明显偏高，年富力强的中年教师比</w:t>
      </w:r>
      <w:r>
        <w:rPr>
          <w:spacing w:val="-2"/>
        </w:rPr>
        <w:t>例偏小；专任教师中双师素质教师比例不高；真正具有技能的专家和能工巧匠型教</w:t>
      </w:r>
      <w:r>
        <w:rPr>
          <w:spacing w:val="-2"/>
        </w:rPr>
        <w:t>师还比较缺乏。这些因素将会影响学院人才培养水平的提高。</w:t>
      </w:r>
    </w:p>
    <w:p>
      <w:pPr>
        <w:pStyle w:val="ListParagraph"/>
        <w:numPr>
          <w:ilvl w:val="0"/>
          <w:numId w:val="11"/>
        </w:numPr>
        <w:tabs>
          <w:tab w:val="left" w:pos="1908"/>
        </w:tabs>
        <w:spacing w:before="40" w:after="0" w:line="240" w:lineRule="auto"/>
        <w:ind w:left="1908" w:right="0" w:hanging="360"/>
        <w:jc w:val="both"/>
        <w:rPr>
          <w:sz w:val="24"/>
        </w:rPr>
      </w:pPr>
      <w:r>
        <w:rPr>
          <w:spacing w:val="-2"/>
          <w:sz w:val="24"/>
        </w:rPr>
        <w:t>社会服务能力</w:t>
      </w:r>
    </w:p>
    <w:p>
      <w:pPr>
        <w:pStyle w:val="BodyText"/>
        <w:spacing w:before="171" w:line="446" w:lineRule="auto"/>
        <w:ind w:left="1068" w:right="887" w:firstLine="480"/>
        <w:jc w:val="both"/>
      </w:pPr>
      <w:r>
        <w:rPr>
          <w:spacing w:val="-2"/>
        </w:rPr>
        <w:t>目前学院承担的项目多为纵向课题，来自行业企业的横向课题偏少，到款额度</w:t>
      </w:r>
      <w:r>
        <w:rPr>
          <w:spacing w:val="-2"/>
        </w:rPr>
        <w:t xml:space="preserve">较低，国家专利尚为空白；开展社会培训、职业资格鉴定人数少。数据平台显示， </w:t>
      </w:r>
      <w:r>
        <w:rPr>
          <w:spacing w:val="-4"/>
        </w:rPr>
        <w:t>2013-2014</w:t>
      </w:r>
      <w:r>
        <w:rPr>
          <w:spacing w:val="-11"/>
        </w:rPr>
        <w:t xml:space="preserve"> 学年学院开展社会培训 </w:t>
      </w:r>
      <w:r>
        <w:rPr>
          <w:spacing w:val="-4"/>
        </w:rPr>
        <w:t>7020</w:t>
      </w:r>
      <w:r>
        <w:rPr>
          <w:spacing w:val="-11"/>
        </w:rPr>
        <w:t xml:space="preserve"> 人次，开展社会职业资格鉴定 </w:t>
      </w:r>
      <w:r>
        <w:rPr>
          <w:spacing w:val="-4"/>
        </w:rPr>
        <w:t>787</w:t>
      </w:r>
      <w:r>
        <w:rPr>
          <w:spacing w:val="-9"/>
        </w:rPr>
        <w:t xml:space="preserve"> 人次。社</w:t>
      </w:r>
      <w:r>
        <w:rPr>
          <w:spacing w:val="-2"/>
        </w:rPr>
        <w:t>会培训特别是鉴定人数偏少。</w:t>
      </w:r>
    </w:p>
    <w:p>
      <w:pPr>
        <w:spacing w:after="0" w:line="446" w:lineRule="auto"/>
        <w:jc w:val="both"/>
        <w:sectPr>
          <w:footerReference w:type="default" r:id="rId11"/>
          <w:pgSz w:w="11910" w:h="16840"/>
          <w:pgMar w:top="1560" w:right="700" w:bottom="820" w:left="520" w:header="0" w:footer="631"/>
          <w:pgNumType w:start="6"/>
          <w:cols w:space="708"/>
        </w:sectPr>
      </w:pPr>
    </w:p>
    <w:p>
      <w:pPr>
        <w:pStyle w:val="Heading2"/>
        <w:spacing w:line="491" w:lineRule="exact"/>
      </w:pPr>
      <w:bookmarkStart w:id="12" w:name="_TOC_250012"/>
      <w:bookmarkEnd w:id="12"/>
      <w:r>
        <w:rPr>
          <w:spacing w:val="-2"/>
        </w:rPr>
        <w:t>四、建设举措</w:t>
      </w:r>
    </w:p>
    <w:p>
      <w:pPr>
        <w:pStyle w:val="Heading4"/>
        <w:spacing w:before="48" w:line="240" w:lineRule="auto"/>
      </w:pPr>
      <w:bookmarkStart w:id="13" w:name="_TOC_250011"/>
      <w:r>
        <w:t>（一）</w:t>
      </w:r>
      <w:bookmarkEnd w:id="13"/>
      <w:r>
        <w:rPr>
          <w:spacing w:val="-1"/>
        </w:rPr>
        <w:t>专业设置更加适应经济社会需求</w:t>
      </w:r>
    </w:p>
    <w:p>
      <w:pPr>
        <w:pStyle w:val="ListParagraph"/>
        <w:numPr>
          <w:ilvl w:val="0"/>
          <w:numId w:val="10"/>
        </w:numPr>
        <w:tabs>
          <w:tab w:val="left" w:pos="1909"/>
        </w:tabs>
        <w:spacing w:before="158" w:after="0" w:line="240" w:lineRule="auto"/>
        <w:ind w:left="1909" w:right="0" w:hanging="361"/>
        <w:jc w:val="left"/>
        <w:rPr>
          <w:i/>
          <w:sz w:val="24"/>
        </w:rPr>
      </w:pPr>
      <w:r>
        <w:rPr>
          <w:i/>
          <w:spacing w:val="-1"/>
          <w:sz w:val="24"/>
        </w:rPr>
        <w:t>调整、优化专业结构布局</w:t>
      </w:r>
    </w:p>
    <w:p>
      <w:pPr>
        <w:spacing w:before="170" w:line="446" w:lineRule="auto"/>
        <w:ind w:left="1068" w:right="887" w:firstLine="480"/>
        <w:jc w:val="both"/>
        <w:rPr>
          <w:i/>
          <w:sz w:val="24"/>
        </w:rPr>
      </w:pPr>
      <w:r>
        <w:rPr>
          <w:i/>
          <w:spacing w:val="-2"/>
          <w:sz w:val="24"/>
        </w:rPr>
        <w:t>学院坚持以市场需求为导向，建立健全专业随产业发展动态调整的机制，科学</w:t>
      </w:r>
      <w:r>
        <w:rPr>
          <w:i/>
          <w:spacing w:val="-2"/>
          <w:sz w:val="24"/>
        </w:rPr>
        <w:t>预测，未雨绸缪，适时、超前地调整优化专业结构，加大专业改造的力度</w:t>
      </w:r>
      <w:r>
        <w:rPr>
          <w:spacing w:val="-2"/>
          <w:sz w:val="24"/>
        </w:rPr>
        <w:t>,</w:t>
      </w:r>
      <w:r>
        <w:rPr>
          <w:i/>
          <w:spacing w:val="-2"/>
          <w:sz w:val="24"/>
        </w:rPr>
        <w:t>拓展专业</w:t>
      </w:r>
      <w:r>
        <w:rPr>
          <w:i/>
          <w:sz w:val="24"/>
        </w:rPr>
        <w:t>方向</w:t>
      </w:r>
      <w:r>
        <w:rPr>
          <w:sz w:val="24"/>
        </w:rPr>
        <w:t>,</w:t>
      </w:r>
      <w:r>
        <w:rPr>
          <w:i/>
          <w:sz w:val="24"/>
        </w:rPr>
        <w:t>拓宽专业面</w:t>
      </w:r>
      <w:r>
        <w:rPr>
          <w:sz w:val="24"/>
        </w:rPr>
        <w:t>,</w:t>
      </w:r>
      <w:r>
        <w:rPr>
          <w:i/>
          <w:spacing w:val="-2"/>
          <w:sz w:val="24"/>
        </w:rPr>
        <w:t xml:space="preserve">向宽口径的专业办学模式发展，每年申报 </w:t>
      </w:r>
      <w:r>
        <w:rPr>
          <w:sz w:val="24"/>
        </w:rPr>
        <w:t>2~3</w:t>
      </w:r>
      <w:r>
        <w:rPr>
          <w:spacing w:val="-30"/>
          <w:sz w:val="24"/>
        </w:rPr>
        <w:t xml:space="preserve"> </w:t>
      </w:r>
      <w:r>
        <w:rPr>
          <w:i/>
          <w:sz w:val="24"/>
        </w:rPr>
        <w:t>个新专业，重点是</w:t>
      </w:r>
      <w:r>
        <w:rPr>
          <w:i/>
          <w:spacing w:val="-2"/>
          <w:sz w:val="24"/>
        </w:rPr>
        <w:t>建设好现有专业。积极培育新的专业增长点，凝炼专业特色</w:t>
      </w:r>
      <w:r>
        <w:rPr>
          <w:spacing w:val="-2"/>
          <w:sz w:val="24"/>
        </w:rPr>
        <w:t>,</w:t>
      </w:r>
      <w:r>
        <w:rPr>
          <w:i/>
          <w:spacing w:val="-2"/>
          <w:sz w:val="24"/>
        </w:rPr>
        <w:t>提升办学能力和办学水</w:t>
      </w:r>
      <w:r>
        <w:rPr>
          <w:i/>
          <w:spacing w:val="-11"/>
          <w:sz w:val="24"/>
        </w:rPr>
        <w:t xml:space="preserve">平。到 </w:t>
      </w:r>
      <w:r>
        <w:rPr>
          <w:spacing w:val="-8"/>
          <w:sz w:val="24"/>
        </w:rPr>
        <w:t>2020</w:t>
      </w:r>
      <w:r>
        <w:rPr>
          <w:spacing w:val="-19"/>
          <w:sz w:val="24"/>
        </w:rPr>
        <w:t xml:space="preserve"> </w:t>
      </w:r>
      <w:r>
        <w:rPr>
          <w:i/>
          <w:spacing w:val="-9"/>
          <w:sz w:val="24"/>
        </w:rPr>
        <w:t xml:space="preserve">年，高职专业数由现在实际招生的 </w:t>
      </w:r>
      <w:r>
        <w:rPr>
          <w:spacing w:val="-8"/>
          <w:sz w:val="24"/>
        </w:rPr>
        <w:t>24</w:t>
      </w:r>
      <w:r>
        <w:rPr>
          <w:spacing w:val="-19"/>
          <w:sz w:val="24"/>
        </w:rPr>
        <w:t xml:space="preserve"> </w:t>
      </w:r>
      <w:r>
        <w:rPr>
          <w:i/>
          <w:spacing w:val="-11"/>
          <w:sz w:val="24"/>
        </w:rPr>
        <w:t xml:space="preserve">个增加到 </w:t>
      </w:r>
      <w:r>
        <w:rPr>
          <w:spacing w:val="-8"/>
          <w:sz w:val="24"/>
        </w:rPr>
        <w:t>42</w:t>
      </w:r>
      <w:r>
        <w:rPr>
          <w:spacing w:val="-19"/>
          <w:sz w:val="24"/>
        </w:rPr>
        <w:t xml:space="preserve"> </w:t>
      </w:r>
      <w:r>
        <w:rPr>
          <w:i/>
          <w:spacing w:val="-8"/>
          <w:sz w:val="24"/>
        </w:rPr>
        <w:t>个左右，全日制高职</w:t>
      </w:r>
      <w:r>
        <w:rPr>
          <w:i/>
          <w:spacing w:val="-3"/>
          <w:sz w:val="24"/>
        </w:rPr>
        <w:t xml:space="preserve">在校生人数控制在 </w:t>
      </w:r>
      <w:r>
        <w:rPr>
          <w:sz w:val="24"/>
        </w:rPr>
        <w:t>8750</w:t>
      </w:r>
      <w:r>
        <w:rPr>
          <w:spacing w:val="-21"/>
          <w:sz w:val="24"/>
        </w:rPr>
        <w:t xml:space="preserve"> </w:t>
      </w:r>
      <w:r>
        <w:rPr>
          <w:i/>
          <w:sz w:val="24"/>
        </w:rPr>
        <w:t>人左右。</w:t>
      </w:r>
    </w:p>
    <w:p>
      <w:pPr>
        <w:pStyle w:val="ListParagraph"/>
        <w:numPr>
          <w:ilvl w:val="0"/>
          <w:numId w:val="10"/>
        </w:numPr>
        <w:tabs>
          <w:tab w:val="left" w:pos="1909"/>
        </w:tabs>
        <w:spacing w:before="40" w:after="0" w:line="240" w:lineRule="auto"/>
        <w:ind w:left="1909" w:right="0" w:hanging="361"/>
        <w:jc w:val="left"/>
        <w:rPr>
          <w:i/>
          <w:sz w:val="24"/>
        </w:rPr>
      </w:pPr>
      <w:r>
        <w:rPr>
          <w:i/>
          <w:spacing w:val="-1"/>
          <w:sz w:val="24"/>
        </w:rPr>
        <w:t>紧跟产业结构调整，拓展新增专业</w:t>
      </w:r>
    </w:p>
    <w:p>
      <w:pPr>
        <w:spacing w:before="170" w:line="446" w:lineRule="auto"/>
        <w:ind w:left="1068" w:right="767" w:firstLine="480"/>
        <w:jc w:val="left"/>
        <w:rPr>
          <w:i/>
          <w:sz w:val="24"/>
        </w:rPr>
      </w:pPr>
      <w:r>
        <w:rPr>
          <w:i/>
          <w:spacing w:val="1"/>
          <w:sz w:val="24"/>
        </w:rPr>
        <w:t>在设置新专业时，紧跟产业结构调整，充分考虑学生的独立择业能力、广泛就</w:t>
      </w:r>
      <w:r>
        <w:rPr>
          <w:i/>
          <w:spacing w:val="-6"/>
          <w:sz w:val="24"/>
        </w:rPr>
        <w:t>业能力、岗位转换能力、创新竞争能力，使更多的毕业生适应产业调整、岗位转换、</w:t>
      </w:r>
      <w:r>
        <w:rPr>
          <w:i/>
          <w:spacing w:val="1"/>
          <w:sz w:val="24"/>
        </w:rPr>
        <w:t>技能提升的实际需要，才能保证专业建设方向的正确性，才能适应我省产业经济发展需要。食品加工是厦门市的优势特色产业之一，我院已经将食品加工技术专业作</w:t>
      </w:r>
      <w:r>
        <w:rPr>
          <w:i/>
          <w:spacing w:val="-30"/>
          <w:sz w:val="24"/>
        </w:rPr>
        <w:t xml:space="preserve">为 </w:t>
      </w:r>
      <w:r>
        <w:rPr>
          <w:sz w:val="24"/>
        </w:rPr>
        <w:t>2015</w:t>
      </w:r>
      <w:r>
        <w:rPr>
          <w:spacing w:val="-60"/>
          <w:sz w:val="24"/>
        </w:rPr>
        <w:t xml:space="preserve"> </w:t>
      </w:r>
      <w:r>
        <w:rPr>
          <w:i/>
          <w:spacing w:val="-2"/>
          <w:sz w:val="24"/>
        </w:rPr>
        <w:t>年拟设置的新专业，以满足厦门市食品加工产业的转型升级的人才需求；并</w:t>
      </w:r>
      <w:r>
        <w:rPr>
          <w:i/>
          <w:spacing w:val="-5"/>
          <w:sz w:val="24"/>
        </w:rPr>
        <w:t>在两年内增设社区服务与管理、特殊教育等专业以满足服务业转型升级的人才需求。</w:t>
      </w:r>
    </w:p>
    <w:p>
      <w:pPr>
        <w:pStyle w:val="ListParagraph"/>
        <w:numPr>
          <w:ilvl w:val="0"/>
          <w:numId w:val="10"/>
        </w:numPr>
        <w:tabs>
          <w:tab w:val="left" w:pos="1909"/>
        </w:tabs>
        <w:spacing w:before="39" w:after="0" w:line="240" w:lineRule="auto"/>
        <w:ind w:left="1909" w:right="0" w:hanging="361"/>
        <w:jc w:val="left"/>
        <w:rPr>
          <w:i/>
          <w:sz w:val="24"/>
        </w:rPr>
      </w:pPr>
      <w:r>
        <w:rPr>
          <w:i/>
          <w:spacing w:val="-1"/>
          <w:sz w:val="24"/>
        </w:rPr>
        <w:t>以能力为本位，巩固提升传统专业</w:t>
      </w:r>
    </w:p>
    <w:p>
      <w:pPr>
        <w:spacing w:before="171" w:line="446" w:lineRule="auto"/>
        <w:ind w:left="1068" w:right="767" w:firstLine="480"/>
        <w:jc w:val="left"/>
        <w:rPr>
          <w:i/>
          <w:sz w:val="24"/>
        </w:rPr>
      </w:pPr>
      <w:r>
        <w:rPr>
          <w:i/>
          <w:spacing w:val="1"/>
          <w:sz w:val="24"/>
        </w:rPr>
        <w:t>学院在办学过程中，也特别注重加强传统专业的内涵建设，重视知识和技能的整合，以增强职业技能为目标构建实践教学体系，从传统专业中培育优势专业，突出学生能力的培养，适应岗位能力培养的需求，增强学生的就业竞争力和实际工作</w:t>
      </w:r>
      <w:r>
        <w:rPr>
          <w:i/>
          <w:spacing w:val="-4"/>
          <w:sz w:val="24"/>
        </w:rPr>
        <w:t>中的发展潜力。如计算机网络技术、投资与理财和会计专业等都是学校的传统专业，</w:t>
      </w:r>
      <w:r>
        <w:rPr>
          <w:i/>
          <w:spacing w:val="1"/>
          <w:sz w:val="24"/>
        </w:rPr>
        <w:t>学院重点加大了对这这些专业的硬件投入力度，改善了实训条件，培育壮大了酒店管理和物流管理这两个龙头专业，也带动提升了其它传统专业。</w:t>
      </w:r>
    </w:p>
    <w:p>
      <w:pPr>
        <w:spacing w:before="0" w:line="446" w:lineRule="auto"/>
        <w:ind w:left="1068" w:right="886" w:firstLine="480"/>
        <w:jc w:val="left"/>
        <w:rPr>
          <w:i/>
          <w:sz w:val="24"/>
        </w:rPr>
      </w:pPr>
      <w:r>
        <w:rPr>
          <w:i/>
          <w:spacing w:val="-2"/>
          <w:sz w:val="24"/>
        </w:rPr>
        <w:t>科学合理设置专业，健全专业随产业发展动态调整的机制，重点提升面向现代</w:t>
      </w:r>
      <w:r>
        <w:rPr>
          <w:i/>
          <w:spacing w:val="-1"/>
          <w:sz w:val="24"/>
        </w:rPr>
        <w:t>农业、先进制造业、现代服务业、战略性新兴产业和社会管理、生态文明建设等领</w:t>
      </w:r>
    </w:p>
    <w:p>
      <w:pPr>
        <w:spacing w:after="0" w:line="446" w:lineRule="auto"/>
        <w:jc w:val="left"/>
        <w:rPr>
          <w:sz w:val="24"/>
        </w:rPr>
        <w:sectPr>
          <w:footerReference w:type="default" r:id="rId12"/>
          <w:pgSz w:w="11910" w:h="16840"/>
          <w:pgMar w:top="1500" w:right="700" w:bottom="820" w:left="520" w:header="0" w:footer="631"/>
          <w:pgNumType w:start="7"/>
          <w:cols w:space="708"/>
        </w:sectPr>
      </w:pPr>
    </w:p>
    <w:p>
      <w:pPr>
        <w:spacing w:before="56"/>
        <w:ind w:left="1068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域的人才培养能力。</w:t>
      </w:r>
    </w:p>
    <w:p>
      <w:pPr>
        <w:pStyle w:val="BodyText"/>
        <w:spacing w:before="11"/>
        <w:rPr>
          <w:i/>
          <w:sz w:val="23"/>
        </w:rPr>
      </w:pPr>
    </w:p>
    <w:p>
      <w:pPr>
        <w:pStyle w:val="ListParagraph"/>
        <w:numPr>
          <w:ilvl w:val="0"/>
          <w:numId w:val="19"/>
        </w:numPr>
        <w:tabs>
          <w:tab w:val="left" w:pos="1909"/>
        </w:tabs>
        <w:spacing w:before="0" w:after="0" w:line="240" w:lineRule="auto"/>
        <w:ind w:left="1909" w:right="0" w:hanging="361"/>
        <w:jc w:val="left"/>
        <w:rPr>
          <w:i/>
          <w:sz w:val="24"/>
        </w:rPr>
      </w:pPr>
      <w:r>
        <w:rPr>
          <w:i/>
          <w:spacing w:val="-1"/>
          <w:sz w:val="24"/>
        </w:rPr>
        <w:t>及时把握就业动向，淘汰缺乏生命力的专业</w:t>
      </w:r>
    </w:p>
    <w:p>
      <w:pPr>
        <w:spacing w:before="170" w:line="446" w:lineRule="auto"/>
        <w:ind w:left="1068" w:right="886" w:firstLine="480"/>
        <w:jc w:val="both"/>
        <w:rPr>
          <w:i/>
          <w:sz w:val="24"/>
        </w:rPr>
      </w:pPr>
      <w:r>
        <w:rPr>
          <w:i/>
          <w:spacing w:val="-2"/>
          <w:sz w:val="24"/>
        </w:rPr>
        <w:t>积极把握学生就业动向，及时淘汰一些划分过细，就业面向过窄，没有特色，</w:t>
      </w:r>
      <w:r>
        <w:rPr>
          <w:i/>
          <w:spacing w:val="-2"/>
          <w:sz w:val="24"/>
        </w:rPr>
        <w:t>与地方经济结构、产业结构脱节，对学生缺乏吸引力，教学条件投入不足的，缺乏</w:t>
      </w:r>
      <w:r>
        <w:rPr>
          <w:i/>
          <w:spacing w:val="-1"/>
          <w:sz w:val="24"/>
        </w:rPr>
        <w:t xml:space="preserve">生命力的专业。如商务日语、计算机多媒体技术等专业 </w:t>
      </w:r>
      <w:r>
        <w:rPr>
          <w:sz w:val="24"/>
        </w:rPr>
        <w:t>2014</w:t>
      </w:r>
      <w:r>
        <w:rPr>
          <w:spacing w:val="-21"/>
          <w:sz w:val="24"/>
        </w:rPr>
        <w:t xml:space="preserve"> </w:t>
      </w:r>
      <w:r>
        <w:rPr>
          <w:i/>
          <w:sz w:val="24"/>
        </w:rPr>
        <w:t>年起已经停止招生。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548" w:right="0" w:firstLine="0"/>
        <w:jc w:val="left"/>
        <w:rPr>
          <w:i/>
          <w:sz w:val="24"/>
        </w:rPr>
      </w:pPr>
      <w:r>
        <w:rPr>
          <w:sz w:val="24"/>
        </w:rPr>
        <w:t>2014—2020</w:t>
      </w:r>
      <w:r>
        <w:rPr>
          <w:spacing w:val="-60"/>
          <w:sz w:val="24"/>
        </w:rPr>
        <w:t xml:space="preserve"> </w:t>
      </w:r>
      <w:r>
        <w:rPr>
          <w:i/>
          <w:spacing w:val="-5"/>
          <w:sz w:val="24"/>
        </w:rPr>
        <w:t xml:space="preserve">年专业设置和招生规划见表 </w:t>
      </w:r>
      <w:r>
        <w:rPr>
          <w:sz w:val="24"/>
        </w:rPr>
        <w:t>1</w:t>
      </w:r>
      <w:r>
        <w:rPr>
          <w:i/>
          <w:spacing w:val="-10"/>
          <w:sz w:val="24"/>
        </w:rPr>
        <w:t>。</w:t>
      </w:r>
    </w:p>
    <w:p>
      <w:pPr>
        <w:pStyle w:val="Heading3"/>
        <w:spacing w:before="173"/>
        <w:ind w:left="4167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81.8pt;height:481.15pt;margin-top:32.47pt;margin-left:56.75pt;mso-position-horizontal-relative:page;position:absolute;z-index:25166028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49"/>
                    <w:gridCol w:w="655"/>
                    <w:gridCol w:w="685"/>
                    <w:gridCol w:w="1744"/>
                    <w:gridCol w:w="701"/>
                    <w:gridCol w:w="656"/>
                    <w:gridCol w:w="656"/>
                    <w:gridCol w:w="699"/>
                    <w:gridCol w:w="699"/>
                    <w:gridCol w:w="699"/>
                    <w:gridCol w:w="699"/>
                    <w:gridCol w:w="699"/>
                    <w:gridCol w:w="785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0" w:line="246" w:lineRule="exact"/>
                          <w:ind w:left="34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z w:val="18"/>
                          </w:rPr>
                          <w:t>序</w:t>
                        </w:r>
                      </w:p>
                      <w:p>
                        <w:pPr>
                          <w:pStyle w:val="TableParagraph"/>
                          <w:spacing w:before="0" w:line="230" w:lineRule="exact"/>
                          <w:ind w:left="34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z w:val="18"/>
                          </w:rPr>
                          <w:t>号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spacing w:before="0" w:line="246" w:lineRule="exact"/>
                          <w:ind w:left="146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18"/>
                          </w:rPr>
                          <w:t>系部</w:t>
                        </w:r>
                      </w:p>
                      <w:p>
                        <w:pPr>
                          <w:pStyle w:val="TableParagraph"/>
                          <w:spacing w:before="0" w:line="230" w:lineRule="exact"/>
                          <w:ind w:left="146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18"/>
                          </w:rPr>
                          <w:t>名称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0" w:line="246" w:lineRule="exact"/>
                          <w:ind w:left="161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18"/>
                          </w:rPr>
                          <w:t>专业</w:t>
                        </w:r>
                      </w:p>
                      <w:p>
                        <w:pPr>
                          <w:pStyle w:val="TableParagraph"/>
                          <w:spacing w:before="0" w:line="230" w:lineRule="exact"/>
                          <w:ind w:left="161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18"/>
                          </w:rPr>
                          <w:t>代码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80"/>
                          <w:ind w:left="50" w:right="41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3"/>
                            <w:sz w:val="18"/>
                          </w:rPr>
                          <w:t>专业名称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80"/>
                          <w:ind w:left="-33" w:right="-44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w w:val="85"/>
                            <w:sz w:val="18"/>
                          </w:rPr>
                          <w:t>2013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w w:val="85"/>
                            <w:sz w:val="18"/>
                          </w:rPr>
                          <w:t>年前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0" w:line="246" w:lineRule="exact"/>
                          <w:ind w:left="90" w:right="123"/>
                          <w:rPr>
                            <w:rFonts w:ascii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/>
                            <w:b/>
                            <w:spacing w:val="-4"/>
                            <w:w w:val="95"/>
                            <w:sz w:val="18"/>
                          </w:rPr>
                          <w:t>2014</w:t>
                        </w:r>
                      </w:p>
                      <w:p>
                        <w:pPr>
                          <w:pStyle w:val="TableParagraph"/>
                          <w:spacing w:before="0" w:line="230" w:lineRule="exact"/>
                          <w:ind w:left="9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z w:val="18"/>
                          </w:rPr>
                          <w:t>年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0" w:line="246" w:lineRule="exact"/>
                          <w:ind w:left="90" w:right="123"/>
                          <w:rPr>
                            <w:rFonts w:ascii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/>
                            <w:b/>
                            <w:spacing w:val="-4"/>
                            <w:w w:val="95"/>
                            <w:sz w:val="18"/>
                          </w:rPr>
                          <w:t>2015</w:t>
                        </w:r>
                      </w:p>
                      <w:p>
                        <w:pPr>
                          <w:pStyle w:val="TableParagraph"/>
                          <w:spacing w:before="0" w:line="230" w:lineRule="exact"/>
                          <w:ind w:left="9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z w:val="18"/>
                          </w:rPr>
                          <w:t>年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80"/>
                          <w:ind w:left="46" w:right="37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w w:val="80"/>
                            <w:sz w:val="18"/>
                          </w:rPr>
                          <w:t>2016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18"/>
                          </w:rPr>
                          <w:t xml:space="preserve"> 年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80"/>
                          <w:ind w:left="46" w:right="37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w w:val="80"/>
                            <w:sz w:val="18"/>
                          </w:rPr>
                          <w:t>2017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18"/>
                          </w:rPr>
                          <w:t xml:space="preserve"> 年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80"/>
                          <w:ind w:left="46" w:right="37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w w:val="80"/>
                            <w:sz w:val="18"/>
                          </w:rPr>
                          <w:t>2018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18"/>
                          </w:rPr>
                          <w:t xml:space="preserve"> 年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80"/>
                          <w:ind w:left="46" w:right="37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w w:val="80"/>
                            <w:sz w:val="18"/>
                          </w:rPr>
                          <w:t>2019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18"/>
                          </w:rPr>
                          <w:t xml:space="preserve"> 年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80"/>
                          <w:ind w:left="58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w w:val="80"/>
                            <w:sz w:val="18"/>
                          </w:rPr>
                          <w:t>2020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18"/>
                          </w:rPr>
                          <w:t xml:space="preserve"> 年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0" w:line="246" w:lineRule="exact"/>
                          <w:ind w:left="211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18"/>
                          </w:rPr>
                          <w:t>专业</w:t>
                        </w:r>
                      </w:p>
                      <w:p>
                        <w:pPr>
                          <w:pStyle w:val="TableParagraph"/>
                          <w:spacing w:before="0" w:line="230" w:lineRule="exact"/>
                          <w:ind w:left="211"/>
                          <w:jc w:val="left"/>
                          <w:rPr>
                            <w:rFonts w:ascii="Microsoft JhengHei" w:eastAsia="Microsoft JhengHei"/>
                            <w:b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18"/>
                          </w:rPr>
                          <w:t>大类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4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55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0" w:line="249" w:lineRule="auto"/>
                          <w:ind w:left="147" w:right="45" w:hanging="9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交通运</w:t>
                        </w:r>
                        <w:r>
                          <w:rPr>
                            <w:rFonts w:ascii="仿宋" w:eastAsia="仿宋"/>
                            <w:spacing w:val="-6"/>
                            <w:sz w:val="18"/>
                          </w:rPr>
                          <w:t>输系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520503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空中乘务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125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18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46"/>
                          <w:ind w:left="46" w:right="3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21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交通运输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41"/>
                          <w:ind w:left="10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520504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航空服务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41"/>
                          <w:ind w:left="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41"/>
                          <w:ind w:right="272"/>
                          <w:jc w:val="righ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交通运输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7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41"/>
                          <w:ind w:left="10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520605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报关与国际货运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29" w:line="225" w:lineRule="exact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交通运输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144"/>
                          <w:ind w:left="10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139" w:line="206" w:lineRule="auto"/>
                          <w:ind w:left="72" w:right="-346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580405</w:t>
                        </w:r>
                        <w:r>
                          <w:rPr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仿宋" w:eastAsia="仿宋"/>
                            <w:position w:val="-11"/>
                            <w:sz w:val="18"/>
                          </w:rPr>
                          <w:t>（</w:t>
                        </w:r>
                        <w:r>
                          <w:rPr>
                            <w:rFonts w:ascii="仿宋" w:eastAsia="仿宋"/>
                            <w:spacing w:val="-10"/>
                            <w:position w:val="-11"/>
                            <w:sz w:val="18"/>
                          </w:rPr>
                          <w:t>汽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327" w:right="-44" w:hanging="266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汽车技术服务与营销</w:t>
                        </w: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车技术与维修方向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42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44"/>
                          <w:ind w:left="46" w:right="3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44"/>
                          <w:ind w:left="46" w:right="36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44"/>
                          <w:ind w:left="46" w:right="36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44"/>
                          <w:ind w:left="46" w:right="3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44"/>
                          <w:ind w:left="46" w:right="36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132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制造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46"/>
                          <w:ind w:left="10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580452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汽车检测与维修技术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46"/>
                          <w:ind w:left="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7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制造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  <w:vMerge w:val="restart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Microsoft JhengHei"/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7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6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  <w:vMerge w:val="restart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580205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241" w:right="-44" w:hanging="27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计算机控制技术（过程</w:t>
                        </w: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控制与自动化）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  <w:vMerge w:val="restart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212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制造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511" w:right="-44" w:hanging="54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计算机控制技术（嵌入</w:t>
                        </w: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式技术）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44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  <w:vMerge w:val="restart"/>
                      </w:tcPr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79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7</w:t>
                        </w:r>
                      </w:p>
                    </w:tc>
                    <w:tc>
                      <w:tcPr>
                        <w:tcW w:w="655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249" w:lineRule="auto"/>
                          <w:ind w:left="147" w:right="45" w:hanging="9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建筑工</w:t>
                        </w:r>
                        <w:r>
                          <w:rPr>
                            <w:rFonts w:ascii="仿宋" w:eastAsia="仿宋"/>
                            <w:spacing w:val="-6"/>
                            <w:sz w:val="18"/>
                          </w:rPr>
                          <w:t>程系</w:t>
                        </w:r>
                      </w:p>
                    </w:tc>
                    <w:tc>
                      <w:tcPr>
                        <w:tcW w:w="685" w:type="dxa"/>
                        <w:vMerge w:val="restart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560501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建筑工程管理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80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21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土建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511" w:right="-44" w:hanging="54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建筑工程管理（建筑工</w:t>
                        </w: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程技术）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44"/>
                          <w:ind w:left="90" w:right="81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56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132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土建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560301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建筑工程技术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46"/>
                          <w:ind w:left="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21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土建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560502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工程造价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80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90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21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土建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9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560104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室内设计技术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7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土建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560105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环境艺术设计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7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46"/>
                          <w:ind w:left="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46"/>
                          <w:ind w:left="46" w:right="36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46"/>
                          <w:ind w:left="46" w:right="36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46"/>
                          <w:ind w:left="46" w:right="3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46"/>
                          <w:ind w:left="46" w:right="36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土建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9"/>
                      <w:jc w:val="left"/>
                    </w:trPr>
                    <w:tc>
                      <w:tcPr>
                        <w:tcW w:w="249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3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655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jc w:val="left"/>
                          <w:rPr>
                            <w:rFonts w:ascii="Microsoft JhengHei"/>
                            <w:b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0" w:line="249" w:lineRule="auto"/>
                          <w:ind w:left="147" w:right="45" w:hanging="9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信息工</w:t>
                        </w:r>
                        <w:r>
                          <w:rPr>
                            <w:rFonts w:ascii="仿宋" w:eastAsia="仿宋"/>
                            <w:spacing w:val="-6"/>
                            <w:sz w:val="18"/>
                          </w:rPr>
                          <w:t>程系</w:t>
                        </w:r>
                      </w:p>
                    </w:tc>
                    <w:tc>
                      <w:tcPr>
                        <w:tcW w:w="685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590102</w:t>
                        </w:r>
                      </w:p>
                      <w:p>
                        <w:pPr>
                          <w:pStyle w:val="TableParagraph"/>
                          <w:spacing w:before="139"/>
                          <w:ind w:right="-346"/>
                          <w:jc w:val="righ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计算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331" w:right="-44" w:hanging="36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计算机网络技术（移动</w:t>
                        </w: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互联网技术）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45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Microsoft JhengHei"/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"/>
                          <w:jc w:val="left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32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电子信息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331" w:right="-44" w:hanging="36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计算机网络技术（移动</w:t>
                        </w: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物联网技术）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52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12"/>
                          <w:ind w:left="327" w:right="-44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z w:val="18"/>
                          </w:rPr>
                          <w:t>机网络技术（</w:t>
                        </w: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移动</w:t>
                        </w:r>
                      </w:p>
                      <w:p>
                        <w:pPr>
                          <w:pStyle w:val="TableParagraph"/>
                          <w:spacing w:before="9" w:line="208" w:lineRule="exact"/>
                          <w:ind w:left="469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Times New Roman" w:eastAsia="Times New Roman"/>
                            <w:sz w:val="18"/>
                          </w:rPr>
                          <w:t xml:space="preserve">4G </w:t>
                        </w:r>
                        <w:r>
                          <w:rPr>
                            <w:rFonts w:ascii="仿宋" w:eastAsia="仿宋"/>
                            <w:sz w:val="18"/>
                          </w:rPr>
                          <w:t>技术</w:t>
                        </w:r>
                        <w:r>
                          <w:rPr>
                            <w:rFonts w:ascii="仿宋" w:eastAsia="仿宋"/>
                            <w:spacing w:val="-10"/>
                            <w:sz w:val="18"/>
                          </w:rPr>
                          <w:t>）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75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12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590108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软件技术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电子信息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13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590202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应用电子技术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55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电子信息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132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14</w:t>
                        </w:r>
                      </w:p>
                    </w:tc>
                    <w:tc>
                      <w:tcPr>
                        <w:tcW w:w="655" w:type="dxa"/>
                        <w:vMerge w:val="restart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Microsoft JhengHei"/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0" w:line="249" w:lineRule="auto"/>
                          <w:ind w:left="57" w:right="45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环境与</w:t>
                        </w:r>
                        <w:r>
                          <w:rPr>
                            <w:rFonts w:ascii="仿宋" w:eastAsia="仿宋"/>
                            <w:spacing w:val="-6"/>
                            <w:sz w:val="18"/>
                          </w:rPr>
                          <w:t>食品</w:t>
                        </w:r>
                        <w:r>
                          <w:rPr>
                            <w:rFonts w:ascii="仿宋" w:eastAsia="仿宋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科学系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132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600102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132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环境监测与评价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44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tabs>
                            <w:tab w:val="left" w:pos="407"/>
                          </w:tabs>
                          <w:spacing w:before="12"/>
                          <w:ind w:right="-346"/>
                          <w:jc w:val="righ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spacing w:val="-5"/>
                            <w:position w:val="-11"/>
                            <w:sz w:val="18"/>
                          </w:rPr>
                          <w:t>50</w:t>
                        </w:r>
                        <w:r>
                          <w:rPr>
                            <w:position w:val="-11"/>
                            <w:sz w:val="18"/>
                          </w:rPr>
                          <w:tab/>
                        </w: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环保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122" w:right="-44" w:firstLine="205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2"/>
                            <w:sz w:val="18"/>
                          </w:rPr>
                          <w:t>、气象</w:t>
                        </w: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与安全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0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132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15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spacing w:before="132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600101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spacing w:before="132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环境监测与治理技术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132"/>
                          <w:ind w:right="27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spacing w:before="132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tabs>
                            <w:tab w:val="left" w:pos="407"/>
                          </w:tabs>
                          <w:spacing w:before="12"/>
                          <w:ind w:right="-346"/>
                          <w:jc w:val="righ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spacing w:val="-5"/>
                            <w:position w:val="-11"/>
                            <w:sz w:val="18"/>
                          </w:rPr>
                          <w:t>50</w:t>
                        </w:r>
                        <w:r>
                          <w:rPr>
                            <w:position w:val="-11"/>
                            <w:sz w:val="18"/>
                          </w:rPr>
                          <w:tab/>
                        </w: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环保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spacing w:before="0" w:line="240" w:lineRule="atLeast"/>
                          <w:ind w:left="122" w:right="-44" w:firstLine="205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2"/>
                            <w:sz w:val="18"/>
                          </w:rPr>
                          <w:t>、气象</w:t>
                        </w: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与安全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16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610302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食品营养与检测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72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轻纺食品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17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610301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食品加工技术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spacing w:before="46"/>
                          <w:ind w:left="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轻纺食品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18</w:t>
                        </w:r>
                      </w:p>
                    </w:tc>
                    <w:tc>
                      <w:tcPr>
                        <w:tcW w:w="655" w:type="dxa"/>
                        <w:vMerge w:val="restart"/>
                      </w:tcPr>
                      <w:p>
                        <w:pPr>
                          <w:pStyle w:val="TableParagraph"/>
                          <w:spacing w:before="7"/>
                          <w:jc w:val="left"/>
                          <w:rPr>
                            <w:rFonts w:ascii="Microsoft JhengHei"/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0" w:line="249" w:lineRule="auto"/>
                          <w:ind w:left="147" w:right="45" w:hanging="90"/>
                          <w:jc w:val="left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4"/>
                            <w:sz w:val="18"/>
                          </w:rPr>
                          <w:t>财政金</w:t>
                        </w:r>
                        <w:r>
                          <w:rPr>
                            <w:rFonts w:ascii="仿宋" w:eastAsia="仿宋"/>
                            <w:spacing w:val="-6"/>
                            <w:sz w:val="18"/>
                          </w:rPr>
                          <w:t>融系</w:t>
                        </w: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620106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金融保险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left="90" w:right="81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32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财经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before="46"/>
                          <w:ind w:left="19" w:right="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18"/>
                          </w:rPr>
                          <w:t>19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620111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2"/>
                            <w:sz w:val="18"/>
                          </w:rPr>
                          <w:t>投资与理财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101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90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21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100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财经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285"/>
                      <w:jc w:val="left"/>
                    </w:trPr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ind w:left="19" w:right="9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20</w:t>
                        </w:r>
                      </w:p>
                    </w:tc>
                    <w:tc>
                      <w:tcPr>
                        <w:tcW w:w="6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>
                        <w:pPr>
                          <w:pStyle w:val="TableParagraph"/>
                          <w:ind w:left="7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620211</w:t>
                        </w:r>
                      </w:p>
                    </w:tc>
                    <w:tc>
                      <w:tcPr>
                        <w:tcW w:w="1744" w:type="dxa"/>
                      </w:tcPr>
                      <w:p>
                        <w:pPr>
                          <w:pStyle w:val="TableParagraph"/>
                          <w:ind w:left="50" w:right="41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3"/>
                            <w:sz w:val="18"/>
                          </w:rPr>
                          <w:t>财务管理</w:t>
                        </w:r>
                      </w:p>
                    </w:tc>
                    <w:tc>
                      <w:tcPr>
                        <w:tcW w:w="701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46</w:t>
                        </w:r>
                      </w:p>
                    </w:tc>
                    <w:tc>
                      <w:tcPr>
                        <w:tcW w:w="656" w:type="dxa"/>
                      </w:tcPr>
                      <w:p>
                        <w:pPr>
                          <w:pStyle w:val="TableParagraph"/>
                          <w:ind w:right="22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7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699" w:type="dxa"/>
                      </w:tcPr>
                      <w:p>
                        <w:pPr>
                          <w:pStyle w:val="TableParagraph"/>
                          <w:ind w:left="46" w:right="36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50</w:t>
                        </w:r>
                      </w:p>
                    </w:tc>
                    <w:tc>
                      <w:tcPr>
                        <w:tcW w:w="785" w:type="dxa"/>
                      </w:tcPr>
                      <w:p>
                        <w:pPr>
                          <w:pStyle w:val="TableParagraph"/>
                          <w:ind w:left="9"/>
                          <w:rPr>
                            <w:rFonts w:ascii="仿宋" w:eastAsia="仿宋"/>
                            <w:sz w:val="18"/>
                          </w:rPr>
                        </w:pPr>
                        <w:r>
                          <w:rPr>
                            <w:rFonts w:ascii="仿宋" w:eastAsia="仿宋"/>
                            <w:spacing w:val="-5"/>
                            <w:sz w:val="18"/>
                          </w:rPr>
                          <w:t>财经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4"/>
        </w:rPr>
        <w:t xml:space="preserve">表 </w:t>
      </w:r>
      <w:r>
        <w:rPr>
          <w:rFonts w:ascii="Times New Roman" w:eastAsia="Times New Roman"/>
        </w:rPr>
        <w:t>1.</w:t>
      </w:r>
      <w:r>
        <w:rPr>
          <w:spacing w:val="-2"/>
        </w:rPr>
        <w:t>专业设置及招生规划</w:t>
      </w:r>
    </w:p>
    <w:p>
      <w:pPr>
        <w:spacing w:after="0"/>
        <w:sectPr>
          <w:footerReference w:type="default" r:id="rId13"/>
          <w:pgSz w:w="11910" w:h="16840"/>
          <w:pgMar w:top="1500" w:right="700" w:bottom="820" w:left="520" w:header="0" w:footer="631"/>
          <w:pgNumType w:start="8"/>
          <w:cols w:space="708"/>
        </w:sectPr>
      </w:pPr>
    </w:p>
    <w:tbl>
      <w:tblPr>
        <w:tblStyle w:val="TableNormal1"/>
        <w:tblW w:w="0" w:type="auto"/>
        <w:jc w:val="left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"/>
        <w:gridCol w:w="655"/>
        <w:gridCol w:w="685"/>
        <w:gridCol w:w="1744"/>
        <w:gridCol w:w="701"/>
        <w:gridCol w:w="656"/>
        <w:gridCol w:w="656"/>
        <w:gridCol w:w="699"/>
        <w:gridCol w:w="699"/>
        <w:gridCol w:w="699"/>
        <w:gridCol w:w="699"/>
        <w:gridCol w:w="699"/>
        <w:gridCol w:w="785"/>
      </w:tblGrid>
      <w:tr>
        <w:tblPrEx>
          <w:tblW w:w="0" w:type="auto"/>
          <w:jc w:val="left"/>
          <w:tblInd w:w="62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spacing w:before="46"/>
              <w:ind w:right="2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21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620203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会计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1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620103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金融管理与实务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Microsoft JhengHei"/>
                <w:b/>
                <w:sz w:val="9"/>
              </w:rPr>
            </w:pPr>
          </w:p>
          <w:p>
            <w:pPr>
              <w:pStyle w:val="TableParagraph"/>
              <w:spacing w:before="0"/>
              <w:ind w:left="3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Microsoft JhengHei"/>
                <w:b/>
                <w:sz w:val="25"/>
              </w:rPr>
            </w:pPr>
          </w:p>
          <w:p>
            <w:pPr>
              <w:pStyle w:val="TableParagraph"/>
              <w:spacing w:before="0" w:line="249" w:lineRule="auto"/>
              <w:ind w:left="147" w:right="45" w:hanging="9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经济管</w:t>
            </w:r>
            <w:r>
              <w:rPr>
                <w:rFonts w:ascii="仿宋" w:eastAsia="仿宋"/>
                <w:spacing w:val="-6"/>
                <w:sz w:val="18"/>
              </w:rPr>
              <w:t>理系</w:t>
            </w:r>
          </w:p>
        </w:tc>
        <w:tc>
          <w:tcPr>
            <w:tcW w:w="685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Microsoft JhengHei"/>
                <w:b/>
                <w:sz w:val="9"/>
              </w:rPr>
            </w:pPr>
          </w:p>
          <w:p>
            <w:pPr>
              <w:pStyle w:val="TableParagraph"/>
              <w:spacing w:before="0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620305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国际商务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Microsoft JhengHei"/>
                <w:b/>
                <w:sz w:val="9"/>
              </w:rPr>
            </w:pPr>
          </w:p>
          <w:p>
            <w:pPr>
              <w:pStyle w:val="TableParagraph"/>
              <w:spacing w:before="0"/>
              <w:ind w:left="212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0"/>
              <w:rPr>
                <w:rFonts w:ascii="Times New Roman" w:eastAsia="Times New Roman"/>
                <w:sz w:val="18"/>
              </w:rPr>
            </w:pPr>
            <w:r>
              <w:rPr>
                <w:rFonts w:ascii="仿宋" w:eastAsia="仿宋"/>
                <w:sz w:val="18"/>
              </w:rPr>
              <w:t>国际商务</w:t>
            </w: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rFonts w:ascii="仿宋" w:eastAsia="仿宋"/>
                <w:sz w:val="18"/>
              </w:rPr>
              <w:t>闽台合作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620301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经济管理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46"/>
              <w:ind w:left="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spacing w:before="46"/>
              <w:ind w:right="2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26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620405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电子商务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620451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工商企业管理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spacing w:before="46"/>
              <w:ind w:right="2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28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620452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工商行政管理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spacing w:before="46"/>
              <w:ind w:right="2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5"/>
                <w:sz w:val="18"/>
              </w:rPr>
              <w:t>29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620505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物流管理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财经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Microsoft JhengHei"/>
                <w:b/>
                <w:sz w:val="17"/>
              </w:rPr>
            </w:pPr>
          </w:p>
          <w:p>
            <w:pPr>
              <w:pStyle w:val="TableParagraph"/>
              <w:spacing w:before="0" w:line="249" w:lineRule="auto"/>
              <w:ind w:left="147" w:right="45" w:hanging="9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旅游会</w:t>
            </w:r>
            <w:r>
              <w:rPr>
                <w:rFonts w:ascii="仿宋" w:eastAsia="仿宋"/>
                <w:spacing w:val="-6"/>
                <w:sz w:val="18"/>
              </w:rPr>
              <w:t>展系</w:t>
            </w: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645104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旅行社经营管理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旅游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Microsoft JhengHei"/>
                <w:b/>
                <w:sz w:val="9"/>
              </w:rPr>
            </w:pPr>
          </w:p>
          <w:p>
            <w:pPr>
              <w:pStyle w:val="TableParagraph"/>
              <w:spacing w:before="0"/>
              <w:ind w:left="3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Microsoft JhengHei"/>
                <w:b/>
                <w:sz w:val="9"/>
              </w:rPr>
            </w:pPr>
          </w:p>
          <w:p>
            <w:pPr>
              <w:pStyle w:val="TableParagraph"/>
              <w:spacing w:before="0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640106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酒店管理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785" w:type="dxa"/>
            <w:vMerge w:val="restart"/>
          </w:tcPr>
          <w:p>
            <w:pPr>
              <w:pStyle w:val="TableParagraph"/>
              <w:spacing w:before="16"/>
              <w:jc w:val="left"/>
              <w:rPr>
                <w:rFonts w:ascii="Microsoft JhengHei"/>
                <w:b/>
                <w:sz w:val="9"/>
              </w:rPr>
            </w:pPr>
          </w:p>
          <w:p>
            <w:pPr>
              <w:pStyle w:val="TableParagraph"/>
              <w:spacing w:before="0"/>
              <w:ind w:left="212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旅游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-29" w:right="-44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z w:val="18"/>
              </w:rPr>
              <w:t>酒店管理（闽台合作</w:t>
            </w:r>
            <w:r>
              <w:rPr>
                <w:rFonts w:ascii="仿宋" w:eastAsia="仿宋"/>
                <w:spacing w:val="-10"/>
                <w:sz w:val="18"/>
              </w:rPr>
              <w:t>）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645103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导游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旅游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645105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景区开发与管理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旅游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640107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-29" w:right="-44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z w:val="18"/>
              </w:rPr>
              <w:t>会展策划与管理（闽</w:t>
            </w:r>
            <w:r>
              <w:rPr>
                <w:rFonts w:ascii="仿宋" w:eastAsia="仿宋"/>
                <w:spacing w:val="-10"/>
                <w:sz w:val="18"/>
              </w:rPr>
              <w:t>）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旅游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5"/>
          <w:jc w:val="left"/>
        </w:trPr>
        <w:tc>
          <w:tcPr>
            <w:tcW w:w="249" w:type="dxa"/>
          </w:tcPr>
          <w:p>
            <w:pPr>
              <w:pStyle w:val="TableParagraph"/>
              <w:spacing w:before="14" w:line="211" w:lineRule="exact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0"/>
              <w:ind w:left="57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教育系</w:t>
            </w:r>
          </w:p>
        </w:tc>
        <w:tc>
          <w:tcPr>
            <w:tcW w:w="685" w:type="dxa"/>
          </w:tcPr>
          <w:p>
            <w:pPr>
              <w:pStyle w:val="TableParagraph"/>
              <w:spacing w:before="14" w:line="211" w:lineRule="exact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660108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商务英语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spacing w:before="14" w:line="211" w:lineRule="exact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spacing w:before="14" w:line="211" w:lineRule="exact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文化教育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660216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特殊教育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文化教育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660214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学前教育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200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文化教育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249" w:type="dxa"/>
          </w:tcPr>
          <w:p>
            <w:pPr>
              <w:pStyle w:val="TableParagraph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660217</w:t>
            </w:r>
          </w:p>
        </w:tc>
        <w:tc>
          <w:tcPr>
            <w:tcW w:w="1744" w:type="dxa"/>
            <w:tcBorders>
              <w:right w:val="dashed" w:sz="4" w:space="0" w:color="000000"/>
            </w:tcBorders>
          </w:tcPr>
          <w:p>
            <w:pPr>
              <w:pStyle w:val="TableParagraph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儿童康复</w:t>
            </w:r>
          </w:p>
        </w:tc>
        <w:tc>
          <w:tcPr>
            <w:tcW w:w="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56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  <w:tcBorders>
              <w:left w:val="dashed" w:sz="4" w:space="0" w:color="000000"/>
            </w:tcBorders>
          </w:tcPr>
          <w:p>
            <w:pPr>
              <w:pStyle w:val="TableParagraph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ind w:left="9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文化教育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0"/>
          <w:jc w:val="left"/>
        </w:trPr>
        <w:tc>
          <w:tcPr>
            <w:tcW w:w="249" w:type="dxa"/>
          </w:tcPr>
          <w:p>
            <w:pPr>
              <w:pStyle w:val="TableParagraph"/>
              <w:spacing w:before="132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spacing w:before="0"/>
              <w:jc w:val="left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before="11"/>
              <w:jc w:val="left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spacing w:before="0" w:line="249" w:lineRule="auto"/>
              <w:ind w:left="147" w:right="45" w:hanging="9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艺术设</w:t>
            </w:r>
            <w:r>
              <w:rPr>
                <w:rFonts w:ascii="仿宋" w:eastAsia="仿宋"/>
                <w:spacing w:val="-6"/>
                <w:sz w:val="18"/>
              </w:rPr>
              <w:t>计系</w:t>
            </w:r>
          </w:p>
        </w:tc>
        <w:tc>
          <w:tcPr>
            <w:tcW w:w="685" w:type="dxa"/>
          </w:tcPr>
          <w:p>
            <w:pPr>
              <w:pStyle w:val="TableParagraph"/>
              <w:spacing w:before="132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670101</w:t>
            </w:r>
          </w:p>
        </w:tc>
        <w:tc>
          <w:tcPr>
            <w:tcW w:w="1744" w:type="dxa"/>
          </w:tcPr>
          <w:p>
            <w:pPr>
              <w:pStyle w:val="TableParagraph"/>
              <w:spacing w:before="132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艺术设计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spacing w:before="0" w:line="240" w:lineRule="atLeast"/>
              <w:ind w:left="212" w:right="20" w:hanging="18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艺术设计</w:t>
            </w:r>
            <w:r>
              <w:rPr>
                <w:rFonts w:ascii="仿宋" w:eastAsia="仿宋"/>
                <w:spacing w:val="-6"/>
                <w:sz w:val="18"/>
              </w:rPr>
              <w:t>传媒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0"/>
          <w:jc w:val="left"/>
        </w:trPr>
        <w:tc>
          <w:tcPr>
            <w:tcW w:w="249" w:type="dxa"/>
          </w:tcPr>
          <w:p>
            <w:pPr>
              <w:pStyle w:val="TableParagraph"/>
              <w:spacing w:before="132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132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670103</w:t>
            </w:r>
          </w:p>
        </w:tc>
        <w:tc>
          <w:tcPr>
            <w:tcW w:w="1744" w:type="dxa"/>
          </w:tcPr>
          <w:p>
            <w:pPr>
              <w:pStyle w:val="TableParagraph"/>
              <w:spacing w:before="132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视觉传达艺术设计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spacing w:before="0" w:line="240" w:lineRule="atLeast"/>
              <w:ind w:left="212" w:right="20" w:hanging="18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艺术设计</w:t>
            </w:r>
            <w:r>
              <w:rPr>
                <w:rFonts w:ascii="仿宋" w:eastAsia="仿宋"/>
                <w:spacing w:val="-6"/>
                <w:sz w:val="18"/>
              </w:rPr>
              <w:t>传媒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0"/>
          <w:jc w:val="left"/>
        </w:trPr>
        <w:tc>
          <w:tcPr>
            <w:tcW w:w="249" w:type="dxa"/>
          </w:tcPr>
          <w:p>
            <w:pPr>
              <w:pStyle w:val="TableParagraph"/>
              <w:spacing w:before="132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132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670170</w:t>
            </w:r>
          </w:p>
        </w:tc>
        <w:tc>
          <w:tcPr>
            <w:tcW w:w="1744" w:type="dxa"/>
          </w:tcPr>
          <w:p>
            <w:pPr>
              <w:pStyle w:val="TableParagraph"/>
              <w:spacing w:before="132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会展艺术设计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spacing w:before="0" w:line="240" w:lineRule="atLeast"/>
              <w:ind w:left="212" w:right="20" w:hanging="18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艺术设计</w:t>
            </w:r>
            <w:r>
              <w:rPr>
                <w:rFonts w:ascii="仿宋" w:eastAsia="仿宋"/>
                <w:spacing w:val="-6"/>
                <w:sz w:val="18"/>
              </w:rPr>
              <w:t>传媒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0"/>
          <w:jc w:val="left"/>
        </w:trPr>
        <w:tc>
          <w:tcPr>
            <w:tcW w:w="249" w:type="dxa"/>
          </w:tcPr>
          <w:p>
            <w:pPr>
              <w:pStyle w:val="TableParagraph"/>
              <w:spacing w:before="132"/>
              <w:ind w:right="2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132"/>
              <w:ind w:left="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670170</w:t>
            </w:r>
          </w:p>
        </w:tc>
        <w:tc>
          <w:tcPr>
            <w:tcW w:w="1744" w:type="dxa"/>
          </w:tcPr>
          <w:p>
            <w:pPr>
              <w:pStyle w:val="TableParagraph"/>
              <w:spacing w:before="132"/>
              <w:ind w:left="50" w:right="41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影视动画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222" w:right="123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56" w:type="dxa"/>
          </w:tcPr>
          <w:p>
            <w:pPr>
              <w:pStyle w:val="TableParagraph"/>
              <w:spacing w:before="132"/>
              <w:ind w:left="90" w:right="80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7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left="46" w:right="36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99" w:type="dxa"/>
          </w:tcPr>
          <w:p>
            <w:pPr>
              <w:pStyle w:val="TableParagraph"/>
              <w:spacing w:before="132"/>
              <w:ind w:right="2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785" w:type="dxa"/>
          </w:tcPr>
          <w:p>
            <w:pPr>
              <w:pStyle w:val="TableParagraph"/>
              <w:spacing w:before="0" w:line="240" w:lineRule="atLeast"/>
              <w:ind w:left="212" w:right="20" w:hanging="180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4"/>
                <w:sz w:val="18"/>
              </w:rPr>
              <w:t>艺术设计</w:t>
            </w:r>
            <w:r>
              <w:rPr>
                <w:rFonts w:ascii="仿宋" w:eastAsia="仿宋"/>
                <w:spacing w:val="-6"/>
                <w:sz w:val="18"/>
              </w:rPr>
              <w:t>传媒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904" w:type="dxa"/>
            <w:gridSpan w:val="2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Microsoft JhengHei"/>
                <w:b/>
                <w:sz w:val="23"/>
              </w:rPr>
            </w:pPr>
          </w:p>
          <w:p>
            <w:pPr>
              <w:pStyle w:val="TableParagraph"/>
              <w:spacing w:before="0"/>
              <w:ind w:left="24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z w:val="18"/>
              </w:rPr>
              <w:t>（</w:t>
            </w:r>
            <w:r>
              <w:rPr>
                <w:sz w:val="18"/>
              </w:rPr>
              <w:t>9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rFonts w:ascii="仿宋" w:eastAsia="仿宋"/>
                <w:sz w:val="18"/>
              </w:rPr>
              <w:t>个系</w:t>
            </w:r>
            <w:r>
              <w:rPr>
                <w:rFonts w:ascii="仿宋" w:eastAsia="仿宋"/>
                <w:spacing w:val="-10"/>
                <w:sz w:val="18"/>
              </w:rPr>
              <w:t>）</w:t>
            </w:r>
          </w:p>
        </w:tc>
        <w:tc>
          <w:tcPr>
            <w:tcW w:w="2429" w:type="dxa"/>
            <w:gridSpan w:val="2"/>
          </w:tcPr>
          <w:p>
            <w:pPr>
              <w:pStyle w:val="TableParagraph"/>
              <w:ind w:left="840" w:right="830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5"/>
                <w:sz w:val="18"/>
              </w:rPr>
              <w:t>合计</w:t>
            </w:r>
          </w:p>
        </w:tc>
        <w:tc>
          <w:tcPr>
            <w:tcW w:w="7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pacing w:val="-4"/>
                <w:sz w:val="18"/>
              </w:rPr>
              <w:t>1380</w:t>
            </w:r>
          </w:p>
        </w:tc>
        <w:tc>
          <w:tcPr>
            <w:tcW w:w="656" w:type="dxa"/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4"/>
                <w:sz w:val="18"/>
              </w:rPr>
              <w:t>1800</w:t>
            </w:r>
          </w:p>
        </w:tc>
        <w:tc>
          <w:tcPr>
            <w:tcW w:w="699" w:type="dxa"/>
          </w:tcPr>
          <w:p>
            <w:pPr>
              <w:pStyle w:val="TableParagraph"/>
              <w:ind w:right="15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2300</w:t>
            </w:r>
          </w:p>
        </w:tc>
        <w:tc>
          <w:tcPr>
            <w:tcW w:w="699" w:type="dxa"/>
          </w:tcPr>
          <w:p>
            <w:pPr>
              <w:pStyle w:val="TableParagraph"/>
              <w:ind w:left="16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2800</w:t>
            </w:r>
          </w:p>
        </w:tc>
        <w:tc>
          <w:tcPr>
            <w:tcW w:w="699" w:type="dxa"/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4"/>
                <w:sz w:val="18"/>
              </w:rPr>
              <w:t>2900</w:t>
            </w:r>
          </w:p>
        </w:tc>
        <w:tc>
          <w:tcPr>
            <w:tcW w:w="699" w:type="dxa"/>
          </w:tcPr>
          <w:p>
            <w:pPr>
              <w:pStyle w:val="TableParagraph"/>
              <w:ind w:right="15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2900</w:t>
            </w:r>
          </w:p>
        </w:tc>
        <w:tc>
          <w:tcPr>
            <w:tcW w:w="699" w:type="dxa"/>
          </w:tcPr>
          <w:p>
            <w:pPr>
              <w:pStyle w:val="TableParagraph"/>
              <w:ind w:right="15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2950</w:t>
            </w:r>
          </w:p>
        </w:tc>
        <w:tc>
          <w:tcPr>
            <w:tcW w:w="785" w:type="dxa"/>
            <w:vMerge w:val="restart"/>
          </w:tcPr>
          <w:p>
            <w:pPr>
              <w:pStyle w:val="TableParagraph"/>
              <w:spacing w:before="3"/>
              <w:jc w:val="left"/>
              <w:rPr>
                <w:rFonts w:ascii="Microsoft JhengHei"/>
                <w:b/>
                <w:sz w:val="10"/>
              </w:rPr>
            </w:pPr>
          </w:p>
          <w:p>
            <w:pPr>
              <w:pStyle w:val="TableParagraph"/>
              <w:spacing w:before="0" w:line="256" w:lineRule="auto"/>
              <w:ind w:left="9"/>
              <w:rPr>
                <w:rFonts w:ascii="Times New Roman" w:eastAsia="Times New Roman"/>
                <w:sz w:val="18"/>
              </w:rPr>
            </w:pPr>
            <w:r>
              <w:rPr>
                <w:rFonts w:ascii="仿宋" w:eastAsia="仿宋"/>
                <w:sz w:val="18"/>
              </w:rPr>
              <w:t>（</w:t>
            </w:r>
            <w:r>
              <w:rPr>
                <w:rFonts w:ascii="Times New Roman" w:eastAsia="Times New Roman"/>
                <w:sz w:val="18"/>
              </w:rPr>
              <w:t>10</w:t>
            </w:r>
            <w:r>
              <w:rPr>
                <w:rFonts w:ascii="Times New Roman" w:eastAsia="Times New Roman"/>
                <w:spacing w:val="-12"/>
                <w:sz w:val="18"/>
              </w:rPr>
              <w:t xml:space="preserve"> </w:t>
            </w:r>
            <w:r>
              <w:rPr>
                <w:rFonts w:ascii="仿宋" w:eastAsia="仿宋"/>
                <w:sz w:val="18"/>
              </w:rPr>
              <w:t>个专</w:t>
            </w:r>
            <w:r>
              <w:rPr>
                <w:rFonts w:ascii="仿宋" w:eastAsia="仿宋"/>
                <w:spacing w:val="-4"/>
                <w:sz w:val="18"/>
              </w:rPr>
              <w:t xml:space="preserve">业大类） </w:t>
            </w:r>
            <w:r>
              <w:rPr>
                <w:rFonts w:ascii="Times New Roman" w:eastAsia="Times New Roman"/>
                <w:spacing w:val="-4"/>
                <w:sz w:val="18"/>
              </w:rPr>
              <w:t>8750</w:t>
            </w: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"/>
          <w:jc w:val="left"/>
        </w:trPr>
        <w:tc>
          <w:tcPr>
            <w:tcW w:w="9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9" w:type="dxa"/>
            <w:gridSpan w:val="2"/>
          </w:tcPr>
          <w:p>
            <w:pPr>
              <w:pStyle w:val="TableParagraph"/>
              <w:ind w:left="764"/>
              <w:jc w:val="left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2"/>
                <w:sz w:val="18"/>
              </w:rPr>
              <w:t>在校生总计</w:t>
            </w:r>
          </w:p>
        </w:tc>
        <w:tc>
          <w:tcPr>
            <w:tcW w:w="701" w:type="dxa"/>
          </w:tcPr>
          <w:p>
            <w:pPr>
              <w:pStyle w:val="TableParagraph"/>
              <w:ind w:left="17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1783</w:t>
            </w:r>
          </w:p>
        </w:tc>
        <w:tc>
          <w:tcPr>
            <w:tcW w:w="656" w:type="dxa"/>
          </w:tcPr>
          <w:p>
            <w:pPr>
              <w:pStyle w:val="TableParagraph"/>
              <w:ind w:left="90" w:right="81"/>
              <w:rPr>
                <w:sz w:val="18"/>
              </w:rPr>
            </w:pPr>
            <w:r>
              <w:rPr>
                <w:spacing w:val="-4"/>
                <w:sz w:val="18"/>
              </w:rPr>
              <w:t>3162</w:t>
            </w:r>
          </w:p>
        </w:tc>
        <w:tc>
          <w:tcPr>
            <w:tcW w:w="656" w:type="dxa"/>
          </w:tcPr>
          <w:p>
            <w:pPr>
              <w:pStyle w:val="TableParagraph"/>
              <w:ind w:left="90" w:right="80"/>
              <w:rPr>
                <w:sz w:val="18"/>
              </w:rPr>
            </w:pPr>
            <w:r>
              <w:rPr>
                <w:spacing w:val="-4"/>
                <w:sz w:val="18"/>
              </w:rPr>
              <w:t>3792</w:t>
            </w:r>
          </w:p>
        </w:tc>
        <w:tc>
          <w:tcPr>
            <w:tcW w:w="699" w:type="dxa"/>
          </w:tcPr>
          <w:p>
            <w:pPr>
              <w:pStyle w:val="TableParagraph"/>
              <w:ind w:right="15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5880</w:t>
            </w:r>
          </w:p>
        </w:tc>
        <w:tc>
          <w:tcPr>
            <w:tcW w:w="699" w:type="dxa"/>
          </w:tcPr>
          <w:p>
            <w:pPr>
              <w:pStyle w:val="TableParagraph"/>
              <w:ind w:left="16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6900</w:t>
            </w:r>
          </w:p>
        </w:tc>
        <w:tc>
          <w:tcPr>
            <w:tcW w:w="699" w:type="dxa"/>
          </w:tcPr>
          <w:p>
            <w:pPr>
              <w:pStyle w:val="TableParagraph"/>
              <w:ind w:left="46" w:right="36"/>
              <w:rPr>
                <w:sz w:val="18"/>
              </w:rPr>
            </w:pPr>
            <w:r>
              <w:rPr>
                <w:spacing w:val="-4"/>
                <w:sz w:val="18"/>
              </w:rPr>
              <w:t>8000</w:t>
            </w:r>
          </w:p>
        </w:tc>
        <w:tc>
          <w:tcPr>
            <w:tcW w:w="699" w:type="dxa"/>
          </w:tcPr>
          <w:p>
            <w:pPr>
              <w:pStyle w:val="TableParagraph"/>
              <w:ind w:right="15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8600</w:t>
            </w:r>
          </w:p>
        </w:tc>
        <w:tc>
          <w:tcPr>
            <w:tcW w:w="699" w:type="dxa"/>
          </w:tcPr>
          <w:p>
            <w:pPr>
              <w:pStyle w:val="TableParagraph"/>
              <w:ind w:right="15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8750</w:t>
            </w:r>
          </w:p>
        </w:tc>
        <w:tc>
          <w:tcPr>
            <w:tcW w:w="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6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0"/>
          <w:jc w:val="left"/>
        </w:trPr>
        <w:tc>
          <w:tcPr>
            <w:tcW w:w="90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9" w:type="dxa"/>
            <w:gridSpan w:val="2"/>
          </w:tcPr>
          <w:p>
            <w:pPr>
              <w:pStyle w:val="TableParagraph"/>
              <w:spacing w:before="132"/>
              <w:ind w:left="840" w:right="830"/>
              <w:rPr>
                <w:rFonts w:ascii="仿宋" w:eastAsia="仿宋"/>
                <w:sz w:val="18"/>
              </w:rPr>
            </w:pPr>
            <w:r>
              <w:rPr>
                <w:rFonts w:ascii="仿宋" w:eastAsia="仿宋"/>
                <w:spacing w:val="-3"/>
                <w:sz w:val="18"/>
              </w:rPr>
              <w:t>三年分布</w:t>
            </w:r>
          </w:p>
        </w:tc>
        <w:tc>
          <w:tcPr>
            <w:tcW w:w="701" w:type="dxa"/>
          </w:tcPr>
          <w:p>
            <w:pPr>
              <w:pStyle w:val="TableParagraph"/>
              <w:spacing w:before="12" w:line="175" w:lineRule="exact"/>
              <w:ind w:left="668" w:right="-15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  <w:p>
            <w:pPr>
              <w:pStyle w:val="TableParagraph"/>
              <w:spacing w:before="0" w:line="175" w:lineRule="exact"/>
              <w:ind w:left="-10" w:right="-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1168+615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ind w:left="147" w:right="-159"/>
              <w:jc w:val="left"/>
              <w:rPr>
                <w:sz w:val="18"/>
              </w:rPr>
            </w:pPr>
            <w:r>
              <w:rPr>
                <w:spacing w:val="-9"/>
                <w:sz w:val="18"/>
              </w:rPr>
              <w:t>68+61561</w:t>
            </w:r>
          </w:p>
          <w:p>
            <w:pPr>
              <w:pStyle w:val="TableParagraph"/>
              <w:spacing w:before="9" w:line="208" w:lineRule="exact"/>
              <w:ind w:left="10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+1380</w:t>
            </w:r>
          </w:p>
        </w:tc>
        <w:tc>
          <w:tcPr>
            <w:tcW w:w="656" w:type="dxa"/>
          </w:tcPr>
          <w:p>
            <w:pPr>
              <w:pStyle w:val="TableParagraph"/>
              <w:spacing w:before="12"/>
              <w:ind w:left="14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5+1380</w:t>
            </w:r>
          </w:p>
          <w:p>
            <w:pPr>
              <w:pStyle w:val="TableParagraph"/>
              <w:spacing w:before="9" w:line="208" w:lineRule="exact"/>
              <w:ind w:left="10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+1800</w:t>
            </w:r>
          </w:p>
        </w:tc>
        <w:tc>
          <w:tcPr>
            <w:tcW w:w="699" w:type="dxa"/>
          </w:tcPr>
          <w:p>
            <w:pPr>
              <w:pStyle w:val="TableParagraph"/>
              <w:spacing w:before="12"/>
              <w:ind w:left="-1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1380+180</w:t>
            </w:r>
          </w:p>
          <w:p>
            <w:pPr>
              <w:pStyle w:val="TableParagraph"/>
              <w:spacing w:before="9" w:line="208" w:lineRule="exact"/>
              <w:ind w:left="7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0+2300</w:t>
            </w:r>
          </w:p>
        </w:tc>
        <w:tc>
          <w:tcPr>
            <w:tcW w:w="699" w:type="dxa"/>
          </w:tcPr>
          <w:p>
            <w:pPr>
              <w:pStyle w:val="TableParagraph"/>
              <w:spacing w:before="12"/>
              <w:ind w:left="-1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1800+230</w:t>
            </w:r>
          </w:p>
          <w:p>
            <w:pPr>
              <w:pStyle w:val="TableParagraph"/>
              <w:spacing w:before="9" w:line="208" w:lineRule="exact"/>
              <w:ind w:left="7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0+2800</w:t>
            </w:r>
          </w:p>
        </w:tc>
        <w:tc>
          <w:tcPr>
            <w:tcW w:w="699" w:type="dxa"/>
          </w:tcPr>
          <w:p>
            <w:pPr>
              <w:pStyle w:val="TableParagraph"/>
              <w:spacing w:before="12"/>
              <w:ind w:left="-1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2300+280</w:t>
            </w:r>
          </w:p>
          <w:p>
            <w:pPr>
              <w:pStyle w:val="TableParagraph"/>
              <w:spacing w:before="9" w:line="208" w:lineRule="exact"/>
              <w:ind w:left="7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0+2900</w:t>
            </w:r>
          </w:p>
        </w:tc>
        <w:tc>
          <w:tcPr>
            <w:tcW w:w="699" w:type="dxa"/>
          </w:tcPr>
          <w:p>
            <w:pPr>
              <w:pStyle w:val="TableParagraph"/>
              <w:spacing w:before="12"/>
              <w:ind w:left="-1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2800+290</w:t>
            </w:r>
          </w:p>
          <w:p>
            <w:pPr>
              <w:pStyle w:val="TableParagraph"/>
              <w:spacing w:before="9" w:line="208" w:lineRule="exact"/>
              <w:ind w:left="7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0+2900</w:t>
            </w:r>
          </w:p>
        </w:tc>
        <w:tc>
          <w:tcPr>
            <w:tcW w:w="699" w:type="dxa"/>
          </w:tcPr>
          <w:p>
            <w:pPr>
              <w:pStyle w:val="TableParagraph"/>
              <w:spacing w:before="12"/>
              <w:ind w:left="-11" w:right="-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2900+290</w:t>
            </w:r>
          </w:p>
          <w:p>
            <w:pPr>
              <w:pStyle w:val="TableParagraph"/>
              <w:spacing w:before="9" w:line="208" w:lineRule="exact"/>
              <w:ind w:left="7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0+2950</w:t>
            </w:r>
          </w:p>
        </w:tc>
        <w:tc>
          <w:tcPr>
            <w:tcW w:w="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8"/>
        <w:rPr>
          <w:rFonts w:ascii="Microsoft JhengHei"/>
          <w:b/>
          <w:sz w:val="13"/>
        </w:rPr>
      </w:pPr>
    </w:p>
    <w:p>
      <w:pPr>
        <w:pStyle w:val="Heading4"/>
        <w:spacing w:line="429" w:lineRule="exact"/>
      </w:pPr>
      <w:bookmarkStart w:id="14" w:name="_TOC_250010"/>
      <w:r>
        <w:t>（二）</w:t>
      </w:r>
      <w:bookmarkEnd w:id="14"/>
      <w:r>
        <w:rPr>
          <w:spacing w:val="-1"/>
        </w:rPr>
        <w:t>推进人才培养模式创新，打造品牌和特色专业</w:t>
      </w:r>
    </w:p>
    <w:p>
      <w:pPr>
        <w:spacing w:before="115" w:line="446" w:lineRule="auto"/>
        <w:ind w:left="1068" w:right="887" w:firstLine="480"/>
        <w:jc w:val="both"/>
        <w:rPr>
          <w:i/>
          <w:sz w:val="24"/>
        </w:rPr>
      </w:pPr>
      <w:r>
        <w:rPr>
          <w:i/>
          <w:spacing w:val="-2"/>
          <w:sz w:val="24"/>
        </w:rPr>
        <w:t>根据市场需求和学院自身的特点来确定专业发展战略，扬长避短，精心创建和</w:t>
      </w:r>
      <w:r>
        <w:rPr>
          <w:i/>
          <w:spacing w:val="-2"/>
          <w:sz w:val="24"/>
        </w:rPr>
        <w:t>打造特色专业，提高核心竞争力。目前酒店管理和物流管理两个专业已成为厦门市</w:t>
      </w:r>
      <w:r>
        <w:rPr>
          <w:i/>
          <w:spacing w:val="-5"/>
          <w:sz w:val="24"/>
        </w:rPr>
        <w:t xml:space="preserve">的重点专业，计算机网络技术和投资与理财两个专业为院级重点专业。到 </w:t>
      </w:r>
      <w:r>
        <w:rPr>
          <w:spacing w:val="-4"/>
          <w:sz w:val="24"/>
        </w:rPr>
        <w:t>2020</w:t>
      </w:r>
      <w:r>
        <w:rPr>
          <w:spacing w:val="-17"/>
          <w:sz w:val="24"/>
        </w:rPr>
        <w:t xml:space="preserve"> </w:t>
      </w:r>
      <w:r>
        <w:rPr>
          <w:i/>
          <w:spacing w:val="-4"/>
          <w:sz w:val="24"/>
        </w:rPr>
        <w:t>年将</w:t>
      </w:r>
      <w:r>
        <w:rPr>
          <w:i/>
          <w:spacing w:val="-2"/>
          <w:sz w:val="24"/>
        </w:rPr>
        <w:t>重点建设酒店管理、物流管理、计算机网络技术、投资与理财、国际商务、建筑工</w:t>
      </w:r>
      <w:r>
        <w:rPr>
          <w:i/>
          <w:spacing w:val="-1"/>
          <w:sz w:val="24"/>
        </w:rPr>
        <w:t xml:space="preserve">程技术、空中乘务、会计和汽车技术服务与营销等 </w:t>
      </w:r>
      <w:r>
        <w:rPr>
          <w:sz w:val="24"/>
        </w:rPr>
        <w:t>10</w:t>
      </w:r>
      <w:r>
        <w:rPr>
          <w:spacing w:val="-21"/>
          <w:sz w:val="24"/>
        </w:rPr>
        <w:t xml:space="preserve"> </w:t>
      </w:r>
      <w:r>
        <w:rPr>
          <w:i/>
          <w:sz w:val="24"/>
        </w:rPr>
        <w:t>个特色专业。</w:t>
      </w:r>
    </w:p>
    <w:p>
      <w:pPr>
        <w:spacing w:before="0" w:line="446" w:lineRule="auto"/>
        <w:ind w:left="1068" w:right="886" w:firstLine="480"/>
        <w:jc w:val="left"/>
        <w:rPr>
          <w:i/>
          <w:sz w:val="24"/>
        </w:rPr>
      </w:pPr>
      <w:r>
        <w:rPr>
          <w:i/>
          <w:spacing w:val="-2"/>
          <w:sz w:val="24"/>
        </w:rPr>
        <w:t>以厦门市重点专业酒店管理为示范，探索建立校企共同协商制定的教学设计、</w:t>
      </w:r>
      <w:r>
        <w:rPr>
          <w:i/>
          <w:spacing w:val="-1"/>
          <w:sz w:val="24"/>
        </w:rPr>
        <w:t>教学监控与评价的运行机制；制定高技能专业人才的实践教学质量标准体系、制定</w:t>
      </w:r>
    </w:p>
    <w:p>
      <w:pPr>
        <w:spacing w:after="0" w:line="446" w:lineRule="auto"/>
        <w:jc w:val="left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https://d.book118.com/366241154124010055</w:t>
        </w:r>
      </w:hyperlink>
    </w:p>
    <w:p>
      <w:pPr>
        <w:spacing w:after="0" w:line="446" w:lineRule="auto"/>
        <w:jc w:val="left"/>
        <w:rPr>
          <w:sz w:val="24"/>
        </w:rPr>
      </w:pPr>
    </w:p>
    <w:sectPr>
      <w:footerReference w:type="default" r:id="rId15"/>
      <w:pgSz w:w="11910" w:h="16840"/>
      <w:pgMar w:top="1400" w:right="700" w:bottom="820" w:left="520" w:header="0" w:footer="631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3.5pt;height:12pt;margin-top:799.33pt;margin-left:289.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1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3.5pt;height:12pt;margin-top:799.33pt;margin-left:289.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2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33.5pt;height:12pt;margin-top:799.33pt;margin-left:289.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3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3.5pt;height:12pt;margin-top:799.33pt;margin-left:289.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4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33.5pt;height:12pt;margin-top:799.33pt;margin-left:289.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5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33.5pt;height:12pt;margin-top:799.33pt;margin-left:289.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6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33.5pt;height:12pt;margin-top:799.33pt;margin-left:289.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7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33.5pt;height:12pt;margin-top:799.33pt;margin-left:289.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8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33.5pt;height:12pt;margin-top:799.33pt;margin-left:289.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仿宋" w:eastAsia="仿宋"/>
                    <w:sz w:val="18"/>
                  </w:rPr>
                </w:pPr>
                <w:r>
                  <w:rPr>
                    <w:rFonts w:ascii="仿宋" w:eastAsia="仿宋"/>
                    <w:spacing w:val="-23"/>
                    <w:sz w:val="18"/>
                  </w:rPr>
                  <w:t xml:space="preserve">第 </w:t>
                </w:r>
                <w:r>
                  <w:rPr>
                    <w:rFonts w:ascii="Times New Roman" w:eastAsia="Times New Roman"/>
                    <w:sz w:val="18"/>
                  </w:rPr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sz w:val="18"/>
                  </w:rPr>
                  <w:fldChar w:fldCharType="separate"/>
                </w:r>
                <w:r>
                  <w:rPr>
                    <w:rFonts w:ascii="Times New Roman" w:eastAsia="Times New Roman"/>
                    <w:sz w:val="18"/>
                  </w:rPr>
                  <w:t>9</w:t>
                </w:r>
                <w:r>
                  <w:rPr>
                    <w:rFonts w:ascii="Times New Roman" w:eastAsia="Times New Roman"/>
                    <w:sz w:val="18"/>
                  </w:rPr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rFonts w:ascii="仿宋" w:eastAsia="仿宋"/>
                    <w:spacing w:val="-10"/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AE10DC"/>
    <w:multiLevelType w:val="hybridMultilevel"/>
    <w:tmpl w:val="00000000"/>
    <w:lvl w:ilvl="0">
      <w:start w:val="1"/>
      <w:numFmt w:val="decimal"/>
      <w:lvlText w:val="%1."/>
      <w:lvlJc w:val="left"/>
      <w:pPr>
        <w:ind w:left="246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0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92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5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21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040" w:hanging="361"/>
      </w:pPr>
      <w:rPr>
        <w:rFonts w:hint="default"/>
        <w:lang w:val="en-US" w:eastAsia="zh-CN" w:bidi="ar-SA"/>
      </w:rPr>
    </w:lvl>
  </w:abstractNum>
  <w:abstractNum w:abstractNumId="1">
    <w:nsid w:val="0B2D2A47"/>
    <w:multiLevelType w:val="hybridMultilevel"/>
    <w:tmpl w:val="00000000"/>
    <w:lvl w:ilvl="0">
      <w:start w:val="1"/>
      <w:numFmt w:val="decimal"/>
      <w:lvlText w:val="（%1）"/>
      <w:lvlJc w:val="left"/>
      <w:pPr>
        <w:ind w:left="2149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99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84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70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4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26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12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76" w:hanging="601"/>
      </w:pPr>
      <w:rPr>
        <w:rFonts w:hint="default"/>
        <w:lang w:val="en-US" w:eastAsia="zh-CN" w:bidi="ar-SA"/>
      </w:rPr>
    </w:lvl>
  </w:abstractNum>
  <w:abstractNum w:abstractNumId="2">
    <w:nsid w:val="0EE35B61"/>
    <w:multiLevelType w:val="hybridMultilevel"/>
    <w:tmpl w:val="00000000"/>
    <w:lvl w:ilvl="0">
      <w:start w:val="1"/>
      <w:numFmt w:val="decimal"/>
      <w:lvlText w:val="%1."/>
      <w:lvlJc w:val="left"/>
      <w:pPr>
        <w:ind w:left="181" w:hanging="1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22" w:hanging="1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64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06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48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91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33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875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17" w:hanging="181"/>
      </w:pPr>
      <w:rPr>
        <w:rFonts w:hint="default"/>
        <w:lang w:val="en-US" w:eastAsia="zh-CN" w:bidi="ar-SA"/>
      </w:rPr>
    </w:lvl>
  </w:abstractNum>
  <w:abstractNum w:abstractNumId="3">
    <w:nsid w:val="119183BD"/>
    <w:multiLevelType w:val="hybridMultilevel"/>
    <w:tmpl w:val="00000000"/>
    <w:lvl w:ilvl="0">
      <w:start w:val="1"/>
      <w:numFmt w:val="decimal"/>
      <w:lvlText w:val="%1."/>
      <w:lvlJc w:val="left"/>
      <w:pPr>
        <w:ind w:left="246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0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92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5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21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040" w:hanging="361"/>
      </w:pPr>
      <w:rPr>
        <w:rFonts w:hint="default"/>
        <w:lang w:val="en-US" w:eastAsia="zh-CN" w:bidi="ar-SA"/>
      </w:rPr>
    </w:lvl>
  </w:abstractNum>
  <w:abstractNum w:abstractNumId="4">
    <w:nsid w:val="1BE16C46"/>
    <w:multiLevelType w:val="hybridMultilevel"/>
    <w:tmpl w:val="00000000"/>
    <w:lvl w:ilvl="0">
      <w:start w:val="1"/>
      <w:numFmt w:val="decimal"/>
      <w:lvlText w:val="%1."/>
      <w:lvlJc w:val="left"/>
      <w:pPr>
        <w:ind w:left="190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7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5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7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5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28" w:hanging="361"/>
      </w:pPr>
      <w:rPr>
        <w:rFonts w:hint="default"/>
        <w:lang w:val="en-US" w:eastAsia="zh-CN" w:bidi="ar-SA"/>
      </w:rPr>
    </w:lvl>
  </w:abstractNum>
  <w:abstractNum w:abstractNumId="5">
    <w:nsid w:val="1F7D01A9"/>
    <w:multiLevelType w:val="hybridMultilevel"/>
    <w:tmpl w:val="00000000"/>
    <w:lvl w:ilvl="0">
      <w:start w:val="1"/>
      <w:numFmt w:val="decimal"/>
      <w:lvlText w:val="（%1）"/>
      <w:lvlJc w:val="left"/>
      <w:pPr>
        <w:ind w:left="2149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99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84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70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4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26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12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76" w:hanging="601"/>
      </w:pPr>
      <w:rPr>
        <w:rFonts w:hint="default"/>
        <w:lang w:val="en-US" w:eastAsia="zh-CN" w:bidi="ar-SA"/>
      </w:rPr>
    </w:lvl>
  </w:abstractNum>
  <w:abstractNum w:abstractNumId="6">
    <w:nsid w:val="20CA23E7"/>
    <w:multiLevelType w:val="hybridMultilevel"/>
    <w:tmpl w:val="00000000"/>
    <w:lvl w:ilvl="0">
      <w:start w:val="1"/>
      <w:numFmt w:val="decimal"/>
      <w:lvlText w:val="%1."/>
      <w:lvlJc w:val="left"/>
      <w:pPr>
        <w:ind w:left="190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7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5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7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5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28" w:hanging="361"/>
      </w:pPr>
      <w:rPr>
        <w:rFonts w:hint="default"/>
        <w:lang w:val="en-US" w:eastAsia="zh-CN" w:bidi="ar-SA"/>
      </w:rPr>
    </w:lvl>
  </w:abstractNum>
  <w:abstractNum w:abstractNumId="7">
    <w:nsid w:val="217314F0"/>
    <w:multiLevelType w:val="hybridMultilevel"/>
    <w:tmpl w:val="00000000"/>
    <w:lvl w:ilvl="0">
      <w:start w:val="1"/>
      <w:numFmt w:val="decimal"/>
      <w:lvlText w:val="%1."/>
      <w:lvlJc w:val="left"/>
      <w:pPr>
        <w:ind w:left="246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82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05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927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50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95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218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040" w:hanging="360"/>
      </w:pPr>
      <w:rPr>
        <w:rFonts w:hint="default"/>
        <w:lang w:val="en-US" w:eastAsia="zh-CN" w:bidi="ar-SA"/>
      </w:rPr>
    </w:lvl>
  </w:abstractNum>
  <w:abstractNum w:abstractNumId="8">
    <w:nsid w:val="29F0B763"/>
    <w:multiLevelType w:val="hybridMultilevel"/>
    <w:tmpl w:val="00000000"/>
    <w:lvl w:ilvl="0">
      <w:start w:val="1"/>
      <w:numFmt w:val="decimal"/>
      <w:lvlText w:val="%1."/>
      <w:lvlJc w:val="left"/>
      <w:pPr>
        <w:ind w:left="347" w:hanging="1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72" w:hanging="1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05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38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71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503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736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69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202" w:hanging="181"/>
      </w:pPr>
      <w:rPr>
        <w:rFonts w:hint="default"/>
        <w:lang w:val="en-US" w:eastAsia="zh-CN" w:bidi="ar-SA"/>
      </w:rPr>
    </w:lvl>
  </w:abstractNum>
  <w:abstractNum w:abstractNumId="9">
    <w:nsid w:val="2A98A309"/>
    <w:multiLevelType w:val="hybridMultilevel"/>
    <w:tmpl w:val="00000000"/>
    <w:lvl w:ilvl="0">
      <w:start w:val="1"/>
      <w:numFmt w:val="decimal"/>
      <w:lvlText w:val="%1."/>
      <w:lvlJc w:val="left"/>
      <w:pPr>
        <w:ind w:left="190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7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5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7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5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28" w:hanging="361"/>
      </w:pPr>
      <w:rPr>
        <w:rFonts w:hint="default"/>
        <w:lang w:val="en-US" w:eastAsia="zh-CN" w:bidi="ar-SA"/>
      </w:rPr>
    </w:lvl>
  </w:abstractNum>
  <w:abstractNum w:abstractNumId="10">
    <w:nsid w:val="2C9C9ED3"/>
    <w:multiLevelType w:val="hybridMultilevel"/>
    <w:tmpl w:val="00000000"/>
    <w:lvl w:ilvl="0">
      <w:start w:val="1"/>
      <w:numFmt w:val="decimal"/>
      <w:lvlText w:val="%1."/>
      <w:lvlJc w:val="left"/>
      <w:pPr>
        <w:ind w:left="257" w:hanging="1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6"/>
        <w:szCs w:val="1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99" w:hanging="1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739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79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19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59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99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938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178" w:hanging="181"/>
      </w:pPr>
      <w:rPr>
        <w:rFonts w:hint="default"/>
        <w:lang w:val="en-US" w:eastAsia="zh-CN" w:bidi="ar-SA"/>
      </w:rPr>
    </w:lvl>
  </w:abstractNum>
  <w:abstractNum w:abstractNumId="11">
    <w:nsid w:val="42D5D66E"/>
    <w:multiLevelType w:val="hybridMultilevel"/>
    <w:tmpl w:val="00000000"/>
    <w:lvl w:ilvl="0">
      <w:start w:val="1"/>
      <w:numFmt w:val="decimal"/>
      <w:lvlText w:val="%1."/>
      <w:lvlJc w:val="left"/>
      <w:pPr>
        <w:ind w:left="2420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4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07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89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2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5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7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20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032" w:hanging="361"/>
      </w:pPr>
      <w:rPr>
        <w:rFonts w:hint="default"/>
        <w:lang w:val="en-US" w:eastAsia="zh-CN" w:bidi="ar-SA"/>
      </w:rPr>
    </w:lvl>
  </w:abstractNum>
  <w:abstractNum w:abstractNumId="12">
    <w:nsid w:val="45FCC3E7"/>
    <w:multiLevelType w:val="hybridMultilevel"/>
    <w:tmpl w:val="00000000"/>
    <w:lvl w:ilvl="0">
      <w:start w:val="1"/>
      <w:numFmt w:val="decimal"/>
      <w:lvlText w:val="%1."/>
      <w:lvlJc w:val="left"/>
      <w:pPr>
        <w:ind w:left="246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0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92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5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21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040" w:hanging="361"/>
      </w:pPr>
      <w:rPr>
        <w:rFonts w:hint="default"/>
        <w:lang w:val="en-US" w:eastAsia="zh-CN" w:bidi="ar-SA"/>
      </w:rPr>
    </w:lvl>
  </w:abstractNum>
  <w:abstractNum w:abstractNumId="13">
    <w:nsid w:val="47483931"/>
    <w:multiLevelType w:val="hybridMultilevel"/>
    <w:tmpl w:val="00000000"/>
    <w:lvl w:ilvl="0">
      <w:start w:val="1"/>
      <w:numFmt w:val="decimal"/>
      <w:lvlText w:val="%1."/>
      <w:lvlJc w:val="left"/>
      <w:pPr>
        <w:ind w:left="1908" w:hanging="3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78" w:hanging="3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57" w:hanging="3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5" w:hanging="3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4" w:hanging="3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93" w:hanging="3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71" w:hanging="3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50" w:hanging="3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28" w:hanging="360"/>
      </w:pPr>
      <w:rPr>
        <w:rFonts w:hint="default"/>
        <w:lang w:val="en-US" w:eastAsia="zh-CN" w:bidi="ar-SA"/>
      </w:rPr>
    </w:lvl>
  </w:abstractNum>
  <w:abstractNum w:abstractNumId="14">
    <w:nsid w:val="51ADDAB9"/>
    <w:multiLevelType w:val="hybridMultilevel"/>
    <w:tmpl w:val="00000000"/>
    <w:lvl w:ilvl="0">
      <w:start w:val="1"/>
      <w:numFmt w:val="decimal"/>
      <w:lvlText w:val="%1."/>
      <w:lvlJc w:val="left"/>
      <w:pPr>
        <w:ind w:left="190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7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5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7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5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28" w:hanging="361"/>
      </w:pPr>
      <w:rPr>
        <w:rFonts w:hint="default"/>
        <w:lang w:val="en-US" w:eastAsia="zh-CN" w:bidi="ar-SA"/>
      </w:rPr>
    </w:lvl>
  </w:abstractNum>
  <w:abstractNum w:abstractNumId="15">
    <w:nsid w:val="531733D0"/>
    <w:multiLevelType w:val="hybridMultilevel"/>
    <w:tmpl w:val="00000000"/>
    <w:lvl w:ilvl="0">
      <w:start w:val="1"/>
      <w:numFmt w:val="decimal"/>
      <w:lvlText w:val="%1."/>
      <w:lvlJc w:val="left"/>
      <w:pPr>
        <w:ind w:left="246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0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92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5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21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040" w:hanging="361"/>
      </w:pPr>
      <w:rPr>
        <w:rFonts w:hint="default"/>
        <w:lang w:val="en-US" w:eastAsia="zh-CN" w:bidi="ar-SA"/>
      </w:rPr>
    </w:lvl>
  </w:abstractNum>
  <w:abstractNum w:abstractNumId="16">
    <w:nsid w:val="534A86FA"/>
    <w:multiLevelType w:val="hybridMultilevel"/>
    <w:tmpl w:val="00000000"/>
    <w:lvl w:ilvl="0">
      <w:start w:val="11"/>
      <w:numFmt w:val="decimal"/>
      <w:lvlText w:val="%1"/>
      <w:lvlJc w:val="left"/>
      <w:pPr>
        <w:ind w:left="1817" w:hanging="45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position w:val="-11"/>
        <w:sz w:val="18"/>
        <w:szCs w:val="1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82" w:hanging="45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45" w:hanging="45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08" w:hanging="45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70" w:hanging="45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33" w:hanging="45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196" w:hanging="45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258" w:hanging="45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321" w:hanging="456"/>
      </w:pPr>
      <w:rPr>
        <w:rFonts w:hint="default"/>
        <w:lang w:val="en-US" w:eastAsia="zh-CN" w:bidi="ar-SA"/>
      </w:rPr>
    </w:lvl>
  </w:abstractNum>
  <w:abstractNum w:abstractNumId="17">
    <w:nsid w:val="6296C2D4"/>
    <w:multiLevelType w:val="hybridMultilevel"/>
    <w:tmpl w:val="00000000"/>
    <w:lvl w:ilvl="0">
      <w:start w:val="1"/>
      <w:numFmt w:val="decimal"/>
      <w:lvlText w:val="%1."/>
      <w:lvlJc w:val="left"/>
      <w:pPr>
        <w:ind w:left="1909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7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5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7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5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928" w:hanging="361"/>
      </w:pPr>
      <w:rPr>
        <w:rFonts w:hint="default"/>
        <w:lang w:val="en-US" w:eastAsia="zh-CN" w:bidi="ar-SA"/>
      </w:rPr>
    </w:lvl>
  </w:abstractNum>
  <w:abstractNum w:abstractNumId="18">
    <w:nsid w:val="638EE79E"/>
    <w:multiLevelType w:val="hybridMultilevel"/>
    <w:tmpl w:val="00000000"/>
    <w:lvl w:ilvl="0">
      <w:start w:val="3"/>
      <w:numFmt w:val="decimal"/>
      <w:lvlText w:val="%1"/>
      <w:lvlJc w:val="left"/>
      <w:pPr>
        <w:ind w:left="1637" w:hanging="32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8"/>
        <w:szCs w:val="1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596" w:hanging="1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6"/>
        <w:szCs w:val="1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30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420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10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200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091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981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1" w:hanging="181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10"/>
  </w:num>
  <w:num w:numId="5">
    <w:abstractNumId w:val="18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17"/>
  </w:num>
  <w:num w:numId="11">
    <w:abstractNumId w:val="13"/>
  </w:num>
  <w:num w:numId="12">
    <w:abstractNumId w:val="14"/>
  </w:num>
  <w:num w:numId="13">
    <w:abstractNumId w:val="3"/>
  </w:num>
  <w:num w:numId="14">
    <w:abstractNumId w:val="11"/>
  </w:num>
  <w:num w:numId="15">
    <w:abstractNumId w:val="0"/>
  </w:num>
  <w:num w:numId="16">
    <w:abstractNumId w:val="7"/>
  </w:num>
  <w:num w:numId="17">
    <w:abstractNumId w:val="12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434" w:lineRule="exact"/>
      <w:ind w:left="128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line="396" w:lineRule="exact"/>
      <w:ind w:left="1668"/>
      <w:outlineLvl w:val="1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paragraph" w:styleId="Heading3">
    <w:name w:val="heading 3"/>
    <w:basedOn w:val="Normal"/>
    <w:uiPriority w:val="1"/>
    <w:qFormat/>
    <w:pPr>
      <w:ind w:left="1628"/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paragraph" w:styleId="Heading4">
    <w:name w:val="heading 4"/>
    <w:basedOn w:val="Normal"/>
    <w:uiPriority w:val="1"/>
    <w:qFormat/>
    <w:pPr>
      <w:spacing w:line="403" w:lineRule="exact"/>
      <w:ind w:left="1548"/>
      <w:outlineLvl w:val="3"/>
    </w:pPr>
    <w:rPr>
      <w:rFonts w:ascii="Microsoft JhengHei" w:eastAsia="Microsoft JhengHei" w:hAnsi="Microsoft JhengHei" w:cs="Microsoft JhengHei"/>
      <w:b/>
      <w:bCs/>
      <w:sz w:val="24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53"/>
      <w:ind w:left="1352"/>
    </w:pPr>
    <w:rPr>
      <w:rFonts w:ascii="Microsoft JhengHei" w:eastAsia="Microsoft JhengHei" w:hAnsi="Microsoft JhengHei" w:cs="Microsoft JhengHei"/>
      <w:b/>
      <w:bCs/>
      <w:i/>
      <w:iCs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212"/>
      <w:ind w:left="1548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OC3">
    <w:name w:val="toc 3"/>
    <w:basedOn w:val="Normal"/>
    <w:uiPriority w:val="1"/>
    <w:qFormat/>
    <w:pPr>
      <w:spacing w:before="212"/>
      <w:ind w:left="2420" w:hanging="362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OC4">
    <w:name w:val="toc 4"/>
    <w:basedOn w:val="Normal"/>
    <w:uiPriority w:val="1"/>
    <w:qFormat/>
    <w:pPr>
      <w:spacing w:before="213"/>
      <w:ind w:left="2469" w:hanging="361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085" w:lineRule="exact"/>
      <w:ind w:left="177"/>
      <w:jc w:val="center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909" w:hanging="361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34"/>
      <w:jc w:val="center"/>
    </w:pPr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hyperlink" Target="https://d.book118.com/366241154124010055" TargetMode="External" /><Relationship Id="rId15" Type="http://schemas.openxmlformats.org/officeDocument/2006/relationships/footer" Target="footer9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2024-03-05T05:42:17Z</dcterms:created>
  <dcterms:modified xsi:type="dcterms:W3CDTF">2024-03-05T05:42:17Z</dcterms:modified>
</cp:coreProperties>
</file>