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2015-2023年广西演艺职业学院高职单招（数学／语文／英语）历年参考题库带答案解析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下列句子中含有使动用法的是（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A.王无罪岁，斯天下之民至焉。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C.东面而视，不见水端。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王安石的《答司马谏议书》是一篇什么体的驳论文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B.书信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李清照《声声慢》（寻寻觅觅）是（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D.田园词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下列句子中，含有被动句式的是（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A.冀君实或见恕也。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B.冉有、季路见于孔子日：“季氏将有事于颛臾。”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C.吏当广所失亡多，为虏所生得，当斩。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D.今君实所以见教者，……以致天下怨谤也。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《往事（一之十四）》一文创作于（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A.1923年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B.1922年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C.1920年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D.1925年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下列《马伶传》的句子中具有讽刺意义的是（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A.耻其技之不若，而去数千里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B.李伶忽失声，匍匐前称弟子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C.或移坐更进之，首不复东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在《答司马谏议书》中，王安石驳斥司马光指责新法“征利”的观点时，所持的理论依据是（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A.“受命于人主”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B.“举先王之政”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C.“为天下理财”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D.“度义而后动”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杜甫《蜀相》“长使英雄泪满襟”的前一句是（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A.三十从军今白发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B.三顾频烦天下计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D.出师未捷身先死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曹禺是中国现代文学史上著名的（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A.剧作家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D.评论家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梁实秋早年参加的文学社团是（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《山居秋暝》是一首（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奠定郭沫若在中国现代文学史上的地位的是他于1921年出版的诗集（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A.《尝试集》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下列关于作品、作者、体裁搭配完全正确的是（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A.《报刘一丈书》——侯方域——书信体议论文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B.《论毅力》——梁实秋——议论文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C.《答司马谏议书》——王安石——书信体驳论文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https://d.book118.com/367063052035006045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367063052035006045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