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overflowPunct w:val="0"/>
        <w:spacing w:line="360" w:lineRule="auto"/>
        <w:ind w:left="105" w:leftChars="50"/>
        <w:contextualSpacing/>
        <w:jc w:val="center"/>
        <w:textAlignment w:val="center"/>
        <w:rPr>
          <w:rFonts w:ascii="Times New Roman" w:eastAsia="幼圆" w:hAnsi="Times New Roman" w:cs="Times New Roman"/>
          <w:b/>
          <w:sz w:val="40"/>
          <w:szCs w:val="32"/>
        </w:rPr>
      </w:pPr>
      <w:bookmarkStart w:id="0" w:name="_GoBack"/>
      <w:bookmarkEnd w:id="0"/>
      <w:r>
        <w:rPr>
          <w:rFonts w:ascii="Times New Roman" w:eastAsia="幼圆" w:hAnsi="Times New Roman" w:cs="Times New Roman"/>
          <w:b/>
          <w:sz w:val="40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125095</wp:posOffset>
                </wp:positionV>
                <wp:extent cx="1614170" cy="533400"/>
                <wp:effectExtent l="0" t="0" r="24765" b="19050"/>
                <wp:wrapNone/>
                <wp:docPr id="30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4170" cy="5334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prstDash val="sysDot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华文中宋" w:eastAsia="华文中宋" w:hAnsi="华文中宋" w:cs="Times New Roman"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华文中宋" w:eastAsia="华文中宋" w:hAnsi="华文中宋" w:cs="Times New Roman" w:hint="eastAsia"/>
                                <w:i/>
                                <w:sz w:val="28"/>
                                <w:szCs w:val="28"/>
                              </w:rPr>
                              <w:t>A练——基础过关</w:t>
                            </w:r>
                          </w:p>
                        </w:txbxContent>
                      </wps:txbx>
                      <wps:bodyPr rot="0" vert="horz" wrap="square" anchor="ctr" anchorCtr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5" type="#_x0000_t202" style="width:127.1pt;height:42pt;margin-top:9.85pt;margin-left:0.15pt;mso-wrap-distance-bottom:0;mso-wrap-distance-left:9pt;mso-wrap-distance-right:9pt;mso-wrap-distance-top:0;position:absolute;v-text-anchor:middle;z-index:251658240" fillcolor="#eeece1" stroked="t" strokecolor="#c0504d" strokeweight="2pt">
                <v:stroke dashstyle="1 1"/>
                <v:textbox>
                  <w:txbxContent>
                    <w:p>
                      <w:pPr>
                        <w:rPr>
                          <w:rFonts w:ascii="华文中宋" w:eastAsia="华文中宋" w:hAnsi="华文中宋" w:cs="Times New Roman"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华文中宋" w:eastAsia="华文中宋" w:hAnsi="华文中宋" w:cs="Times New Roman" w:hint="eastAsia"/>
                          <w:i/>
                          <w:sz w:val="28"/>
                          <w:szCs w:val="28"/>
                        </w:rPr>
                        <w:t>A练——基础过关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幼圆" w:hAnsi="Times New Roman" w:cs="Times New Roman"/>
          <w:b/>
          <w:sz w:val="40"/>
          <w:szCs w:val="32"/>
        </w:rPr>
        <w:t xml:space="preserve">            第二章  海水中的重要元素——钠和氯</w:t>
      </w:r>
    </w:p>
    <w:p>
      <w:pPr>
        <w:overflowPunct w:val="0"/>
        <w:spacing w:line="360" w:lineRule="auto"/>
        <w:ind w:left="105" w:leftChars="50"/>
        <w:contextualSpacing/>
        <w:jc w:val="center"/>
        <w:textAlignment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第三节  物质的量</w:t>
      </w:r>
    </w:p>
    <w:p>
      <w:pPr>
        <w:overflowPunct w:val="0"/>
        <w:spacing w:line="360" w:lineRule="auto"/>
        <w:ind w:left="105" w:leftChars="50"/>
        <w:contextualSpacing/>
        <w:jc w:val="center"/>
        <w:textAlignment w:val="center"/>
        <w:rPr>
          <w:rFonts w:ascii="Times New Roman" w:eastAsia="华文中宋" w:hAnsi="Times New Roman" w:cs="Times New Roman"/>
          <w:color w:val="0070C0"/>
          <w:kern w:val="0"/>
          <w:sz w:val="28"/>
        </w:rPr>
      </w:pPr>
      <w:r>
        <w:rPr>
          <w:rFonts w:ascii="Times New Roman" w:eastAsia="华文中宋" w:hAnsi="Times New Roman" w:cs="Times New Roman"/>
          <w:color w:val="0070C0"/>
          <w:kern w:val="0"/>
          <w:sz w:val="28"/>
        </w:rPr>
        <w:t>课时2  气体摩尔体积</w:t>
      </w:r>
    </w:p>
    <w:p>
      <w:pPr>
        <w:overflowPunct w:val="0"/>
        <w:spacing w:line="360" w:lineRule="auto"/>
        <w:ind w:left="105" w:leftChars="50"/>
        <w:contextualSpacing/>
        <w:jc w:val="center"/>
        <w:textAlignment w:val="center"/>
        <w:rPr>
          <w:rFonts w:ascii="Times New Roman" w:eastAsia="方正姚体" w:hAnsi="Times New Roman" w:cs="Times New Roman"/>
          <w:color w:val="000000" w:themeColor="text1"/>
          <w:kern w:val="0"/>
          <w:sz w:val="28"/>
          <w:bdr w:val="single" w:sz="4" w:space="0" w:color="auto"/>
          <w14:textFill>
            <w14:solidFill>
              <w14:schemeClr w14:val="tx1"/>
            </w14:solidFill>
          </w14:textFill>
        </w:rPr>
      </w:pPr>
      <w:r>
        <w:rPr>
          <w:rFonts w:ascii="Times New Roman" w:eastAsia="方正姚体" w:hAnsi="Times New Roman" w:cs="Times New Roman"/>
          <w:color w:val="000000" w:themeColor="text1"/>
          <w:kern w:val="0"/>
          <w:sz w:val="24"/>
          <w:szCs w:val="21"/>
          <w:bdr w:val="single" w:sz="4" w:space="0" w:color="auto"/>
          <w:shd w:val="pct10" w:color="auto" w:fill="FFFFFF"/>
          <w14:textFill>
            <w14:solidFill>
              <w14:schemeClr w14:val="tx1"/>
            </w14:solidFill>
          </w14:textFill>
        </w:rPr>
        <w:t>本课学习目标</w:t>
      </w:r>
    </w:p>
    <w:p>
      <w:pPr>
        <w:pStyle w:val="PlainText"/>
        <w:tabs>
          <w:tab w:val="left" w:pos="5103"/>
        </w:tabs>
        <w:adjustRightInd w:val="0"/>
        <w:spacing w:line="360" w:lineRule="auto"/>
        <w:contextualSpacing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1.了解气体摩尔体积的含义和应用，体会定量研究对化学科学的重要作用。</w:t>
      </w:r>
    </w:p>
    <w:p>
      <w:pPr>
        <w:pStyle w:val="PlainText"/>
        <w:tabs>
          <w:tab w:val="left" w:pos="4320"/>
        </w:tabs>
        <w:adjustRightInd w:val="0"/>
        <w:spacing w:line="360" w:lineRule="auto"/>
        <w:contextualSpacing/>
        <w:rPr>
          <w:rFonts w:ascii="Times New Roman" w:hAnsi="Times New Roman" w:cs="Times New Roman"/>
          <w:shd w:val="pct10" w:color="auto" w:fill="FFFFFF"/>
        </w:rPr>
      </w:pPr>
      <w:r>
        <w:rPr>
          <w:rFonts w:ascii="Times New Roman" w:hAnsi="Times New Roman" w:cs="Times New Roman"/>
        </w:rPr>
        <w:t>2.能基于物质的量认识物质组成及其化学变化，并运用物质的量、摩尔质量、气体摩尔体积之间的相互关系进行简单计算。</w:t>
      </w:r>
    </w:p>
    <w:p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黑体" w:hAnsi="Times New Roman" w:cs="Times New Roman"/>
          <w:szCs w:val="21"/>
        </w:rPr>
        <w:t>重点：</w:t>
      </w:r>
      <w:r>
        <w:rPr>
          <w:rFonts w:ascii="Times New Roman" w:hAnsi="Times New Roman" w:cs="Times New Roman"/>
          <w:szCs w:val="21"/>
        </w:rPr>
        <w:t>气体摩尔体积的相关计算与应用。</w:t>
      </w:r>
    </w:p>
    <w:p>
      <w:pPr>
        <w:overflowPunct w:val="0"/>
        <w:spacing w:line="360" w:lineRule="auto"/>
        <w:textAlignment w:val="center"/>
        <w:rPr>
          <w:rFonts w:ascii="Times New Roman" w:eastAsia="方正姚体" w:hAnsi="Times New Roman" w:cs="Times New Roman"/>
          <w:color w:val="000000" w:themeColor="text1"/>
          <w:kern w:val="0"/>
          <w:sz w:val="28"/>
          <w:bdr w:val="single" w:sz="4" w:space="0" w:color="auto"/>
          <w14:textFill>
            <w14:solidFill>
              <w14:schemeClr w14:val="tx1"/>
            </w14:solidFill>
          </w14:textFill>
        </w:rPr>
      </w:pPr>
      <w:r>
        <w:rPr>
          <w:rFonts w:ascii="Times New Roman" w:eastAsia="方正姚体" w:hAnsi="Times New Roman" w:cs="Times New Roman"/>
          <w:color w:val="000000" w:themeColor="text1"/>
          <w:kern w:val="0"/>
          <w:sz w:val="24"/>
          <w:szCs w:val="21"/>
          <w:bdr w:val="single" w:sz="4" w:space="0" w:color="auto"/>
          <w:shd w:val="pct10" w:color="auto" w:fill="FFFFFF"/>
          <w14:textFill>
            <w14:solidFill>
              <w14:schemeClr w14:val="tx1"/>
            </w14:solidFill>
          </w14:textFill>
        </w:rPr>
        <w:t>课前预习导学</w:t>
      </w:r>
    </w:p>
    <w:p>
      <w:pPr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一．物质体积大小的影响因素</w:t>
      </w:r>
    </w:p>
    <w:p>
      <w:pPr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1.物质在固态或液态时，粒子间的平均距离比气态小的多，决定固体、液体的体积的主要因素</w:t>
      </w:r>
      <w:r>
        <w:rPr>
          <w:rFonts w:ascii="Times New Roman" w:eastAsia="宋体" w:hAnsi="Times New Roman" w:cs="Times New Roman"/>
        </w:rPr>
        <w:t>______________</w:t>
      </w:r>
      <w:r>
        <w:rPr>
          <w:rFonts w:ascii="Times New Roman" w:eastAsia="宋体" w:hAnsi="Times New Roman" w:cs="Times New Roman"/>
          <w:szCs w:val="21"/>
        </w:rPr>
        <w:t>，由于粒子的大小是</w:t>
      </w:r>
      <w:r>
        <w:rPr>
          <w:rFonts w:ascii="Times New Roman" w:eastAsia="宋体" w:hAnsi="Times New Roman" w:cs="Times New Roman"/>
        </w:rPr>
        <w:t>______________</w:t>
      </w:r>
      <w:r>
        <w:rPr>
          <w:rFonts w:ascii="Times New Roman" w:eastAsia="宋体" w:hAnsi="Times New Roman" w:cs="Times New Roman"/>
          <w:szCs w:val="21"/>
        </w:rPr>
        <w:t>，所以，1mol不同的固态或液态物质的体积是</w:t>
      </w:r>
      <w:r>
        <w:rPr>
          <w:rFonts w:ascii="Times New Roman" w:eastAsia="宋体" w:hAnsi="Times New Roman" w:cs="Times New Roman"/>
        </w:rPr>
        <w:t>______________</w:t>
      </w:r>
      <w:r>
        <w:rPr>
          <w:rFonts w:ascii="Times New Roman" w:eastAsia="宋体" w:hAnsi="Times New Roman" w:cs="Times New Roman"/>
          <w:szCs w:val="21"/>
        </w:rPr>
        <w:t>。而气体物质分子之间的距离很大，远大于粒子大小，故气体物质的体积主要决定于</w:t>
      </w:r>
      <w:r>
        <w:rPr>
          <w:rFonts w:ascii="Times New Roman" w:eastAsia="宋体" w:hAnsi="Times New Roman" w:cs="Times New Roman"/>
        </w:rPr>
        <w:t>_____________________</w:t>
      </w:r>
      <w:r>
        <w:rPr>
          <w:rFonts w:ascii="Times New Roman" w:eastAsia="宋体" w:hAnsi="Times New Roman" w:cs="Times New Roman"/>
          <w:szCs w:val="21"/>
        </w:rPr>
        <w:t>。</w:t>
      </w:r>
    </w:p>
    <w:p>
      <w:pPr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1153795</wp:posOffset>
                </wp:positionH>
                <wp:positionV relativeFrom="paragraph">
                  <wp:posOffset>120650</wp:posOffset>
                </wp:positionV>
                <wp:extent cx="427990" cy="657225"/>
                <wp:effectExtent l="7620" t="12065" r="12065" b="6985"/>
                <wp:wrapNone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27990" cy="657225"/>
                          <a:chOff x="4561" y="7970"/>
                          <a:chExt cx="674" cy="1035"/>
                        </a:xfrm>
                      </wpg:grpSpPr>
                      <wps:wsp xmlns:wps="http://schemas.microsoft.com/office/word/2010/wordprocessingShape">
                        <wps:cNvPr id="14" name="自选图形 3"/>
                        <wps:cNvSpPr/>
                        <wps:spPr bwMode="auto">
                          <a:xfrm>
                            <a:off x="4561" y="7970"/>
                            <a:ext cx="674" cy="540"/>
                          </a:xfrm>
                          <a:prstGeom prst="rightBrace">
                            <a:avLst>
                              <a:gd name="adj1" fmla="val 8333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anchor="t" anchorCtr="0" upright="1"/>
                      </wps:wsp>
                      <wps:wsp xmlns:wps="http://schemas.microsoft.com/office/word/2010/wordprocessingShape">
                        <wps:cNvPr id="15" name="自选图形 4"/>
                        <wps:cNvSpPr/>
                        <wps:spPr bwMode="auto">
                          <a:xfrm>
                            <a:off x="4575" y="8465"/>
                            <a:ext cx="584" cy="540"/>
                          </a:xfrm>
                          <a:prstGeom prst="rightBrace">
                            <a:avLst>
                              <a:gd name="adj1" fmla="val 8333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anchor="t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3" o:spid="_x0000_s1026" style="width:35.25pt;height:53.25pt;margin-top:9.5pt;margin-left:90.85pt;mso-wrap-distance-bottom:0;mso-wrap-distance-left:9pt;mso-wrap-distance-right:9pt;mso-wrap-distance-top:0;position:absolute;z-index:251664384" coordorigin="146168,166330" coordsize="21600,21600"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_x0000_s1027" type="#_x0000_t88" style="width:21600;height:11270;left:146169;position:absolute;top:166330;v-text-anchor:top" filled="t" fillcolor="this" stroked="t" strokecolor="black" strokeweight="0.75pt">
                  <v:stroke joinstyle="round"/>
                </v:shape>
                <v:shape id="_x0000_s1028" type="#_x0000_t88" style="width:18716;height:11270;left:146617;position:absolute;top:176661;v-text-anchor:top" filled="t" fillcolor="this" stroked="t" strokecolor="black" strokeweight="0.75pt">
                  <v:stroke joinstyle="round"/>
                </v:shape>
              </v:group>
            </w:pict>
          </mc:Fallback>
        </mc:AlternateContent>
      </w:r>
      <w:r>
        <w:rPr>
          <w:rFonts w:ascii="Times New Roman" w:eastAsia="宋体" w:hAnsi="Times New Roman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1562735</wp:posOffset>
                </wp:positionH>
                <wp:positionV relativeFrom="paragraph">
                  <wp:posOffset>137795</wp:posOffset>
                </wp:positionV>
                <wp:extent cx="1904365" cy="276225"/>
                <wp:effectExtent l="6985" t="10160" r="12700" b="889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436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决定固体或液体的体积</w:t>
                            </w:r>
                          </w:p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9" type="#_x0000_t202" style="width:149.95pt;height:21.75pt;margin-top:10.85pt;margin-left:123.05pt;mso-wrap-distance-bottom:0;mso-wrap-distance-left:9pt;mso-wrap-distance-right:9pt;mso-wrap-distance-top:0;position:absolute;v-text-anchor:top;z-index:251660288" fillcolor="white" stroked="t" strokecolor="black" strokeweight="0.75pt">
                <v:textbox>
                  <w:txbxContent>
                    <w:p>
                      <w:r>
                        <w:rPr>
                          <w:rFonts w:hint="eastAsia"/>
                        </w:rPr>
                        <w:t>决定固体或液体的体积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 xml:space="preserve"> = 1 \* GB3 \* MERGEFORMAT 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宋体" w:eastAsia="宋体" w:hAnsi="宋体" w:cs="宋体" w:hint="eastAsia"/>
        </w:rPr>
        <w:t>①</w:t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  <w:t>粒子</w:t>
      </w:r>
      <w:r>
        <w:rPr>
          <w:rFonts w:ascii="Times New Roman" w:eastAsia="宋体" w:hAnsi="Times New Roman" w:cs="Times New Roman"/>
        </w:rPr>
        <w:t>_______</w:t>
      </w:r>
    </w:p>
    <w:p>
      <w:pPr>
        <w:spacing w:line="360" w:lineRule="auto"/>
        <w:contextualSpacing/>
        <w:rPr>
          <w:rFonts w:ascii="Times New Roman" w:eastAsia="宋体" w:hAnsi="Times New Roman" w:cs="Times New Roman"/>
          <w:szCs w:val="21"/>
          <w:u w:val="single"/>
        </w:rPr>
      </w:pPr>
      <w:r>
        <w:rPr>
          <w:rFonts w:ascii="Times New Roman" w:eastAsia="宋体" w:hAnsi="Times New Roman" w:cs="Times New Roma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1562735</wp:posOffset>
                </wp:positionH>
                <wp:positionV relativeFrom="paragraph">
                  <wp:posOffset>212090</wp:posOffset>
                </wp:positionV>
                <wp:extent cx="1904365" cy="276225"/>
                <wp:effectExtent l="6985" t="10160" r="12700" b="889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436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决定气体的体积</w:t>
                            </w:r>
                          </w:p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30" type="#_x0000_t202" style="width:149.95pt;height:21.75pt;margin-top:16.7pt;margin-left:123.05pt;mso-wrap-distance-bottom:0;mso-wrap-distance-left:9pt;mso-wrap-distance-right:9pt;mso-wrap-distance-top:0;position:absolute;v-text-anchor:top;z-index:251662336" fillcolor="white" stroked="t" strokecolor="black" strokeweight="0.75pt">
                <v:textbox>
                  <w:txbxContent>
                    <w:p>
                      <w:r>
                        <w:rPr>
                          <w:rFonts w:hint="eastAsia"/>
                        </w:rPr>
                        <w:t>决定气体的体积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 xml:space="preserve"> = 2 \* GB3 \* MERGEFORMAT 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宋体" w:eastAsia="宋体" w:hAnsi="宋体" w:cs="宋体" w:hint="eastAsia"/>
        </w:rPr>
        <w:t>②</w:t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  <w:t>粒子</w:t>
      </w:r>
      <w:r>
        <w:rPr>
          <w:rFonts w:ascii="Times New Roman" w:eastAsia="宋体" w:hAnsi="Times New Roman" w:cs="Times New Roman"/>
        </w:rPr>
        <w:t>_______</w:t>
      </w:r>
    </w:p>
    <w:p>
      <w:pPr>
        <w:spacing w:line="360" w:lineRule="auto"/>
        <w:contextualSpacing/>
        <w:rPr>
          <w:rFonts w:ascii="Times New Roman" w:eastAsia="宋体" w:hAnsi="Times New Roman" w:cs="Times New Roman"/>
          <w:szCs w:val="21"/>
          <w:u w:val="single"/>
        </w:rPr>
      </w:pP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 xml:space="preserve"> = 3 \* GB3 \* MERGEFORMAT 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宋体" w:eastAsia="宋体" w:hAnsi="宋体" w:cs="宋体" w:hint="eastAsia"/>
        </w:rPr>
        <w:t>③</w:t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  <w:t>粒子间的</w:t>
      </w:r>
      <w:r>
        <w:rPr>
          <w:rFonts w:ascii="Times New Roman" w:eastAsia="宋体" w:hAnsi="Times New Roman" w:cs="Times New Roman"/>
        </w:rPr>
        <w:t>_______</w:t>
      </w:r>
    </w:p>
    <w:p>
      <w:pPr>
        <w:spacing w:line="360" w:lineRule="auto"/>
        <w:contextualSpacing/>
        <w:rPr>
          <w:rFonts w:ascii="Times New Roman" w:eastAsia="宋体" w:hAnsi="Times New Roman" w:cs="Times New Roman"/>
          <w:szCs w:val="21"/>
          <w:u w:val="single"/>
        </w:rPr>
      </w:pPr>
      <w:r>
        <w:rPr>
          <w:rFonts w:ascii="Times New Roman" w:eastAsia="宋体" w:hAnsi="Times New Roman" w:cs="Times New Roman"/>
          <w:szCs w:val="21"/>
        </w:rPr>
        <w:t>2.决定气体粒子间距离的主要因素是温度和压强（有何影响？），不同气体在相同的温度和压强下，气体粒子之间的距离</w:t>
      </w:r>
      <w:r>
        <w:rPr>
          <w:rFonts w:ascii="Times New Roman" w:eastAsia="宋体" w:hAnsi="Times New Roman" w:cs="Times New Roman"/>
        </w:rPr>
        <w:t>_______</w:t>
      </w:r>
      <w:r>
        <w:rPr>
          <w:rFonts w:ascii="Times New Roman" w:eastAsia="宋体" w:hAnsi="Times New Roman" w:cs="Times New Roman"/>
          <w:szCs w:val="21"/>
        </w:rPr>
        <w:t>。所以，粒子数相同的气体在相同条件下有着相同的体积。</w:t>
      </w:r>
    </w:p>
    <w:p>
      <w:pPr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3.</w:t>
      </w:r>
      <w:r>
        <w:rPr>
          <w:rFonts w:ascii="Times New Roman" w:eastAsia="宋体" w:hAnsi="Times New Roman" w:cs="Times New Roman"/>
        </w:rPr>
        <w:t xml:space="preserve"> _______________________________________________________________</w:t>
      </w:r>
      <w:r>
        <w:rPr>
          <w:rFonts w:ascii="Times New Roman" w:eastAsia="宋体" w:hAnsi="Times New Roman" w:cs="Times New Roman" w:hint="eastAsia"/>
        </w:rPr>
        <w:t>。</w:t>
      </w:r>
      <w:r>
        <w:rPr>
          <w:rFonts w:ascii="Times New Roman" w:eastAsia="宋体" w:hAnsi="Times New Roman" w:cs="Times New Roman"/>
          <w:szCs w:val="21"/>
        </w:rPr>
        <w:t>这就是阿伏伽德罗定律。</w:t>
      </w:r>
    </w:p>
    <w:p>
      <w:pPr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【结论】</w:t>
      </w:r>
    </w:p>
    <w:p>
      <w:pPr>
        <w:numPr>
          <w:ilvl w:val="0"/>
          <w:numId w:val="1"/>
        </w:numPr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在相同条件下粒子数相同的不同固态或液态物质的体积</w:t>
      </w:r>
      <w:r>
        <w:rPr>
          <w:rFonts w:ascii="Times New Roman" w:eastAsia="宋体" w:hAnsi="Times New Roman" w:cs="Times New Roman"/>
        </w:rPr>
        <w:t>_____________</w:t>
      </w:r>
      <w:r>
        <w:rPr>
          <w:rFonts w:ascii="Times New Roman" w:eastAsia="宋体" w:hAnsi="Times New Roman" w:cs="Times New Roman"/>
          <w:szCs w:val="21"/>
        </w:rPr>
        <w:t>；</w:t>
      </w:r>
    </w:p>
    <w:p>
      <w:pPr>
        <w:numPr>
          <w:ilvl w:val="0"/>
          <w:numId w:val="1"/>
        </w:numPr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在同温同压条件下，粒子数相同的任何气体的体积</w:t>
      </w:r>
      <w:r>
        <w:rPr>
          <w:rFonts w:ascii="Times New Roman" w:eastAsia="宋体" w:hAnsi="Times New Roman" w:cs="Times New Roman"/>
        </w:rPr>
        <w:t>_____________</w:t>
      </w:r>
      <w:r>
        <w:rPr>
          <w:rFonts w:ascii="Times New Roman" w:eastAsia="宋体" w:hAnsi="Times New Roman" w:cs="Times New Roman"/>
          <w:szCs w:val="21"/>
        </w:rPr>
        <w:t>。</w:t>
      </w:r>
    </w:p>
    <w:p>
      <w:pPr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【注意】气体的体积受温度、压强的影响很大，因此，说到气体的体积时，必须指明外界条件，否则就没有意义。</w:t>
      </w:r>
    </w:p>
    <w:p>
      <w:pPr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二．气体摩尔体积（符号</w:t>
      </w:r>
      <w:r>
        <w:rPr>
          <w:rFonts w:ascii="Times New Roman" w:eastAsia="宋体" w:hAnsi="Times New Roman" w:cs="Times New Roman"/>
        </w:rPr>
        <w:t>_____________</w:t>
      </w:r>
      <w:r>
        <w:rPr>
          <w:rFonts w:ascii="Times New Roman" w:eastAsia="宋体" w:hAnsi="Times New Roman" w:cs="Times New Roman"/>
          <w:szCs w:val="21"/>
        </w:rPr>
        <w:t>）</w:t>
      </w:r>
    </w:p>
    <w:p>
      <w:pPr>
        <w:spacing w:line="360" w:lineRule="auto"/>
        <w:contextualSpacing/>
        <w:rPr>
          <w:rFonts w:ascii="Times New Roman" w:eastAsia="宋体" w:hAnsi="Times New Roman" w:cs="Times New Roman"/>
          <w:szCs w:val="21"/>
          <w:u w:val="single"/>
        </w:rPr>
      </w:pPr>
      <w:r>
        <w:rPr>
          <w:rFonts w:ascii="Times New Roman" w:eastAsia="宋体" w:hAnsi="Times New Roman" w:cs="Times New Roman"/>
          <w:szCs w:val="21"/>
        </w:rPr>
        <w:t>1.定义：</w:t>
      </w:r>
      <w:r>
        <w:rPr>
          <w:rFonts w:ascii="Times New Roman" w:eastAsia="宋体" w:hAnsi="Times New Roman" w:cs="Times New Roman"/>
        </w:rPr>
        <w:t>_________________________________________________________________________________</w:t>
      </w:r>
    </w:p>
    <w:p>
      <w:pPr>
        <w:tabs>
          <w:tab w:val="left" w:pos="4139"/>
        </w:tabs>
        <w:spacing w:line="360" w:lineRule="auto"/>
        <w:contextualSpacing/>
        <w:rPr>
          <w:rFonts w:ascii="Times New Roman" w:eastAsia="宋体" w:hAnsi="Times New Roman" w:cs="Times New Roman"/>
          <w:szCs w:val="21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宋体" w:hAnsi="Times New Roman" w:cs="Times New Roman"/>
          <w:szCs w:val="21"/>
        </w:rPr>
        <w:t>2.单位:</w:t>
      </w:r>
      <w:r>
        <w:rPr>
          <w:rFonts w:ascii="Times New Roman" w:eastAsia="宋体" w:hAnsi="Times New Roman" w:cs="Times New Roman"/>
        </w:rPr>
        <w:t xml:space="preserve"> _____________</w:t>
      </w:r>
      <w:r>
        <w:rPr>
          <w:rFonts w:ascii="Times New Roman" w:eastAsia="宋体" w:hAnsi="Times New Roman" w:cs="Times New Roman"/>
          <w:szCs w:val="21"/>
        </w:rPr>
        <w:t xml:space="preserve">  </w:t>
      </w:r>
    </w:p>
    <w:p>
      <w:pPr>
        <w:tabs>
          <w:tab w:val="left" w:pos="4139"/>
        </w:tabs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3.表达式：</w:t>
      </w:r>
      <w:r>
        <w:rPr>
          <w:rFonts w:ascii="Times New Roman" w:eastAsia="宋体" w:hAnsi="Times New Roman" w:cs="Times New Roman"/>
        </w:rPr>
        <w:t>__________________________</w:t>
      </w:r>
      <w:r>
        <w:rPr>
          <w:rFonts w:ascii="Times New Roman" w:eastAsia="宋体" w:hAnsi="Times New Roman" w:cs="Times New Roman"/>
          <w:szCs w:val="21"/>
        </w:rPr>
        <w:t>4.影响因素：气体摩尔体积的数值取决于气体所处的温度和压强。</w:t>
      </w:r>
    </w:p>
    <w:p>
      <w:pPr>
        <w:tabs>
          <w:tab w:val="left" w:pos="4139"/>
        </w:tabs>
        <w:spacing w:line="360" w:lineRule="auto"/>
        <w:ind w:firstLine="210" w:firstLineChars="100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温度越高，体积</w:t>
      </w:r>
      <w:r>
        <w:rPr>
          <w:rFonts w:ascii="Times New Roman" w:eastAsia="宋体" w:hAnsi="Times New Roman" w:cs="Times New Roman"/>
        </w:rPr>
        <w:t>_____________</w:t>
      </w:r>
      <w:r>
        <w:rPr>
          <w:rFonts w:ascii="Times New Roman" w:eastAsia="宋体" w:hAnsi="Times New Roman" w:cs="Times New Roman"/>
          <w:szCs w:val="21"/>
        </w:rPr>
        <w:t>；压强越大，体积</w:t>
      </w:r>
      <w:r>
        <w:rPr>
          <w:rFonts w:ascii="Times New Roman" w:eastAsia="宋体" w:hAnsi="Times New Roman" w:cs="Times New Roman"/>
        </w:rPr>
        <w:t>_____________</w:t>
      </w:r>
      <w:r>
        <w:rPr>
          <w:rFonts w:ascii="Times New Roman" w:eastAsia="宋体" w:hAnsi="Times New Roman" w:cs="Times New Roman"/>
          <w:szCs w:val="21"/>
        </w:rPr>
        <w:t>。</w:t>
      </w:r>
    </w:p>
    <w:p>
      <w:pPr>
        <w:tabs>
          <w:tab w:val="left" w:pos="4139"/>
        </w:tabs>
        <w:spacing w:line="360" w:lineRule="auto"/>
        <w:contextualSpacing/>
        <w:rPr>
          <w:rFonts w:ascii="Times New Roman" w:eastAsia="宋体" w:hAnsi="Times New Roman" w:cs="Times New Roman"/>
          <w:color w:val="000000"/>
          <w:szCs w:val="21"/>
        </w:rPr>
      </w:pPr>
      <w:r>
        <w:rPr>
          <w:rFonts w:ascii="Times New Roman" w:eastAsia="宋体" w:hAnsi="Times New Roman" w:cs="Times New Roman"/>
          <w:color w:val="000000"/>
          <w:szCs w:val="21"/>
        </w:rPr>
        <w:t>5.标准状况（</w:t>
      </w:r>
      <w:r>
        <w:rPr>
          <w:rFonts w:ascii="Times New Roman" w:eastAsia="宋体" w:hAnsi="Times New Roman" w:cs="Times New Roman"/>
        </w:rPr>
        <w:t>__________________________</w:t>
      </w:r>
      <w:r>
        <w:rPr>
          <w:rFonts w:ascii="Times New Roman" w:eastAsia="宋体" w:hAnsi="Times New Roman" w:cs="Times New Roman"/>
          <w:color w:val="000000"/>
          <w:szCs w:val="21"/>
        </w:rPr>
        <w:t>）下，气体摩尔体积约为</w:t>
      </w:r>
      <w:r>
        <w:rPr>
          <w:rFonts w:ascii="Times New Roman" w:eastAsia="宋体" w:hAnsi="Times New Roman" w:cs="Times New Roman"/>
        </w:rPr>
        <w:t>_____________</w:t>
      </w:r>
      <w:r>
        <w:rPr>
          <w:rFonts w:ascii="Times New Roman" w:eastAsia="宋体" w:hAnsi="Times New Roman" w:cs="Times New Roman"/>
          <w:color w:val="000000"/>
          <w:szCs w:val="21"/>
        </w:rPr>
        <w:t>L·mol</w:t>
      </w:r>
      <w:r>
        <w:rPr>
          <w:rFonts w:ascii="Times New Roman" w:eastAsia="宋体" w:hAnsi="Times New Roman" w:cs="Times New Roman"/>
          <w:color w:val="000000"/>
          <w:szCs w:val="21"/>
          <w:vertAlign w:val="superscript"/>
        </w:rPr>
        <w:t>－1</w:t>
      </w:r>
      <w:r>
        <w:rPr>
          <w:rFonts w:ascii="Times New Roman" w:eastAsia="宋体" w:hAnsi="Times New Roman" w:cs="Times New Roman"/>
          <w:color w:val="000000"/>
          <w:szCs w:val="21"/>
        </w:rPr>
        <w:t>，常温常压下，V</w:t>
      </w:r>
      <w:r>
        <w:rPr>
          <w:rFonts w:ascii="Times New Roman" w:eastAsia="宋体" w:hAnsi="Times New Roman" w:cs="Times New Roman"/>
          <w:color w:val="000000"/>
          <w:szCs w:val="21"/>
          <w:vertAlign w:val="subscript"/>
        </w:rPr>
        <w:t>m</w:t>
      </w:r>
      <w:r>
        <w:rPr>
          <w:rFonts w:ascii="Times New Roman" w:eastAsia="宋体" w:hAnsi="Times New Roman" w:cs="Times New Roman"/>
          <w:color w:val="000000"/>
          <w:szCs w:val="21"/>
        </w:rPr>
        <w:t>≈24.5 L·mol</w:t>
      </w:r>
      <w:r>
        <w:rPr>
          <w:rFonts w:ascii="Times New Roman" w:eastAsia="宋体" w:hAnsi="Times New Roman" w:cs="Times New Roman"/>
          <w:color w:val="000000"/>
          <w:szCs w:val="21"/>
          <w:vertAlign w:val="superscript"/>
        </w:rPr>
        <w:t>－1</w:t>
      </w:r>
      <w:r>
        <w:rPr>
          <w:rFonts w:ascii="Times New Roman" w:eastAsia="宋体" w:hAnsi="Times New Roman" w:cs="Times New Roman"/>
          <w:color w:val="000000"/>
          <w:szCs w:val="21"/>
        </w:rPr>
        <w:t>。</w:t>
      </w:r>
    </w:p>
    <w:p>
      <w:pPr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【注意】（1）气体摩尔体积的数值取决于气体所处的温度和压强。</w:t>
      </w:r>
    </w:p>
    <w:p>
      <w:pPr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（2）只适用于气态物质，对于固态物质和液态物质来讲不适用。这里所指的“气体”，可以是纯净物，也可是混合物。</w:t>
      </w:r>
    </w:p>
    <w:p>
      <w:pPr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6.气体摩尔体积的相关计算</w:t>
      </w:r>
    </w:p>
    <w:p>
      <w:pPr>
        <w:tabs>
          <w:tab w:val="left" w:pos="4139"/>
        </w:tabs>
        <w:spacing w:line="360" w:lineRule="auto"/>
        <w:contextualSpacing/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 w:val="24"/>
          <w:szCs w:val="56"/>
        </w:rPr>
        <w:drawing>
          <wp:inline distT="0" distB="0" distL="0" distR="0">
            <wp:extent cx="2832735" cy="1118870"/>
            <wp:effectExtent l="0" t="0" r="5715" b="508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3254" cy="111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139"/>
        </w:tabs>
        <w:spacing w:line="360" w:lineRule="auto"/>
        <w:ind w:firstLine="420" w:firstLineChars="200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宋体" w:eastAsia="宋体" w:hAnsi="宋体" w:cs="宋体" w:hint="eastAsia"/>
          <w:szCs w:val="21"/>
        </w:rPr>
        <w:t>①</w:t>
      </w:r>
      <w:r>
        <w:rPr>
          <w:rFonts w:ascii="Times New Roman" w:eastAsia="宋体" w:hAnsi="Times New Roman" w:cs="Times New Roman"/>
          <w:szCs w:val="21"/>
        </w:rPr>
        <w:t>气体的物质的量n＝</w:t>
      </w: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>eq \f(V,V</w:instrText>
      </w:r>
      <w:r>
        <w:rPr>
          <w:rFonts w:ascii="Times New Roman" w:eastAsia="宋体" w:hAnsi="Times New Roman" w:cs="Times New Roman"/>
          <w:szCs w:val="21"/>
          <w:vertAlign w:val="subscript"/>
        </w:rPr>
        <w:instrText>m</w:instrText>
      </w:r>
      <w:r>
        <w:rPr>
          <w:rFonts w:ascii="Times New Roman" w:eastAsia="宋体" w:hAnsi="Times New Roman" w:cs="Times New Roman"/>
          <w:szCs w:val="21"/>
        </w:rPr>
        <w:instrText>)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Times New Roman" w:eastAsia="宋体" w:hAnsi="Times New Roman" w:cs="Times New Roman"/>
          <w:szCs w:val="21"/>
        </w:rPr>
        <w:fldChar w:fldCharType="end"/>
      </w:r>
    </w:p>
    <w:p>
      <w:pPr>
        <w:tabs>
          <w:tab w:val="left" w:pos="4139"/>
        </w:tabs>
        <w:spacing w:line="360" w:lineRule="auto"/>
        <w:ind w:firstLine="420" w:firstLineChars="200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宋体" w:eastAsia="宋体" w:hAnsi="宋体" w:cs="宋体" w:hint="eastAsia"/>
          <w:szCs w:val="21"/>
        </w:rPr>
        <w:t>②</w:t>
      </w:r>
      <w:r>
        <w:rPr>
          <w:rFonts w:ascii="Times New Roman" w:eastAsia="宋体" w:hAnsi="Times New Roman" w:cs="Times New Roman"/>
          <w:szCs w:val="21"/>
        </w:rPr>
        <w:t>气体的密度ρ＝</w:t>
      </w: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>eq \f(m,V)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  <w:t>＝</w:t>
      </w: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>eq \f(m,n·V</w:instrText>
      </w:r>
      <w:r>
        <w:rPr>
          <w:rFonts w:ascii="Times New Roman" w:eastAsia="宋体" w:hAnsi="Times New Roman" w:cs="Times New Roman"/>
          <w:szCs w:val="21"/>
          <w:vertAlign w:val="subscript"/>
        </w:rPr>
        <w:instrText>m</w:instrText>
      </w:r>
      <w:r>
        <w:rPr>
          <w:rFonts w:ascii="Times New Roman" w:eastAsia="宋体" w:hAnsi="Times New Roman" w:cs="Times New Roman"/>
          <w:szCs w:val="21"/>
        </w:rPr>
        <w:instrText>)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  <w:t>＝</w:t>
      </w: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>eq \f(M,V</w:instrText>
      </w:r>
      <w:r>
        <w:rPr>
          <w:rFonts w:ascii="Times New Roman" w:eastAsia="宋体" w:hAnsi="Times New Roman" w:cs="Times New Roman"/>
          <w:szCs w:val="21"/>
          <w:vertAlign w:val="subscript"/>
        </w:rPr>
        <w:instrText>m</w:instrText>
      </w:r>
      <w:r>
        <w:rPr>
          <w:rFonts w:ascii="Times New Roman" w:eastAsia="宋体" w:hAnsi="Times New Roman" w:cs="Times New Roman"/>
          <w:szCs w:val="21"/>
        </w:rPr>
        <w:instrText>)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Times New Roman" w:eastAsia="宋体" w:hAnsi="Times New Roman" w:cs="Times New Roman"/>
          <w:szCs w:val="21"/>
        </w:rPr>
        <w:fldChar w:fldCharType="end"/>
      </w:r>
    </w:p>
    <w:p>
      <w:pPr>
        <w:tabs>
          <w:tab w:val="left" w:pos="4139"/>
        </w:tabs>
        <w:spacing w:line="360" w:lineRule="auto"/>
        <w:ind w:firstLine="420" w:firstLineChars="200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宋体" w:eastAsia="宋体" w:hAnsi="宋体" w:cs="宋体" w:hint="eastAsia"/>
          <w:szCs w:val="21"/>
        </w:rPr>
        <w:t>③</w:t>
      </w:r>
      <w:r>
        <w:rPr>
          <w:rFonts w:ascii="Times New Roman" w:eastAsia="宋体" w:hAnsi="Times New Roman" w:cs="Times New Roman"/>
          <w:szCs w:val="21"/>
        </w:rPr>
        <w:t>气体的分子数N＝n·N</w:t>
      </w:r>
      <w:r>
        <w:rPr>
          <w:rFonts w:ascii="Times New Roman" w:eastAsia="宋体" w:hAnsi="Times New Roman" w:cs="Times New Roman"/>
          <w:szCs w:val="21"/>
          <w:vertAlign w:val="subscript"/>
        </w:rPr>
        <w:t>A</w:t>
      </w:r>
      <w:r>
        <w:rPr>
          <w:rFonts w:ascii="Times New Roman" w:eastAsia="宋体" w:hAnsi="Times New Roman" w:cs="Times New Roman"/>
          <w:szCs w:val="21"/>
        </w:rPr>
        <w:t>＝</w:t>
      </w: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>eq \f(V,V</w:instrText>
      </w:r>
      <w:r>
        <w:rPr>
          <w:rFonts w:ascii="Times New Roman" w:eastAsia="宋体" w:hAnsi="Times New Roman" w:cs="Times New Roman"/>
          <w:szCs w:val="21"/>
          <w:vertAlign w:val="subscript"/>
        </w:rPr>
        <w:instrText>m</w:instrText>
      </w:r>
      <w:r>
        <w:rPr>
          <w:rFonts w:ascii="Times New Roman" w:eastAsia="宋体" w:hAnsi="Times New Roman" w:cs="Times New Roman"/>
          <w:szCs w:val="21"/>
        </w:rPr>
        <w:instrText>)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  <w:t>·N</w:t>
      </w:r>
      <w:r>
        <w:rPr>
          <w:rFonts w:ascii="Times New Roman" w:eastAsia="宋体" w:hAnsi="Times New Roman" w:cs="Times New Roman"/>
          <w:szCs w:val="21"/>
          <w:vertAlign w:val="subscript"/>
        </w:rPr>
        <w:t>A</w:t>
      </w:r>
    </w:p>
    <w:p>
      <w:pPr>
        <w:tabs>
          <w:tab w:val="left" w:pos="4139"/>
        </w:tabs>
        <w:spacing w:line="360" w:lineRule="auto"/>
        <w:ind w:firstLine="420" w:firstLineChars="200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宋体" w:eastAsia="宋体" w:hAnsi="宋体" w:cs="宋体" w:hint="eastAsia"/>
          <w:szCs w:val="21"/>
        </w:rPr>
        <w:t>④</w:t>
      </w:r>
      <w:r>
        <w:rPr>
          <w:rFonts w:ascii="Times New Roman" w:eastAsia="宋体" w:hAnsi="Times New Roman" w:cs="Times New Roman"/>
          <w:szCs w:val="21"/>
        </w:rPr>
        <w:t>气体的质量m＝n·M＝</w:t>
      </w: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>eq \f(V,V</w:instrText>
      </w:r>
      <w:r>
        <w:rPr>
          <w:rFonts w:ascii="Times New Roman" w:eastAsia="宋体" w:hAnsi="Times New Roman" w:cs="Times New Roman"/>
          <w:szCs w:val="21"/>
          <w:vertAlign w:val="subscript"/>
        </w:rPr>
        <w:instrText>m</w:instrText>
      </w:r>
      <w:r>
        <w:rPr>
          <w:rFonts w:ascii="Times New Roman" w:eastAsia="宋体" w:hAnsi="Times New Roman" w:cs="Times New Roman"/>
          <w:szCs w:val="21"/>
        </w:rPr>
        <w:instrText>)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  <w:t>·M</w:t>
      </w:r>
    </w:p>
    <w:p>
      <w:pPr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三．阿伏伽德罗定律及其应用</w:t>
      </w:r>
    </w:p>
    <w:p>
      <w:pPr>
        <w:tabs>
          <w:tab w:val="left" w:pos="4139"/>
        </w:tabs>
        <w:spacing w:line="360" w:lineRule="auto"/>
        <w:contextualSpacing/>
        <w:rPr>
          <w:rFonts w:ascii="Times New Roman" w:eastAsia="宋体" w:hAnsi="Times New Roman" w:cs="Times New Roman"/>
          <w:szCs w:val="21"/>
          <w:u w:val="single"/>
        </w:rPr>
      </w:pPr>
      <w:r>
        <w:rPr>
          <w:rFonts w:ascii="Times New Roman" w:eastAsia="宋体" w:hAnsi="Times New Roman" w:cs="Times New Roman"/>
          <w:szCs w:val="21"/>
        </w:rPr>
        <w:t>1.内容：</w:t>
      </w:r>
      <w:r>
        <w:rPr>
          <w:rFonts w:ascii="Times New Roman" w:eastAsia="宋体" w:hAnsi="Times New Roman" w:cs="Times New Roman"/>
        </w:rPr>
        <w:t>_________________________________________________________________</w:t>
      </w:r>
    </w:p>
    <w:p>
      <w:pPr>
        <w:tabs>
          <w:tab w:val="left" w:pos="4139"/>
        </w:tabs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2.适用范围：任何气体，可以是单一气体，也可以是混合气体。</w:t>
      </w:r>
    </w:p>
    <w:p>
      <w:pPr>
        <w:tabs>
          <w:tab w:val="left" w:pos="4139"/>
        </w:tabs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3.“三同定一同”规律：同温、同压、同体积、同分子数中只要有“三同”则必有第“四同”。</w:t>
      </w:r>
    </w:p>
    <w:p>
      <w:pPr>
        <w:tabs>
          <w:tab w:val="left" w:pos="4139"/>
        </w:tabs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阿伏伽德罗定律又称为“四同定律”。</w:t>
      </w:r>
    </w:p>
    <w:p>
      <w:pPr>
        <w:tabs>
          <w:tab w:val="left" w:pos="4139"/>
        </w:tabs>
        <w:spacing w:line="360" w:lineRule="auto"/>
        <w:contextualSpacing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4．阿伏加德罗定律的推论</w:t>
      </w:r>
    </w:p>
    <w:tbl>
      <w:tblPr>
        <w:tblStyle w:val="TableNormal"/>
        <w:tblW w:w="45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1460"/>
        <w:gridCol w:w="5729"/>
      </w:tblGrid>
      <w:tr>
        <w:tblPrEx>
          <w:tblW w:w="4527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7" w:type="pct"/>
            <w:vMerge w:val="restart"/>
            <w:vAlign w:val="center"/>
          </w:tcPr>
          <w:p>
            <w:pPr>
              <w:tabs>
                <w:tab w:val="left" w:pos="4139"/>
              </w:tabs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相同条件</w:t>
            </w:r>
          </w:p>
        </w:tc>
        <w:tc>
          <w:tcPr>
            <w:tcW w:w="3983" w:type="pct"/>
            <w:gridSpan w:val="2"/>
            <w:vAlign w:val="center"/>
          </w:tcPr>
          <w:p>
            <w:pPr>
              <w:tabs>
                <w:tab w:val="left" w:pos="4139"/>
              </w:tabs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结论</w:t>
            </w:r>
          </w:p>
        </w:tc>
      </w:tr>
      <w:tr>
        <w:tblPrEx>
          <w:tblW w:w="4527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7" w:type="pct"/>
            <w:vMerge/>
            <w:vAlign w:val="center"/>
          </w:tcPr>
          <w:p>
            <w:pPr>
              <w:tabs>
                <w:tab w:val="left" w:pos="4139"/>
              </w:tabs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9" w:type="pct"/>
            <w:vAlign w:val="center"/>
          </w:tcPr>
          <w:p>
            <w:pPr>
              <w:tabs>
                <w:tab w:val="left" w:pos="4139"/>
              </w:tabs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公式</w:t>
            </w:r>
          </w:p>
        </w:tc>
        <w:tc>
          <w:tcPr>
            <w:tcW w:w="3174" w:type="pct"/>
            <w:vAlign w:val="center"/>
          </w:tcPr>
          <w:p>
            <w:pPr>
              <w:tabs>
                <w:tab w:val="left" w:pos="4139"/>
              </w:tabs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语言表达</w:t>
            </w:r>
          </w:p>
        </w:tc>
      </w:tr>
      <w:tr>
        <w:tblPrEx>
          <w:tblW w:w="4527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7" w:type="pct"/>
            <w:vAlign w:val="center"/>
          </w:tcPr>
          <w:p>
            <w:pPr>
              <w:tabs>
                <w:tab w:val="left" w:pos="4139"/>
              </w:tabs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T、p相同</w:t>
            </w:r>
          </w:p>
        </w:tc>
        <w:tc>
          <w:tcPr>
            <w:tcW w:w="809" w:type="pct"/>
            <w:vAlign w:val="center"/>
          </w:tcPr>
          <w:p>
            <w:pPr>
              <w:tabs>
                <w:tab w:val="left" w:pos="4139"/>
              </w:tabs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szCs w:val="21"/>
              </w:rPr>
              <w:instrText>eq \f(V</w:instrTex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instrText>1</w:instrText>
            </w:r>
            <w:r>
              <w:rPr>
                <w:rFonts w:ascii="Times New Roman" w:eastAsia="宋体" w:hAnsi="Times New Roman" w:cs="Times New Roman"/>
                <w:szCs w:val="21"/>
              </w:rPr>
              <w:instrText>,V</w:instrTex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instrText>2</w:instrText>
            </w:r>
            <w:r>
              <w:rPr>
                <w:rFonts w:ascii="Times New Roman" w:eastAsia="宋体" w:hAnsi="Times New Roman" w:cs="Times New Roman"/>
                <w:szCs w:val="21"/>
              </w:rPr>
              <w:instrText>)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>
              <w:rPr>
                <w:rFonts w:ascii="Times New Roman" w:eastAsia="宋体" w:hAnsi="Times New Roman" w:cs="Times New Roman"/>
                <w:szCs w:val="21"/>
              </w:rPr>
              <w:t>＝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szCs w:val="21"/>
              </w:rPr>
              <w:instrText>eq \f(n</w:instrTex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instrText>1</w:instrText>
            </w:r>
            <w:r>
              <w:rPr>
                <w:rFonts w:ascii="Times New Roman" w:eastAsia="宋体" w:hAnsi="Times New Roman" w:cs="Times New Roman"/>
                <w:szCs w:val="21"/>
              </w:rPr>
              <w:instrText>,n</w:instrTex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instrText>2</w:instrText>
            </w:r>
            <w:r>
              <w:rPr>
                <w:rFonts w:ascii="Times New Roman" w:eastAsia="宋体" w:hAnsi="Times New Roman" w:cs="Times New Roman"/>
                <w:szCs w:val="21"/>
              </w:rPr>
              <w:instrText>)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3174" w:type="pct"/>
            <w:vAlign w:val="center"/>
          </w:tcPr>
          <w:p>
            <w:pPr>
              <w:tabs>
                <w:tab w:val="left" w:pos="4139"/>
              </w:tabs>
              <w:spacing w:line="360" w:lineRule="auto"/>
              <w:contextualSpacing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同温、同压下，气体的体积与物质的量成正比</w:t>
            </w:r>
          </w:p>
        </w:tc>
      </w:tr>
      <w:tr>
        <w:tblPrEx>
          <w:tblW w:w="4527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7" w:type="pct"/>
            <w:vAlign w:val="center"/>
          </w:tcPr>
          <w:p>
            <w:pPr>
              <w:tabs>
                <w:tab w:val="left" w:pos="4139"/>
              </w:tabs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T、V相同</w:t>
            </w:r>
          </w:p>
        </w:tc>
        <w:tc>
          <w:tcPr>
            <w:tcW w:w="809" w:type="pct"/>
            <w:vAlign w:val="center"/>
          </w:tcPr>
          <w:p>
            <w:pPr>
              <w:tabs>
                <w:tab w:val="left" w:pos="4139"/>
              </w:tabs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szCs w:val="21"/>
              </w:rPr>
              <w:instrText>eq \f(p</w:instrTex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instrText>1</w:instrText>
            </w:r>
            <w:r>
              <w:rPr>
                <w:rFonts w:ascii="Times New Roman" w:eastAsia="宋体" w:hAnsi="Times New Roman" w:cs="Times New Roman"/>
                <w:szCs w:val="21"/>
              </w:rPr>
              <w:instrText>,p</w:instrTex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instrText>2</w:instrText>
            </w:r>
            <w:r>
              <w:rPr>
                <w:rFonts w:ascii="Times New Roman" w:eastAsia="宋体" w:hAnsi="Times New Roman" w:cs="Times New Roman"/>
                <w:szCs w:val="21"/>
              </w:rPr>
              <w:instrText>)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>
              <w:rPr>
                <w:rFonts w:ascii="Times New Roman" w:eastAsia="宋体" w:hAnsi="Times New Roman" w:cs="Times New Roman"/>
                <w:szCs w:val="21"/>
              </w:rPr>
              <w:t>＝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szCs w:val="21"/>
              </w:rPr>
              <w:instrText>eq \f(n</w:instrTex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instrText>1</w:instrText>
            </w:r>
            <w:r>
              <w:rPr>
                <w:rFonts w:ascii="Times New Roman" w:eastAsia="宋体" w:hAnsi="Times New Roman" w:cs="Times New Roman"/>
                <w:szCs w:val="21"/>
              </w:rPr>
              <w:instrText>,n</w:instrTex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instrText>2</w:instrText>
            </w:r>
            <w:r>
              <w:rPr>
                <w:rFonts w:ascii="Times New Roman" w:eastAsia="宋体" w:hAnsi="Times New Roman" w:cs="Times New Roman"/>
                <w:szCs w:val="21"/>
              </w:rPr>
              <w:instrText>)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3174" w:type="pct"/>
            <w:vAlign w:val="center"/>
          </w:tcPr>
          <w:p>
            <w:pPr>
              <w:tabs>
                <w:tab w:val="left" w:pos="4139"/>
              </w:tabs>
              <w:spacing w:line="360" w:lineRule="auto"/>
              <w:contextualSpacing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同温、同体积的气体，其压强与物质的量成正比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https://d.book118.com/367105021141006054</w:t>
        </w:r>
      </w:hyperlink>
    </w:p>
    <w:p/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3FA90EB"/>
    <w:multiLevelType w:val="singleLevel"/>
    <w:tmpl w:val="53FA90EB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15507"/>
    <w:rsid w:val="000178F6"/>
    <w:rsid w:val="000179AF"/>
    <w:rsid w:val="00032146"/>
    <w:rsid w:val="0003293D"/>
    <w:rsid w:val="00041561"/>
    <w:rsid w:val="0004675E"/>
    <w:rsid w:val="00051F46"/>
    <w:rsid w:val="00054A50"/>
    <w:rsid w:val="00071361"/>
    <w:rsid w:val="00074F17"/>
    <w:rsid w:val="00076B43"/>
    <w:rsid w:val="000777B6"/>
    <w:rsid w:val="00092AC2"/>
    <w:rsid w:val="000A11E5"/>
    <w:rsid w:val="000B6691"/>
    <w:rsid w:val="000C00B1"/>
    <w:rsid w:val="000C3F31"/>
    <w:rsid w:val="000D38AA"/>
    <w:rsid w:val="000D7007"/>
    <w:rsid w:val="000E2263"/>
    <w:rsid w:val="000E4A0D"/>
    <w:rsid w:val="000E6F27"/>
    <w:rsid w:val="0010086E"/>
    <w:rsid w:val="00103287"/>
    <w:rsid w:val="001157F8"/>
    <w:rsid w:val="0011654E"/>
    <w:rsid w:val="001374DA"/>
    <w:rsid w:val="00146953"/>
    <w:rsid w:val="00151C6C"/>
    <w:rsid w:val="0017778F"/>
    <w:rsid w:val="00191499"/>
    <w:rsid w:val="001C00EC"/>
    <w:rsid w:val="001C5535"/>
    <w:rsid w:val="001D264D"/>
    <w:rsid w:val="001D4CC8"/>
    <w:rsid w:val="001E071B"/>
    <w:rsid w:val="001E25DE"/>
    <w:rsid w:val="001E492C"/>
    <w:rsid w:val="001F7A30"/>
    <w:rsid w:val="0020199E"/>
    <w:rsid w:val="002140CD"/>
    <w:rsid w:val="00216ECF"/>
    <w:rsid w:val="002227B0"/>
    <w:rsid w:val="00241D2D"/>
    <w:rsid w:val="00244DD2"/>
    <w:rsid w:val="00260DA9"/>
    <w:rsid w:val="00262D13"/>
    <w:rsid w:val="00267B8F"/>
    <w:rsid w:val="0027067E"/>
    <w:rsid w:val="002771D2"/>
    <w:rsid w:val="002A26E9"/>
    <w:rsid w:val="002B2733"/>
    <w:rsid w:val="002C7E27"/>
    <w:rsid w:val="002D2CA7"/>
    <w:rsid w:val="002D6A82"/>
    <w:rsid w:val="002E56FE"/>
    <w:rsid w:val="002F0034"/>
    <w:rsid w:val="002F3EFD"/>
    <w:rsid w:val="003055FB"/>
    <w:rsid w:val="003148EB"/>
    <w:rsid w:val="00316A1B"/>
    <w:rsid w:val="00346E63"/>
    <w:rsid w:val="003476BB"/>
    <w:rsid w:val="00350902"/>
    <w:rsid w:val="00356A6D"/>
    <w:rsid w:val="00363227"/>
    <w:rsid w:val="00375DFE"/>
    <w:rsid w:val="00380854"/>
    <w:rsid w:val="003823AA"/>
    <w:rsid w:val="00382586"/>
    <w:rsid w:val="00397F12"/>
    <w:rsid w:val="003A53AC"/>
    <w:rsid w:val="003A722A"/>
    <w:rsid w:val="003B6A60"/>
    <w:rsid w:val="003D687D"/>
    <w:rsid w:val="003F1EFD"/>
    <w:rsid w:val="003F5969"/>
    <w:rsid w:val="00401952"/>
    <w:rsid w:val="0040402F"/>
    <w:rsid w:val="00412C7F"/>
    <w:rsid w:val="004151FC"/>
    <w:rsid w:val="004345D7"/>
    <w:rsid w:val="00443702"/>
    <w:rsid w:val="00467572"/>
    <w:rsid w:val="0047331D"/>
    <w:rsid w:val="00474D14"/>
    <w:rsid w:val="00486104"/>
    <w:rsid w:val="00490809"/>
    <w:rsid w:val="00496965"/>
    <w:rsid w:val="00497F78"/>
    <w:rsid w:val="004A28E0"/>
    <w:rsid w:val="004A3F48"/>
    <w:rsid w:val="004A5D3E"/>
    <w:rsid w:val="004A6903"/>
    <w:rsid w:val="004A6B13"/>
    <w:rsid w:val="004B3CD2"/>
    <w:rsid w:val="004C3107"/>
    <w:rsid w:val="004C4D67"/>
    <w:rsid w:val="004C7201"/>
    <w:rsid w:val="004D1F2F"/>
    <w:rsid w:val="004F27C7"/>
    <w:rsid w:val="00516410"/>
    <w:rsid w:val="00537BEE"/>
    <w:rsid w:val="00543158"/>
    <w:rsid w:val="00547B5F"/>
    <w:rsid w:val="00551DBB"/>
    <w:rsid w:val="0056487D"/>
    <w:rsid w:val="00597E91"/>
    <w:rsid w:val="005A10DA"/>
    <w:rsid w:val="005C454E"/>
    <w:rsid w:val="005D4291"/>
    <w:rsid w:val="00600D29"/>
    <w:rsid w:val="00623DD3"/>
    <w:rsid w:val="00633680"/>
    <w:rsid w:val="00635404"/>
    <w:rsid w:val="00647715"/>
    <w:rsid w:val="006519C7"/>
    <w:rsid w:val="00655CA5"/>
    <w:rsid w:val="0066771E"/>
    <w:rsid w:val="00667A82"/>
    <w:rsid w:val="006A62C9"/>
    <w:rsid w:val="006C00F6"/>
    <w:rsid w:val="006C25E4"/>
    <w:rsid w:val="006E406D"/>
    <w:rsid w:val="006E7736"/>
    <w:rsid w:val="006F0BDD"/>
    <w:rsid w:val="006F3295"/>
    <w:rsid w:val="00714FDE"/>
    <w:rsid w:val="007161C7"/>
    <w:rsid w:val="00721109"/>
    <w:rsid w:val="00753E7B"/>
    <w:rsid w:val="00767320"/>
    <w:rsid w:val="00773439"/>
    <w:rsid w:val="007757FD"/>
    <w:rsid w:val="007A43E3"/>
    <w:rsid w:val="007C0374"/>
    <w:rsid w:val="007D54D4"/>
    <w:rsid w:val="007D7FDF"/>
    <w:rsid w:val="007E1C5C"/>
    <w:rsid w:val="007E4654"/>
    <w:rsid w:val="007E6691"/>
    <w:rsid w:val="007F19F1"/>
    <w:rsid w:val="007F3EEE"/>
    <w:rsid w:val="00803419"/>
    <w:rsid w:val="0081069C"/>
    <w:rsid w:val="008124A7"/>
    <w:rsid w:val="008201A7"/>
    <w:rsid w:val="00820D23"/>
    <w:rsid w:val="008231B3"/>
    <w:rsid w:val="00823A09"/>
    <w:rsid w:val="00833557"/>
    <w:rsid w:val="0085328A"/>
    <w:rsid w:val="00881ED5"/>
    <w:rsid w:val="008833D6"/>
    <w:rsid w:val="00883725"/>
    <w:rsid w:val="008A36E9"/>
    <w:rsid w:val="008A62A4"/>
    <w:rsid w:val="008D7545"/>
    <w:rsid w:val="008F1BE0"/>
    <w:rsid w:val="008F3AF6"/>
    <w:rsid w:val="008F7B0B"/>
    <w:rsid w:val="009035F2"/>
    <w:rsid w:val="009069DE"/>
    <w:rsid w:val="009116C3"/>
    <w:rsid w:val="00913910"/>
    <w:rsid w:val="00950E0C"/>
    <w:rsid w:val="009513EE"/>
    <w:rsid w:val="00962479"/>
    <w:rsid w:val="00965AD4"/>
    <w:rsid w:val="00995CC3"/>
    <w:rsid w:val="009A056D"/>
    <w:rsid w:val="009A2072"/>
    <w:rsid w:val="009A3698"/>
    <w:rsid w:val="009A607F"/>
    <w:rsid w:val="009A7BE6"/>
    <w:rsid w:val="009D0D9B"/>
    <w:rsid w:val="009D6E8A"/>
    <w:rsid w:val="009E5A9D"/>
    <w:rsid w:val="009F0B76"/>
    <w:rsid w:val="00A03058"/>
    <w:rsid w:val="00A2284B"/>
    <w:rsid w:val="00A254A3"/>
    <w:rsid w:val="00A50E95"/>
    <w:rsid w:val="00A70188"/>
    <w:rsid w:val="00A865EA"/>
    <w:rsid w:val="00A908F1"/>
    <w:rsid w:val="00A97E7F"/>
    <w:rsid w:val="00AC006C"/>
    <w:rsid w:val="00AC1DE3"/>
    <w:rsid w:val="00AD4EA3"/>
    <w:rsid w:val="00B007E0"/>
    <w:rsid w:val="00B02878"/>
    <w:rsid w:val="00B03C8B"/>
    <w:rsid w:val="00B205AE"/>
    <w:rsid w:val="00B32243"/>
    <w:rsid w:val="00B4253A"/>
    <w:rsid w:val="00B4489F"/>
    <w:rsid w:val="00BB23F4"/>
    <w:rsid w:val="00BB46E9"/>
    <w:rsid w:val="00BD57D6"/>
    <w:rsid w:val="00BD7BEA"/>
    <w:rsid w:val="00BE5AD4"/>
    <w:rsid w:val="00BE6B1A"/>
    <w:rsid w:val="00BF2518"/>
    <w:rsid w:val="00BF281D"/>
    <w:rsid w:val="00BF4AD7"/>
    <w:rsid w:val="00BF500C"/>
    <w:rsid w:val="00C02FC6"/>
    <w:rsid w:val="00C035AB"/>
    <w:rsid w:val="00C06D82"/>
    <w:rsid w:val="00C2613D"/>
    <w:rsid w:val="00C368E4"/>
    <w:rsid w:val="00C40F2C"/>
    <w:rsid w:val="00C429C3"/>
    <w:rsid w:val="00CB78BF"/>
    <w:rsid w:val="00CC0F5E"/>
    <w:rsid w:val="00CE4494"/>
    <w:rsid w:val="00D1761D"/>
    <w:rsid w:val="00D32E18"/>
    <w:rsid w:val="00D436D8"/>
    <w:rsid w:val="00D47C2A"/>
    <w:rsid w:val="00D551EE"/>
    <w:rsid w:val="00D567C5"/>
    <w:rsid w:val="00D82C10"/>
    <w:rsid w:val="00D84331"/>
    <w:rsid w:val="00D904FC"/>
    <w:rsid w:val="00D92911"/>
    <w:rsid w:val="00D96692"/>
    <w:rsid w:val="00DB27B6"/>
    <w:rsid w:val="00DB693B"/>
    <w:rsid w:val="00DC47A2"/>
    <w:rsid w:val="00DC6C49"/>
    <w:rsid w:val="00DD0D58"/>
    <w:rsid w:val="00DD6415"/>
    <w:rsid w:val="00DD7C63"/>
    <w:rsid w:val="00DE2F4E"/>
    <w:rsid w:val="00DE74BD"/>
    <w:rsid w:val="00E01619"/>
    <w:rsid w:val="00E03742"/>
    <w:rsid w:val="00E0403B"/>
    <w:rsid w:val="00E11CAF"/>
    <w:rsid w:val="00E26868"/>
    <w:rsid w:val="00E57D3C"/>
    <w:rsid w:val="00E866FF"/>
    <w:rsid w:val="00E91DA9"/>
    <w:rsid w:val="00E979F9"/>
    <w:rsid w:val="00EA4134"/>
    <w:rsid w:val="00EC28F0"/>
    <w:rsid w:val="00ED3034"/>
    <w:rsid w:val="00ED422B"/>
    <w:rsid w:val="00EF66F4"/>
    <w:rsid w:val="00F003F6"/>
    <w:rsid w:val="00F03884"/>
    <w:rsid w:val="00F2101F"/>
    <w:rsid w:val="00F30139"/>
    <w:rsid w:val="00F3217C"/>
    <w:rsid w:val="00F610DE"/>
    <w:rsid w:val="00F6191B"/>
    <w:rsid w:val="00F6367B"/>
    <w:rsid w:val="00F63CE9"/>
    <w:rsid w:val="00F67343"/>
    <w:rsid w:val="00F85A1E"/>
    <w:rsid w:val="00FA3717"/>
    <w:rsid w:val="00FA62A7"/>
    <w:rsid w:val="00FC4E46"/>
    <w:rsid w:val="00FD02C9"/>
    <w:rsid w:val="00FD3891"/>
    <w:rsid w:val="00FE49FE"/>
    <w:rsid w:val="00FF4FFA"/>
    <w:rsid w:val="5F9706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uiPriority="0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uiPriority="0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semiHidden/>
    <w:unhideWhenUsed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rPr>
      <w:sz w:val="18"/>
      <w:szCs w:val="18"/>
    </w:rPr>
  </w:style>
  <w:style w:type="paragraph" w:customStyle="1" w:styleId="Bodytext1">
    <w:name w:val="Body text|1"/>
    <w:basedOn w:val="Normal"/>
    <w:pPr>
      <w:spacing w:line="403" w:lineRule="auto"/>
      <w:ind w:firstLine="320"/>
      <w:jc w:val="left"/>
    </w:pPr>
    <w:rPr>
      <w:rFonts w:ascii="宋体" w:eastAsia="宋体" w:hAnsi="宋体" w:cs="宋体"/>
      <w:kern w:val="0"/>
      <w:sz w:val="20"/>
      <w:szCs w:val="20"/>
      <w:lang w:val="zh-TW" w:eastAsia="zh-TW" w:bidi="zh-TW"/>
    </w:rPr>
  </w:style>
  <w:style w:type="character" w:customStyle="1" w:styleId="Char2">
    <w:name w:val="纯文本 Char"/>
    <w:basedOn w:val="DefaultParagraphFont"/>
    <w:link w:val="PlainText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367105021141006054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78BB1A-61D4-4EE9-A791-79A4EC14B3D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2303</Words>
  <Characters>13131</Characters>
  <Application>Microsoft Office Word</Application>
  <DocSecurity>0</DocSecurity>
  <Lines>109</Lines>
  <Paragraphs>30</Paragraphs>
  <ScaleCrop>false</ScaleCrop>
  <Company/>
  <LinksUpToDate>false</LinksUpToDate>
  <CharactersWithSpaces>15404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3</cp:revision>
  <dcterms:created xsi:type="dcterms:W3CDTF">2022-08-11T06:41:00Z</dcterms:created>
  <dcterms:modified xsi:type="dcterms:W3CDTF">2024-03-13T08:30:17Z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3EB503245CAC414B87009CE23B6FC923_13</vt:lpwstr>
  </property>
  <property fmtid="{D5CDD505-2E9C-101B-9397-08002B2CF9AE}" pid="7" name="KSOProductBuildVer">
    <vt:lpwstr>2052-12.1.0.16364</vt:lpwstr>
  </property>
</Properties>
</file>