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387" w:line="216" w:lineRule="auto"/>
        <w:ind w:left="786"/>
        <w:rPr>
          <w:sz w:val="119"/>
          <w:szCs w:val="119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-451656</wp:posOffset>
            </wp:positionV>
            <wp:extent cx="6540500" cy="92392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i/>
          <w:iCs/>
          <w:color w:val="FFFFFF"/>
          <w:spacing w:val="53"/>
          <w:sz w:val="119"/>
          <w:szCs w:val="119"/>
        </w:rPr>
        <w:t>T</w:t>
      </w:r>
      <w:r>
        <w:rPr>
          <w:rFonts w:ascii="SimSun" w:eastAsia="SimSun" w:hAnsi="SimSun" w:cs="SimSun"/>
          <w:color w:val="FFFFFF"/>
          <w:spacing w:val="-233"/>
          <w:sz w:val="119"/>
          <w:szCs w:val="119"/>
        </w:rPr>
        <w:t xml:space="preserve"> </w:t>
      </w:r>
      <w:r>
        <w:rPr>
          <w:b/>
          <w:bCs/>
          <w:i/>
          <w:iCs/>
          <w:color w:val="FFFFFF"/>
          <w:spacing w:val="53"/>
          <w:sz w:val="119"/>
          <w:szCs w:val="119"/>
        </w:rPr>
        <w:t>趋势</w:t>
      </w:r>
    </w:p>
    <w:p>
      <w:pPr>
        <w:spacing w:before="289" w:line="183" w:lineRule="auto"/>
        <w:ind w:left="762"/>
        <w:rPr>
          <w:rFonts w:ascii="SimSun" w:eastAsia="SimSun" w:hAnsi="SimSun" w:cs="SimSun"/>
          <w:sz w:val="85"/>
          <w:szCs w:val="85"/>
        </w:rPr>
      </w:pPr>
      <w:r>
        <w:rPr>
          <w:rFonts w:ascii="SimSun" w:eastAsia="SimSun" w:hAnsi="SimSun" w:cs="SimSun"/>
          <w:b/>
          <w:bCs/>
          <w:color w:val="80C2C5"/>
          <w:spacing w:val="-18"/>
          <w:sz w:val="85"/>
          <w:szCs w:val="85"/>
        </w:rPr>
        <w:t>2024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59" w:line="239" w:lineRule="auto"/>
        <w:ind w:left="770" w:right="1768"/>
        <w:outlineLvl w:val="0"/>
        <w:rPr>
          <w:sz w:val="49"/>
          <w:szCs w:val="49"/>
        </w:rPr>
      </w:pPr>
      <w:r>
        <w:rPr>
          <w:color w:val="00686C"/>
          <w:spacing w:val="27"/>
          <w:sz w:val="49"/>
          <w:szCs w:val="49"/>
        </w:rPr>
        <w:t>面向数智时代的网络安全：融合创</w:t>
      </w:r>
      <w:r>
        <w:rPr>
          <w:color w:val="00686C"/>
          <w:spacing w:val="5"/>
          <w:sz w:val="49"/>
          <w:szCs w:val="49"/>
        </w:rPr>
        <w:t xml:space="preserve"> </w:t>
      </w:r>
      <w:r>
        <w:rPr>
          <w:color w:val="00686C"/>
          <w:spacing w:val="31"/>
          <w:sz w:val="49"/>
          <w:szCs w:val="49"/>
        </w:rPr>
        <w:t>新、回归本质</w:t>
      </w:r>
    </w:p>
    <w:p>
      <w:pPr>
        <w:spacing w:before="309" w:line="217" w:lineRule="auto"/>
        <w:ind w:left="1212"/>
        <w:rPr>
          <w:rFonts w:ascii="KaiTi" w:eastAsia="KaiTi" w:hAnsi="KaiTi" w:cs="KaiTi"/>
          <w:sz w:val="45"/>
          <w:szCs w:val="45"/>
        </w:rPr>
      </w:pPr>
      <w:r>
        <w:rPr>
          <w:rFonts w:ascii="KaiTi" w:eastAsia="KaiTi" w:hAnsi="KaiTi" w:cs="KaiTi"/>
          <w:i/>
          <w:iCs/>
          <w:color w:val="00686C"/>
          <w:spacing w:val="-8"/>
          <w:sz w:val="45"/>
          <w:szCs w:val="45"/>
        </w:rPr>
        <w:t>——2024年网络安全行业趋势洞察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70"/>
      </w:pPr>
      <w:r>
        <w:rPr>
          <w:color w:val="1BB2B8"/>
          <w:spacing w:val="4"/>
        </w:rPr>
        <w:t>·</w:t>
      </w:r>
      <w:r>
        <w:rPr>
          <w:color w:val="1BB2B8"/>
          <w:spacing w:val="43"/>
        </w:rPr>
        <w:t xml:space="preserve">  </w:t>
      </w:r>
      <w:r>
        <w:rPr>
          <w:b/>
          <w:bCs/>
          <w:color w:val="1BB2B8"/>
          <w:spacing w:val="4"/>
        </w:rPr>
        <w:t>生成式</w:t>
      </w:r>
      <w:r>
        <w:rPr>
          <w:rFonts w:ascii="Arial" w:eastAsia="Arial" w:hAnsi="Arial" w:cs="Arial"/>
          <w:b/>
          <w:bCs/>
          <w:color w:val="1BB2B8"/>
        </w:rPr>
        <w:t>AI</w:t>
      </w:r>
      <w:r>
        <w:rPr>
          <w:rFonts w:ascii="Arial" w:eastAsia="Arial" w:hAnsi="Arial" w:cs="Arial"/>
          <w:b/>
          <w:bCs/>
          <w:color w:val="1BB2B8"/>
          <w:spacing w:val="-24"/>
        </w:rPr>
        <w:t xml:space="preserve"> </w:t>
      </w:r>
      <w:r>
        <w:rPr>
          <w:b/>
          <w:bCs/>
          <w:color w:val="1BB2B8"/>
          <w:spacing w:val="4"/>
        </w:rPr>
        <w:t>能否重塑网络安全行业格局?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70"/>
      </w:pPr>
      <w:r>
        <w:rPr>
          <w:color w:val="1BB2B8"/>
          <w:spacing w:val="5"/>
        </w:rPr>
        <w:t>·</w:t>
      </w:r>
      <w:r>
        <w:rPr>
          <w:color w:val="1BB2B8"/>
          <w:spacing w:val="82"/>
        </w:rPr>
        <w:t xml:space="preserve"> </w:t>
      </w:r>
      <w:r>
        <w:rPr>
          <w:b/>
          <w:bCs/>
          <w:color w:val="1BB2B8"/>
          <w:spacing w:val="5"/>
        </w:rPr>
        <w:t>以身份为中心的安全该如何定义?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70"/>
      </w:pPr>
      <w:r>
        <w:rPr>
          <w:color w:val="1BB2B8"/>
          <w:spacing w:val="5"/>
        </w:rPr>
        <w:t>·</w:t>
      </w:r>
      <w:r>
        <w:rPr>
          <w:color w:val="1BB2B8"/>
          <w:spacing w:val="73"/>
        </w:rPr>
        <w:t xml:space="preserve"> </w:t>
      </w:r>
      <w:r>
        <w:rPr>
          <w:b/>
          <w:bCs/>
          <w:color w:val="1BB2B8"/>
          <w:spacing w:val="5"/>
        </w:rPr>
        <w:t>网络安全保险能否被市场广泛关注?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770"/>
      </w:pPr>
      <w:r>
        <w:rPr>
          <w:color w:val="1BB2B8"/>
          <w:spacing w:val="15"/>
        </w:rPr>
        <w:t>·</w:t>
      </w:r>
      <w:r>
        <w:rPr>
          <w:color w:val="1BB2B8"/>
          <w:spacing w:val="15"/>
        </w:rPr>
        <w:t xml:space="preserve">  </w:t>
      </w:r>
      <w:r>
        <w:rPr>
          <w:b/>
          <w:bCs/>
          <w:color w:val="1BB2B8"/>
          <w:spacing w:val="15"/>
        </w:rPr>
        <w:t>数据要素流通中的安全防护能否掀起新一轮热潮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footerReference w:type="default" r:id="rId5"/>
          <w:pgSz w:w="10300" w:h="14550"/>
          <w:pgMar w:top="0" w:right="0" w:bottom="1" w:left="0" w:header="0" w:footer="0" w:gutter="0"/>
          <w:cols w:num="1" w:space="708" w:equalWidth="0">
            <w:col w:w="10300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footerReference w:type="default" r:id="rId6"/>
          <w:type w:val="nextPage"/>
          <w:pgSz w:w="10300" w:h="14550"/>
          <w:pgMar w:top="0" w:right="0" w:bottom="1" w:left="0" w:header="0" w:footer="0" w:gutter="0"/>
          <w:pgNumType w:start="2"/>
          <w:cols w:num="1" w:space="708" w:equalWidth="0">
            <w:col w:w="10300" w:space="0"/>
          </w:cols>
          <w:titlePg w:val="0"/>
        </w:sectPr>
      </w:pPr>
    </w:p>
    <w:p>
      <w:pPr>
        <w:spacing w:before="77" w:line="219" w:lineRule="auto"/>
        <w:ind w:left="770"/>
        <w:rPr>
          <w:rFonts w:ascii="SimSun" w:eastAsia="SimSun" w:hAnsi="SimSun" w:cs="SimSun"/>
          <w:sz w:val="32"/>
          <w:szCs w:val="32"/>
        </w:rPr>
      </w:pPr>
      <w:r>
        <w:rPr>
          <w:rFonts w:ascii="Arial" w:eastAsia="Arial" w:hAnsi="Arial" w:cs="Arial"/>
          <w:b/>
          <w:bCs/>
          <w:color w:val="FFFFFF"/>
          <w:spacing w:val="-3"/>
          <w:sz w:val="32"/>
          <w:szCs w:val="32"/>
        </w:rPr>
        <w:t>CCID</w:t>
      </w:r>
      <w:r>
        <w:rPr>
          <w:rFonts w:ascii="Arial" w:eastAsia="Arial" w:hAnsi="Arial" w:cs="Arial"/>
          <w:b/>
          <w:bCs/>
          <w:color w:val="FFFFFF"/>
          <w:spacing w:val="11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color w:val="FFFFFF"/>
          <w:spacing w:val="-3"/>
          <w:sz w:val="32"/>
          <w:szCs w:val="32"/>
        </w:rPr>
        <w:t>赛迪顾问</w:t>
      </w:r>
    </w:p>
    <w:p>
      <w:pPr>
        <w:pStyle w:val="BodyText"/>
        <w:spacing w:before="66" w:line="221" w:lineRule="auto"/>
        <w:ind w:left="1279"/>
        <w:rPr>
          <w:sz w:val="14"/>
          <w:szCs w:val="14"/>
        </w:rPr>
      </w:pPr>
      <w:r>
        <w:rPr>
          <w:color w:val="FFFFFF"/>
          <w:spacing w:val="-11"/>
          <w:sz w:val="14"/>
          <w:szCs w:val="14"/>
        </w:rPr>
        <w:t>股票代码：HK02176</w:t>
      </w:r>
    </w:p>
    <w:p>
      <w:pPr>
        <w:pStyle w:val="BodyText"/>
        <w:spacing w:before="34" w:line="187" w:lineRule="auto"/>
        <w:ind w:left="1279"/>
        <w:rPr>
          <w:sz w:val="16"/>
          <w:szCs w:val="16"/>
        </w:rPr>
      </w:pPr>
      <w:r>
        <w:rPr>
          <w:color w:val="FFFFFF"/>
          <w:spacing w:val="-6"/>
          <w:sz w:val="16"/>
          <w:szCs w:val="16"/>
        </w:rPr>
        <w:t>思</w:t>
      </w:r>
      <w:r>
        <w:rPr>
          <w:color w:val="FFFFFF"/>
          <w:spacing w:val="-7"/>
          <w:sz w:val="16"/>
          <w:szCs w:val="16"/>
        </w:rPr>
        <w:t xml:space="preserve"> </w:t>
      </w:r>
      <w:r>
        <w:rPr>
          <w:color w:val="FFFFFF"/>
          <w:spacing w:val="-6"/>
          <w:sz w:val="16"/>
          <w:szCs w:val="16"/>
        </w:rPr>
        <w:t>维</w:t>
      </w:r>
      <w:r>
        <w:rPr>
          <w:color w:val="FFFFFF"/>
          <w:spacing w:val="-10"/>
          <w:sz w:val="16"/>
          <w:szCs w:val="16"/>
        </w:rPr>
        <w:t xml:space="preserve"> </w:t>
      </w:r>
      <w:r>
        <w:rPr>
          <w:color w:val="FFFFFF"/>
          <w:spacing w:val="-6"/>
          <w:sz w:val="16"/>
          <w:szCs w:val="16"/>
        </w:rPr>
        <w:t>创</w:t>
      </w:r>
      <w:r>
        <w:rPr>
          <w:color w:val="FFFFFF"/>
          <w:spacing w:val="-11"/>
          <w:sz w:val="16"/>
          <w:szCs w:val="16"/>
        </w:rPr>
        <w:t xml:space="preserve"> </w:t>
      </w:r>
      <w:r>
        <w:rPr>
          <w:color w:val="FFFFFF"/>
          <w:spacing w:val="-6"/>
          <w:sz w:val="16"/>
          <w:szCs w:val="16"/>
        </w:rPr>
        <w:t>造</w:t>
      </w:r>
      <w:r>
        <w:rPr>
          <w:color w:val="FFFFFF"/>
          <w:spacing w:val="-6"/>
          <w:sz w:val="16"/>
          <w:szCs w:val="16"/>
        </w:rPr>
        <w:t xml:space="preserve"> </w:t>
      </w:r>
      <w:r>
        <w:rPr>
          <w:color w:val="FFFFFF"/>
          <w:spacing w:val="-6"/>
          <w:sz w:val="16"/>
          <w:szCs w:val="16"/>
        </w:rPr>
        <w:t>世</w:t>
      </w:r>
      <w:r>
        <w:rPr>
          <w:color w:val="FFFFFF"/>
          <w:spacing w:val="-8"/>
          <w:sz w:val="16"/>
          <w:szCs w:val="16"/>
        </w:rPr>
        <w:t xml:space="preserve"> </w:t>
      </w:r>
      <w:r>
        <w:rPr>
          <w:color w:val="FFFFFF"/>
          <w:spacing w:val="-6"/>
          <w:sz w:val="16"/>
          <w:szCs w:val="16"/>
        </w:rPr>
        <w:t>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7" w:line="382" w:lineRule="exact"/>
        <w:rPr>
          <w:rFonts w:ascii="Arial" w:eastAsia="Arial" w:hAnsi="Arial" w:cs="Arial"/>
        </w:rPr>
      </w:pPr>
      <w:r>
        <w:rPr>
          <w:color w:val="FFFFFF"/>
          <w:spacing w:val="-7"/>
          <w:position w:val="3"/>
        </w:rPr>
        <w:t>官</w:t>
      </w:r>
      <w:r>
        <w:rPr>
          <w:color w:val="FFFFFF"/>
          <w:spacing w:val="21"/>
          <w:position w:val="3"/>
        </w:rPr>
        <w:t xml:space="preserve">  </w:t>
      </w:r>
      <w:r>
        <w:rPr>
          <w:color w:val="FFFFFF"/>
          <w:spacing w:val="-7"/>
          <w:position w:val="3"/>
        </w:rPr>
        <w:t>网</w:t>
      </w:r>
      <w:r>
        <w:rPr>
          <w:color w:val="FFFFFF"/>
          <w:spacing w:val="-45"/>
          <w:position w:val="3"/>
        </w:rPr>
        <w:t xml:space="preserve"> </w:t>
      </w:r>
      <w:r>
        <w:rPr>
          <w:color w:val="FFFFFF"/>
          <w:spacing w:val="-7"/>
          <w:position w:val="3"/>
        </w:rPr>
        <w:t>：</w:t>
      </w:r>
      <w:r>
        <w:rPr>
          <w:rFonts w:ascii="Arial" w:eastAsia="Arial" w:hAnsi="Arial" w:cs="Arial"/>
          <w:color w:val="FFFFFF"/>
          <w:spacing w:val="-7"/>
          <w:position w:val="3"/>
        </w:rPr>
        <w:t>www.ccidconsulti</w:t>
      </w:r>
      <w:r>
        <w:rPr>
          <w:rFonts w:ascii="Arial" w:eastAsia="Arial" w:hAnsi="Arial" w:cs="Arial"/>
          <w:color w:val="FFFFFF"/>
          <w:spacing w:val="-8"/>
          <w:position w:val="3"/>
        </w:rPr>
        <w:t>ng.com</w:t>
      </w:r>
    </w:p>
    <w:p>
      <w:pPr>
        <w:pStyle w:val="BodyText"/>
        <w:spacing w:before="20" w:line="222" w:lineRule="auto"/>
        <w:ind w:left="19"/>
        <w:rPr>
          <w:rFonts w:ascii="Arial" w:eastAsia="Arial" w:hAnsi="Arial" w:cs="Arial"/>
        </w:rPr>
      </w:pPr>
      <w:r>
        <w:rPr>
          <w:color w:val="FFFFFF"/>
          <w:spacing w:val="-8"/>
        </w:rPr>
        <w:t>满天星：</w:t>
      </w:r>
      <w:r>
        <w:rPr>
          <w:rFonts w:ascii="Arial" w:eastAsia="Arial" w:hAnsi="Arial" w:cs="Arial"/>
          <w:color w:val="FFFFFF"/>
          <w:spacing w:val="-8"/>
        </w:rPr>
        <w:t>www.mtx.cn</w:t>
      </w:r>
    </w:p>
    <w:p>
      <w:pPr>
        <w:spacing w:line="222" w:lineRule="auto"/>
        <w:rPr>
          <w:rFonts w:ascii="Arial" w:eastAsia="Arial" w:hAnsi="Arial" w:cs="Arial"/>
        </w:rPr>
        <w:sectPr>
          <w:footerReference w:type="default" r:id="rId7"/>
          <w:type w:val="continuous"/>
          <w:pgSz w:w="10300" w:h="14550"/>
          <w:pgMar w:top="0" w:right="0" w:bottom="1" w:left="0" w:header="0" w:footer="0" w:gutter="0"/>
          <w:pgNumType w:start="3"/>
          <w:cols w:num="2" w:space="708" w:equalWidth="0">
            <w:col w:w="5530" w:space="100"/>
            <w:col w:w="4671" w:space="0"/>
          </w:cols>
        </w:sectPr>
      </w:pPr>
    </w:p>
    <w:p>
      <w:pPr>
        <w:spacing w:before="70" w:line="219" w:lineRule="auto"/>
        <w:ind w:left="1025"/>
        <w:rPr>
          <w:rFonts w:ascii="SimSun" w:eastAsia="SimSun" w:hAnsi="SimSun" w:cs="SimSun"/>
          <w:sz w:val="35"/>
          <w:szCs w:val="35"/>
        </w:rPr>
      </w:pPr>
      <w:r>
        <w:pict>
          <v:rect id="_x0000_s1025" style="width:0.5pt;height:31pt;margin-top:74.5pt;margin-left:53.5pt;mso-position-horizontal-relative:page;mso-position-vertical-relative:page;position:absolute;z-index:251662336" o:allowincell="f" filled="t" fillcolor="aqua" stroked="f"/>
        </w:pict>
      </w:r>
      <w:r>
        <w:pict>
          <v:rect id="_x0000_s1026" style="width:382.05pt;height:0.55pt;margin-top:400pt;margin-left:80.5pt;mso-position-horizontal-relative:page;mso-position-vertical-relative:page;position:absolute;z-index:251661312" o:allowincell="f" filled="t" fillcolor="aqua" stroked="f"/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374639</wp:posOffset>
            </wp:positionH>
            <wp:positionV relativeFrom="page">
              <wp:posOffset>355619</wp:posOffset>
            </wp:positionV>
            <wp:extent cx="520689" cy="41271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689" cy="412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7" style="width:54pt;height:18.55pt;margin-top:399.5pt;margin-left:54.5pt;mso-position-horizontal-relative:page;mso-position-vertical-relative:page;position:absolute;z-index:251660288" coordorigin="0,0" coordsize="1080,370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080;height:37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120;height:4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8" w:line="212" w:lineRule="auto"/>
                      <w:ind w:left="263"/>
                      <w:rPr>
                        <w:rFonts w:ascii="YouYuan" w:eastAsia="YouYuan" w:hAnsi="YouYuan" w:cs="YouYuan"/>
                        <w:sz w:val="22"/>
                        <w:szCs w:val="22"/>
                      </w:rPr>
                    </w:pPr>
                    <w:r>
                      <w:rPr>
                        <w:rFonts w:ascii="YouYuan" w:eastAsia="YouYuan" w:hAnsi="YouYuan" w:cs="YouYuan"/>
                        <w:b/>
                        <w:bCs/>
                        <w:color w:val="FFFFFF"/>
                        <w:spacing w:val="15"/>
                        <w:sz w:val="22"/>
                        <w:szCs w:val="22"/>
                      </w:rPr>
                      <w:t>表1</w:t>
                    </w:r>
                  </w:p>
                </w:txbxContent>
              </v:textbox>
            </v:shape>
          </v:group>
        </w:pict>
      </w:r>
      <w:r>
        <w:rPr>
          <w:rFonts w:ascii="SimSun" w:eastAsia="SimSun" w:hAnsi="SimSun" w:cs="SimSun"/>
          <w:b/>
          <w:bCs/>
          <w:color w:val="0CE68E"/>
          <w:spacing w:val="-7"/>
          <w:sz w:val="35"/>
          <w:szCs w:val="35"/>
        </w:rPr>
        <w:t>CCID</w:t>
      </w:r>
      <w:r>
        <w:rPr>
          <w:rFonts w:ascii="SimSun" w:eastAsia="SimSun" w:hAnsi="SimSun" w:cs="SimSun"/>
          <w:color w:val="0CE68E"/>
          <w:spacing w:val="149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color w:val="0CE68E"/>
          <w:spacing w:val="-7"/>
          <w:sz w:val="35"/>
          <w:szCs w:val="35"/>
        </w:rPr>
        <w:t>赛迪顾问</w:t>
      </w:r>
    </w:p>
    <w:p>
      <w:pPr>
        <w:pStyle w:val="BodyText"/>
        <w:spacing w:before="29" w:line="221" w:lineRule="auto"/>
        <w:ind w:left="1073"/>
        <w:rPr>
          <w:sz w:val="22"/>
          <w:szCs w:val="22"/>
        </w:rPr>
      </w:pPr>
      <w:r>
        <w:rPr>
          <w:b/>
          <w:bCs/>
          <w:spacing w:val="-9"/>
          <w:sz w:val="22"/>
          <w:szCs w:val="22"/>
        </w:rPr>
        <w:t>思</w:t>
      </w:r>
      <w:r>
        <w:rPr>
          <w:spacing w:val="90"/>
          <w:sz w:val="22"/>
          <w:szCs w:val="22"/>
        </w:rPr>
        <w:t xml:space="preserve"> </w:t>
      </w:r>
      <w:r>
        <w:rPr>
          <w:b/>
          <w:bCs/>
          <w:spacing w:val="-9"/>
          <w:sz w:val="22"/>
          <w:szCs w:val="22"/>
        </w:rPr>
        <w:t>维</w:t>
      </w:r>
      <w:r>
        <w:rPr>
          <w:spacing w:val="89"/>
          <w:sz w:val="22"/>
          <w:szCs w:val="22"/>
        </w:rPr>
        <w:t xml:space="preserve"> </w:t>
      </w:r>
      <w:r>
        <w:rPr>
          <w:b/>
          <w:bCs/>
          <w:spacing w:val="-9"/>
          <w:sz w:val="22"/>
          <w:szCs w:val="22"/>
        </w:rPr>
        <w:t>创</w:t>
      </w:r>
      <w:r>
        <w:rPr>
          <w:spacing w:val="73"/>
          <w:sz w:val="22"/>
          <w:szCs w:val="22"/>
        </w:rPr>
        <w:t xml:space="preserve"> </w:t>
      </w:r>
      <w:r>
        <w:rPr>
          <w:b/>
          <w:bCs/>
          <w:spacing w:val="-9"/>
          <w:sz w:val="22"/>
          <w:szCs w:val="22"/>
        </w:rPr>
        <w:t>造</w:t>
      </w:r>
      <w:r>
        <w:rPr>
          <w:spacing w:val="99"/>
          <w:sz w:val="22"/>
          <w:szCs w:val="22"/>
        </w:rPr>
        <w:t xml:space="preserve"> </w:t>
      </w:r>
      <w:r>
        <w:rPr>
          <w:b/>
          <w:bCs/>
          <w:spacing w:val="-9"/>
          <w:sz w:val="22"/>
          <w:szCs w:val="22"/>
        </w:rPr>
        <w:t>世</w:t>
      </w:r>
      <w:r>
        <w:rPr>
          <w:spacing w:val="100"/>
          <w:sz w:val="22"/>
          <w:szCs w:val="22"/>
        </w:rPr>
        <w:t xml:space="preserve"> </w:t>
      </w:r>
      <w:r>
        <w:rPr>
          <w:b/>
          <w:bCs/>
          <w:spacing w:val="-9"/>
          <w:sz w:val="22"/>
          <w:szCs w:val="22"/>
        </w:rPr>
        <w:t>界</w:t>
      </w:r>
    </w:p>
    <w:p>
      <w:pPr>
        <w:pStyle w:val="BodyText"/>
        <w:spacing w:before="202" w:line="530" w:lineRule="exact"/>
        <w:ind w:firstLine="1000"/>
      </w:pPr>
      <w:r>
        <w:rPr>
          <w:position w:val="-10"/>
        </w:rPr>
        <w:pict>
          <v:group id="_x0000_i1030" style="width:377.55pt;height:26.5pt;mso-position-horizontal-relative:char;mso-position-vertical-relative:line" coordorigin="0,0" coordsize="7550,530" filled="f" stroked="f">
            <v:shape id="_x0000_s1031" type="#_x0000_t75" style="width:7550;height:530;position:absolute" filled="f" stroked="f">
              <v:imagedata r:id="rId10" o:title=""/>
            </v:shape>
            <v:shape id="_x0000_s1032" type="#_x0000_t202" style="width:7590;height:5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75" w:line="221" w:lineRule="auto"/>
                      <w:ind w:left="184"/>
                      <w:rPr>
                        <w:rFonts w:ascii="SimHei" w:eastAsia="SimHei" w:hAnsi="SimHei" w:cs="SimHei"/>
                        <w:sz w:val="30"/>
                        <w:szCs w:val="30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1"/>
                        <w:sz w:val="30"/>
                        <w:szCs w:val="30"/>
                      </w:rPr>
                      <w:t>发展背景及环境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45" w:line="363" w:lineRule="auto"/>
        <w:ind w:left="579" w:right="187" w:firstLine="369"/>
        <w:rPr>
          <w:sz w:val="22"/>
          <w:szCs w:val="22"/>
        </w:rPr>
      </w:pPr>
      <w:r>
        <w:rPr>
          <w:spacing w:val="13"/>
          <w:sz w:val="22"/>
          <w:szCs w:val="22"/>
        </w:rPr>
        <w:t>2023年是国家“十四五”中期评估之年，也</w:t>
      </w:r>
      <w:r>
        <w:rPr>
          <w:spacing w:val="12"/>
          <w:sz w:val="22"/>
          <w:szCs w:val="22"/>
        </w:rPr>
        <w:t>是网络安全法施行的第六年。</w:t>
      </w:r>
      <w:r>
        <w:rPr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在这一年，政策方面，中国网络安全政策逐渐向各领域拓展，更注重实效与数</w:t>
      </w:r>
      <w:r>
        <w:rPr>
          <w:spacing w:val="3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据安全保护。安全态势方面，数据泄露与勒索事件频发，网络攻击逐渐形成一</w:t>
      </w:r>
      <w:r>
        <w:rPr>
          <w:spacing w:val="3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定的行业倾向。需求方面，中国网络安全市场受疫情影响增速放缓，但政</w:t>
      </w:r>
      <w:r>
        <w:rPr>
          <w:spacing w:val="11"/>
          <w:sz w:val="22"/>
          <w:szCs w:val="22"/>
        </w:rPr>
        <w:t>企机</w:t>
      </w:r>
      <w:r>
        <w:rPr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构网络安全投入占比逐年增加。投融资方面，数据安全、攻击</w:t>
      </w:r>
      <w:r>
        <w:rPr>
          <w:spacing w:val="11"/>
          <w:sz w:val="22"/>
          <w:szCs w:val="22"/>
        </w:rPr>
        <w:t>面管理等领域引</w:t>
      </w:r>
    </w:p>
    <w:p>
      <w:pPr>
        <w:pStyle w:val="BodyText"/>
        <w:spacing w:line="221" w:lineRule="auto"/>
        <w:ind w:left="579"/>
        <w:rPr>
          <w:sz w:val="22"/>
          <w:szCs w:val="22"/>
        </w:rPr>
      </w:pPr>
      <w:r>
        <w:rPr>
          <w:sz w:val="22"/>
          <w:szCs w:val="22"/>
        </w:rPr>
        <w:t>领投资热潮。</w:t>
      </w:r>
    </w:p>
    <w:p>
      <w:pPr>
        <w:pStyle w:val="BodyText"/>
        <w:spacing w:before="154" w:line="361" w:lineRule="auto"/>
        <w:ind w:left="579" w:right="193" w:firstLine="413"/>
        <w:jc w:val="both"/>
        <w:rPr>
          <w:sz w:val="22"/>
          <w:szCs w:val="22"/>
        </w:rPr>
      </w:pPr>
      <w:r>
        <w:rPr>
          <w:b/>
          <w:bCs/>
          <w:color w:val="E45300"/>
          <w:spacing w:val="11"/>
          <w:sz w:val="22"/>
          <w:szCs w:val="22"/>
        </w:rPr>
        <w:t>【政策环境：网络安全政策更加细化落地并注重实际效能</w:t>
      </w:r>
      <w:r>
        <w:rPr>
          <w:spacing w:val="11"/>
          <w:sz w:val="22"/>
          <w:szCs w:val="22"/>
        </w:rPr>
        <w:t>】20</w:t>
      </w:r>
      <w:r>
        <w:rPr>
          <w:spacing w:val="10"/>
          <w:sz w:val="22"/>
          <w:szCs w:val="22"/>
        </w:rPr>
        <w:t>23年，中国</w:t>
      </w:r>
      <w:r>
        <w:rPr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网络安全政策法规主要涵盖数据跨境安全、关键信息基础设施保护、网络安全</w:t>
      </w:r>
      <w:r>
        <w:rPr>
          <w:spacing w:val="4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保险、密码应用、测试认证、重点领域应用等方面。从发布特点上看，</w:t>
      </w:r>
      <w:r>
        <w:rPr>
          <w:spacing w:val="92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一是政</w:t>
      </w:r>
      <w:r>
        <w:rPr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策逐渐向云、工控等新兴技术领域以及金融、交通等行业应用领域扩展</w:t>
      </w:r>
      <w:r>
        <w:rPr>
          <w:spacing w:val="11"/>
          <w:sz w:val="22"/>
          <w:szCs w:val="22"/>
        </w:rPr>
        <w:t>；二是</w:t>
      </w:r>
      <w:r>
        <w:rPr>
          <w:sz w:val="22"/>
          <w:szCs w:val="22"/>
        </w:rPr>
        <w:t xml:space="preserve"> </w:t>
      </w:r>
      <w:r>
        <w:rPr>
          <w:spacing w:val="11"/>
          <w:sz w:val="22"/>
          <w:szCs w:val="22"/>
        </w:rPr>
        <w:t>网络安全从单纯满足合规到现在的更注重能力提升，关键信息基础设施安全保</w:t>
      </w:r>
      <w:r>
        <w:rPr>
          <w:spacing w:val="2"/>
          <w:sz w:val="22"/>
          <w:szCs w:val="22"/>
        </w:rPr>
        <w:t xml:space="preserve"> </w:t>
      </w:r>
      <w:r>
        <w:rPr>
          <w:spacing w:val="12"/>
          <w:sz w:val="22"/>
          <w:szCs w:val="22"/>
        </w:rPr>
        <w:t>护体系和风险防范能力显著增强；三是数据安全审查、密码应用、数据跨</w:t>
      </w:r>
      <w:r>
        <w:rPr>
          <w:spacing w:val="11"/>
          <w:sz w:val="22"/>
          <w:szCs w:val="22"/>
        </w:rPr>
        <w:t>境流</w:t>
      </w:r>
    </w:p>
    <w:p>
      <w:pPr>
        <w:pStyle w:val="BodyText"/>
        <w:spacing w:before="1" w:line="212" w:lineRule="auto"/>
        <w:ind w:left="579"/>
        <w:rPr>
          <w:sz w:val="22"/>
          <w:szCs w:val="22"/>
        </w:rPr>
      </w:pPr>
      <w:r>
        <w:rPr>
          <w:spacing w:val="7"/>
          <w:sz w:val="22"/>
          <w:szCs w:val="22"/>
        </w:rPr>
        <w:t>动等制度不断健全，数据安全治理和个人信息保护能力持</w:t>
      </w:r>
      <w:r>
        <w:rPr>
          <w:spacing w:val="6"/>
          <w:sz w:val="22"/>
          <w:szCs w:val="22"/>
        </w:rPr>
        <w:t>续提升。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73" w:line="221" w:lineRule="auto"/>
        <w:ind w:left="3113"/>
        <w:rPr>
          <w:sz w:val="22"/>
          <w:szCs w:val="22"/>
        </w:rPr>
      </w:pPr>
      <w:r>
        <w:rPr>
          <w:b/>
          <w:bCs/>
          <w:color w:val="00796C"/>
          <w:spacing w:val="10"/>
          <w:sz w:val="22"/>
          <w:szCs w:val="22"/>
        </w:rPr>
        <w:t>2023年中国网络安全领域主要政策法规</w:t>
      </w:r>
    </w:p>
    <w:p>
      <w:pPr>
        <w:spacing w:line="97" w:lineRule="exact"/>
      </w:pPr>
    </w:p>
    <w:tbl>
      <w:tblPr>
        <w:tblStyle w:val="TableNormal0"/>
        <w:tblW w:w="8089" w:type="dxa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44"/>
        <w:gridCol w:w="879"/>
        <w:gridCol w:w="2726"/>
        <w:gridCol w:w="4040"/>
      </w:tblGrid>
      <w:tr>
        <w:tblPrEx>
          <w:tblW w:w="8089" w:type="dxa"/>
          <w:tblInd w:w="5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444" w:type="dxa"/>
            <w:shd w:val="clear" w:color="auto" w:fill="39B38A"/>
            <w:vAlign w:val="top"/>
          </w:tcPr>
          <w:p>
            <w:pPr>
              <w:pStyle w:val="TableText"/>
              <w:spacing w:before="171" w:line="221" w:lineRule="auto"/>
              <w:ind w:left="27"/>
            </w:pPr>
            <w:r>
              <w:rPr>
                <w:b/>
                <w:bCs/>
                <w:color w:val="FFFFFF"/>
                <w:spacing w:val="-4"/>
              </w:rPr>
              <w:t>序号</w:t>
            </w:r>
          </w:p>
        </w:tc>
        <w:tc>
          <w:tcPr>
            <w:tcW w:w="879" w:type="dxa"/>
            <w:shd w:val="clear" w:color="auto" w:fill="39B38A"/>
            <w:vAlign w:val="top"/>
          </w:tcPr>
          <w:p>
            <w:pPr>
              <w:pStyle w:val="TableText"/>
              <w:spacing w:before="38" w:line="236" w:lineRule="auto"/>
              <w:ind w:left="333" w:right="165" w:hanging="190"/>
            </w:pPr>
            <w:r>
              <w:rPr>
                <w:b/>
                <w:bCs/>
                <w:color w:val="FFFFFF"/>
                <w:spacing w:val="-6"/>
              </w:rPr>
              <w:t>发布时</w:t>
            </w:r>
            <w:r>
              <w:rPr>
                <w:color w:val="FFFFFF"/>
              </w:rPr>
              <w:t xml:space="preserve"> </w:t>
            </w:r>
            <w:r>
              <w:rPr>
                <w:b/>
                <w:bCs/>
                <w:color w:val="FFFFFF"/>
                <w:spacing w:val="-2"/>
              </w:rPr>
              <w:t>间</w:t>
            </w:r>
          </w:p>
        </w:tc>
        <w:tc>
          <w:tcPr>
            <w:tcW w:w="2726" w:type="dxa"/>
            <w:shd w:val="clear" w:color="auto" w:fill="39B38A"/>
            <w:vAlign w:val="top"/>
          </w:tcPr>
          <w:p>
            <w:pPr>
              <w:pStyle w:val="TableText"/>
              <w:spacing w:before="168" w:line="219" w:lineRule="auto"/>
              <w:ind w:left="974"/>
            </w:pPr>
            <w:r>
              <w:rPr>
                <w:b/>
                <w:bCs/>
                <w:color w:val="FFFFFF"/>
                <w:spacing w:val="-4"/>
              </w:rPr>
              <w:t>发布机构</w:t>
            </w:r>
          </w:p>
        </w:tc>
        <w:tc>
          <w:tcPr>
            <w:tcW w:w="4040" w:type="dxa"/>
            <w:shd w:val="clear" w:color="auto" w:fill="39B38A"/>
            <w:vAlign w:val="top"/>
          </w:tcPr>
          <w:p>
            <w:pPr>
              <w:pStyle w:val="TableText"/>
              <w:spacing w:before="168" w:line="219" w:lineRule="auto"/>
              <w:ind w:left="1638"/>
            </w:pPr>
            <w:r>
              <w:rPr>
                <w:b/>
                <w:bCs/>
                <w:color w:val="FFFFFF"/>
                <w:spacing w:val="-4"/>
              </w:rPr>
              <w:t>发布政策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29"/>
        </w:trPr>
        <w:tc>
          <w:tcPr>
            <w:tcW w:w="444" w:type="dxa"/>
            <w:vAlign w:val="top"/>
          </w:tcPr>
          <w:p>
            <w:pPr>
              <w:pStyle w:val="TableText"/>
              <w:spacing w:before="66" w:line="153" w:lineRule="exact"/>
              <w:ind w:left="164"/>
            </w:pPr>
            <w:r>
              <w:rPr>
                <w:position w:val="-2"/>
              </w:rPr>
              <w:t>1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66" w:line="153" w:lineRule="exact"/>
              <w:ind w:left="140"/>
            </w:pPr>
            <w:r>
              <w:rPr>
                <w:spacing w:val="-2"/>
                <w:position w:val="-2"/>
              </w:rPr>
              <w:t>2023.1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18" w:line="195" w:lineRule="auto"/>
              <w:ind w:left="211"/>
            </w:pPr>
            <w:r>
              <w:rPr>
                <w:spacing w:val="1"/>
              </w:rPr>
              <w:t>工业和信息化部等十六部门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18" w:line="195" w:lineRule="auto"/>
              <w:ind w:left="210"/>
            </w:pPr>
            <w:r>
              <w:rPr>
                <w:spacing w:val="-1"/>
              </w:rPr>
              <w:t>《关于促进数据安全产业发展的指导意见》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19"/>
        </w:trPr>
        <w:tc>
          <w:tcPr>
            <w:tcW w:w="444" w:type="dxa"/>
            <w:vAlign w:val="top"/>
          </w:tcPr>
          <w:p>
            <w:pPr>
              <w:pStyle w:val="TableText"/>
              <w:spacing w:before="68" w:line="140" w:lineRule="exact"/>
              <w:ind w:left="164"/>
            </w:pPr>
            <w:r>
              <w:rPr>
                <w:position w:val="-3"/>
              </w:rPr>
              <w:t>2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68" w:line="140" w:lineRule="exact"/>
              <w:ind w:left="140"/>
            </w:pPr>
            <w:r>
              <w:rPr>
                <w:spacing w:val="-2"/>
                <w:position w:val="-2"/>
              </w:rPr>
              <w:t>2023.2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19" w:line="184" w:lineRule="auto"/>
              <w:ind w:left="401"/>
            </w:pPr>
            <w:r>
              <w:t>国家互联网信息办公室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19" w:line="184" w:lineRule="auto"/>
              <w:ind w:left="680"/>
            </w:pPr>
            <w:r>
              <w:rPr>
                <w:spacing w:val="-2"/>
              </w:rPr>
              <w:t>《个人信息出境标准合同办法》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20"/>
        </w:trPr>
        <w:tc>
          <w:tcPr>
            <w:tcW w:w="444" w:type="dxa"/>
            <w:vAlign w:val="top"/>
          </w:tcPr>
          <w:p>
            <w:pPr>
              <w:pStyle w:val="TableText"/>
              <w:spacing w:before="69" w:line="141" w:lineRule="exact"/>
              <w:ind w:left="164"/>
            </w:pPr>
            <w:r>
              <w:rPr>
                <w:position w:val="-2"/>
              </w:rPr>
              <w:t>3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69" w:line="141" w:lineRule="exact"/>
              <w:ind w:left="140"/>
            </w:pPr>
            <w:r>
              <w:rPr>
                <w:spacing w:val="-2"/>
                <w:position w:val="-2"/>
              </w:rPr>
              <w:t>2023.2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20" w:line="184" w:lineRule="auto"/>
              <w:ind w:left="591"/>
            </w:pPr>
            <w:r>
              <w:rPr>
                <w:spacing w:val="1"/>
              </w:rPr>
              <w:t>中共中央、国务院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19" w:line="185" w:lineRule="auto"/>
              <w:ind w:left="680"/>
            </w:pPr>
            <w:r>
              <w:rPr>
                <w:spacing w:val="-2"/>
              </w:rPr>
              <w:t>《数字中国建设整体布局规划》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19"/>
        </w:trPr>
        <w:tc>
          <w:tcPr>
            <w:tcW w:w="444" w:type="dxa"/>
            <w:vAlign w:val="top"/>
          </w:tcPr>
          <w:p>
            <w:pPr>
              <w:pStyle w:val="TableText"/>
              <w:spacing w:before="69" w:line="139" w:lineRule="exact"/>
              <w:ind w:left="164"/>
            </w:pPr>
            <w:r>
              <w:rPr>
                <w:position w:val="-3"/>
              </w:rPr>
              <w:t>4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69" w:line="139" w:lineRule="exact"/>
              <w:ind w:left="140"/>
            </w:pPr>
            <w:r>
              <w:rPr>
                <w:spacing w:val="-2"/>
                <w:position w:val="-2"/>
              </w:rPr>
              <w:t>2023.2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19" w:line="184" w:lineRule="auto"/>
              <w:ind w:left="311"/>
            </w:pPr>
            <w:r>
              <w:t>中国证券监督管理委员会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19" w:line="184" w:lineRule="auto"/>
              <w:ind w:left="301"/>
            </w:pPr>
            <w:r>
              <w:rPr>
                <w:spacing w:val="-1"/>
              </w:rPr>
              <w:t>《证券期货业网络和信息安全管理办法》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29"/>
        </w:trPr>
        <w:tc>
          <w:tcPr>
            <w:tcW w:w="444" w:type="dxa"/>
            <w:vAlign w:val="top"/>
          </w:tcPr>
          <w:p>
            <w:pPr>
              <w:pStyle w:val="TableText"/>
              <w:spacing w:before="72" w:line="146" w:lineRule="exact"/>
              <w:ind w:left="164"/>
            </w:pPr>
            <w:r>
              <w:rPr>
                <w:position w:val="-2"/>
              </w:rPr>
              <w:t>5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70" w:line="148" w:lineRule="exact"/>
              <w:ind w:left="140"/>
            </w:pPr>
            <w:r>
              <w:rPr>
                <w:spacing w:val="-2"/>
                <w:position w:val="-2"/>
              </w:rPr>
              <w:t>2023.3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21" w:line="192" w:lineRule="auto"/>
              <w:ind w:left="21"/>
            </w:pPr>
            <w:r>
              <w:rPr>
                <w:spacing w:val="1"/>
              </w:rPr>
              <w:t>国家市场监督管理总局等四部门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21" w:line="192" w:lineRule="auto"/>
              <w:ind w:left="20"/>
            </w:pPr>
            <w:r>
              <w:rPr>
                <w:spacing w:val="-1"/>
              </w:rPr>
              <w:t>《关于开展网络安全服务认证工作的实施意见》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499"/>
        </w:trPr>
        <w:tc>
          <w:tcPr>
            <w:tcW w:w="444" w:type="dxa"/>
            <w:vAlign w:val="top"/>
          </w:tcPr>
          <w:p>
            <w:pPr>
              <w:pStyle w:val="TableText"/>
              <w:spacing w:before="211" w:line="183" w:lineRule="auto"/>
              <w:ind w:left="164"/>
            </w:pPr>
            <w:r>
              <w:t>6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211" w:line="183" w:lineRule="auto"/>
              <w:ind w:left="140"/>
            </w:pPr>
            <w:r>
              <w:rPr>
                <w:spacing w:val="-2"/>
              </w:rPr>
              <w:t>2023.4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162" w:line="219" w:lineRule="auto"/>
              <w:ind w:left="21"/>
            </w:pPr>
            <w:r>
              <w:rPr>
                <w:spacing w:val="1"/>
              </w:rPr>
              <w:t>国家互联网信息办公室等五部门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62" w:line="207" w:lineRule="auto"/>
              <w:ind w:left="1691" w:right="88" w:hanging="1692"/>
            </w:pPr>
            <w:r>
              <w:rPr>
                <w:spacing w:val="-3"/>
              </w:rPr>
              <w:t>《关于调整网络安全专用产品安全管理有关事项</w:t>
            </w:r>
            <w:r>
              <w:rPr>
                <w:spacing w:val="13"/>
              </w:rPr>
              <w:t xml:space="preserve"> </w:t>
            </w:r>
            <w:r>
              <w:t>的公告》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19"/>
        </w:trPr>
        <w:tc>
          <w:tcPr>
            <w:tcW w:w="444" w:type="dxa"/>
            <w:vAlign w:val="top"/>
          </w:tcPr>
          <w:p>
            <w:pPr>
              <w:pStyle w:val="TableText"/>
              <w:spacing w:before="74" w:line="134" w:lineRule="exact"/>
              <w:ind w:left="164"/>
            </w:pPr>
            <w:r>
              <w:rPr>
                <w:position w:val="-3"/>
              </w:rPr>
              <w:t>7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72" w:line="136" w:lineRule="exact"/>
              <w:ind w:left="140"/>
            </w:pPr>
            <w:r>
              <w:rPr>
                <w:spacing w:val="-2"/>
                <w:position w:val="-3"/>
              </w:rPr>
              <w:t>2023.5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23" w:line="180" w:lineRule="auto"/>
              <w:ind w:left="1072"/>
            </w:pPr>
            <w:r>
              <w:rPr>
                <w:spacing w:val="3"/>
              </w:rPr>
              <w:t>国务院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23" w:line="180" w:lineRule="auto"/>
              <w:ind w:left="1060"/>
            </w:pPr>
            <w:r>
              <w:rPr>
                <w:spacing w:val="-2"/>
              </w:rPr>
              <w:t>《商用密码管理条例》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220"/>
        </w:trPr>
        <w:tc>
          <w:tcPr>
            <w:tcW w:w="444" w:type="dxa"/>
            <w:vAlign w:val="top"/>
          </w:tcPr>
          <w:p>
            <w:pPr>
              <w:pStyle w:val="TableText"/>
              <w:spacing w:before="73" w:line="136" w:lineRule="exact"/>
              <w:ind w:left="164"/>
            </w:pPr>
            <w:r>
              <w:rPr>
                <w:position w:val="-3"/>
              </w:rPr>
              <w:t>8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73" w:line="136" w:lineRule="exact"/>
              <w:ind w:left="140"/>
            </w:pPr>
            <w:r>
              <w:rPr>
                <w:spacing w:val="-2"/>
                <w:position w:val="-3"/>
              </w:rPr>
              <w:t>2023.5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24" w:line="180" w:lineRule="auto"/>
              <w:ind w:left="881"/>
            </w:pPr>
            <w:r>
              <w:rPr>
                <w:spacing w:val="2"/>
              </w:rPr>
              <w:t>交通运输部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24" w:line="180" w:lineRule="auto"/>
              <w:jc w:val="right"/>
            </w:pPr>
            <w:r>
              <w:rPr>
                <w:spacing w:val="-7"/>
              </w:rPr>
              <w:t>《公路水路关键信息基础设施安全保护管理办法》</w:t>
            </w:r>
          </w:p>
        </w:tc>
      </w:tr>
      <w:tr>
        <w:tblPrEx>
          <w:tblW w:w="8089" w:type="dxa"/>
          <w:tblInd w:w="520" w:type="dxa"/>
          <w:tblLayout w:type="fixed"/>
        </w:tblPrEx>
        <w:trPr>
          <w:trHeight w:val="499"/>
        </w:trPr>
        <w:tc>
          <w:tcPr>
            <w:tcW w:w="444" w:type="dxa"/>
            <w:vAlign w:val="top"/>
          </w:tcPr>
          <w:p>
            <w:pPr>
              <w:pStyle w:val="TableText"/>
              <w:spacing w:before="213" w:line="183" w:lineRule="auto"/>
              <w:ind w:left="164"/>
            </w:pPr>
            <w:r>
              <w:t>9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213" w:line="183" w:lineRule="auto"/>
              <w:ind w:left="140"/>
            </w:pPr>
            <w:r>
              <w:rPr>
                <w:spacing w:val="-2"/>
              </w:rPr>
              <w:t>2023.7</w:t>
            </w:r>
          </w:p>
        </w:tc>
        <w:tc>
          <w:tcPr>
            <w:tcW w:w="2726" w:type="dxa"/>
            <w:vAlign w:val="top"/>
          </w:tcPr>
          <w:p>
            <w:pPr>
              <w:pStyle w:val="TableText"/>
              <w:spacing w:before="44" w:line="216" w:lineRule="auto"/>
              <w:ind w:left="971" w:right="22" w:hanging="950"/>
            </w:pPr>
            <w:r>
              <w:t>工业和信息化部、国家金融监督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管理总局</w:t>
            </w:r>
          </w:p>
        </w:tc>
        <w:tc>
          <w:tcPr>
            <w:tcW w:w="4040" w:type="dxa"/>
            <w:vAlign w:val="top"/>
          </w:tcPr>
          <w:p>
            <w:pPr>
              <w:pStyle w:val="TableText"/>
              <w:spacing w:before="163" w:line="219" w:lineRule="auto"/>
              <w:ind w:left="20"/>
            </w:pPr>
            <w:r>
              <w:rPr>
                <w:spacing w:val="-1"/>
              </w:rPr>
              <w:t>《关于促进网络安全保险规范健康发展的意见》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https://d.book118.com/368014122105006030</w:t>
        </w:r>
      </w:hyperlink>
    </w:p>
    <w:p/>
    <w:sectPr>
      <w:footerReference w:type="default" r:id="rId12"/>
      <w:pgSz w:w="10300" w:h="14550"/>
      <w:pgMar w:top="499" w:right="1049" w:bottom="400" w:left="589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yperlink" Target="https://d.book118.com/368014122105006030" TargetMode="Externa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2024-01-23T19:08:34Z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2024-01-23T19:08:37Z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65af9e2fcf550f001fabd8b4wl</vt:lpwstr>
  </property>
</Properties>
</file>