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Normal0"/>
        <w:rPr>
          <w:rFonts w:eastAsia="宋体" w:hint="eastAsia"/>
          <w:lang w:eastAsia="zh-CN"/>
        </w:rPr>
      </w:pPr>
      <w:bookmarkStart w:id="0" w:name="_GoBack"/>
      <w:bookmarkEnd w:id="0"/>
    </w:p>
    <w:p>
      <w:pPr>
        <w:pStyle w:val="Normal0"/>
        <w:rPr>
          <w:rFonts w:eastAsia="宋体" w:hint="eastAsia"/>
          <w:lang w:eastAsia="zh-CN"/>
        </w:rPr>
      </w:pPr>
    </w:p>
    <w:p>
      <w:pPr>
        <w:pStyle w:val="Normal0"/>
        <w:rPr>
          <w:rFonts w:eastAsia="宋体" w:hint="eastAsia"/>
          <w:lang w:eastAsia="zh-CN"/>
        </w:rPr>
      </w:pPr>
    </w:p>
    <w:p>
      <w:pPr>
        <w:pStyle w:val="Normal0"/>
        <w:rPr>
          <w:rFonts w:eastAsia="宋体" w:hint="eastAsia"/>
          <w:lang w:eastAsia="zh-CN"/>
        </w:rPr>
      </w:pPr>
    </w:p>
    <w:p>
      <w:pPr>
        <w:pStyle w:val="Normal0"/>
        <w:rPr>
          <w:rFonts w:eastAsia="宋体" w:hint="eastAsia"/>
          <w:lang w:eastAsia="zh-CN"/>
        </w:rPr>
      </w:pPr>
    </w:p>
    <w:p>
      <w:pPr>
        <w:pStyle w:val="Normal0"/>
        <w:rPr>
          <w:rFonts w:eastAsia="宋体" w:hint="eastAsia"/>
          <w:lang w:eastAsia="zh-CN"/>
        </w:rPr>
      </w:pPr>
    </w:p>
    <w:p>
      <w:pPr>
        <w:pStyle w:val="Normal0"/>
        <w:rPr>
          <w:rFonts w:eastAsia="宋体" w:hint="eastAsia"/>
          <w:lang w:eastAsia="zh-CN"/>
        </w:rPr>
      </w:pPr>
      <w:r>
        <w:rPr>
          <w:rStyle w:val="bold1"/>
          <w:rFonts w:ascii="宋体" w:eastAsia="宋体" w:hAnsi="宋体" w:cs="Tahoma"/>
          <w:color w:val="000000"/>
          <w:sz w:val="30"/>
          <w:szCs w:val="30"/>
        </w:rPr>
        <w:t>现代花园可行性研究报告</w:t>
      </w:r>
    </w:p>
    <w:p>
      <w:pPr>
        <w:pStyle w:val="Normal0"/>
        <w:rPr>
          <w:rFonts w:eastAsia="宋体" w:hint="eastAsia"/>
          <w:lang w:eastAsia="zh-CN"/>
        </w:rPr>
      </w:pPr>
    </w:p>
    <w:p>
      <w:pPr>
        <w:pStyle w:val="Normal0"/>
        <w:jc w:val="center"/>
        <w:rPr>
          <w:rFonts w:eastAsia="宋体" w:hint="eastAsia"/>
          <w:bCs/>
        </w:rPr>
      </w:pPr>
      <w:r>
        <w:rPr>
          <w:rFonts w:eastAsia="宋体" w:hint="eastAsia"/>
          <w:bCs/>
        </w:rPr>
        <w:t>目     录</w:t>
      </w:r>
    </w:p>
    <w:p>
      <w:pPr>
        <w:pStyle w:val="TOC1"/>
        <w:tabs>
          <w:tab w:val="right" w:leader="middleDot" w:pos="8296"/>
        </w:tabs>
        <w:spacing w:line="480" w:lineRule="auto"/>
        <w:rPr>
          <w:rFonts w:ascii="宋体" w:hAnsi="宋体" w:hint="eastAsia"/>
          <w:b w:val="0"/>
          <w:sz w:val="24"/>
        </w:rPr>
      </w:pPr>
    </w:p>
    <w:p>
      <w:pPr>
        <w:pStyle w:val="TOC1"/>
        <w:tabs>
          <w:tab w:val="right" w:leader="middleDot" w:pos="8296"/>
        </w:tabs>
        <w:spacing w:line="480" w:lineRule="auto"/>
        <w:rPr>
          <w:b w:val="0"/>
          <w:sz w:val="24"/>
        </w:rPr>
      </w:pPr>
      <w:r>
        <w:rPr>
          <w:rFonts w:ascii="宋体" w:hAnsi="宋体"/>
          <w:b w:val="0"/>
          <w:sz w:val="24"/>
        </w:rPr>
        <w:fldChar w:fldCharType="begin"/>
      </w:r>
      <w:r>
        <w:rPr>
          <w:rFonts w:ascii="宋体" w:hAnsi="宋体"/>
          <w:b w:val="0"/>
          <w:sz w:val="24"/>
        </w:rPr>
        <w:instrText xml:space="preserve"> TOC \o "1-1" \h \z \u </w:instrText>
      </w:r>
      <w:r>
        <w:rPr>
          <w:rFonts w:ascii="宋体" w:hAnsi="宋体"/>
          <w:b w:val="0"/>
          <w:sz w:val="24"/>
        </w:rPr>
        <w:fldChar w:fldCharType="separate"/>
      </w:r>
      <w:hyperlink w:anchor="_Toc50787366" w:history="1">
        <w:r>
          <w:rPr>
            <w:rStyle w:val="Hyperlink"/>
            <w:rFonts w:hint="eastAsia"/>
            <w:b w:val="0"/>
            <w:color w:val="auto"/>
            <w:sz w:val="24"/>
          </w:rPr>
          <w:t>一、总</w:t>
        </w:r>
        <w:r>
          <w:rPr>
            <w:rStyle w:val="Hyperlink"/>
            <w:b w:val="0"/>
            <w:color w:val="auto"/>
            <w:sz w:val="24"/>
          </w:rPr>
          <w:t xml:space="preserve">   </w:t>
        </w:r>
        <w:r>
          <w:rPr>
            <w:rStyle w:val="Hyperlink"/>
            <w:rFonts w:hint="eastAsia"/>
            <w:b w:val="0"/>
            <w:color w:val="auto"/>
            <w:sz w:val="24"/>
          </w:rPr>
          <w:t>论</w:t>
        </w:r>
        <w:r>
          <w:rPr>
            <w:b w:val="0"/>
            <w:sz w:val="24"/>
          </w:rPr>
          <w:tab/>
        </w:r>
        <w:r>
          <w:rPr>
            <w:b w:val="0"/>
            <w:sz w:val="24"/>
          </w:rPr>
          <w:fldChar w:fldCharType="begin"/>
        </w:r>
        <w:r>
          <w:rPr>
            <w:b w:val="0"/>
            <w:sz w:val="24"/>
          </w:rPr>
          <w:instrText xml:space="preserve"> PAGEREF _Toc50787366 \h </w:instrText>
        </w:r>
        <w:r>
          <w:rPr>
            <w:b w:val="0"/>
            <w:sz w:val="24"/>
          </w:rPr>
          <w:fldChar w:fldCharType="separate"/>
        </w:r>
        <w:r>
          <w:rPr>
            <w:b w:val="0"/>
            <w:sz w:val="24"/>
          </w:rPr>
          <w:t>1</w:t>
        </w:r>
        <w:r>
          <w:rPr>
            <w:b w:val="0"/>
            <w:sz w:val="24"/>
          </w:rPr>
          <w:fldChar w:fldCharType="end"/>
        </w:r>
      </w:hyperlink>
    </w:p>
    <w:p>
      <w:pPr>
        <w:pStyle w:val="TOC1"/>
        <w:tabs>
          <w:tab w:val="right" w:leader="middleDot" w:pos="8296"/>
        </w:tabs>
        <w:spacing w:line="480" w:lineRule="auto"/>
        <w:rPr>
          <w:b w:val="0"/>
          <w:sz w:val="24"/>
        </w:rPr>
      </w:pPr>
      <w:hyperlink w:anchor="_Toc50787367" w:history="1">
        <w:r>
          <w:rPr>
            <w:rStyle w:val="Hyperlink"/>
            <w:rFonts w:hint="eastAsia"/>
            <w:b w:val="0"/>
            <w:color w:val="auto"/>
            <w:sz w:val="24"/>
          </w:rPr>
          <w:t>二、市场预测</w:t>
        </w:r>
        <w:r>
          <w:rPr>
            <w:b w:val="0"/>
            <w:sz w:val="24"/>
          </w:rPr>
          <w:tab/>
        </w:r>
        <w:r>
          <w:rPr>
            <w:b w:val="0"/>
            <w:sz w:val="24"/>
          </w:rPr>
          <w:fldChar w:fldCharType="begin"/>
        </w:r>
        <w:r>
          <w:rPr>
            <w:b w:val="0"/>
            <w:sz w:val="24"/>
          </w:rPr>
          <w:instrText xml:space="preserve"> PAGEREF _Toc50787367 \h </w:instrText>
        </w:r>
        <w:r>
          <w:rPr>
            <w:b w:val="0"/>
            <w:sz w:val="24"/>
          </w:rPr>
          <w:fldChar w:fldCharType="separate"/>
        </w:r>
        <w:r>
          <w:rPr>
            <w:b w:val="0"/>
            <w:sz w:val="24"/>
          </w:rPr>
          <w:t>5</w:t>
        </w:r>
        <w:r>
          <w:rPr>
            <w:b w:val="0"/>
            <w:sz w:val="24"/>
          </w:rPr>
          <w:fldChar w:fldCharType="end"/>
        </w:r>
      </w:hyperlink>
    </w:p>
    <w:p>
      <w:pPr>
        <w:pStyle w:val="TOC1"/>
        <w:tabs>
          <w:tab w:val="right" w:leader="middleDot" w:pos="8296"/>
        </w:tabs>
        <w:spacing w:line="480" w:lineRule="auto"/>
        <w:rPr>
          <w:b w:val="0"/>
          <w:sz w:val="24"/>
        </w:rPr>
      </w:pPr>
      <w:hyperlink w:anchor="_Toc50787377" w:history="1">
        <w:r>
          <w:rPr>
            <w:rStyle w:val="Hyperlink"/>
            <w:rFonts w:hint="eastAsia"/>
            <w:b w:val="0"/>
            <w:color w:val="auto"/>
            <w:sz w:val="24"/>
          </w:rPr>
          <w:t>三、建设规模与产品</w:t>
        </w:r>
        <w:r>
          <w:rPr>
            <w:rStyle w:val="Hyperlink"/>
            <w:rFonts w:hint="eastAsia"/>
            <w:b w:val="0"/>
            <w:color w:val="auto"/>
            <w:sz w:val="24"/>
            <w:lang w:eastAsia="zh-CN"/>
          </w:rPr>
          <w:t>合适的方案</w:t>
        </w:r>
        <w:r>
          <w:rPr>
            <w:b w:val="0"/>
            <w:sz w:val="24"/>
          </w:rPr>
          <w:tab/>
        </w:r>
        <w:r>
          <w:rPr>
            <w:b w:val="0"/>
            <w:sz w:val="24"/>
          </w:rPr>
          <w:fldChar w:fldCharType="begin"/>
        </w:r>
        <w:r>
          <w:rPr>
            <w:b w:val="0"/>
            <w:sz w:val="24"/>
          </w:rPr>
          <w:instrText xml:space="preserve"> PAGEREF _Toc50787377 \h </w:instrText>
        </w:r>
        <w:r>
          <w:rPr>
            <w:b w:val="0"/>
            <w:sz w:val="24"/>
          </w:rPr>
          <w:fldChar w:fldCharType="separate"/>
        </w:r>
        <w:r>
          <w:rPr>
            <w:b w:val="0"/>
            <w:sz w:val="24"/>
          </w:rPr>
          <w:t>10</w:t>
        </w:r>
        <w:r>
          <w:rPr>
            <w:b w:val="0"/>
            <w:sz w:val="24"/>
          </w:rPr>
          <w:fldChar w:fldCharType="end"/>
        </w:r>
      </w:hyperlink>
    </w:p>
    <w:p>
      <w:pPr>
        <w:pStyle w:val="TOC1"/>
        <w:tabs>
          <w:tab w:val="right" w:leader="middleDot" w:pos="8296"/>
        </w:tabs>
        <w:spacing w:line="480" w:lineRule="auto"/>
        <w:rPr>
          <w:b w:val="0"/>
          <w:sz w:val="24"/>
        </w:rPr>
      </w:pPr>
      <w:hyperlink w:anchor="_Toc50787378" w:history="1">
        <w:r>
          <w:rPr>
            <w:rStyle w:val="Hyperlink"/>
            <w:rFonts w:hint="eastAsia"/>
            <w:b w:val="0"/>
            <w:color w:val="auto"/>
            <w:sz w:val="24"/>
          </w:rPr>
          <w:t>四、选址</w:t>
        </w:r>
        <w:r>
          <w:rPr>
            <w:rStyle w:val="Hyperlink"/>
            <w:rFonts w:hint="eastAsia"/>
            <w:b w:val="0"/>
            <w:color w:val="auto"/>
            <w:sz w:val="24"/>
            <w:lang w:eastAsia="zh-CN"/>
          </w:rPr>
          <w:t>合适的方案</w:t>
        </w:r>
        <w:r>
          <w:rPr>
            <w:b w:val="0"/>
            <w:sz w:val="24"/>
          </w:rPr>
          <w:tab/>
        </w:r>
        <w:r>
          <w:rPr>
            <w:b w:val="0"/>
            <w:sz w:val="24"/>
          </w:rPr>
          <w:fldChar w:fldCharType="begin"/>
        </w:r>
        <w:r>
          <w:rPr>
            <w:b w:val="0"/>
            <w:sz w:val="24"/>
          </w:rPr>
          <w:instrText xml:space="preserve"> PAGEREF _Toc50787378 \h </w:instrText>
        </w:r>
        <w:r>
          <w:rPr>
            <w:b w:val="0"/>
            <w:sz w:val="24"/>
          </w:rPr>
          <w:fldChar w:fldCharType="separate"/>
        </w:r>
        <w:r>
          <w:rPr>
            <w:b w:val="0"/>
            <w:sz w:val="24"/>
          </w:rPr>
          <w:t>13</w:t>
        </w:r>
        <w:r>
          <w:rPr>
            <w:b w:val="0"/>
            <w:sz w:val="24"/>
          </w:rPr>
          <w:fldChar w:fldCharType="end"/>
        </w:r>
      </w:hyperlink>
    </w:p>
    <w:p>
      <w:pPr>
        <w:pStyle w:val="TOC1"/>
        <w:tabs>
          <w:tab w:val="right" w:leader="middleDot" w:pos="8296"/>
        </w:tabs>
        <w:spacing w:line="480" w:lineRule="auto"/>
        <w:rPr>
          <w:b w:val="0"/>
          <w:sz w:val="24"/>
        </w:rPr>
      </w:pPr>
      <w:hyperlink w:anchor="_Toc50787379" w:history="1">
        <w:r>
          <w:rPr>
            <w:rStyle w:val="Hyperlink"/>
            <w:rFonts w:hint="eastAsia"/>
            <w:b w:val="0"/>
            <w:color w:val="auto"/>
            <w:sz w:val="24"/>
          </w:rPr>
          <w:t>五、节能节水措施</w:t>
        </w:r>
        <w:r>
          <w:rPr>
            <w:b w:val="0"/>
            <w:sz w:val="24"/>
          </w:rPr>
          <w:tab/>
        </w:r>
        <w:r>
          <w:rPr>
            <w:b w:val="0"/>
            <w:sz w:val="24"/>
          </w:rPr>
          <w:fldChar w:fldCharType="begin"/>
        </w:r>
        <w:r>
          <w:rPr>
            <w:b w:val="0"/>
            <w:sz w:val="24"/>
          </w:rPr>
          <w:instrText xml:space="preserve"> PAGEREF _Toc50787379 \h </w:instrText>
        </w:r>
        <w:r>
          <w:rPr>
            <w:b w:val="0"/>
            <w:sz w:val="24"/>
          </w:rPr>
          <w:fldChar w:fldCharType="separate"/>
        </w:r>
        <w:r>
          <w:rPr>
            <w:b w:val="0"/>
            <w:sz w:val="24"/>
          </w:rPr>
          <w:t>16</w:t>
        </w:r>
        <w:r>
          <w:rPr>
            <w:b w:val="0"/>
            <w:sz w:val="24"/>
          </w:rPr>
          <w:fldChar w:fldCharType="end"/>
        </w:r>
      </w:hyperlink>
    </w:p>
    <w:p>
      <w:pPr>
        <w:pStyle w:val="TOC1"/>
        <w:tabs>
          <w:tab w:val="right" w:leader="middleDot" w:pos="8296"/>
        </w:tabs>
        <w:spacing w:line="480" w:lineRule="auto"/>
        <w:rPr>
          <w:b w:val="0"/>
          <w:sz w:val="24"/>
        </w:rPr>
      </w:pPr>
      <w:hyperlink w:anchor="_Toc50787380" w:history="1">
        <w:r>
          <w:rPr>
            <w:rStyle w:val="Hyperlink"/>
            <w:rFonts w:hint="eastAsia"/>
            <w:b w:val="0"/>
            <w:color w:val="auto"/>
            <w:sz w:val="24"/>
          </w:rPr>
          <w:t>六、环境影响评价</w:t>
        </w:r>
        <w:r>
          <w:rPr>
            <w:b w:val="0"/>
            <w:sz w:val="24"/>
          </w:rPr>
          <w:tab/>
        </w:r>
        <w:r>
          <w:rPr>
            <w:b w:val="0"/>
            <w:sz w:val="24"/>
          </w:rPr>
          <w:fldChar w:fldCharType="begin"/>
        </w:r>
        <w:r>
          <w:rPr>
            <w:b w:val="0"/>
            <w:sz w:val="24"/>
          </w:rPr>
          <w:instrText xml:space="preserve"> PAGEREF _Toc50787380 \h </w:instrText>
        </w:r>
        <w:r>
          <w:rPr>
            <w:b w:val="0"/>
            <w:sz w:val="24"/>
          </w:rPr>
          <w:fldChar w:fldCharType="separate"/>
        </w:r>
        <w:r>
          <w:rPr>
            <w:b w:val="0"/>
            <w:sz w:val="24"/>
          </w:rPr>
          <w:t>19</w:t>
        </w:r>
        <w:r>
          <w:rPr>
            <w:b w:val="0"/>
            <w:sz w:val="24"/>
          </w:rPr>
          <w:fldChar w:fldCharType="end"/>
        </w:r>
      </w:hyperlink>
    </w:p>
    <w:p>
      <w:pPr>
        <w:pStyle w:val="TOC1"/>
        <w:tabs>
          <w:tab w:val="right" w:leader="middleDot" w:pos="8296"/>
        </w:tabs>
        <w:spacing w:line="480" w:lineRule="auto"/>
        <w:rPr>
          <w:b w:val="0"/>
          <w:sz w:val="24"/>
        </w:rPr>
      </w:pPr>
      <w:hyperlink w:anchor="_Toc50787381" w:history="1">
        <w:r>
          <w:rPr>
            <w:rStyle w:val="Hyperlink"/>
            <w:rFonts w:hint="eastAsia"/>
            <w:b w:val="0"/>
            <w:color w:val="auto"/>
            <w:sz w:val="24"/>
          </w:rPr>
          <w:t>七、劳动安全卫生与消防</w:t>
        </w:r>
        <w:r>
          <w:rPr>
            <w:b w:val="0"/>
            <w:sz w:val="24"/>
          </w:rPr>
          <w:tab/>
        </w:r>
        <w:r>
          <w:rPr>
            <w:b w:val="0"/>
            <w:sz w:val="24"/>
          </w:rPr>
          <w:fldChar w:fldCharType="begin"/>
        </w:r>
        <w:r>
          <w:rPr>
            <w:b w:val="0"/>
            <w:sz w:val="24"/>
          </w:rPr>
          <w:instrText xml:space="preserve"> PAGEREF _Toc50787381 \h </w:instrText>
        </w:r>
        <w:r>
          <w:rPr>
            <w:b w:val="0"/>
            <w:sz w:val="24"/>
          </w:rPr>
          <w:fldChar w:fldCharType="separate"/>
        </w:r>
        <w:r>
          <w:rPr>
            <w:b w:val="0"/>
            <w:sz w:val="24"/>
          </w:rPr>
          <w:t>22</w:t>
        </w:r>
        <w:r>
          <w:rPr>
            <w:b w:val="0"/>
            <w:sz w:val="24"/>
          </w:rPr>
          <w:fldChar w:fldCharType="end"/>
        </w:r>
      </w:hyperlink>
    </w:p>
    <w:p>
      <w:pPr>
        <w:pStyle w:val="TOC1"/>
        <w:tabs>
          <w:tab w:val="right" w:leader="middleDot" w:pos="8296"/>
        </w:tabs>
        <w:spacing w:line="480" w:lineRule="auto"/>
        <w:rPr>
          <w:b w:val="0"/>
          <w:sz w:val="24"/>
        </w:rPr>
      </w:pPr>
      <w:hyperlink w:anchor="_Toc50787382" w:history="1">
        <w:r>
          <w:rPr>
            <w:rStyle w:val="Hyperlink"/>
            <w:rFonts w:hint="eastAsia"/>
            <w:b w:val="0"/>
            <w:color w:val="auto"/>
            <w:sz w:val="24"/>
          </w:rPr>
          <w:t>八、组织机构与人力资源配置</w:t>
        </w:r>
        <w:r>
          <w:rPr>
            <w:b w:val="0"/>
            <w:sz w:val="24"/>
          </w:rPr>
          <w:tab/>
        </w:r>
        <w:r>
          <w:rPr>
            <w:b w:val="0"/>
            <w:sz w:val="24"/>
          </w:rPr>
          <w:fldChar w:fldCharType="begin"/>
        </w:r>
        <w:r>
          <w:rPr>
            <w:b w:val="0"/>
            <w:sz w:val="24"/>
          </w:rPr>
          <w:instrText xml:space="preserve"> PAGEREF _Toc50787382 \h </w:instrText>
        </w:r>
        <w:r>
          <w:rPr>
            <w:b w:val="0"/>
            <w:sz w:val="24"/>
          </w:rPr>
          <w:fldChar w:fldCharType="separate"/>
        </w:r>
        <w:r>
          <w:rPr>
            <w:b w:val="0"/>
            <w:sz w:val="24"/>
          </w:rPr>
          <w:t>24</w:t>
        </w:r>
        <w:r>
          <w:rPr>
            <w:b w:val="0"/>
            <w:sz w:val="24"/>
          </w:rPr>
          <w:fldChar w:fldCharType="end"/>
        </w:r>
      </w:hyperlink>
    </w:p>
    <w:p>
      <w:pPr>
        <w:pStyle w:val="TOC1"/>
        <w:tabs>
          <w:tab w:val="right" w:leader="middleDot" w:pos="8296"/>
        </w:tabs>
        <w:spacing w:line="480" w:lineRule="auto"/>
        <w:rPr>
          <w:b w:val="0"/>
          <w:sz w:val="24"/>
        </w:rPr>
      </w:pPr>
      <w:hyperlink w:anchor="_Toc50787383" w:history="1">
        <w:r>
          <w:rPr>
            <w:rStyle w:val="Hyperlink"/>
            <w:rFonts w:hint="eastAsia"/>
            <w:b w:val="0"/>
            <w:color w:val="auto"/>
            <w:sz w:val="24"/>
          </w:rPr>
          <w:t>九、</w:t>
        </w:r>
        <w:r>
          <w:rPr>
            <w:rStyle w:val="Hyperlink"/>
            <w:rFonts w:hint="eastAsia"/>
            <w:b w:val="0"/>
            <w:color w:val="auto"/>
            <w:sz w:val="24"/>
            <w:lang w:eastAsia="zh-CN"/>
          </w:rPr>
          <w:t>相关项目</w:t>
        </w:r>
        <w:r>
          <w:rPr>
            <w:rStyle w:val="Hyperlink"/>
            <w:rFonts w:hint="eastAsia"/>
            <w:b w:val="0"/>
            <w:color w:val="auto"/>
            <w:sz w:val="24"/>
          </w:rPr>
          <w:t>实施进度</w:t>
        </w:r>
        <w:r>
          <w:rPr>
            <w:b w:val="0"/>
            <w:sz w:val="24"/>
          </w:rPr>
          <w:tab/>
        </w:r>
        <w:r>
          <w:rPr>
            <w:b w:val="0"/>
            <w:sz w:val="24"/>
          </w:rPr>
          <w:fldChar w:fldCharType="begin"/>
        </w:r>
        <w:r>
          <w:rPr>
            <w:b w:val="0"/>
            <w:sz w:val="24"/>
          </w:rPr>
          <w:instrText xml:space="preserve"> PAGEREF _Toc50787383 \h </w:instrText>
        </w:r>
        <w:r>
          <w:rPr>
            <w:b w:val="0"/>
            <w:sz w:val="24"/>
          </w:rPr>
          <w:fldChar w:fldCharType="separate"/>
        </w:r>
        <w:r>
          <w:rPr>
            <w:b w:val="0"/>
            <w:sz w:val="24"/>
          </w:rPr>
          <w:t>28</w:t>
        </w:r>
        <w:r>
          <w:rPr>
            <w:b w:val="0"/>
            <w:sz w:val="24"/>
          </w:rPr>
          <w:fldChar w:fldCharType="end"/>
        </w:r>
      </w:hyperlink>
    </w:p>
    <w:p>
      <w:pPr>
        <w:pStyle w:val="TOC1"/>
        <w:tabs>
          <w:tab w:val="right" w:leader="middleDot" w:pos="8296"/>
        </w:tabs>
        <w:spacing w:line="480" w:lineRule="auto"/>
        <w:rPr>
          <w:b w:val="0"/>
          <w:sz w:val="24"/>
        </w:rPr>
      </w:pPr>
      <w:hyperlink w:anchor="_Toc50787384" w:history="1">
        <w:r>
          <w:rPr>
            <w:rStyle w:val="Hyperlink"/>
            <w:rFonts w:hint="eastAsia"/>
            <w:b w:val="0"/>
            <w:color w:val="auto"/>
            <w:sz w:val="24"/>
          </w:rPr>
          <w:t>十、投资估算</w:t>
        </w:r>
        <w:r>
          <w:rPr>
            <w:b w:val="0"/>
            <w:sz w:val="24"/>
          </w:rPr>
          <w:tab/>
        </w:r>
        <w:r>
          <w:rPr>
            <w:b w:val="0"/>
            <w:sz w:val="24"/>
          </w:rPr>
          <w:fldChar w:fldCharType="begin"/>
        </w:r>
        <w:r>
          <w:rPr>
            <w:b w:val="0"/>
            <w:sz w:val="24"/>
          </w:rPr>
          <w:instrText xml:space="preserve"> PAGEREF _Toc50787384 \h </w:instrText>
        </w:r>
        <w:r>
          <w:rPr>
            <w:b w:val="0"/>
            <w:sz w:val="24"/>
          </w:rPr>
          <w:fldChar w:fldCharType="separate"/>
        </w:r>
        <w:r>
          <w:rPr>
            <w:b w:val="0"/>
            <w:sz w:val="24"/>
          </w:rPr>
          <w:t>28</w:t>
        </w:r>
        <w:r>
          <w:rPr>
            <w:b w:val="0"/>
            <w:sz w:val="24"/>
          </w:rPr>
          <w:fldChar w:fldCharType="end"/>
        </w:r>
      </w:hyperlink>
    </w:p>
    <w:p>
      <w:pPr>
        <w:pStyle w:val="TOC1"/>
        <w:tabs>
          <w:tab w:val="right" w:leader="middleDot" w:pos="8296"/>
        </w:tabs>
        <w:spacing w:line="480" w:lineRule="auto"/>
        <w:rPr>
          <w:b w:val="0"/>
          <w:sz w:val="24"/>
        </w:rPr>
        <w:sectPr>
          <w:headerReference w:type="default" r:id="rId5"/>
          <w:footerReference w:type="default" r:id="rId6"/>
          <w:pgSz w:w="11906" w:h="16838"/>
          <w:pgMar w:top="539" w:right="926" w:bottom="1440" w:left="1800" w:header="495" w:footer="992" w:gutter="0"/>
          <w:cols w:num="1" w:space="425"/>
          <w:docGrid w:type="lines" w:linePitch="360" w:charSpace="0"/>
        </w:sectPr>
      </w:pPr>
      <w:hyperlink w:anchor="_Toc50787385" w:history="1">
        <w:r>
          <w:rPr>
            <w:rStyle w:val="Hyperlink"/>
            <w:rFonts w:hint="eastAsia"/>
            <w:b w:val="0"/>
            <w:color w:val="auto"/>
            <w:sz w:val="24"/>
          </w:rPr>
          <w:t>十一、融资</w:t>
        </w:r>
        <w:r>
          <w:rPr>
            <w:rStyle w:val="Hyperlink"/>
            <w:rFonts w:hint="eastAsia"/>
            <w:b w:val="0"/>
            <w:color w:val="auto"/>
            <w:sz w:val="24"/>
            <w:lang w:eastAsia="zh-CN"/>
          </w:rPr>
          <w:t>合适的方案</w:t>
        </w:r>
        <w:r>
          <w:rPr>
            <w:b w:val="0"/>
            <w:sz w:val="24"/>
          </w:rPr>
          <w:tab/>
        </w:r>
        <w:r>
          <w:rPr>
            <w:b w:val="0"/>
            <w:sz w:val="24"/>
          </w:rPr>
          <w:fldChar w:fldCharType="begin"/>
        </w:r>
        <w:r>
          <w:rPr>
            <w:b w:val="0"/>
            <w:sz w:val="24"/>
          </w:rPr>
          <w:instrText xml:space="preserve"> PAGEREF _Toc50787385 \h </w:instrText>
        </w:r>
        <w:r>
          <w:rPr>
            <w:b w:val="0"/>
            <w:sz w:val="24"/>
          </w:rPr>
          <w:fldChar w:fldCharType="separate"/>
        </w:r>
        <w:r>
          <w:rPr>
            <w:b w:val="0"/>
            <w:sz w:val="24"/>
          </w:rPr>
          <w:t>31</w:t>
        </w:r>
        <w:r>
          <w:rPr>
            <w:b w:val="0"/>
            <w:sz w:val="24"/>
          </w:rPr>
          <w:fldChar w:fldCharType="end"/>
        </w:r>
      </w:hyperlink>
    </w:p>
    <w:p>
      <w:pPr>
        <w:pStyle w:val="TOC1"/>
        <w:tabs>
          <w:tab w:val="right" w:leader="middleDot" w:pos="8296"/>
        </w:tabs>
        <w:spacing w:line="480" w:lineRule="auto"/>
        <w:rPr>
          <w:b w:val="0"/>
          <w:sz w:val="24"/>
        </w:rPr>
      </w:pPr>
      <w:hyperlink w:anchor="_Toc50787386" w:history="1">
        <w:r>
          <w:rPr>
            <w:rStyle w:val="Hyperlink"/>
            <w:rFonts w:hint="eastAsia"/>
            <w:b w:val="0"/>
            <w:color w:val="auto"/>
            <w:sz w:val="24"/>
          </w:rPr>
          <w:t>十二、财务评价</w:t>
        </w:r>
        <w:r>
          <w:rPr>
            <w:b w:val="0"/>
            <w:sz w:val="24"/>
          </w:rPr>
          <w:tab/>
        </w:r>
        <w:r>
          <w:rPr>
            <w:b w:val="0"/>
            <w:sz w:val="24"/>
          </w:rPr>
          <w:fldChar w:fldCharType="begin"/>
        </w:r>
        <w:r>
          <w:rPr>
            <w:b w:val="0"/>
            <w:sz w:val="24"/>
          </w:rPr>
          <w:instrText xml:space="preserve"> PAGEREF _Toc50787386 \h </w:instrText>
        </w:r>
        <w:r>
          <w:rPr>
            <w:b w:val="0"/>
            <w:sz w:val="24"/>
          </w:rPr>
          <w:fldChar w:fldCharType="separate"/>
        </w:r>
        <w:r>
          <w:rPr>
            <w:b w:val="0"/>
            <w:sz w:val="24"/>
          </w:rPr>
          <w:t>33</w:t>
        </w:r>
        <w:r>
          <w:rPr>
            <w:b w:val="0"/>
            <w:sz w:val="24"/>
          </w:rPr>
          <w:fldChar w:fldCharType="end"/>
        </w:r>
      </w:hyperlink>
    </w:p>
    <w:p>
      <w:pPr>
        <w:pStyle w:val="TOC1"/>
        <w:tabs>
          <w:tab w:val="right" w:leader="middleDot" w:pos="8296"/>
        </w:tabs>
        <w:spacing w:line="480" w:lineRule="auto"/>
        <w:rPr>
          <w:b w:val="0"/>
          <w:sz w:val="24"/>
        </w:rPr>
      </w:pPr>
      <w:hyperlink w:anchor="_Toc50787387" w:history="1">
        <w:r>
          <w:rPr>
            <w:rStyle w:val="Hyperlink"/>
            <w:rFonts w:hint="eastAsia"/>
            <w:b w:val="0"/>
            <w:color w:val="auto"/>
            <w:sz w:val="24"/>
          </w:rPr>
          <w:t>十三、社会评价</w:t>
        </w:r>
        <w:r>
          <w:rPr>
            <w:b w:val="0"/>
            <w:sz w:val="24"/>
          </w:rPr>
          <w:tab/>
        </w:r>
        <w:r>
          <w:rPr>
            <w:b w:val="0"/>
            <w:sz w:val="24"/>
          </w:rPr>
          <w:fldChar w:fldCharType="begin"/>
        </w:r>
        <w:r>
          <w:rPr>
            <w:b w:val="0"/>
            <w:sz w:val="24"/>
          </w:rPr>
          <w:instrText xml:space="preserve"> PAGEREF _Toc50787387 \h </w:instrText>
        </w:r>
        <w:r>
          <w:rPr>
            <w:b w:val="0"/>
            <w:sz w:val="24"/>
          </w:rPr>
          <w:fldChar w:fldCharType="separate"/>
        </w:r>
        <w:r>
          <w:rPr>
            <w:b w:val="0"/>
            <w:sz w:val="24"/>
          </w:rPr>
          <w:t>34</w:t>
        </w:r>
        <w:r>
          <w:rPr>
            <w:b w:val="0"/>
            <w:sz w:val="24"/>
          </w:rPr>
          <w:fldChar w:fldCharType="end"/>
        </w:r>
      </w:hyperlink>
    </w:p>
    <w:p>
      <w:pPr>
        <w:pStyle w:val="TOC1"/>
        <w:tabs>
          <w:tab w:val="right" w:leader="middleDot" w:pos="8296"/>
        </w:tabs>
        <w:spacing w:line="480" w:lineRule="auto"/>
        <w:rPr>
          <w:b w:val="0"/>
          <w:sz w:val="24"/>
        </w:rPr>
      </w:pPr>
      <w:hyperlink w:anchor="_Toc50787388" w:history="1">
        <w:r>
          <w:rPr>
            <w:rStyle w:val="Hyperlink"/>
            <w:rFonts w:hint="eastAsia"/>
            <w:b w:val="0"/>
            <w:color w:val="auto"/>
            <w:sz w:val="24"/>
          </w:rPr>
          <w:t>十四、风险分析</w:t>
        </w:r>
        <w:r>
          <w:rPr>
            <w:b w:val="0"/>
            <w:sz w:val="24"/>
          </w:rPr>
          <w:tab/>
        </w:r>
        <w:r>
          <w:rPr>
            <w:b w:val="0"/>
            <w:sz w:val="24"/>
          </w:rPr>
          <w:fldChar w:fldCharType="begin"/>
        </w:r>
        <w:r>
          <w:rPr>
            <w:b w:val="0"/>
            <w:sz w:val="24"/>
          </w:rPr>
          <w:instrText xml:space="preserve"> PAGEREF _Toc50787388 \h </w:instrText>
        </w:r>
        <w:r>
          <w:rPr>
            <w:b w:val="0"/>
            <w:sz w:val="24"/>
          </w:rPr>
          <w:fldChar w:fldCharType="separate"/>
        </w:r>
        <w:r>
          <w:rPr>
            <w:b w:val="0"/>
            <w:sz w:val="24"/>
          </w:rPr>
          <w:t>36</w:t>
        </w:r>
        <w:r>
          <w:rPr>
            <w:b w:val="0"/>
            <w:sz w:val="24"/>
          </w:rPr>
          <w:fldChar w:fldCharType="end"/>
        </w:r>
      </w:hyperlink>
    </w:p>
    <w:p>
      <w:pPr>
        <w:pStyle w:val="TOC1"/>
        <w:tabs>
          <w:tab w:val="right" w:leader="middleDot" w:pos="8296"/>
        </w:tabs>
        <w:spacing w:line="480" w:lineRule="auto"/>
        <w:rPr>
          <w:b w:val="0"/>
          <w:sz w:val="24"/>
        </w:rPr>
      </w:pPr>
      <w:hyperlink w:anchor="_Toc50787389" w:history="1">
        <w:r>
          <w:rPr>
            <w:rStyle w:val="Hyperlink"/>
            <w:rFonts w:hint="eastAsia"/>
            <w:b w:val="0"/>
            <w:color w:val="auto"/>
            <w:sz w:val="24"/>
          </w:rPr>
          <w:t>十五、研究结论与建议</w:t>
        </w:r>
        <w:r>
          <w:rPr>
            <w:b w:val="0"/>
            <w:sz w:val="24"/>
          </w:rPr>
          <w:tab/>
        </w:r>
        <w:r>
          <w:rPr>
            <w:b w:val="0"/>
            <w:sz w:val="24"/>
          </w:rPr>
          <w:fldChar w:fldCharType="begin"/>
        </w:r>
        <w:r>
          <w:rPr>
            <w:b w:val="0"/>
            <w:sz w:val="24"/>
          </w:rPr>
          <w:instrText xml:space="preserve"> PAGEREF _Toc50787389 \h </w:instrText>
        </w:r>
        <w:r>
          <w:rPr>
            <w:b w:val="0"/>
            <w:sz w:val="24"/>
          </w:rPr>
          <w:fldChar w:fldCharType="separate"/>
        </w:r>
        <w:r>
          <w:rPr>
            <w:b w:val="0"/>
            <w:sz w:val="24"/>
          </w:rPr>
          <w:t>38</w:t>
        </w:r>
        <w:r>
          <w:rPr>
            <w:b w:val="0"/>
            <w:sz w:val="24"/>
          </w:rPr>
          <w:fldChar w:fldCharType="end"/>
        </w:r>
      </w:hyperlink>
    </w:p>
    <w:p>
      <w:pPr>
        <w:pStyle w:val="TOC1"/>
        <w:tabs>
          <w:tab w:val="right" w:leader="middleDot" w:pos="8296"/>
        </w:tabs>
        <w:spacing w:line="480" w:lineRule="auto"/>
        <w:rPr>
          <w:b w:val="0"/>
          <w:sz w:val="24"/>
        </w:rPr>
      </w:pPr>
      <w:hyperlink w:anchor="_Toc50787390" w:history="1">
        <w:r>
          <w:rPr>
            <w:rStyle w:val="Hyperlink"/>
            <w:rFonts w:hint="eastAsia"/>
            <w:b w:val="0"/>
            <w:color w:val="auto"/>
            <w:sz w:val="24"/>
          </w:rPr>
          <w:t>十六、附图、附表</w:t>
        </w:r>
        <w:r>
          <w:rPr>
            <w:b w:val="0"/>
            <w:sz w:val="24"/>
          </w:rPr>
          <w:tab/>
        </w:r>
        <w:r>
          <w:rPr>
            <w:b w:val="0"/>
            <w:sz w:val="24"/>
          </w:rPr>
          <w:fldChar w:fldCharType="begin"/>
        </w:r>
        <w:r>
          <w:rPr>
            <w:b w:val="0"/>
            <w:sz w:val="24"/>
          </w:rPr>
          <w:instrText xml:space="preserve"> PAGEREF _Toc50787390 \h </w:instrText>
        </w:r>
        <w:r>
          <w:rPr>
            <w:b w:val="0"/>
            <w:sz w:val="24"/>
          </w:rPr>
          <w:fldChar w:fldCharType="separate"/>
        </w:r>
        <w:r>
          <w:rPr>
            <w:b w:val="0"/>
            <w:sz w:val="24"/>
          </w:rPr>
          <w:t>41</w:t>
        </w:r>
        <w:r>
          <w:rPr>
            <w:b w:val="0"/>
            <w:sz w:val="24"/>
          </w:rPr>
          <w:fldChar w:fldCharType="end"/>
        </w:r>
      </w:hyperlink>
    </w:p>
    <w:p>
      <w:pPr>
        <w:pStyle w:val="TOC1"/>
        <w:tabs>
          <w:tab w:val="right" w:leader="middleDot" w:pos="8296"/>
        </w:tabs>
        <w:spacing w:line="480" w:lineRule="auto"/>
        <w:rPr>
          <w:b w:val="0"/>
          <w:sz w:val="24"/>
        </w:rPr>
      </w:pPr>
      <w:hyperlink w:anchor="_Toc50787391" w:history="1">
        <w:r>
          <w:rPr>
            <w:rStyle w:val="Hyperlink"/>
            <w:rFonts w:hint="eastAsia"/>
            <w:b w:val="0"/>
            <w:color w:val="auto"/>
            <w:sz w:val="24"/>
          </w:rPr>
          <w:t>十七、组员评价</w:t>
        </w:r>
        <w:r>
          <w:rPr>
            <w:b w:val="0"/>
            <w:sz w:val="24"/>
          </w:rPr>
          <w:tab/>
        </w:r>
        <w:r>
          <w:rPr>
            <w:b w:val="0"/>
            <w:sz w:val="24"/>
          </w:rPr>
          <w:fldChar w:fldCharType="begin"/>
        </w:r>
        <w:r>
          <w:rPr>
            <w:b w:val="0"/>
            <w:sz w:val="24"/>
          </w:rPr>
          <w:instrText xml:space="preserve"> PAGEREF _Toc50787391 \h </w:instrText>
        </w:r>
        <w:r>
          <w:rPr>
            <w:b w:val="0"/>
            <w:sz w:val="24"/>
          </w:rPr>
          <w:fldChar w:fldCharType="separate"/>
        </w:r>
        <w:r>
          <w:rPr>
            <w:b w:val="0"/>
            <w:sz w:val="24"/>
          </w:rPr>
          <w:t>55</w:t>
        </w:r>
        <w:r>
          <w:rPr>
            <w:b w:val="0"/>
            <w:sz w:val="24"/>
          </w:rPr>
          <w:fldChar w:fldCharType="end"/>
        </w:r>
      </w:hyperlink>
    </w:p>
    <w:p>
      <w:pPr>
        <w:pStyle w:val="Normal0"/>
        <w:spacing w:line="480" w:lineRule="auto"/>
        <w:jc w:val="center"/>
        <w:rPr>
          <w:rFonts w:ascii="宋体" w:eastAsia="宋体" w:hAnsi="宋体" w:hint="eastAsia"/>
        </w:rPr>
      </w:pPr>
      <w:r>
        <w:rPr>
          <w:rFonts w:ascii="宋体" w:eastAsia="宋体" w:hAnsi="宋体"/>
        </w:rPr>
        <w:fldChar w:fldCharType="end"/>
      </w:r>
    </w:p>
    <w:p>
      <w:pPr>
        <w:pStyle w:val="Heading1"/>
        <w:rPr>
          <w:rFonts w:ascii="仿宋_GB2312" w:hAnsi="Arial" w:cs="Arial" w:hint="eastAsia"/>
          <w:b w:val="0"/>
          <w:sz w:val="24"/>
          <w:szCs w:val="24"/>
        </w:rPr>
      </w:pPr>
      <w:bookmarkStart w:id="1" w:name="_Toc50787366"/>
      <w:r>
        <w:rPr>
          <w:rFonts w:hint="eastAsia"/>
          <w:b w:val="0"/>
          <w:sz w:val="24"/>
          <w:szCs w:val="24"/>
        </w:rPr>
        <w:t>一、总   论</w:t>
      </w:r>
      <w:bookmarkEnd w:id="1"/>
    </w:p>
    <w:p>
      <w:pPr>
        <w:pStyle w:val="Normal0"/>
        <w:spacing w:line="360" w:lineRule="auto"/>
        <w:rPr>
          <w:rFonts w:ascii="黑体" w:eastAsia="宋体" w:hAnsi="Arial" w:cs="Arial"/>
          <w:bCs/>
        </w:rPr>
      </w:pPr>
      <w:r>
        <w:rPr>
          <w:rFonts w:ascii="黑体" w:eastAsia="宋体" w:hAnsi="Arial" w:cs="Arial" w:hint="eastAsia"/>
          <w:bCs/>
        </w:rPr>
        <w:t>一．</w:t>
      </w:r>
      <w:r>
        <w:rPr>
          <w:rFonts w:ascii="黑体" w:eastAsia="宋体" w:hAnsi="Arial" w:cs="Arial" w:hint="eastAsia"/>
          <w:bCs/>
          <w:lang w:eastAsia="zh-CN"/>
        </w:rPr>
        <w:t>相关项目</w:t>
      </w:r>
      <w:r>
        <w:rPr>
          <w:rFonts w:ascii="黑体" w:eastAsia="宋体" w:hAnsi="Arial" w:cs="Arial" w:hint="eastAsia"/>
          <w:bCs/>
        </w:rPr>
        <w:t>背景</w:t>
      </w:r>
    </w:p>
    <w:p>
      <w:pPr>
        <w:pStyle w:val="Normal0"/>
        <w:spacing w:line="360" w:lineRule="auto"/>
        <w:rPr>
          <w:rFonts w:ascii="宋体" w:eastAsia="宋体" w:hAnsi="宋体" w:cs="Arial" w:hint="eastAsia"/>
        </w:rPr>
      </w:pPr>
      <w:r>
        <w:rPr>
          <w:rFonts w:ascii="宋体" w:eastAsia="宋体" w:hAnsi="宋体" w:cs="Arial" w:hint="eastAsia"/>
          <w:bCs/>
        </w:rPr>
        <w:t>1.</w:t>
      </w:r>
      <w:r>
        <w:rPr>
          <w:rFonts w:ascii="宋体" w:eastAsia="宋体" w:hAnsi="宋体" w:cs="Arial" w:hint="eastAsia"/>
          <w:lang w:eastAsia="zh-CN"/>
        </w:rPr>
        <w:t>相关项目</w:t>
      </w:r>
      <w:r>
        <w:rPr>
          <w:rFonts w:ascii="宋体" w:eastAsia="宋体" w:hAnsi="宋体" w:cs="Arial" w:hint="eastAsia"/>
        </w:rPr>
        <w:t>名称:现代花园</w:t>
      </w:r>
    </w:p>
    <w:p>
      <w:pPr>
        <w:pStyle w:val="Normal0"/>
        <w:spacing w:line="360" w:lineRule="auto"/>
        <w:rPr>
          <w:rFonts w:ascii="宋体" w:eastAsia="宋体" w:hAnsi="宋体" w:cs="Arial" w:hint="eastAsia"/>
        </w:rPr>
      </w:pPr>
      <w:r>
        <w:rPr>
          <w:rFonts w:ascii="宋体" w:eastAsia="宋体" w:hAnsi="宋体" w:cs="Arial" w:hint="eastAsia"/>
          <w:bCs/>
        </w:rPr>
        <w:t>2.</w:t>
      </w:r>
      <w:r>
        <w:rPr>
          <w:rFonts w:ascii="宋体" w:eastAsia="宋体" w:hAnsi="宋体" w:cs="Arial" w:hint="eastAsia"/>
        </w:rPr>
        <w:t>承办单位概况</w:t>
      </w:r>
    </w:p>
    <w:p>
      <w:pPr>
        <w:pStyle w:val="Normal0"/>
        <w:spacing w:line="360" w:lineRule="auto"/>
        <w:ind w:firstLine="480" w:firstLineChars="200"/>
        <w:rPr>
          <w:rFonts w:ascii="宋体" w:eastAsia="宋体" w:hAnsi="宋体" w:cs="Arial" w:hint="eastAsia"/>
        </w:rPr>
      </w:pPr>
      <w:r>
        <w:rPr>
          <w:rFonts w:ascii="宋体" w:eastAsia="宋体" w:hAnsi="宋体" w:cs="Arial" w:hint="eastAsia"/>
        </w:rPr>
        <w:t>承办单位是蒲氏房地产开发集团公司，注册资本3000万元，开发资质为一级。公司经营范围：房地产开发、房地产经营、商品房销售、物业</w:t>
      </w:r>
      <w:r>
        <w:rPr>
          <w:rFonts w:ascii="宋体" w:eastAsia="宋体" w:hAnsi="宋体" w:cs="Arial" w:hint="eastAsia"/>
          <w:lang w:eastAsia="zh-CN"/>
        </w:rPr>
        <w:t>管理管控</w:t>
      </w:r>
      <w:r>
        <w:rPr>
          <w:rFonts w:ascii="宋体" w:eastAsia="宋体" w:hAnsi="宋体" w:cs="Arial" w:hint="eastAsia"/>
        </w:rPr>
        <w:t>等。公司实行规划、开发、</w:t>
      </w:r>
      <w:r>
        <w:rPr>
          <w:rFonts w:ascii="宋体" w:eastAsia="宋体" w:hAnsi="宋体" w:cs="Arial" w:hint="eastAsia"/>
          <w:lang w:eastAsia="zh-CN"/>
        </w:rPr>
        <w:t>管理管控</w:t>
      </w:r>
      <w:r>
        <w:rPr>
          <w:rFonts w:ascii="宋体" w:eastAsia="宋体" w:hAnsi="宋体" w:cs="Arial" w:hint="eastAsia"/>
        </w:rPr>
        <w:t>、销售、服务一体化，一贯秉承</w:t>
      </w:r>
      <w:r>
        <w:rPr>
          <w:rFonts w:ascii="宋体" w:eastAsia="宋体" w:hAnsi="宋体" w:cs="Arial"/>
        </w:rPr>
        <w:t>"</w:t>
      </w:r>
      <w:r>
        <w:rPr>
          <w:rFonts w:ascii="宋体" w:eastAsia="宋体" w:hAnsi="宋体" w:cs="Arial" w:hint="eastAsia"/>
        </w:rPr>
        <w:t>诚信、合作、卓越、创新</w:t>
      </w:r>
      <w:r>
        <w:rPr>
          <w:rFonts w:ascii="宋体" w:eastAsia="宋体" w:hAnsi="宋体" w:cs="Arial"/>
        </w:rPr>
        <w:t>"</w:t>
      </w:r>
      <w:r>
        <w:rPr>
          <w:rFonts w:ascii="宋体" w:eastAsia="宋体" w:hAnsi="宋体" w:cs="Arial" w:hint="eastAsia"/>
        </w:rPr>
        <w:t>的经营理念，开拓进取。</w:t>
      </w:r>
    </w:p>
    <w:p>
      <w:pPr>
        <w:pStyle w:val="Normal0"/>
        <w:spacing w:line="360" w:lineRule="auto"/>
        <w:ind w:firstLine="480" w:firstLineChars="200"/>
        <w:rPr>
          <w:rFonts w:ascii="宋体" w:eastAsia="宋体" w:hAnsi="宋体" w:hint="eastAsia"/>
        </w:rPr>
      </w:pPr>
      <w:r>
        <w:rPr>
          <w:rFonts w:ascii="宋体" w:eastAsia="宋体" w:hAnsi="宋体" w:hint="eastAsia"/>
        </w:rPr>
        <w:t>蒲氏房地产开发集团公司的经营宗旨是：</w:t>
      </w:r>
    </w:p>
    <w:p>
      <w:pPr>
        <w:pStyle w:val="Normal0"/>
        <w:spacing w:line="360" w:lineRule="auto"/>
        <w:ind w:firstLine="480" w:firstLineChars="200"/>
        <w:rPr>
          <w:rFonts w:ascii="宋体" w:eastAsia="宋体" w:hAnsi="宋体" w:hint="eastAsia"/>
        </w:rPr>
      </w:pPr>
      <w:r>
        <w:rPr>
          <w:rFonts w:ascii="宋体" w:eastAsia="宋体" w:hAnsi="宋体"/>
        </w:rPr>
        <w:t>为客户创造生活--提供高质量的住宅产品和服务，让人们的生活更加简便、高效、丰富多彩；</w:t>
      </w:r>
    </w:p>
    <w:p>
      <w:pPr>
        <w:pStyle w:val="Normal0"/>
        <w:spacing w:line="360" w:lineRule="auto"/>
        <w:ind w:firstLine="480" w:firstLineChars="200"/>
        <w:rPr>
          <w:rFonts w:ascii="宋体" w:eastAsia="宋体" w:hAnsi="宋体" w:hint="eastAsia"/>
        </w:rPr>
        <w:sectPr>
          <w:headerReference w:type="default" r:id="rId7"/>
          <w:footerReference w:type="default" r:id="rId8"/>
          <w:type w:val="nextPage"/>
          <w:pgSz w:w="11906" w:h="16838"/>
          <w:pgMar w:top="539" w:right="926" w:bottom="1440" w:left="1800" w:header="495" w:footer="992" w:gutter="0"/>
          <w:pgNumType w:start="2"/>
          <w:cols w:num="1" w:space="425"/>
          <w:titlePg w:val="0"/>
          <w:docGrid w:type="lines" w:linePitch="360" w:charSpace="0"/>
        </w:sectPr>
      </w:pPr>
      <w:r>
        <w:rPr>
          <w:rFonts w:ascii="宋体" w:eastAsia="宋体" w:hAnsi="宋体"/>
        </w:rPr>
        <w:t>为社会创造价值--服务社会，创造文明进步的生活方式，充分实现</w:t>
      </w:r>
      <w:r>
        <w:rPr>
          <w:rFonts w:ascii="宋体" w:eastAsia="宋体" w:hAnsi="宋体" w:cs="Arial" w:hint="eastAsia"/>
        </w:rPr>
        <w:t>蒲氏房地产集团</w:t>
      </w:r>
      <w:r>
        <w:rPr>
          <w:rFonts w:ascii="宋体" w:eastAsia="宋体" w:hAnsi="宋体"/>
        </w:rPr>
        <w:t>的社会价值；</w:t>
      </w:r>
    </w:p>
    <w:p>
      <w:pPr>
        <w:pStyle w:val="Normal0"/>
        <w:spacing w:line="360" w:lineRule="auto"/>
        <w:ind w:firstLine="480" w:firstLineChars="200"/>
        <w:rPr>
          <w:rFonts w:ascii="宋体" w:eastAsia="宋体" w:hAnsi="宋体" w:hint="eastAsia"/>
        </w:rPr>
      </w:pPr>
      <w:r>
        <w:rPr>
          <w:rFonts w:ascii="宋体" w:eastAsia="宋体" w:hAnsi="宋体"/>
        </w:rPr>
        <w:t>为员工创造机会--创造发展空间，提升员工价值，提高</w:t>
      </w:r>
      <w:r>
        <w:rPr>
          <w:rFonts w:ascii="宋体" w:eastAsia="宋体" w:hAnsi="宋体" w:cs="Arial" w:hint="eastAsia"/>
        </w:rPr>
        <w:t>蒲氏集团</w:t>
      </w:r>
      <w:r>
        <w:rPr>
          <w:rFonts w:ascii="宋体" w:eastAsia="宋体" w:hAnsi="宋体"/>
        </w:rPr>
        <w:t>人的工作生活质量；</w:t>
      </w:r>
    </w:p>
    <w:p>
      <w:pPr>
        <w:pStyle w:val="Normal0"/>
        <w:spacing w:line="360" w:lineRule="auto"/>
        <w:ind w:firstLine="480" w:firstLineChars="200"/>
        <w:rPr>
          <w:rFonts w:ascii="宋体" w:eastAsia="宋体" w:hAnsi="宋体" w:hint="eastAsia"/>
        </w:rPr>
      </w:pPr>
      <w:r>
        <w:rPr>
          <w:rFonts w:ascii="宋体" w:eastAsia="宋体" w:hAnsi="宋体"/>
        </w:rPr>
        <w:t>为股东创造回报--以长远利益回报</w:t>
      </w:r>
      <w:r>
        <w:rPr>
          <w:rFonts w:ascii="宋体" w:eastAsia="宋体" w:hAnsi="宋体" w:cs="Arial" w:hint="eastAsia"/>
        </w:rPr>
        <w:t>蒲氏集团</w:t>
      </w:r>
      <w:r>
        <w:rPr>
          <w:rFonts w:ascii="宋体" w:eastAsia="宋体" w:hAnsi="宋体"/>
        </w:rPr>
        <w:t>股东。</w:t>
      </w:r>
    </w:p>
    <w:p>
      <w:pPr>
        <w:pStyle w:val="Normal0"/>
        <w:spacing w:line="360" w:lineRule="auto"/>
        <w:rPr>
          <w:rFonts w:ascii="宋体" w:eastAsia="宋体" w:hAnsi="宋体" w:cs="Arial" w:hint="eastAsia"/>
        </w:rPr>
      </w:pPr>
      <w:r>
        <w:rPr>
          <w:rFonts w:ascii="宋体" w:eastAsia="宋体" w:hAnsi="宋体" w:cs="Arial" w:hint="eastAsia"/>
          <w:bCs/>
        </w:rPr>
        <w:t>3.</w:t>
      </w:r>
      <w:r>
        <w:rPr>
          <w:rFonts w:ascii="宋体" w:eastAsia="宋体" w:hAnsi="宋体" w:cs="Arial" w:hint="eastAsia"/>
        </w:rPr>
        <w:t>可行性研究报告编制依据</w:t>
      </w:r>
    </w:p>
    <w:p>
      <w:pPr>
        <w:pStyle w:val="Normal0"/>
        <w:spacing w:line="360" w:lineRule="auto"/>
        <w:rPr>
          <w:rFonts w:ascii="宋体" w:eastAsia="宋体" w:hAnsi="宋体" w:cs="Arial" w:hint="eastAsia"/>
        </w:rPr>
      </w:pPr>
      <w:r>
        <w:rPr>
          <w:rFonts w:ascii="宋体" w:eastAsia="宋体" w:hAnsi="宋体" w:cs="Arial" w:hint="eastAsia"/>
        </w:rPr>
        <w:t>（1）</w:t>
      </w:r>
      <w:r>
        <w:rPr>
          <w:rFonts w:ascii="宋体" w:eastAsia="宋体" w:hAnsi="宋体" w:cs="Arial" w:hint="eastAsia"/>
          <w:lang w:eastAsia="zh-CN"/>
        </w:rPr>
        <w:t>相关项目</w:t>
      </w:r>
      <w:r>
        <w:rPr>
          <w:rFonts w:ascii="宋体" w:eastAsia="宋体" w:hAnsi="宋体" w:cs="Arial" w:hint="eastAsia"/>
        </w:rPr>
        <w:t>建议书及其批复文件</w:t>
      </w:r>
    </w:p>
    <w:p>
      <w:pPr>
        <w:pStyle w:val="Normal0"/>
        <w:spacing w:line="360" w:lineRule="auto"/>
        <w:rPr>
          <w:rFonts w:ascii="宋体" w:eastAsia="宋体" w:hAnsi="宋体" w:cs="Arial" w:hint="eastAsia"/>
        </w:rPr>
      </w:pPr>
      <w:r>
        <w:rPr>
          <w:rFonts w:ascii="宋体" w:eastAsia="宋体" w:hAnsi="宋体" w:cs="Arial" w:hint="eastAsia"/>
        </w:rPr>
        <w:t>（2）国家及武汉市颁布的相关法律、法规、政策</w:t>
      </w:r>
    </w:p>
    <w:p>
      <w:pPr>
        <w:pStyle w:val="Normal0"/>
        <w:spacing w:line="360" w:lineRule="auto"/>
        <w:rPr>
          <w:rFonts w:ascii="宋体" w:eastAsia="宋体" w:hAnsi="宋体" w:cs="Arial" w:hint="eastAsia"/>
        </w:rPr>
      </w:pPr>
      <w:r>
        <w:rPr>
          <w:rFonts w:ascii="宋体" w:eastAsia="宋体" w:hAnsi="宋体" w:cs="Arial" w:hint="eastAsia"/>
        </w:rPr>
        <w:t>（3）武汉市国民经济和社会发展“十五”</w:t>
      </w:r>
      <w:r>
        <w:rPr>
          <w:rFonts w:ascii="宋体" w:eastAsia="宋体" w:hAnsi="宋体" w:cs="Arial" w:hint="eastAsia"/>
          <w:lang w:eastAsia="zh-CN"/>
        </w:rPr>
        <w:t>相关计划</w:t>
      </w:r>
      <w:r>
        <w:rPr>
          <w:rFonts w:ascii="宋体" w:eastAsia="宋体" w:hAnsi="宋体" w:cs="Arial" w:hint="eastAsia"/>
        </w:rPr>
        <w:t>和远景目标纲要</w:t>
      </w:r>
    </w:p>
    <w:p>
      <w:pPr>
        <w:pStyle w:val="Normal0"/>
        <w:spacing w:line="360" w:lineRule="auto"/>
        <w:rPr>
          <w:rFonts w:ascii="宋体" w:eastAsia="宋体" w:hAnsi="宋体" w:cs="Arial" w:hint="eastAsia"/>
        </w:rPr>
      </w:pPr>
      <w:r>
        <w:rPr>
          <w:rFonts w:ascii="宋体" w:eastAsia="宋体" w:hAnsi="宋体" w:cs="Arial" w:hint="eastAsia"/>
        </w:rPr>
        <w:t>（4）武汉市2001、2002年国民经济和社会发展统计公报</w:t>
      </w:r>
    </w:p>
    <w:p>
      <w:pPr>
        <w:pStyle w:val="Normal0"/>
        <w:spacing w:line="360" w:lineRule="auto"/>
        <w:rPr>
          <w:rFonts w:ascii="宋体" w:eastAsia="宋体" w:hAnsi="宋体" w:cs="Arial" w:hint="eastAsia"/>
        </w:rPr>
      </w:pPr>
      <w:r>
        <w:rPr>
          <w:rFonts w:ascii="宋体" w:eastAsia="宋体" w:hAnsi="宋体" w:cs="Arial" w:hint="eastAsia"/>
        </w:rPr>
        <w:t>（5）武汉市城市总体规划大纲（2000—2020年）</w:t>
      </w:r>
    </w:p>
    <w:p>
      <w:pPr>
        <w:pStyle w:val="Normal0"/>
        <w:spacing w:line="360" w:lineRule="auto"/>
        <w:rPr>
          <w:rFonts w:ascii="宋体" w:eastAsia="宋体" w:hAnsi="宋体" w:cs="Arial" w:hint="eastAsia"/>
        </w:rPr>
      </w:pPr>
      <w:r>
        <w:rPr>
          <w:rFonts w:ascii="宋体" w:eastAsia="宋体" w:hAnsi="宋体" w:cs="Arial" w:hint="eastAsia"/>
        </w:rPr>
        <w:t>（6）东湖高新技术开发区的经济和社会发展规划</w:t>
      </w:r>
    </w:p>
    <w:p>
      <w:pPr>
        <w:pStyle w:val="Normal0"/>
        <w:spacing w:line="360" w:lineRule="auto"/>
        <w:rPr>
          <w:rFonts w:ascii="宋体" w:eastAsia="宋体" w:hAnsi="宋体" w:cs="Arial" w:hint="eastAsia"/>
        </w:rPr>
      </w:pPr>
      <w:r>
        <w:rPr>
          <w:rFonts w:ascii="宋体" w:eastAsia="宋体" w:hAnsi="宋体" w:cs="Arial" w:hint="eastAsia"/>
        </w:rPr>
        <w:t>（7）房地产开发机构发布的工程建设方面的标准、规范、定额</w:t>
      </w:r>
    </w:p>
    <w:p>
      <w:pPr>
        <w:pStyle w:val="Normal0"/>
        <w:spacing w:line="360" w:lineRule="auto"/>
        <w:rPr>
          <w:rFonts w:ascii="宋体" w:eastAsia="宋体" w:hAnsi="宋体" w:cs="Arial" w:hint="eastAsia"/>
        </w:rPr>
      </w:pPr>
      <w:r>
        <w:rPr>
          <w:rFonts w:ascii="宋体" w:eastAsia="宋体" w:hAnsi="宋体" w:cs="Arial" w:hint="eastAsia"/>
        </w:rPr>
        <w:t>（8）《武汉市市区基准地价》</w:t>
      </w:r>
    </w:p>
    <w:p>
      <w:pPr>
        <w:pStyle w:val="Normal0"/>
        <w:spacing w:line="360" w:lineRule="auto"/>
        <w:rPr>
          <w:rFonts w:ascii="宋体" w:eastAsia="宋体" w:hAnsi="宋体" w:cs="Arial" w:hint="eastAsia"/>
        </w:rPr>
      </w:pPr>
      <w:r>
        <w:rPr>
          <w:rFonts w:ascii="宋体" w:eastAsia="宋体" w:hAnsi="宋体" w:cs="Arial" w:hint="eastAsia"/>
        </w:rPr>
        <w:t>（9）武汉市及</w:t>
      </w:r>
      <w:r>
        <w:rPr>
          <w:rFonts w:ascii="宋体" w:eastAsia="宋体" w:hAnsi="宋体" w:cs="Arial" w:hint="eastAsia"/>
          <w:lang w:eastAsia="zh-CN"/>
        </w:rPr>
        <w:t>相关项目</w:t>
      </w:r>
      <w:r>
        <w:rPr>
          <w:rFonts w:ascii="宋体" w:eastAsia="宋体" w:hAnsi="宋体" w:cs="Arial" w:hint="eastAsia"/>
        </w:rPr>
        <w:t>周边地区市场调研和现场勘察资料</w:t>
      </w:r>
    </w:p>
    <w:p>
      <w:pPr>
        <w:pStyle w:val="Normal0"/>
        <w:spacing w:line="360" w:lineRule="auto"/>
        <w:rPr>
          <w:rFonts w:ascii="宋体" w:eastAsia="宋体" w:hAnsi="宋体" w:cs="Arial" w:hint="eastAsia"/>
        </w:rPr>
      </w:pPr>
      <w:r>
        <w:rPr>
          <w:rFonts w:ascii="宋体" w:eastAsia="宋体" w:hAnsi="宋体" w:cs="Arial" w:hint="eastAsia"/>
        </w:rPr>
        <w:t>（10）投资</w:t>
      </w:r>
      <w:r>
        <w:rPr>
          <w:rFonts w:ascii="宋体" w:eastAsia="宋体" w:hAnsi="宋体" w:cs="Arial" w:hint="eastAsia"/>
          <w:lang w:eastAsia="zh-CN"/>
        </w:rPr>
        <w:t>相关项目</w:t>
      </w:r>
      <w:r>
        <w:rPr>
          <w:rFonts w:ascii="宋体" w:eastAsia="宋体" w:hAnsi="宋体" w:cs="Arial" w:hint="eastAsia"/>
        </w:rPr>
        <w:t>方签定的协议书或意向书</w:t>
      </w:r>
    </w:p>
    <w:p>
      <w:pPr>
        <w:pStyle w:val="Normal0"/>
        <w:spacing w:line="360" w:lineRule="auto"/>
        <w:rPr>
          <w:rFonts w:ascii="宋体" w:eastAsia="宋体" w:hAnsi="宋体" w:cs="Arial" w:hint="eastAsia"/>
          <w:lang w:eastAsia="zh-CN"/>
        </w:rPr>
      </w:pPr>
      <w:r>
        <w:rPr>
          <w:rFonts w:ascii="宋体" w:eastAsia="宋体" w:hAnsi="宋体" w:cs="Arial" w:hint="eastAsia"/>
        </w:rPr>
        <w:t>（11）编制《报告》的委托</w:t>
      </w:r>
      <w:r>
        <w:rPr>
          <w:rFonts w:ascii="宋体" w:eastAsia="宋体" w:hAnsi="宋体" w:cs="Arial" w:hint="eastAsia"/>
          <w:lang w:eastAsia="zh-CN"/>
        </w:rPr>
        <w:t>合同合约</w:t>
      </w:r>
    </w:p>
    <w:p>
      <w:pPr>
        <w:pStyle w:val="Normal0"/>
        <w:spacing w:line="360" w:lineRule="auto"/>
        <w:rPr>
          <w:rFonts w:ascii="宋体" w:eastAsia="宋体" w:hAnsi="宋体" w:cs="Arial" w:hint="eastAsia"/>
        </w:rPr>
      </w:pPr>
      <w:r>
        <w:rPr>
          <w:rFonts w:ascii="宋体" w:eastAsia="宋体" w:hAnsi="宋体" w:cs="Arial" w:hint="eastAsia"/>
        </w:rPr>
        <w:t>（12）其他有关依据资料</w:t>
      </w:r>
    </w:p>
    <w:p>
      <w:pPr>
        <w:pStyle w:val="Normal0"/>
        <w:spacing w:line="360" w:lineRule="auto"/>
        <w:rPr>
          <w:rFonts w:ascii="宋体" w:eastAsia="宋体" w:hAnsi="宋体" w:cs="Arial" w:hint="eastAsia"/>
        </w:rPr>
      </w:pPr>
      <w:r>
        <w:rPr>
          <w:rFonts w:ascii="宋体" w:eastAsia="宋体" w:hAnsi="宋体" w:cs="Arial" w:hint="eastAsia"/>
          <w:bCs/>
        </w:rPr>
        <w:t>4.</w:t>
      </w:r>
      <w:r>
        <w:rPr>
          <w:rFonts w:ascii="宋体" w:eastAsia="宋体" w:hAnsi="宋体" w:cs="Arial" w:hint="eastAsia"/>
          <w:lang w:eastAsia="zh-CN"/>
        </w:rPr>
        <w:t>相关项目</w:t>
      </w:r>
      <w:r>
        <w:rPr>
          <w:rFonts w:ascii="宋体" w:eastAsia="宋体" w:hAnsi="宋体" w:cs="Arial" w:hint="eastAsia"/>
        </w:rPr>
        <w:t>提出的理由与过程</w:t>
      </w:r>
    </w:p>
    <w:p>
      <w:pPr>
        <w:pStyle w:val="Normal0"/>
        <w:spacing w:line="360" w:lineRule="auto"/>
        <w:ind w:firstLine="480" w:firstLineChars="200"/>
        <w:rPr>
          <w:rFonts w:ascii="宋体" w:eastAsia="宋体" w:hAnsi="宋体" w:cs="Arial" w:hint="eastAsia"/>
        </w:rPr>
      </w:pPr>
      <w:r>
        <w:rPr>
          <w:rFonts w:ascii="宋体" w:eastAsia="宋体" w:hAnsi="宋体" w:cs="Arial" w:hint="eastAsia"/>
        </w:rPr>
        <w:t>房地产经济是国民经济的重要组成部分，是国民经济的重要支柱之一。发展房地产经济有利于加快我国产业结构和消费结构的调整，从而促进国民经济健康持续发展。现在房地产经济（尤其住宅经济）是我国新的经济增长点，发展房地产经济，可以拉动一系列行业发展。现今，国家为拉动经济，满足广大人民群众的住房需求，提倡大力发展房地产经济。我们公司为了响应国家的安居工程，决定规划、开发现代花园。</w:t>
      </w:r>
    </w:p>
    <w:p>
      <w:pPr>
        <w:pStyle w:val="Normal0"/>
        <w:spacing w:line="360" w:lineRule="auto"/>
        <w:ind w:firstLine="480" w:firstLineChars="200"/>
        <w:rPr>
          <w:rFonts w:ascii="宋体" w:eastAsia="宋体" w:hAnsi="宋体" w:cs="Arial" w:hint="eastAsia"/>
        </w:rPr>
        <w:sectPr>
          <w:headerReference w:type="default" r:id="rId9"/>
          <w:footerReference w:type="default" r:id="rId10"/>
          <w:type w:val="nextPage"/>
          <w:pgSz w:w="11906" w:h="16838"/>
          <w:pgMar w:top="539" w:right="926" w:bottom="1440" w:left="1800" w:header="495" w:footer="992" w:gutter="0"/>
          <w:pgNumType w:start="3"/>
          <w:cols w:num="1" w:space="425"/>
          <w:titlePg w:val="0"/>
          <w:docGrid w:type="lines" w:linePitch="360" w:charSpace="0"/>
        </w:sectPr>
      </w:pPr>
      <w:r>
        <w:rPr>
          <w:rFonts w:ascii="宋体" w:eastAsia="宋体" w:hAnsi="宋体" w:cs="Arial" w:hint="eastAsia"/>
        </w:rPr>
        <w:t>东湖高新技术开发区是首披国家高新技术产业开发区之一，是华中人才、技术、高新技术产业的源头，享有“中华光谷”的美誉。目前开发区产值上亿元的企业已达35所，并已形成通信、电子信息、生物技术三大支柱产业和机电一体化、新材料、激光三大优势产业基础。关东科技工业园是东湖开发区招商引资，发展高新技术产业的主要基地。</w:t>
      </w:r>
    </w:p>
    <w:p>
      <w:pPr>
        <w:pStyle w:val="Normal0"/>
        <w:spacing w:line="360" w:lineRule="auto"/>
        <w:ind w:firstLine="480" w:firstLineChars="200"/>
        <w:rPr>
          <w:rFonts w:ascii="宋体" w:eastAsia="宋体" w:hAnsi="宋体" w:cs="Arial" w:hint="eastAsia"/>
        </w:rPr>
      </w:pPr>
      <w:r>
        <w:rPr>
          <w:rFonts w:ascii="宋体" w:eastAsia="宋体" w:hAnsi="宋体" w:cs="Arial" w:hint="eastAsia"/>
        </w:rPr>
        <w:t>近两年来，东湖开发区管委会认真总结了十年创业的经验和新区建设中存在的问题，明确提出了超前规划、拓展发展空间、创建面向21世纪的集产、学、研、居为一体，产业发达、环境优美、居住舒适的武汉科技新城的奋斗目标。</w:t>
      </w:r>
    </w:p>
    <w:p>
      <w:pPr>
        <w:pStyle w:val="Normal0"/>
        <w:spacing w:line="360" w:lineRule="auto"/>
        <w:ind w:firstLine="480" w:firstLineChars="200"/>
        <w:rPr>
          <w:rFonts w:ascii="宋体" w:eastAsia="宋体" w:hAnsi="宋体" w:cs="Arial" w:hint="eastAsia"/>
        </w:rPr>
      </w:pPr>
      <w:r>
        <w:rPr>
          <w:rFonts w:ascii="宋体" w:eastAsia="宋体" w:hAnsi="宋体" w:cs="Arial" w:hint="eastAsia"/>
        </w:rPr>
        <w:t>现代花园选择此处规划、开发，等</w:t>
      </w:r>
      <w:r>
        <w:rPr>
          <w:rFonts w:ascii="宋体" w:eastAsia="宋体" w:hAnsi="宋体" w:cs="Arial" w:hint="eastAsia"/>
          <w:lang w:eastAsia="zh-CN"/>
        </w:rPr>
        <w:t>相关项目</w:t>
      </w:r>
      <w:r>
        <w:rPr>
          <w:rFonts w:ascii="宋体" w:eastAsia="宋体" w:hAnsi="宋体" w:cs="Arial" w:hint="eastAsia"/>
        </w:rPr>
        <w:t>实施后，将有利于启动东湖高新热电公司集中供热的初步形成，完善科技工业园“产、学、研、居”为一体的总体规划，并极大改善东湖开发区的面貌。</w:t>
      </w:r>
    </w:p>
    <w:p>
      <w:pPr>
        <w:pStyle w:val="Normal0"/>
        <w:spacing w:line="360" w:lineRule="auto"/>
        <w:rPr>
          <w:rFonts w:ascii="仿宋_GB2312" w:eastAsia="宋体" w:hAnsi="Arial" w:cs="Arial"/>
        </w:rPr>
      </w:pPr>
      <w:r>
        <w:rPr>
          <w:rFonts w:ascii="黑体" w:eastAsia="宋体" w:hAnsi="Arial" w:cs="Arial" w:hint="eastAsia"/>
          <w:bCs/>
        </w:rPr>
        <w:t>二．</w:t>
      </w:r>
      <w:r>
        <w:rPr>
          <w:rFonts w:ascii="黑体" w:eastAsia="宋体" w:hAnsi="Arial" w:cs="Arial" w:hint="eastAsia"/>
          <w:bCs/>
          <w:lang w:eastAsia="zh-CN"/>
        </w:rPr>
        <w:t>相关项目</w:t>
      </w:r>
      <w:r>
        <w:rPr>
          <w:rFonts w:ascii="黑体" w:eastAsia="宋体" w:hAnsi="Arial" w:cs="Arial" w:hint="eastAsia"/>
          <w:bCs/>
        </w:rPr>
        <w:t>概况</w:t>
      </w:r>
    </w:p>
    <w:p>
      <w:pPr>
        <w:pStyle w:val="Normal0"/>
        <w:spacing w:line="360" w:lineRule="auto"/>
        <w:rPr>
          <w:rFonts w:ascii="宋体" w:eastAsia="宋体" w:hAnsi="宋体" w:cs="Arial" w:hint="eastAsia"/>
        </w:rPr>
      </w:pPr>
      <w:r>
        <w:rPr>
          <w:rFonts w:ascii="宋体" w:eastAsia="宋体" w:hAnsi="宋体" w:cs="Arial" w:hint="eastAsia"/>
          <w:bCs/>
        </w:rPr>
        <w:t>1.</w:t>
      </w:r>
      <w:r>
        <w:rPr>
          <w:rFonts w:ascii="宋体" w:eastAsia="宋体" w:hAnsi="宋体" w:cs="Arial" w:hint="eastAsia"/>
        </w:rPr>
        <w:t>拟建地点</w:t>
      </w:r>
    </w:p>
    <w:p>
      <w:pPr>
        <w:pStyle w:val="Normal0"/>
        <w:spacing w:line="360" w:lineRule="auto"/>
        <w:ind w:firstLine="480" w:firstLineChars="200"/>
        <w:rPr>
          <w:rFonts w:ascii="宋体" w:eastAsia="宋体" w:hAnsi="宋体"/>
        </w:rPr>
      </w:pPr>
      <w:r>
        <w:rPr>
          <w:rFonts w:ascii="宋体" w:eastAsia="宋体" w:hAnsi="宋体" w:hint="eastAsia"/>
        </w:rPr>
        <w:t>拟建于关东科技工业园内，东临关山三路，南接大黄村，西连武汉鼓风机厂、市消声器厂，北靠武黄路，路对面是原武汉城建学院、马鞍山森林公园。</w:t>
      </w:r>
    </w:p>
    <w:p>
      <w:pPr>
        <w:pStyle w:val="Normal0"/>
        <w:spacing w:line="360" w:lineRule="auto"/>
        <w:rPr>
          <w:rFonts w:ascii="宋体" w:eastAsia="宋体" w:hAnsi="宋体" w:cs="Arial" w:hint="eastAsia"/>
          <w:bCs/>
        </w:rPr>
      </w:pPr>
      <w:r>
        <w:rPr>
          <w:rFonts w:ascii="宋体" w:eastAsia="宋体" w:hAnsi="宋体" w:cs="Arial" w:hint="eastAsia"/>
          <w:bCs/>
        </w:rPr>
        <w:t>2.</w:t>
      </w:r>
      <w:r>
        <w:rPr>
          <w:rFonts w:ascii="宋体" w:eastAsia="宋体" w:hAnsi="宋体" w:cs="Arial" w:hint="eastAsia"/>
        </w:rPr>
        <w:t>建设规模与目标</w:t>
      </w:r>
    </w:p>
    <w:p>
      <w:pPr>
        <w:pStyle w:val="Normal0"/>
        <w:spacing w:line="360" w:lineRule="auto"/>
        <w:ind w:firstLine="480" w:firstLineChars="200"/>
        <w:rPr>
          <w:rFonts w:ascii="宋体" w:eastAsia="宋体" w:hAnsi="宋体" w:hint="eastAsia"/>
        </w:rPr>
      </w:pPr>
      <w:r>
        <w:rPr>
          <w:rFonts w:ascii="宋体" w:eastAsia="宋体" w:hAnsi="宋体" w:hint="eastAsia"/>
        </w:rPr>
        <w:t>自有资金为3000万元，现代花园</w:t>
      </w:r>
      <w:r>
        <w:rPr>
          <w:rFonts w:ascii="宋体" w:eastAsia="宋体" w:hAnsi="宋体" w:hint="eastAsia"/>
          <w:lang w:eastAsia="zh-CN"/>
        </w:rPr>
        <w:t>相关项目</w:t>
      </w:r>
      <w:r>
        <w:rPr>
          <w:rFonts w:ascii="宋体" w:eastAsia="宋体" w:hAnsi="宋体" w:hint="eastAsia"/>
        </w:rPr>
        <w:t>规划总用地10万平方米，建筑面积12.9万平方米，其中住宅11.6万平方米，公建1.3万平方米。总居住户数996户，规划总居住人口3187人，容积率1.29，绿化覆盖率45%。小区内设幼儿园、配套有会所、文化中心、商业网点、集贸市场、居委会、派出所等设施。</w:t>
      </w:r>
    </w:p>
    <w:p>
      <w:pPr>
        <w:pStyle w:val="BodyTextIndent"/>
        <w:spacing w:line="360" w:lineRule="auto"/>
        <w:ind w:firstLine="410"/>
        <w:rPr>
          <w:rFonts w:ascii="宋体" w:hAnsi="宋体" w:hint="eastAsia"/>
          <w:sz w:val="24"/>
        </w:rPr>
      </w:pPr>
      <w:r>
        <w:rPr>
          <w:rFonts w:ascii="宋体" w:hAnsi="宋体" w:hint="eastAsia"/>
          <w:sz w:val="24"/>
        </w:rPr>
        <w:t>我国已经进入小康社会，人们生活水平稳步提高，我们公司超前思想，规划、开发“现代花园”，致力于为在东湖高新技术工业园区工作的白领阶层周边高校院所的知识分子，入住华中光谷的从业人员，及其他知识层次较高、家庭收入较好的市民家庭提供一个优美、舒适的居住环境。</w:t>
      </w:r>
    </w:p>
    <w:p>
      <w:pPr>
        <w:pStyle w:val="BodyTextIndent"/>
        <w:spacing w:line="360" w:lineRule="auto"/>
        <w:ind w:firstLine="410"/>
        <w:rPr>
          <w:rFonts w:ascii="宋体" w:hAnsi="宋体" w:hint="eastAsia"/>
          <w:sz w:val="24"/>
        </w:rPr>
      </w:pPr>
      <w:r>
        <w:rPr>
          <w:rFonts w:ascii="宋体" w:hAnsi="宋体" w:hint="eastAsia"/>
          <w:sz w:val="24"/>
        </w:rPr>
        <w:t>整个花园小区现代中不乏温馨，温馨伴随着现代。</w:t>
      </w:r>
    </w:p>
    <w:p>
      <w:pPr>
        <w:pStyle w:val="BodyTextIndent"/>
        <w:spacing w:line="360" w:lineRule="auto"/>
        <w:ind w:firstLine="410"/>
        <w:rPr>
          <w:rFonts w:ascii="宋体" w:hAnsi="宋体" w:hint="eastAsia"/>
          <w:sz w:val="24"/>
        </w:rPr>
      </w:pPr>
      <w:r>
        <w:rPr>
          <w:rFonts w:ascii="宋体" w:hAnsi="宋体" w:hint="eastAsia"/>
          <w:sz w:val="24"/>
        </w:rPr>
        <w:t>温馨是一种感觉，是人生美好的向往</w:t>
      </w:r>
    </w:p>
    <w:p>
      <w:pPr>
        <w:pStyle w:val="BodyTextIndent"/>
        <w:spacing w:line="360" w:lineRule="auto"/>
        <w:ind w:firstLine="0" w:firstLineChars="0"/>
        <w:rPr>
          <w:rFonts w:ascii="宋体" w:hAnsi="宋体"/>
          <w:sz w:val="24"/>
        </w:rPr>
      </w:pPr>
      <w:r>
        <w:rPr>
          <w:rFonts w:ascii="宋体" w:hAnsi="宋体" w:cs="宋体" w:hint="eastAsia"/>
          <w:sz w:val="24"/>
        </w:rPr>
        <w:t>温馨是一种品位，是人生独到的见解</w:t>
      </w:r>
    </w:p>
    <w:p>
      <w:pPr>
        <w:pStyle w:val="BodyTextIndent"/>
        <w:spacing w:line="360" w:lineRule="auto"/>
        <w:ind w:firstLine="410"/>
        <w:rPr>
          <w:rFonts w:ascii="宋体" w:hAnsi="宋体"/>
          <w:sz w:val="24"/>
        </w:rPr>
      </w:pPr>
      <w:r>
        <w:rPr>
          <w:rFonts w:ascii="宋体" w:hAnsi="宋体" w:hint="eastAsia"/>
          <w:sz w:val="24"/>
        </w:rPr>
        <w:t>温馨是家的元素，是人生永恒的主题</w:t>
      </w:r>
    </w:p>
    <w:p>
      <w:pPr>
        <w:pStyle w:val="Normal0"/>
        <w:spacing w:line="360" w:lineRule="auto"/>
        <w:rPr>
          <w:rFonts w:ascii="宋体" w:eastAsia="宋体" w:hAnsi="宋体" w:hint="eastAsia"/>
        </w:rPr>
        <w:sectPr>
          <w:headerReference w:type="default" r:id="rId11"/>
          <w:footerReference w:type="default" r:id="rId12"/>
          <w:type w:val="nextPage"/>
          <w:pgSz w:w="11906" w:h="16838"/>
          <w:pgMar w:top="539" w:right="926" w:bottom="1440" w:left="1800" w:header="495" w:footer="992" w:gutter="0"/>
          <w:pgNumType w:start="4"/>
          <w:cols w:num="1" w:space="425"/>
          <w:titlePg w:val="0"/>
          <w:docGrid w:type="lines" w:linePitch="360" w:charSpace="0"/>
        </w:sectPr>
      </w:pPr>
      <w:r>
        <w:rPr>
          <w:rFonts w:ascii="Arial Unicode MS" w:eastAsia="宋体" w:hAnsi="Arial Unicode MS" w:cs="Arial Unicode MS" w:hint="eastAsia"/>
        </w:rPr>
        <w:t>温馨来自情感的交流、理智的选择，蒲氏集团人对于温馨的认知，是源于对生活细节完美的追求。让蒲氏集团人的</w:t>
      </w:r>
      <w:r>
        <w:rPr>
          <w:rFonts w:ascii="宋体" w:eastAsia="宋体" w:hAnsi="宋体"/>
        </w:rPr>
        <w:t>“</w:t>
      </w:r>
      <w:r>
        <w:rPr>
          <w:rFonts w:ascii="宋体" w:eastAsia="宋体" w:hAnsi="宋体" w:hint="eastAsia"/>
        </w:rPr>
        <w:t>真诚、勤奋、和谐、求精</w:t>
      </w:r>
      <w:r>
        <w:rPr>
          <w:rFonts w:ascii="宋体" w:eastAsia="宋体" w:hAnsi="宋体"/>
        </w:rPr>
        <w:t>”</w:t>
      </w:r>
      <w:r>
        <w:rPr>
          <w:rFonts w:ascii="宋体" w:eastAsia="宋体" w:hAnsi="宋体" w:hint="eastAsia"/>
        </w:rPr>
        <w:t>为您营造温馨的家。</w:t>
      </w:r>
    </w:p>
    <w:p>
      <w:pPr>
        <w:pStyle w:val="Normal0"/>
        <w:spacing w:line="360" w:lineRule="auto"/>
        <w:rPr>
          <w:rFonts w:ascii="宋体" w:eastAsia="宋体" w:hAnsi="宋体" w:hint="eastAsia"/>
        </w:rPr>
      </w:pPr>
      <w:r>
        <w:rPr>
          <w:rFonts w:ascii="宋体" w:eastAsia="宋体" w:hAnsi="宋体" w:cs="Arial" w:hint="eastAsia"/>
          <w:bCs/>
        </w:rPr>
        <w:t>3.</w:t>
      </w:r>
      <w:r>
        <w:rPr>
          <w:rFonts w:ascii="宋体" w:eastAsia="宋体" w:hAnsi="宋体" w:hint="eastAsia"/>
        </w:rPr>
        <w:t>主要建设条件</w:t>
      </w:r>
    </w:p>
    <w:p>
      <w:pPr>
        <w:pStyle w:val="Normal0"/>
        <w:spacing w:line="360" w:lineRule="auto"/>
        <w:ind w:left="420"/>
        <w:rPr>
          <w:rFonts w:ascii="宋体" w:eastAsia="宋体" w:hAnsi="宋体" w:hint="eastAsia"/>
        </w:rPr>
      </w:pPr>
      <w:r>
        <w:rPr>
          <w:rFonts w:ascii="宋体" w:eastAsia="宋体" w:hAnsi="宋体" w:hint="eastAsia"/>
          <w:bCs/>
        </w:rPr>
        <w:t>1.</w:t>
      </w:r>
      <w:r>
        <w:rPr>
          <w:rFonts w:ascii="宋体" w:eastAsia="宋体" w:hAnsi="宋体" w:hint="eastAsia"/>
        </w:rPr>
        <w:t xml:space="preserve"> 供水</w:t>
      </w:r>
    </w:p>
    <w:p>
      <w:pPr>
        <w:pStyle w:val="Normal0"/>
        <w:spacing w:line="360" w:lineRule="auto"/>
        <w:ind w:left="420"/>
        <w:rPr>
          <w:rFonts w:ascii="宋体" w:eastAsia="宋体" w:hAnsi="宋体" w:hint="eastAsia"/>
        </w:rPr>
      </w:pPr>
      <w:r>
        <w:rPr>
          <w:rFonts w:ascii="宋体" w:eastAsia="宋体" w:hAnsi="宋体" w:hint="eastAsia"/>
        </w:rPr>
        <w:t>在鼓风小区东侧有现状DN1000</w:t>
      </w:r>
      <w:r>
        <w:rPr>
          <w:rFonts w:ascii="宋体" w:eastAsia="宋体" w:hAnsi="宋体"/>
        </w:rPr>
        <w:t>mm</w:t>
      </w:r>
      <w:r>
        <w:rPr>
          <w:rFonts w:ascii="宋体" w:eastAsia="宋体" w:hAnsi="宋体" w:hint="eastAsia"/>
        </w:rPr>
        <w:t>上水管线，本</w:t>
      </w:r>
      <w:r>
        <w:rPr>
          <w:rFonts w:ascii="宋体" w:eastAsia="宋体" w:hAnsi="宋体" w:hint="eastAsia"/>
          <w:lang w:eastAsia="zh-CN"/>
        </w:rPr>
        <w:t>相关项目</w:t>
      </w:r>
      <w:r>
        <w:rPr>
          <w:rFonts w:ascii="宋体" w:eastAsia="宋体" w:hAnsi="宋体" w:hint="eastAsia"/>
        </w:rPr>
        <w:t>上水可从上述干线引入。</w:t>
      </w:r>
    </w:p>
    <w:p>
      <w:pPr>
        <w:pStyle w:val="Normal0"/>
        <w:spacing w:line="360" w:lineRule="auto"/>
        <w:ind w:left="420"/>
        <w:rPr>
          <w:rFonts w:ascii="宋体" w:eastAsia="宋体" w:hAnsi="宋体" w:hint="eastAsia"/>
        </w:rPr>
      </w:pPr>
      <w:r>
        <w:rPr>
          <w:rFonts w:ascii="宋体" w:eastAsia="宋体" w:hAnsi="宋体" w:hint="eastAsia"/>
          <w:bCs/>
        </w:rPr>
        <w:t>2.</w:t>
      </w:r>
      <w:r>
        <w:rPr>
          <w:rFonts w:ascii="宋体" w:eastAsia="宋体" w:hAnsi="宋体" w:hint="eastAsia"/>
        </w:rPr>
        <w:t xml:space="preserve"> 雨水、污水排放</w:t>
      </w:r>
    </w:p>
    <w:p>
      <w:pPr>
        <w:pStyle w:val="Normal0"/>
        <w:spacing w:line="360" w:lineRule="auto"/>
        <w:ind w:firstLine="480" w:firstLineChars="200"/>
        <w:rPr>
          <w:rFonts w:ascii="宋体" w:eastAsia="宋体" w:hAnsi="宋体" w:hint="eastAsia"/>
        </w:rPr>
      </w:pPr>
      <w:r>
        <w:rPr>
          <w:rFonts w:ascii="宋体" w:eastAsia="宋体" w:hAnsi="宋体" w:hint="eastAsia"/>
        </w:rPr>
        <w:t>武黄路大街现有现状DN2100毫米的雨水管线和DN1800毫米的污水管线，可以就进排入。</w:t>
      </w:r>
    </w:p>
    <w:p>
      <w:pPr>
        <w:pStyle w:val="Normal0"/>
        <w:spacing w:line="360" w:lineRule="auto"/>
        <w:ind w:left="420"/>
        <w:rPr>
          <w:rFonts w:ascii="宋体" w:eastAsia="宋体" w:hAnsi="宋体" w:hint="eastAsia"/>
        </w:rPr>
      </w:pPr>
      <w:r>
        <w:rPr>
          <w:rFonts w:ascii="宋体" w:eastAsia="宋体" w:hAnsi="宋体" w:hint="eastAsia"/>
          <w:bCs/>
        </w:rPr>
        <w:t>3.</w:t>
      </w:r>
      <w:r>
        <w:rPr>
          <w:rFonts w:ascii="宋体" w:eastAsia="宋体" w:hAnsi="宋体" w:hint="eastAsia"/>
        </w:rPr>
        <w:t xml:space="preserve"> 供热</w:t>
      </w:r>
    </w:p>
    <w:p>
      <w:pPr>
        <w:pStyle w:val="Normal0"/>
        <w:spacing w:line="360" w:lineRule="auto"/>
        <w:ind w:left="420"/>
        <w:rPr>
          <w:rFonts w:ascii="宋体" w:eastAsia="宋体" w:hAnsi="宋体" w:hint="eastAsia"/>
        </w:rPr>
      </w:pPr>
      <w:r>
        <w:rPr>
          <w:rFonts w:ascii="宋体" w:eastAsia="宋体" w:hAnsi="宋体" w:hint="eastAsia"/>
        </w:rPr>
        <w:t>拟从武黄路新敷设的供热干线接入。</w:t>
      </w:r>
    </w:p>
    <w:p>
      <w:pPr>
        <w:pStyle w:val="Normal0"/>
        <w:spacing w:line="360" w:lineRule="auto"/>
        <w:ind w:left="420"/>
        <w:rPr>
          <w:rFonts w:ascii="宋体" w:eastAsia="宋体" w:hAnsi="宋体" w:hint="eastAsia"/>
        </w:rPr>
      </w:pPr>
      <w:r>
        <w:rPr>
          <w:rFonts w:ascii="宋体" w:eastAsia="宋体" w:hAnsi="宋体" w:hint="eastAsia"/>
          <w:bCs/>
        </w:rPr>
        <w:t>4.</w:t>
      </w:r>
      <w:r>
        <w:rPr>
          <w:rFonts w:ascii="宋体" w:eastAsia="宋体" w:hAnsi="宋体" w:hint="eastAsia"/>
        </w:rPr>
        <w:t xml:space="preserve"> 供电</w:t>
      </w:r>
    </w:p>
    <w:p>
      <w:pPr>
        <w:pStyle w:val="Normal0"/>
        <w:spacing w:line="360" w:lineRule="auto"/>
        <w:ind w:firstLine="480" w:firstLineChars="200"/>
        <w:rPr>
          <w:rFonts w:ascii="宋体" w:eastAsia="宋体" w:hAnsi="宋体" w:hint="eastAsia"/>
        </w:rPr>
      </w:pPr>
      <w:r>
        <w:rPr>
          <w:rFonts w:ascii="宋体" w:eastAsia="宋体" w:hAnsi="宋体" w:hint="eastAsia"/>
        </w:rPr>
        <w:t>拟采用双路供电，一路从鼓风机厂开闭站引一条10千伏电缆，接入小区内配电室；另一路可由东鑫三五饭店配电室引入。考虑留有余地，变压器容量为8000千伏安。</w:t>
      </w:r>
    </w:p>
    <w:p>
      <w:pPr>
        <w:pStyle w:val="Normal0"/>
        <w:spacing w:line="360" w:lineRule="auto"/>
        <w:ind w:left="420"/>
        <w:rPr>
          <w:rFonts w:ascii="宋体" w:eastAsia="宋体" w:hAnsi="宋体" w:hint="eastAsia"/>
        </w:rPr>
      </w:pPr>
      <w:r>
        <w:rPr>
          <w:rFonts w:ascii="宋体" w:eastAsia="宋体" w:hAnsi="宋体" w:hint="eastAsia"/>
          <w:bCs/>
        </w:rPr>
        <w:t>5.</w:t>
      </w:r>
      <w:r>
        <w:rPr>
          <w:rFonts w:ascii="宋体" w:eastAsia="宋体" w:hAnsi="宋体" w:hint="eastAsia"/>
        </w:rPr>
        <w:t xml:space="preserve"> 供气</w:t>
      </w:r>
    </w:p>
    <w:p>
      <w:pPr>
        <w:pStyle w:val="BodyTextIndent"/>
        <w:spacing w:line="360" w:lineRule="auto"/>
        <w:ind w:firstLine="410"/>
        <w:rPr>
          <w:rFonts w:ascii="宋体" w:hAnsi="宋体" w:hint="eastAsia"/>
          <w:sz w:val="24"/>
        </w:rPr>
      </w:pPr>
      <w:r>
        <w:rPr>
          <w:rFonts w:ascii="宋体" w:hAnsi="宋体" w:hint="eastAsia"/>
          <w:sz w:val="24"/>
        </w:rPr>
        <w:t>已由鲁磨路引入了天然气高压线，已建成了天然气高中压调压站。通过天然气中压管向区内送气。本</w:t>
      </w:r>
      <w:r>
        <w:rPr>
          <w:rFonts w:ascii="宋体" w:hAnsi="宋体" w:hint="eastAsia"/>
          <w:sz w:val="24"/>
          <w:lang w:eastAsia="zh-CN"/>
        </w:rPr>
        <w:t>相关项目</w:t>
      </w:r>
      <w:r>
        <w:rPr>
          <w:rFonts w:ascii="宋体" w:hAnsi="宋体" w:hint="eastAsia"/>
          <w:sz w:val="24"/>
        </w:rPr>
        <w:t>住宅区前后的道路、绿化以及所需的各种市政条件及基础设施配套，均由武汉宏达房地产开发公司统一开发，各种设施接口均至本</w:t>
      </w:r>
      <w:r>
        <w:rPr>
          <w:rFonts w:ascii="宋体" w:hAnsi="宋体" w:hint="eastAsia"/>
          <w:sz w:val="24"/>
          <w:lang w:eastAsia="zh-CN"/>
        </w:rPr>
        <w:t>相关项目</w:t>
      </w:r>
      <w:r>
        <w:rPr>
          <w:rFonts w:ascii="宋体" w:hAnsi="宋体" w:hint="eastAsia"/>
          <w:sz w:val="24"/>
        </w:rPr>
        <w:t>红线内。目前，本</w:t>
      </w:r>
      <w:r>
        <w:rPr>
          <w:rFonts w:ascii="宋体" w:hAnsi="宋体" w:hint="eastAsia"/>
          <w:sz w:val="24"/>
          <w:lang w:eastAsia="zh-CN"/>
        </w:rPr>
        <w:t>相关项目</w:t>
      </w:r>
      <w:r>
        <w:rPr>
          <w:rFonts w:ascii="宋体" w:hAnsi="宋体" w:hint="eastAsia"/>
          <w:sz w:val="24"/>
        </w:rPr>
        <w:t>建设场地以达到“三通一平”，其他配套设施将与住宅建设同步进行。</w:t>
      </w:r>
    </w:p>
    <w:p>
      <w:pPr>
        <w:pStyle w:val="Normal0"/>
        <w:spacing w:line="360" w:lineRule="auto"/>
        <w:ind w:left="420"/>
        <w:rPr>
          <w:rFonts w:ascii="宋体" w:eastAsia="宋体" w:hAnsi="宋体" w:hint="eastAsia"/>
        </w:rPr>
      </w:pPr>
      <w:r>
        <w:rPr>
          <w:rFonts w:ascii="宋体" w:eastAsia="宋体" w:hAnsi="宋体" w:hint="eastAsia"/>
          <w:bCs/>
        </w:rPr>
        <w:t>6.</w:t>
      </w:r>
      <w:r>
        <w:rPr>
          <w:rFonts w:ascii="宋体" w:eastAsia="宋体" w:hAnsi="宋体" w:hint="eastAsia"/>
        </w:rPr>
        <w:t xml:space="preserve"> 电信</w:t>
      </w:r>
    </w:p>
    <w:p>
      <w:pPr>
        <w:pStyle w:val="Normal0"/>
        <w:spacing w:line="360" w:lineRule="auto"/>
        <w:ind w:firstLine="480" w:firstLineChars="200"/>
        <w:rPr>
          <w:rFonts w:ascii="宋体" w:eastAsia="宋体" w:hAnsi="宋体" w:hint="eastAsia"/>
        </w:rPr>
      </w:pPr>
      <w:r>
        <w:rPr>
          <w:rFonts w:ascii="宋体" w:eastAsia="宋体" w:hAnsi="宋体" w:hint="eastAsia"/>
        </w:rPr>
        <w:t>本</w:t>
      </w:r>
      <w:r>
        <w:rPr>
          <w:rFonts w:ascii="宋体" w:eastAsia="宋体" w:hAnsi="宋体" w:hint="eastAsia"/>
          <w:lang w:eastAsia="zh-CN"/>
        </w:rPr>
        <w:t>相关项目</w:t>
      </w:r>
      <w:r>
        <w:rPr>
          <w:rFonts w:ascii="宋体" w:eastAsia="宋体" w:hAnsi="宋体" w:hint="eastAsia"/>
        </w:rPr>
        <w:t>预计需装机容量为820门的程控交换机，拟由洪山区电话局从831开设下属分局解决。</w:t>
      </w:r>
    </w:p>
    <w:p>
      <w:pPr>
        <w:pStyle w:val="Normal0"/>
        <w:spacing w:line="360" w:lineRule="auto"/>
        <w:rPr>
          <w:rFonts w:ascii="宋体" w:eastAsia="宋体" w:hAnsi="宋体" w:cs="Arial" w:hint="eastAsia"/>
        </w:rPr>
      </w:pPr>
      <w:r>
        <w:rPr>
          <w:rFonts w:ascii="宋体" w:eastAsia="宋体" w:hAnsi="宋体" w:cs="Arial" w:hint="eastAsia"/>
          <w:bCs/>
        </w:rPr>
        <w:t>4.</w:t>
      </w:r>
      <w:r>
        <w:rPr>
          <w:rFonts w:ascii="宋体" w:eastAsia="宋体" w:hAnsi="宋体" w:cs="Arial" w:hint="eastAsia"/>
          <w:lang w:eastAsia="zh-CN"/>
        </w:rPr>
        <w:t>相关项目</w:t>
      </w:r>
      <w:r>
        <w:rPr>
          <w:rFonts w:ascii="宋体" w:eastAsia="宋体" w:hAnsi="宋体" w:cs="Arial" w:hint="eastAsia"/>
        </w:rPr>
        <w:t>投入总资金及效益情况</w:t>
      </w:r>
    </w:p>
    <w:p>
      <w:pPr>
        <w:pStyle w:val="Normal0"/>
        <w:spacing w:line="360" w:lineRule="auto"/>
        <w:rPr>
          <w:rFonts w:ascii="宋体" w:eastAsia="宋体" w:hAnsi="宋体" w:cs="Arial" w:hint="eastAsia"/>
        </w:rPr>
      </w:pPr>
      <w:r>
        <w:rPr>
          <w:rFonts w:ascii="宋体" w:eastAsia="宋体" w:hAnsi="宋体" w:cs="Arial" w:hint="eastAsia"/>
        </w:rPr>
        <w:t xml:space="preserve">   本</w:t>
      </w:r>
      <w:r>
        <w:rPr>
          <w:rFonts w:ascii="宋体" w:eastAsia="宋体" w:hAnsi="宋体" w:cs="Arial" w:hint="eastAsia"/>
          <w:lang w:eastAsia="zh-CN"/>
        </w:rPr>
        <w:t>相关项目</w:t>
      </w:r>
      <w:r>
        <w:rPr>
          <w:rFonts w:ascii="宋体" w:eastAsia="宋体" w:hAnsi="宋体" w:cs="Arial" w:hint="eastAsia"/>
        </w:rPr>
        <w:t>投入自有资金3000万元，贷款5002.61万元，再加上房屋预售款，共投入总资金14828.67万元。</w:t>
      </w:r>
    </w:p>
    <w:p>
      <w:pPr>
        <w:pStyle w:val="Normal0"/>
        <w:spacing w:line="360" w:lineRule="auto"/>
        <w:rPr>
          <w:rFonts w:ascii="宋体" w:eastAsia="宋体" w:hAnsi="宋体" w:cs="Arial" w:hint="eastAsia"/>
        </w:rPr>
        <w:sectPr>
          <w:headerReference w:type="default" r:id="rId13"/>
          <w:footerReference w:type="default" r:id="rId14"/>
          <w:type w:val="nextPage"/>
          <w:pgSz w:w="11906" w:h="16838"/>
          <w:pgMar w:top="539" w:right="926" w:bottom="1440" w:left="1800" w:header="495" w:footer="992" w:gutter="0"/>
          <w:pgNumType w:start="5"/>
          <w:cols w:num="1" w:space="425"/>
          <w:titlePg w:val="0"/>
          <w:docGrid w:type="lines" w:linePitch="360" w:charSpace="0"/>
        </w:sectPr>
      </w:pPr>
      <w:r>
        <w:rPr>
          <w:rFonts w:ascii="宋体" w:eastAsia="宋体" w:hAnsi="宋体" w:cs="Arial" w:hint="eastAsia"/>
        </w:rPr>
        <w:t xml:space="preserve">   本</w:t>
      </w:r>
      <w:r>
        <w:rPr>
          <w:rFonts w:ascii="宋体" w:eastAsia="宋体" w:hAnsi="宋体" w:cs="Arial" w:hint="eastAsia"/>
          <w:lang w:eastAsia="zh-CN"/>
        </w:rPr>
        <w:t>相关项目</w:t>
      </w:r>
      <w:r>
        <w:rPr>
          <w:rFonts w:ascii="宋体" w:eastAsia="宋体" w:hAnsi="宋体" w:cs="Arial" w:hint="eastAsia"/>
        </w:rPr>
        <w:t>完成后，预计销售收入为</w:t>
      </w:r>
      <w:r>
        <w:rPr>
          <w:rFonts w:ascii="宋体" w:eastAsia="宋体" w:hAnsi="宋体" w:cs="Arial"/>
        </w:rPr>
        <w:t>2</w:t>
      </w:r>
      <w:r>
        <w:rPr>
          <w:rFonts w:ascii="宋体" w:eastAsia="宋体" w:hAnsi="宋体" w:cs="Arial" w:hint="eastAsia"/>
        </w:rPr>
        <w:t>3185.92万元，扣除成本，减去销售（营业）税金及附加1247.54万元、所得税2346.21万元、提取法定盈余公积金及公益金857.43万元后，预计累计未分配利润为3906.08万元。</w:t>
      </w:r>
    </w:p>
    <w:p>
      <w:pPr>
        <w:pStyle w:val="Normal0"/>
        <w:spacing w:line="360" w:lineRule="auto"/>
        <w:rPr>
          <w:rFonts w:ascii="宋体" w:eastAsia="宋体" w:hAnsi="宋体" w:cs="Arial" w:hint="eastAsia"/>
        </w:rPr>
      </w:pPr>
      <w:r>
        <w:rPr>
          <w:rFonts w:ascii="宋体" w:eastAsia="宋体" w:hAnsi="宋体" w:cs="Arial" w:hint="eastAsia"/>
          <w:bCs/>
        </w:rPr>
        <w:t>5.</w:t>
      </w:r>
      <w:r>
        <w:rPr>
          <w:rFonts w:ascii="宋体" w:eastAsia="宋体" w:hAnsi="宋体" w:cs="Arial" w:hint="eastAsia"/>
        </w:rPr>
        <w:t>主要技术经济指标</w:t>
      </w:r>
    </w:p>
    <w:p>
      <w:pPr>
        <w:pStyle w:val="Normal0"/>
        <w:ind w:left="360"/>
        <w:jc w:val="center"/>
        <w:rPr>
          <w:rFonts w:ascii="宋体" w:eastAsia="宋体" w:hAnsi="宋体" w:cs="Arial" w:hint="eastAsia"/>
        </w:rPr>
      </w:pPr>
      <w:r>
        <w:rPr>
          <w:rFonts w:eastAsia="宋体" w:hint="eastAsia"/>
          <w:bCs/>
        </w:rPr>
        <w:t>技 术 经 济 指 标</w:t>
      </w:r>
    </w:p>
    <w:tbl>
      <w:tblPr>
        <w:tblStyle w:val="TableNormal"/>
        <w:tblpPr w:leftFromText="180" w:rightFromText="180" w:vertAnchor="text" w:horzAnchor="page" w:tblpXSpec="center" w:tblpY="2"/>
        <w:tblOverlap w:val="never"/>
        <w:tblW w:w="7436" w:type="dxa"/>
        <w:tblInd w:w="0" w:type="dxa"/>
        <w:tblCellMar>
          <w:top w:w="0" w:type="dxa"/>
          <w:left w:w="0" w:type="dxa"/>
          <w:bottom w:w="0" w:type="dxa"/>
          <w:right w:w="0" w:type="dxa"/>
        </w:tblCellMar>
      </w:tblPr>
      <w:tblGrid>
        <w:gridCol w:w="7436"/>
      </w:tblGrid>
      <w:tr>
        <w:tblPrEx>
          <w:tblW w:w="7436" w:type="dxa"/>
          <w:tblInd w:w="0" w:type="dxa"/>
          <w:tblCellMar>
            <w:top w:w="0" w:type="dxa"/>
            <w:left w:w="0" w:type="dxa"/>
            <w:bottom w:w="0" w:type="dxa"/>
            <w:right w:w="0" w:type="dxa"/>
          </w:tblCellMar>
        </w:tblPrEx>
        <w:trPr>
          <w:trHeight w:val="285"/>
        </w:trPr>
        <w:tc>
          <w:tcPr>
            <w:tcW w:w="7436" w:type="dxa"/>
            <w:tcBorders>
              <w:top w:val="single" w:sz="4" w:space="0" w:color="auto"/>
            </w:tcBorders>
            <w:noWrap/>
            <w:tcMar>
              <w:top w:w="15" w:type="dxa"/>
              <w:left w:w="15" w:type="dxa"/>
              <w:bottom w:w="0" w:type="dxa"/>
              <w:right w:w="15" w:type="dxa"/>
            </w:tcMar>
          </w:tcPr>
          <w:tbl>
            <w:tblPr>
              <w:tblStyle w:val="TableNormal"/>
              <w:tblpPr w:leftFromText="180" w:rightFromText="180" w:vertAnchor="text" w:horzAnchor="margin" w:tblpY="-167"/>
              <w:tblOverlap w:val="never"/>
              <w:tblW w:w="7390" w:type="dxa"/>
              <w:tblInd w:w="0" w:type="dxa"/>
              <w:tblCellMar>
                <w:top w:w="0" w:type="dxa"/>
                <w:left w:w="0" w:type="dxa"/>
                <w:bottom w:w="0" w:type="dxa"/>
                <w:right w:w="0" w:type="dxa"/>
              </w:tblCellMar>
            </w:tblPr>
            <w:tblGrid>
              <w:gridCol w:w="3097"/>
              <w:gridCol w:w="1305"/>
              <w:gridCol w:w="2988"/>
            </w:tblGrid>
            <w:tr>
              <w:tblPrEx>
                <w:tblW w:w="7390" w:type="dxa"/>
                <w:tblInd w:w="0" w:type="dxa"/>
                <w:tblCellMar>
                  <w:top w:w="0" w:type="dxa"/>
                  <w:left w:w="0" w:type="dxa"/>
                  <w:bottom w:w="0" w:type="dxa"/>
                  <w:right w:w="0" w:type="dxa"/>
                </w:tblCellMar>
              </w:tblPrEx>
              <w:trPr>
                <w:trHeight w:val="287"/>
              </w:trPr>
              <w:tc>
                <w:tcPr>
                  <w:tcW w:w="3097" w:type="dxa"/>
                  <w:tcBorders>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eastAsia="宋体" w:hint="eastAsia"/>
                      <w:lang w:eastAsia="zh-CN"/>
                    </w:rPr>
                  </w:pPr>
                  <w:r>
                    <w:rPr>
                      <w:rFonts w:eastAsia="宋体" w:hint="eastAsia"/>
                      <w:lang w:eastAsia="zh-CN"/>
                    </w:rPr>
                    <w:t>相关项目</w:t>
                  </w:r>
                </w:p>
              </w:tc>
              <w:tc>
                <w:tcPr>
                  <w:tcW w:w="1305" w:type="dxa"/>
                  <w:tcBorders>
                    <w:left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eastAsia="宋体"/>
                    </w:rPr>
                  </w:pPr>
                  <w:r>
                    <w:rPr>
                      <w:rFonts w:eastAsia="宋体" w:hint="eastAsia"/>
                    </w:rPr>
                    <w:t>单位</w:t>
                  </w:r>
                </w:p>
              </w:tc>
              <w:tc>
                <w:tcPr>
                  <w:tcW w:w="2988" w:type="dxa"/>
                  <w:tcBorders>
                    <w:left w:val="single" w:sz="4" w:space="0" w:color="auto"/>
                    <w:bottom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eastAsia="宋体"/>
                    </w:rPr>
                  </w:pPr>
                  <w:r>
                    <w:rPr>
                      <w:rFonts w:eastAsia="宋体" w:hint="eastAsia"/>
                    </w:rPr>
                    <w:t>数量</w:t>
                  </w:r>
                </w:p>
              </w:tc>
            </w:tr>
            <w:tr>
              <w:tblPrEx>
                <w:tblW w:w="7390" w:type="dxa"/>
                <w:tblInd w:w="0" w:type="dxa"/>
                <w:tblCellMar>
                  <w:top w:w="0" w:type="dxa"/>
                  <w:left w:w="0" w:type="dxa"/>
                  <w:bottom w:w="0" w:type="dxa"/>
                  <w:right w:w="0" w:type="dxa"/>
                </w:tblCellMar>
              </w:tblPrEx>
              <w:trPr>
                <w:trHeight w:val="287"/>
              </w:trPr>
              <w:tc>
                <w:tcPr>
                  <w:tcW w:w="3097" w:type="dxa"/>
                  <w:tcBorders>
                    <w:top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eastAsia="宋体" w:hAnsi="宋体"/>
                    </w:rPr>
                  </w:pPr>
                  <w:r>
                    <w:rPr>
                      <w:rFonts w:ascii="宋体" w:eastAsia="宋体" w:hAnsi="宋体" w:hint="eastAsia"/>
                    </w:rPr>
                    <w:t>占地总面积</w:t>
                  </w:r>
                </w:p>
              </w:tc>
              <w:tc>
                <w:tcPr>
                  <w:tcW w:w="13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eastAsia="宋体" w:hAnsi="宋体"/>
                    </w:rPr>
                  </w:pPr>
                  <w:r>
                    <w:rPr>
                      <w:rFonts w:ascii="宋体" w:eastAsia="宋体" w:hAnsi="宋体" w:hint="eastAsia"/>
                    </w:rPr>
                    <w:t>平方米</w:t>
                  </w:r>
                </w:p>
              </w:tc>
              <w:tc>
                <w:tcPr>
                  <w:tcW w:w="2988" w:type="dxa"/>
                  <w:tcBorders>
                    <w:top w:val="single" w:sz="4" w:space="0" w:color="auto"/>
                    <w:left w:val="single" w:sz="4" w:space="0" w:color="auto"/>
                    <w:bottom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eastAsia="宋体" w:hAnsi="宋体"/>
                    </w:rPr>
                  </w:pPr>
                  <w:r>
                    <w:rPr>
                      <w:rFonts w:ascii="宋体" w:eastAsia="宋体" w:hAnsi="宋体"/>
                    </w:rPr>
                    <w:t>100000</w:t>
                  </w:r>
                </w:p>
              </w:tc>
            </w:tr>
            <w:tr>
              <w:tblPrEx>
                <w:tblW w:w="7390" w:type="dxa"/>
                <w:tblInd w:w="0" w:type="dxa"/>
                <w:tblCellMar>
                  <w:top w:w="0" w:type="dxa"/>
                  <w:left w:w="0" w:type="dxa"/>
                  <w:bottom w:w="0" w:type="dxa"/>
                  <w:right w:w="0" w:type="dxa"/>
                </w:tblCellMar>
              </w:tblPrEx>
              <w:trPr>
                <w:trHeight w:val="287"/>
              </w:trPr>
              <w:tc>
                <w:tcPr>
                  <w:tcW w:w="3097" w:type="dxa"/>
                  <w:tcBorders>
                    <w:top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eastAsia="宋体" w:hAnsi="宋体"/>
                    </w:rPr>
                  </w:pPr>
                  <w:r>
                    <w:rPr>
                      <w:rFonts w:ascii="宋体" w:eastAsia="宋体" w:hAnsi="宋体" w:hint="eastAsia"/>
                    </w:rPr>
                    <w:t>总建筑面积</w:t>
                  </w:r>
                </w:p>
              </w:tc>
              <w:tc>
                <w:tcPr>
                  <w:tcW w:w="13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eastAsia="宋体" w:hAnsi="宋体"/>
                    </w:rPr>
                  </w:pPr>
                  <w:r>
                    <w:rPr>
                      <w:rFonts w:ascii="宋体" w:eastAsia="宋体" w:hAnsi="宋体" w:hint="eastAsia"/>
                    </w:rPr>
                    <w:t>平方米</w:t>
                  </w:r>
                </w:p>
              </w:tc>
              <w:tc>
                <w:tcPr>
                  <w:tcW w:w="2988" w:type="dxa"/>
                  <w:tcBorders>
                    <w:top w:val="single" w:sz="4" w:space="0" w:color="auto"/>
                    <w:left w:val="single" w:sz="4" w:space="0" w:color="auto"/>
                    <w:bottom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eastAsia="宋体" w:hAnsi="宋体" w:hint="eastAsia"/>
                    </w:rPr>
                  </w:pPr>
                  <w:r>
                    <w:rPr>
                      <w:rFonts w:ascii="宋体" w:eastAsia="宋体" w:hAnsi="宋体" w:hint="eastAsia"/>
                    </w:rPr>
                    <w:t>129000</w:t>
                  </w:r>
                </w:p>
              </w:tc>
            </w:tr>
            <w:tr>
              <w:tblPrEx>
                <w:tblW w:w="7390" w:type="dxa"/>
                <w:tblInd w:w="0" w:type="dxa"/>
                <w:tblCellMar>
                  <w:top w:w="0" w:type="dxa"/>
                  <w:left w:w="0" w:type="dxa"/>
                  <w:bottom w:w="0" w:type="dxa"/>
                  <w:right w:w="0" w:type="dxa"/>
                </w:tblCellMar>
              </w:tblPrEx>
              <w:trPr>
                <w:trHeight w:val="287"/>
              </w:trPr>
              <w:tc>
                <w:tcPr>
                  <w:tcW w:w="3097" w:type="dxa"/>
                  <w:tcBorders>
                    <w:top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eastAsia="宋体" w:hAnsi="宋体"/>
                    </w:rPr>
                  </w:pPr>
                  <w:r>
                    <w:rPr>
                      <w:rFonts w:ascii="宋体" w:eastAsia="宋体" w:hAnsi="宋体" w:hint="eastAsia"/>
                    </w:rPr>
                    <w:t>居住建筑面积</w:t>
                  </w:r>
                </w:p>
              </w:tc>
              <w:tc>
                <w:tcPr>
                  <w:tcW w:w="13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eastAsia="宋体" w:hAnsi="宋体"/>
                    </w:rPr>
                  </w:pPr>
                  <w:r>
                    <w:rPr>
                      <w:rFonts w:ascii="宋体" w:eastAsia="宋体" w:hAnsi="宋体" w:hint="eastAsia"/>
                    </w:rPr>
                    <w:t>平方米</w:t>
                  </w:r>
                </w:p>
              </w:tc>
              <w:tc>
                <w:tcPr>
                  <w:tcW w:w="2988" w:type="dxa"/>
                  <w:tcBorders>
                    <w:top w:val="single" w:sz="4" w:space="0" w:color="auto"/>
                    <w:left w:val="single" w:sz="4" w:space="0" w:color="auto"/>
                    <w:bottom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eastAsia="宋体" w:hAnsi="宋体" w:hint="eastAsia"/>
                    </w:rPr>
                  </w:pPr>
                  <w:r>
                    <w:rPr>
                      <w:rFonts w:ascii="宋体" w:eastAsia="宋体" w:hAnsi="宋体" w:hint="eastAsia"/>
                    </w:rPr>
                    <w:t>116460</w:t>
                  </w:r>
                </w:p>
              </w:tc>
            </w:tr>
            <w:tr>
              <w:tblPrEx>
                <w:tblW w:w="7390" w:type="dxa"/>
                <w:tblInd w:w="0" w:type="dxa"/>
                <w:tblCellMar>
                  <w:top w:w="0" w:type="dxa"/>
                  <w:left w:w="0" w:type="dxa"/>
                  <w:bottom w:w="0" w:type="dxa"/>
                  <w:right w:w="0" w:type="dxa"/>
                </w:tblCellMar>
              </w:tblPrEx>
              <w:trPr>
                <w:trHeight w:val="287"/>
              </w:trPr>
              <w:tc>
                <w:tcPr>
                  <w:tcW w:w="3097" w:type="dxa"/>
                  <w:tcBorders>
                    <w:top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eastAsia="宋体" w:hAnsi="宋体"/>
                    </w:rPr>
                  </w:pPr>
                  <w:r>
                    <w:rPr>
                      <w:rFonts w:ascii="宋体" w:eastAsia="宋体" w:hAnsi="宋体" w:hint="eastAsia"/>
                    </w:rPr>
                    <w:t>公共建筑面积</w:t>
                  </w:r>
                </w:p>
              </w:tc>
              <w:tc>
                <w:tcPr>
                  <w:tcW w:w="13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eastAsia="宋体" w:hAnsi="宋体"/>
                    </w:rPr>
                  </w:pPr>
                  <w:r>
                    <w:rPr>
                      <w:rFonts w:ascii="宋体" w:eastAsia="宋体" w:hAnsi="宋体" w:hint="eastAsia"/>
                    </w:rPr>
                    <w:t>平方米</w:t>
                  </w:r>
                </w:p>
              </w:tc>
              <w:tc>
                <w:tcPr>
                  <w:tcW w:w="2988" w:type="dxa"/>
                  <w:tcBorders>
                    <w:top w:val="single" w:sz="4" w:space="0" w:color="auto"/>
                    <w:left w:val="single" w:sz="4" w:space="0" w:color="auto"/>
                    <w:bottom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eastAsia="宋体" w:hAnsi="宋体"/>
                    </w:rPr>
                  </w:pPr>
                  <w:r>
                    <w:rPr>
                      <w:rFonts w:ascii="宋体" w:eastAsia="宋体" w:hAnsi="宋体"/>
                    </w:rPr>
                    <w:t>13000</w:t>
                  </w:r>
                </w:p>
              </w:tc>
            </w:tr>
            <w:tr>
              <w:tblPrEx>
                <w:tblW w:w="7390" w:type="dxa"/>
                <w:tblInd w:w="0" w:type="dxa"/>
                <w:tblCellMar>
                  <w:top w:w="0" w:type="dxa"/>
                  <w:left w:w="0" w:type="dxa"/>
                  <w:bottom w:w="0" w:type="dxa"/>
                  <w:right w:w="0" w:type="dxa"/>
                </w:tblCellMar>
              </w:tblPrEx>
              <w:trPr>
                <w:trHeight w:val="287"/>
              </w:trPr>
              <w:tc>
                <w:tcPr>
                  <w:tcW w:w="3097" w:type="dxa"/>
                  <w:tcBorders>
                    <w:top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eastAsia="宋体" w:hAnsi="宋体"/>
                    </w:rPr>
                  </w:pPr>
                  <w:r>
                    <w:rPr>
                      <w:rFonts w:ascii="宋体" w:eastAsia="宋体" w:hAnsi="宋体" w:hint="eastAsia"/>
                    </w:rPr>
                    <w:t>居住居数</w:t>
                  </w:r>
                </w:p>
              </w:tc>
              <w:tc>
                <w:tcPr>
                  <w:tcW w:w="13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eastAsia="宋体" w:hAnsi="宋体"/>
                    </w:rPr>
                  </w:pPr>
                  <w:r>
                    <w:rPr>
                      <w:rFonts w:ascii="宋体" w:eastAsia="宋体" w:hAnsi="宋体" w:hint="eastAsia"/>
                    </w:rPr>
                    <w:t>户</w:t>
                  </w:r>
                </w:p>
              </w:tc>
              <w:tc>
                <w:tcPr>
                  <w:tcW w:w="2988" w:type="dxa"/>
                  <w:tcBorders>
                    <w:top w:val="single" w:sz="4" w:space="0" w:color="auto"/>
                    <w:left w:val="single" w:sz="4" w:space="0" w:color="auto"/>
                    <w:bottom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eastAsia="宋体" w:hAnsi="宋体"/>
                    </w:rPr>
                  </w:pPr>
                  <w:r>
                    <w:rPr>
                      <w:rFonts w:ascii="宋体" w:eastAsia="宋体" w:hAnsi="宋体"/>
                    </w:rPr>
                    <w:t>996</w:t>
                  </w:r>
                </w:p>
              </w:tc>
            </w:tr>
            <w:tr>
              <w:tblPrEx>
                <w:tblW w:w="7390" w:type="dxa"/>
                <w:tblInd w:w="0" w:type="dxa"/>
                <w:tblCellMar>
                  <w:top w:w="0" w:type="dxa"/>
                  <w:left w:w="0" w:type="dxa"/>
                  <w:bottom w:w="0" w:type="dxa"/>
                  <w:right w:w="0" w:type="dxa"/>
                </w:tblCellMar>
              </w:tblPrEx>
              <w:trPr>
                <w:trHeight w:val="287"/>
              </w:trPr>
              <w:tc>
                <w:tcPr>
                  <w:tcW w:w="3097" w:type="dxa"/>
                  <w:tcBorders>
                    <w:top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eastAsia="宋体" w:hAnsi="宋体"/>
                    </w:rPr>
                  </w:pPr>
                  <w:r>
                    <w:rPr>
                      <w:rFonts w:ascii="宋体" w:eastAsia="宋体" w:hAnsi="宋体" w:hint="eastAsia"/>
                    </w:rPr>
                    <w:t>平均每户建筑面积</w:t>
                  </w:r>
                </w:p>
              </w:tc>
              <w:tc>
                <w:tcPr>
                  <w:tcW w:w="13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eastAsia="宋体" w:hAnsi="宋体"/>
                    </w:rPr>
                  </w:pPr>
                  <w:r>
                    <w:rPr>
                      <w:rFonts w:ascii="宋体" w:eastAsia="宋体" w:hAnsi="宋体" w:hint="eastAsia"/>
                    </w:rPr>
                    <w:t>平方米</w:t>
                  </w:r>
                </w:p>
              </w:tc>
              <w:tc>
                <w:tcPr>
                  <w:tcW w:w="2988" w:type="dxa"/>
                  <w:tcBorders>
                    <w:top w:val="single" w:sz="4" w:space="0" w:color="auto"/>
                    <w:left w:val="single" w:sz="4" w:space="0" w:color="auto"/>
                    <w:bottom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eastAsia="宋体" w:hAnsi="宋体"/>
                    </w:rPr>
                  </w:pPr>
                  <w:r>
                    <w:rPr>
                      <w:rFonts w:ascii="宋体" w:eastAsia="宋体" w:hAnsi="宋体"/>
                    </w:rPr>
                    <w:t>130</w:t>
                  </w:r>
                </w:p>
              </w:tc>
            </w:tr>
            <w:tr>
              <w:tblPrEx>
                <w:tblW w:w="7390" w:type="dxa"/>
                <w:tblInd w:w="0" w:type="dxa"/>
                <w:tblCellMar>
                  <w:top w:w="0" w:type="dxa"/>
                  <w:left w:w="0" w:type="dxa"/>
                  <w:bottom w:w="0" w:type="dxa"/>
                  <w:right w:w="0" w:type="dxa"/>
                </w:tblCellMar>
              </w:tblPrEx>
              <w:trPr>
                <w:trHeight w:val="287"/>
              </w:trPr>
              <w:tc>
                <w:tcPr>
                  <w:tcW w:w="3097" w:type="dxa"/>
                  <w:tcBorders>
                    <w:top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eastAsia="宋体" w:hAnsi="宋体"/>
                    </w:rPr>
                  </w:pPr>
                  <w:r>
                    <w:rPr>
                      <w:rFonts w:ascii="宋体" w:eastAsia="宋体" w:hAnsi="宋体" w:hint="eastAsia"/>
                    </w:rPr>
                    <w:t>平均每户居住人数</w:t>
                  </w:r>
                </w:p>
              </w:tc>
              <w:tc>
                <w:tcPr>
                  <w:tcW w:w="13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eastAsia="宋体" w:hAnsi="宋体"/>
                    </w:rPr>
                  </w:pPr>
                  <w:r>
                    <w:rPr>
                      <w:rFonts w:ascii="宋体" w:eastAsia="宋体" w:hAnsi="宋体" w:hint="eastAsia"/>
                    </w:rPr>
                    <w:t>人</w:t>
                  </w:r>
                </w:p>
              </w:tc>
              <w:tc>
                <w:tcPr>
                  <w:tcW w:w="2988" w:type="dxa"/>
                  <w:tcBorders>
                    <w:top w:val="single" w:sz="4" w:space="0" w:color="auto"/>
                    <w:left w:val="single" w:sz="4" w:space="0" w:color="auto"/>
                    <w:bottom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eastAsia="宋体" w:hAnsi="宋体" w:hint="eastAsia"/>
                    </w:rPr>
                  </w:pPr>
                  <w:r>
                    <w:rPr>
                      <w:rFonts w:ascii="宋体" w:eastAsia="宋体" w:hAnsi="宋体" w:hint="eastAsia"/>
                    </w:rPr>
                    <w:t>3.2</w:t>
                  </w:r>
                </w:p>
              </w:tc>
            </w:tr>
            <w:tr>
              <w:tblPrEx>
                <w:tblW w:w="7390" w:type="dxa"/>
                <w:tblInd w:w="0" w:type="dxa"/>
                <w:tblCellMar>
                  <w:top w:w="0" w:type="dxa"/>
                  <w:left w:w="0" w:type="dxa"/>
                  <w:bottom w:w="0" w:type="dxa"/>
                  <w:right w:w="0" w:type="dxa"/>
                </w:tblCellMar>
              </w:tblPrEx>
              <w:trPr>
                <w:trHeight w:val="287"/>
              </w:trPr>
              <w:tc>
                <w:tcPr>
                  <w:tcW w:w="3097" w:type="dxa"/>
                  <w:tcBorders>
                    <w:top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eastAsia="宋体" w:hAnsi="宋体"/>
                    </w:rPr>
                  </w:pPr>
                  <w:r>
                    <w:rPr>
                      <w:rFonts w:ascii="宋体" w:eastAsia="宋体" w:hAnsi="宋体" w:hint="eastAsia"/>
                    </w:rPr>
                    <w:t>容积率</w:t>
                  </w:r>
                </w:p>
              </w:tc>
              <w:tc>
                <w:tcPr>
                  <w:tcW w:w="13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eastAsia="宋体" w:hAnsi="宋体"/>
                    </w:rPr>
                  </w:pPr>
                </w:p>
              </w:tc>
              <w:tc>
                <w:tcPr>
                  <w:tcW w:w="2988" w:type="dxa"/>
                  <w:tcBorders>
                    <w:top w:val="single" w:sz="4" w:space="0" w:color="auto"/>
                    <w:left w:val="single" w:sz="4" w:space="0" w:color="auto"/>
                    <w:bottom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eastAsia="宋体" w:hAnsi="宋体" w:hint="eastAsia"/>
                    </w:rPr>
                  </w:pPr>
                  <w:r>
                    <w:rPr>
                      <w:rFonts w:ascii="宋体" w:eastAsia="宋体" w:hAnsi="宋体"/>
                    </w:rPr>
                    <w:t>1</w:t>
                  </w:r>
                  <w:r>
                    <w:rPr>
                      <w:rFonts w:ascii="宋体" w:eastAsia="宋体" w:hAnsi="宋体" w:hint="eastAsia"/>
                    </w:rPr>
                    <w:t>.29</w:t>
                  </w:r>
                </w:p>
              </w:tc>
            </w:tr>
            <w:tr>
              <w:tblPrEx>
                <w:tblW w:w="7390" w:type="dxa"/>
                <w:tblInd w:w="0" w:type="dxa"/>
                <w:tblCellMar>
                  <w:top w:w="0" w:type="dxa"/>
                  <w:left w:w="0" w:type="dxa"/>
                  <w:bottom w:w="0" w:type="dxa"/>
                  <w:right w:w="0" w:type="dxa"/>
                </w:tblCellMar>
              </w:tblPrEx>
              <w:trPr>
                <w:trHeight w:val="287"/>
              </w:trPr>
              <w:tc>
                <w:tcPr>
                  <w:tcW w:w="3097" w:type="dxa"/>
                  <w:tcBorders>
                    <w:top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eastAsia="宋体" w:hAnsi="宋体"/>
                    </w:rPr>
                  </w:pPr>
                  <w:r>
                    <w:rPr>
                      <w:rFonts w:ascii="宋体" w:eastAsia="宋体" w:hAnsi="宋体" w:hint="eastAsia"/>
                    </w:rPr>
                    <w:t>绿化率</w:t>
                  </w:r>
                </w:p>
              </w:tc>
              <w:tc>
                <w:tcPr>
                  <w:tcW w:w="13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eastAsia="宋体" w:hAnsi="宋体"/>
                    </w:rPr>
                  </w:pPr>
                  <w:r>
                    <w:rPr>
                      <w:rFonts w:ascii="宋体" w:eastAsia="宋体" w:hAnsi="宋体"/>
                    </w:rPr>
                    <w:t>%</w:t>
                  </w:r>
                </w:p>
              </w:tc>
              <w:tc>
                <w:tcPr>
                  <w:tcW w:w="2988" w:type="dxa"/>
                  <w:tcBorders>
                    <w:top w:val="single" w:sz="4" w:space="0" w:color="auto"/>
                    <w:left w:val="single" w:sz="4" w:space="0" w:color="auto"/>
                    <w:bottom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eastAsia="宋体" w:hAnsi="宋体"/>
                    </w:rPr>
                  </w:pPr>
                  <w:r>
                    <w:rPr>
                      <w:rFonts w:ascii="宋体" w:eastAsia="宋体" w:hAnsi="宋体"/>
                    </w:rPr>
                    <w:t>45</w:t>
                  </w:r>
                </w:p>
              </w:tc>
            </w:tr>
            <w:tr>
              <w:tblPrEx>
                <w:tblW w:w="7390" w:type="dxa"/>
                <w:tblInd w:w="0" w:type="dxa"/>
                <w:tblCellMar>
                  <w:top w:w="0" w:type="dxa"/>
                  <w:left w:w="0" w:type="dxa"/>
                  <w:bottom w:w="0" w:type="dxa"/>
                  <w:right w:w="0" w:type="dxa"/>
                </w:tblCellMar>
              </w:tblPrEx>
              <w:trPr>
                <w:trHeight w:val="287"/>
              </w:trPr>
              <w:tc>
                <w:tcPr>
                  <w:tcW w:w="3097" w:type="dxa"/>
                  <w:tcBorders>
                    <w:top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eastAsia="宋体" w:hAnsi="宋体" w:hint="eastAsia"/>
                    </w:rPr>
                  </w:pPr>
                  <w:r>
                    <w:rPr>
                      <w:rFonts w:ascii="宋体" w:eastAsia="宋体" w:hAnsi="宋体" w:hint="eastAsia"/>
                    </w:rPr>
                    <w:t>住宅栋数</w:t>
                  </w:r>
                </w:p>
              </w:tc>
              <w:tc>
                <w:tcPr>
                  <w:tcW w:w="13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eastAsia="宋体" w:hAnsi="宋体" w:hint="eastAsia"/>
                    </w:rPr>
                  </w:pPr>
                  <w:r>
                    <w:rPr>
                      <w:rFonts w:ascii="宋体" w:eastAsia="宋体" w:hAnsi="宋体" w:hint="eastAsia"/>
                    </w:rPr>
                    <w:t>栋</w:t>
                  </w:r>
                </w:p>
              </w:tc>
              <w:tc>
                <w:tcPr>
                  <w:tcW w:w="2988" w:type="dxa"/>
                  <w:tcBorders>
                    <w:top w:val="single" w:sz="4" w:space="0" w:color="auto"/>
                    <w:left w:val="single" w:sz="4" w:space="0" w:color="auto"/>
                    <w:bottom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eastAsia="宋体" w:hAnsi="宋体" w:hint="eastAsia"/>
                    </w:rPr>
                  </w:pPr>
                  <w:r>
                    <w:rPr>
                      <w:rFonts w:ascii="宋体" w:eastAsia="宋体" w:hAnsi="宋体" w:hint="eastAsia"/>
                    </w:rPr>
                    <w:t>45</w:t>
                  </w:r>
                </w:p>
              </w:tc>
            </w:tr>
            <w:tr>
              <w:tblPrEx>
                <w:tblW w:w="7390" w:type="dxa"/>
                <w:tblInd w:w="0" w:type="dxa"/>
                <w:tblCellMar>
                  <w:top w:w="0" w:type="dxa"/>
                  <w:left w:w="0" w:type="dxa"/>
                  <w:bottom w:w="0" w:type="dxa"/>
                  <w:right w:w="0" w:type="dxa"/>
                </w:tblCellMar>
              </w:tblPrEx>
              <w:trPr>
                <w:trHeight w:val="287"/>
              </w:trPr>
              <w:tc>
                <w:tcPr>
                  <w:tcW w:w="3097" w:type="dxa"/>
                  <w:tcBorders>
                    <w:top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eastAsia="宋体" w:hAnsi="宋体" w:hint="eastAsia"/>
                    </w:rPr>
                  </w:pPr>
                  <w:r>
                    <w:rPr>
                      <w:rFonts w:ascii="宋体" w:eastAsia="宋体" w:hAnsi="宋体" w:hint="eastAsia"/>
                    </w:rPr>
                    <w:t>平均层数</w:t>
                  </w:r>
                </w:p>
              </w:tc>
              <w:tc>
                <w:tcPr>
                  <w:tcW w:w="13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eastAsia="宋体" w:hAnsi="宋体" w:hint="eastAsia"/>
                    </w:rPr>
                  </w:pPr>
                  <w:r>
                    <w:rPr>
                      <w:rFonts w:ascii="宋体" w:eastAsia="宋体" w:hAnsi="宋体" w:hint="eastAsia"/>
                    </w:rPr>
                    <w:t>层</w:t>
                  </w:r>
                </w:p>
              </w:tc>
              <w:tc>
                <w:tcPr>
                  <w:tcW w:w="2988" w:type="dxa"/>
                  <w:tcBorders>
                    <w:top w:val="single" w:sz="4" w:space="0" w:color="auto"/>
                    <w:left w:val="single" w:sz="4" w:space="0" w:color="auto"/>
                    <w:bottom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eastAsia="宋体" w:hAnsi="宋体" w:hint="eastAsia"/>
                    </w:rPr>
                  </w:pPr>
                  <w:r>
                    <w:rPr>
                      <w:rFonts w:ascii="宋体" w:eastAsia="宋体" w:hAnsi="宋体" w:hint="eastAsia"/>
                    </w:rPr>
                    <w:t>6.53</w:t>
                  </w:r>
                </w:p>
              </w:tc>
            </w:tr>
            <w:tr>
              <w:tblPrEx>
                <w:tblW w:w="7390" w:type="dxa"/>
                <w:tblInd w:w="0" w:type="dxa"/>
                <w:tblCellMar>
                  <w:top w:w="0" w:type="dxa"/>
                  <w:left w:w="0" w:type="dxa"/>
                  <w:bottom w:w="0" w:type="dxa"/>
                  <w:right w:w="0" w:type="dxa"/>
                </w:tblCellMar>
              </w:tblPrEx>
              <w:trPr>
                <w:trHeight w:val="287"/>
              </w:trPr>
              <w:tc>
                <w:tcPr>
                  <w:tcW w:w="3097" w:type="dxa"/>
                  <w:tcBorders>
                    <w:top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eastAsia="宋体" w:hAnsi="宋体" w:hint="eastAsia"/>
                    </w:rPr>
                  </w:pPr>
                  <w:r>
                    <w:rPr>
                      <w:rFonts w:ascii="宋体" w:eastAsia="宋体" w:hAnsi="宋体" w:hint="eastAsia"/>
                    </w:rPr>
                    <w:t>地下车库面积</w:t>
                  </w:r>
                </w:p>
              </w:tc>
              <w:tc>
                <w:tcPr>
                  <w:tcW w:w="13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eastAsia="宋体" w:hAnsi="宋体" w:hint="eastAsia"/>
                    </w:rPr>
                  </w:pPr>
                  <w:r>
                    <w:rPr>
                      <w:rFonts w:ascii="宋体" w:eastAsia="宋体" w:hAnsi="宋体" w:hint="eastAsia"/>
                    </w:rPr>
                    <w:t>平方米</w:t>
                  </w:r>
                </w:p>
              </w:tc>
              <w:tc>
                <w:tcPr>
                  <w:tcW w:w="2988" w:type="dxa"/>
                  <w:tcBorders>
                    <w:top w:val="single" w:sz="4" w:space="0" w:color="auto"/>
                    <w:left w:val="single" w:sz="4" w:space="0" w:color="auto"/>
                    <w:bottom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eastAsia="宋体" w:hAnsi="宋体" w:hint="eastAsia"/>
                    </w:rPr>
                  </w:pPr>
                  <w:r>
                    <w:rPr>
                      <w:rFonts w:ascii="宋体" w:eastAsia="宋体" w:hAnsi="宋体" w:hint="eastAsia"/>
                    </w:rPr>
                    <w:t>4820</w:t>
                  </w:r>
                </w:p>
              </w:tc>
            </w:tr>
            <w:tr>
              <w:tblPrEx>
                <w:tblW w:w="7390" w:type="dxa"/>
                <w:tblInd w:w="0" w:type="dxa"/>
                <w:tblCellMar>
                  <w:top w:w="0" w:type="dxa"/>
                  <w:left w:w="0" w:type="dxa"/>
                  <w:bottom w:w="0" w:type="dxa"/>
                  <w:right w:w="0" w:type="dxa"/>
                </w:tblCellMar>
              </w:tblPrEx>
              <w:trPr>
                <w:trHeight w:val="287"/>
              </w:trPr>
              <w:tc>
                <w:tcPr>
                  <w:tcW w:w="3097" w:type="dxa"/>
                  <w:tcBorders>
                    <w:top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eastAsia="宋体" w:hAnsi="宋体" w:hint="eastAsia"/>
                    </w:rPr>
                  </w:pPr>
                  <w:r>
                    <w:rPr>
                      <w:rFonts w:ascii="宋体" w:eastAsia="宋体" w:hAnsi="宋体" w:hint="eastAsia"/>
                    </w:rPr>
                    <w:t>停车位</w:t>
                  </w:r>
                </w:p>
              </w:tc>
              <w:tc>
                <w:tcPr>
                  <w:tcW w:w="13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eastAsia="宋体" w:hAnsi="宋体" w:hint="eastAsia"/>
                    </w:rPr>
                  </w:pPr>
                  <w:r>
                    <w:rPr>
                      <w:rFonts w:ascii="宋体" w:eastAsia="宋体" w:hAnsi="宋体" w:hint="eastAsia"/>
                    </w:rPr>
                    <w:t>个</w:t>
                  </w:r>
                </w:p>
              </w:tc>
              <w:tc>
                <w:tcPr>
                  <w:tcW w:w="2988" w:type="dxa"/>
                  <w:tcBorders>
                    <w:top w:val="single" w:sz="4" w:space="0" w:color="auto"/>
                    <w:left w:val="single" w:sz="4" w:space="0" w:color="auto"/>
                    <w:bottom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eastAsia="宋体" w:hAnsi="宋体" w:hint="eastAsia"/>
                    </w:rPr>
                  </w:pPr>
                  <w:r>
                    <w:rPr>
                      <w:rFonts w:ascii="宋体" w:eastAsia="宋体" w:hAnsi="宋体" w:hint="eastAsia"/>
                    </w:rPr>
                    <w:t>240</w:t>
                  </w:r>
                </w:p>
              </w:tc>
            </w:tr>
          </w:tbl>
          <w:p>
            <w:pPr>
              <w:pStyle w:val="Normal0"/>
              <w:rPr>
                <w:rFonts w:eastAsia="宋体"/>
              </w:rPr>
            </w:pPr>
          </w:p>
        </w:tc>
      </w:tr>
    </w:tbl>
    <w:p>
      <w:pPr>
        <w:pStyle w:val="Normal0"/>
        <w:spacing w:line="360" w:lineRule="auto"/>
        <w:rPr>
          <w:rFonts w:ascii="仿宋_GB2312" w:eastAsia="宋体" w:hAnsi="Arial" w:cs="Arial"/>
        </w:rPr>
      </w:pPr>
      <w:r>
        <w:rPr>
          <w:rFonts w:ascii="黑体" w:eastAsia="宋体" w:hAnsi="Arial" w:cs="Arial" w:hint="eastAsia"/>
          <w:bCs/>
        </w:rPr>
        <w:t>三．问题与建议</w:t>
      </w:r>
    </w:p>
    <w:p>
      <w:pPr>
        <w:pStyle w:val="BodyTextIndent"/>
        <w:spacing w:line="360" w:lineRule="auto"/>
        <w:ind w:firstLine="410"/>
        <w:rPr>
          <w:rFonts w:hint="eastAsia"/>
          <w:sz w:val="24"/>
        </w:rPr>
      </w:pPr>
      <w:r>
        <w:rPr>
          <w:rFonts w:hint="eastAsia"/>
          <w:sz w:val="24"/>
        </w:rPr>
        <w:t>考虑到现代花园建成后，其用户多数为拥有较高文化层次和收入的白领阶层，结合他们的消费心理和消费结构，要特别注意其附属设施的建设，如停车场，娱乐中心及安保措施。另外，在住宅的户型的选择上，要充分调查，选择适合不同住户需求的多种户型，避免单一，同时，该</w:t>
      </w:r>
      <w:r>
        <w:rPr>
          <w:rFonts w:hint="eastAsia"/>
          <w:sz w:val="24"/>
          <w:lang w:eastAsia="zh-CN"/>
        </w:rPr>
        <w:t>相关项目</w:t>
      </w:r>
      <w:r>
        <w:rPr>
          <w:rFonts w:hint="eastAsia"/>
          <w:sz w:val="24"/>
        </w:rPr>
        <w:t>的建设很大程度上依赖于光谷的发展，因而，在建设的过程中，要时时注意政府的各种政策。而且要重视该</w:t>
      </w:r>
      <w:r>
        <w:rPr>
          <w:rFonts w:hint="eastAsia"/>
          <w:sz w:val="24"/>
          <w:lang w:eastAsia="zh-CN"/>
        </w:rPr>
        <w:t>相关项目</w:t>
      </w:r>
      <w:r>
        <w:rPr>
          <w:rFonts w:hint="eastAsia"/>
          <w:sz w:val="24"/>
        </w:rPr>
        <w:t>的社会效益。</w:t>
      </w:r>
    </w:p>
    <w:p>
      <w:pPr>
        <w:pStyle w:val="Heading1"/>
        <w:rPr>
          <w:b w:val="0"/>
          <w:sz w:val="24"/>
          <w:szCs w:val="24"/>
        </w:rPr>
      </w:pPr>
      <w:bookmarkStart w:id="2" w:name="_Toc50787367"/>
      <w:r>
        <w:rPr>
          <w:rFonts w:hint="eastAsia"/>
          <w:b w:val="0"/>
          <w:sz w:val="24"/>
          <w:szCs w:val="24"/>
        </w:rPr>
        <w:t>二、市场预测</w:t>
      </w:r>
      <w:bookmarkEnd w:id="2"/>
    </w:p>
    <w:p>
      <w:pPr>
        <w:pStyle w:val="Normal0"/>
        <w:spacing w:line="360" w:lineRule="auto"/>
        <w:rPr>
          <w:rFonts w:ascii="楷体_GB2312" w:eastAsia="宋体"/>
          <w:bCs/>
        </w:rPr>
      </w:pPr>
      <w:r>
        <w:rPr>
          <w:rFonts w:ascii="黑体" w:eastAsia="宋体" w:hAnsi="Arial" w:cs="Arial" w:hint="eastAsia"/>
          <w:bCs/>
        </w:rPr>
        <w:t>一．市场调查</w:t>
      </w:r>
    </w:p>
    <w:p>
      <w:pPr>
        <w:pStyle w:val="Normal0"/>
        <w:spacing w:line="360" w:lineRule="auto"/>
        <w:ind w:firstLine="480" w:firstLineChars="200"/>
        <w:rPr>
          <w:rFonts w:ascii="宋体" w:eastAsia="宋体" w:hAnsi="宋体" w:hint="eastAsia"/>
        </w:rPr>
      </w:pPr>
      <w:r>
        <w:rPr>
          <w:rFonts w:ascii="宋体" w:eastAsia="宋体" w:hAnsi="宋体" w:hint="eastAsia"/>
        </w:rPr>
        <w:t>据</w:t>
      </w:r>
      <w:r>
        <w:rPr>
          <w:rFonts w:ascii="宋体" w:eastAsia="宋体" w:hAnsi="宋体"/>
        </w:rPr>
        <w:t>2002</w:t>
      </w:r>
      <w:r>
        <w:rPr>
          <w:rFonts w:ascii="宋体" w:eastAsia="宋体" w:hAnsi="宋体" w:hint="eastAsia"/>
        </w:rPr>
        <w:t>年武房指数报告显示</w:t>
      </w:r>
      <w:r>
        <w:rPr>
          <w:rFonts w:ascii="宋体" w:eastAsia="宋体" w:hAnsi="宋体"/>
        </w:rPr>
        <w:t>:</w:t>
      </w:r>
      <w:r>
        <w:rPr>
          <w:rFonts w:ascii="宋体" w:eastAsia="宋体" w:hAnsi="宋体" w:hint="eastAsia"/>
        </w:rPr>
        <w:t>房地产综合物业价格为</w:t>
      </w:r>
      <w:r>
        <w:rPr>
          <w:rFonts w:ascii="宋体" w:eastAsia="宋体" w:hAnsi="宋体"/>
        </w:rPr>
        <w:t>2968.76</w:t>
      </w:r>
      <w:r>
        <w:rPr>
          <w:rFonts w:ascii="宋体" w:eastAsia="宋体" w:hAnsi="宋体" w:hint="eastAsia"/>
        </w:rPr>
        <w:t>元</w:t>
      </w:r>
      <w:r>
        <w:rPr>
          <w:rFonts w:ascii="宋体" w:eastAsia="宋体" w:hAnsi="宋体"/>
        </w:rPr>
        <w:t>/m2,</w:t>
      </w:r>
      <w:r>
        <w:rPr>
          <w:rFonts w:ascii="宋体" w:eastAsia="宋体" w:hAnsi="宋体" w:hint="eastAsia"/>
        </w:rPr>
        <w:t>住宅平均价格为</w:t>
      </w:r>
      <w:r>
        <w:rPr>
          <w:rFonts w:ascii="宋体" w:eastAsia="宋体" w:hAnsi="宋体"/>
        </w:rPr>
        <w:t>2017.31</w:t>
      </w:r>
      <w:r>
        <w:rPr>
          <w:rFonts w:ascii="宋体" w:eastAsia="宋体" w:hAnsi="宋体" w:hint="eastAsia"/>
        </w:rPr>
        <w:t>元</w:t>
      </w:r>
      <w:r>
        <w:rPr>
          <w:rFonts w:ascii="宋体" w:eastAsia="宋体" w:hAnsi="宋体"/>
        </w:rPr>
        <w:t>/m2</w:t>
      </w:r>
      <w:r>
        <w:rPr>
          <w:rFonts w:ascii="宋体" w:eastAsia="宋体" w:hAnsi="宋体" w:hint="eastAsia"/>
        </w:rPr>
        <w:t>写字楼平均价格为</w:t>
      </w:r>
      <w:r>
        <w:rPr>
          <w:rFonts w:ascii="宋体" w:eastAsia="宋体" w:hAnsi="宋体"/>
        </w:rPr>
        <w:t>4149.16</w:t>
      </w:r>
      <w:r>
        <w:rPr>
          <w:rFonts w:ascii="宋体" w:eastAsia="宋体" w:hAnsi="宋体" w:hint="eastAsia"/>
        </w:rPr>
        <w:t>元</w:t>
      </w:r>
      <w:r>
        <w:rPr>
          <w:rFonts w:ascii="宋体" w:eastAsia="宋体" w:hAnsi="宋体"/>
        </w:rPr>
        <w:t>/m2</w:t>
      </w:r>
      <w:r>
        <w:rPr>
          <w:rFonts w:ascii="宋体" w:eastAsia="宋体" w:hAnsi="宋体" w:hint="eastAsia"/>
        </w:rPr>
        <w:t>从市场形态来看</w:t>
      </w:r>
      <w:r>
        <w:rPr>
          <w:rFonts w:ascii="宋体" w:eastAsia="宋体" w:hAnsi="宋体"/>
        </w:rPr>
        <w:t>,</w:t>
      </w:r>
      <w:r>
        <w:rPr>
          <w:rFonts w:ascii="宋体" w:eastAsia="宋体" w:hAnsi="宋体" w:hint="eastAsia"/>
        </w:rPr>
        <w:t>全市各区楼盘销售量是上升趋势。</w:t>
      </w:r>
    </w:p>
    <w:p>
      <w:pPr>
        <w:pStyle w:val="Normal0"/>
        <w:spacing w:line="360" w:lineRule="auto"/>
        <w:ind w:firstLine="480" w:firstLineChars="200"/>
        <w:rPr>
          <w:rFonts w:ascii="宋体" w:eastAsia="宋体" w:hAnsi="宋体" w:hint="eastAsia"/>
        </w:rPr>
        <w:sectPr>
          <w:headerReference w:type="default" r:id="rId15"/>
          <w:footerReference w:type="default" r:id="rId16"/>
          <w:type w:val="nextPage"/>
          <w:pgSz w:w="11906" w:h="16838"/>
          <w:pgMar w:top="539" w:right="926" w:bottom="1440" w:left="1800" w:header="495" w:footer="992" w:gutter="0"/>
          <w:pgNumType w:start="6"/>
          <w:cols w:num="1" w:space="425"/>
          <w:titlePg w:val="0"/>
          <w:docGrid w:type="lines" w:linePitch="360" w:charSpace="0"/>
        </w:sectPr>
      </w:pPr>
      <w:r>
        <w:rPr>
          <w:rFonts w:ascii="宋体" w:eastAsia="宋体" w:hAnsi="宋体" w:hint="eastAsia"/>
        </w:rPr>
        <w:t>目前武汉市住宅市场供应上</w:t>
      </w:r>
      <w:r>
        <w:rPr>
          <w:rFonts w:ascii="宋体" w:eastAsia="宋体" w:hAnsi="宋体"/>
        </w:rPr>
        <w:t>,</w:t>
      </w:r>
      <w:r>
        <w:rPr>
          <w:rFonts w:ascii="宋体" w:eastAsia="宋体" w:hAnsi="宋体" w:hint="eastAsia"/>
        </w:rPr>
        <w:t>住宅面积在</w:t>
      </w:r>
      <w:r>
        <w:rPr>
          <w:rFonts w:ascii="宋体" w:eastAsia="宋体" w:hAnsi="宋体"/>
        </w:rPr>
        <w:t>100m2</w:t>
      </w:r>
      <w:r>
        <w:rPr>
          <w:rFonts w:ascii="宋体" w:eastAsia="宋体" w:hAnsi="宋体" w:hint="eastAsia"/>
        </w:rPr>
        <w:t>以下的占总量的</w:t>
      </w:r>
      <w:r>
        <w:rPr>
          <w:rFonts w:ascii="宋体" w:eastAsia="宋体" w:hAnsi="宋体"/>
        </w:rPr>
        <w:t>4%,</w:t>
      </w:r>
      <w:r>
        <w:rPr>
          <w:rFonts w:ascii="宋体" w:eastAsia="宋体" w:hAnsi="宋体" w:hint="eastAsia"/>
        </w:rPr>
        <w:t>住宅面积在</w:t>
      </w:r>
      <w:r>
        <w:rPr>
          <w:rFonts w:ascii="宋体" w:eastAsia="宋体" w:hAnsi="宋体"/>
        </w:rPr>
        <w:t>101--120</w:t>
      </w:r>
      <w:r>
        <w:rPr>
          <w:rFonts w:ascii="宋体" w:eastAsia="宋体" w:hAnsi="宋体" w:hint="eastAsia"/>
        </w:rPr>
        <w:t>的占总量的</w:t>
      </w:r>
      <w:r>
        <w:rPr>
          <w:rFonts w:ascii="宋体" w:eastAsia="宋体" w:hAnsi="宋体"/>
        </w:rPr>
        <w:t>32%,121--140</w:t>
      </w:r>
      <w:r>
        <w:rPr>
          <w:rFonts w:ascii="宋体" w:eastAsia="宋体" w:hAnsi="宋体" w:hint="eastAsia"/>
        </w:rPr>
        <w:t>占总量的</w:t>
      </w:r>
      <w:r>
        <w:rPr>
          <w:rFonts w:ascii="宋体" w:eastAsia="宋体" w:hAnsi="宋体"/>
        </w:rPr>
        <w:t>45%,141--160</w:t>
      </w:r>
      <w:r>
        <w:rPr>
          <w:rFonts w:ascii="宋体" w:eastAsia="宋体" w:hAnsi="宋体" w:hint="eastAsia"/>
        </w:rPr>
        <w:t>的占总量的</w:t>
      </w:r>
      <w:r>
        <w:rPr>
          <w:rFonts w:ascii="宋体" w:eastAsia="宋体" w:hAnsi="宋体"/>
        </w:rPr>
        <w:t>5%,161--180</w:t>
      </w:r>
    </w:p>
    <w:p>
      <w:pPr>
        <w:pStyle w:val="Normal0"/>
        <w:spacing w:line="360" w:lineRule="auto"/>
        <w:ind w:firstLine="480" w:firstLineChars="200"/>
        <w:rPr>
          <w:rFonts w:ascii="宋体" w:eastAsia="宋体" w:hAnsi="宋体" w:hint="eastAsia"/>
        </w:rPr>
      </w:pPr>
      <w:r>
        <w:rPr>
          <w:rFonts w:ascii="宋体" w:eastAsia="宋体" w:hAnsi="宋体" w:hint="eastAsia"/>
        </w:rPr>
        <w:t>占总量的</w:t>
      </w:r>
      <w:r>
        <w:rPr>
          <w:rFonts w:ascii="宋体" w:eastAsia="宋体" w:hAnsi="宋体"/>
        </w:rPr>
        <w:t>10%,180</w:t>
      </w:r>
      <w:r>
        <w:rPr>
          <w:rFonts w:ascii="宋体" w:eastAsia="宋体" w:hAnsi="宋体" w:hint="eastAsia"/>
        </w:rPr>
        <w:t>以上的占总量的</w:t>
      </w:r>
      <w:r>
        <w:rPr>
          <w:rFonts w:ascii="宋体" w:eastAsia="宋体" w:hAnsi="宋体"/>
        </w:rPr>
        <w:t>4%</w:t>
      </w:r>
      <w:r>
        <w:rPr>
          <w:rFonts w:ascii="宋体" w:eastAsia="宋体" w:hAnsi="宋体" w:hint="eastAsia"/>
        </w:rPr>
        <w:t>。从以上统计结果看</w:t>
      </w:r>
      <w:r>
        <w:rPr>
          <w:rFonts w:ascii="宋体" w:eastAsia="宋体" w:hAnsi="宋体"/>
        </w:rPr>
        <w:t>,120m2--140m2</w:t>
      </w:r>
      <w:r>
        <w:rPr>
          <w:rFonts w:ascii="宋体" w:eastAsia="宋体" w:hAnsi="宋体" w:hint="eastAsia"/>
        </w:rPr>
        <w:t>的住宅面积目前是武汉市住宅市场上供应的主力</w:t>
      </w:r>
      <w:r>
        <w:rPr>
          <w:rFonts w:ascii="宋体" w:eastAsia="宋体" w:hAnsi="宋体"/>
        </w:rPr>
        <w:t>,</w:t>
      </w:r>
      <w:r>
        <w:rPr>
          <w:rFonts w:ascii="宋体" w:eastAsia="宋体" w:hAnsi="宋体" w:hint="eastAsia"/>
        </w:rPr>
        <w:t>市场接受程度最高。</w:t>
      </w:r>
    </w:p>
    <w:p>
      <w:pPr>
        <w:pStyle w:val="Normal0"/>
        <w:spacing w:line="360" w:lineRule="auto"/>
        <w:ind w:firstLine="480" w:firstLineChars="200"/>
        <w:outlineLvl w:val="0"/>
        <w:rPr>
          <w:rFonts w:ascii="宋体" w:eastAsia="宋体" w:hAnsi="宋体" w:cs="Arial" w:hint="eastAsia"/>
        </w:rPr>
      </w:pPr>
      <w:bookmarkStart w:id="3" w:name="_Toc50787076"/>
      <w:bookmarkStart w:id="4" w:name="_Toc50787368"/>
      <w:r>
        <w:rPr>
          <w:rFonts w:ascii="宋体" w:eastAsia="宋体" w:hAnsi="宋体" w:cs="Arial" w:hint="eastAsia"/>
        </w:rPr>
        <w:t>购房者能承受多高的房价</w:t>
      </w:r>
      <w:r>
        <w:rPr>
          <w:rFonts w:ascii="宋体" w:eastAsia="宋体" w:hAnsi="宋体" w:cs="Arial"/>
        </w:rPr>
        <w:t>,</w:t>
      </w:r>
      <w:r>
        <w:rPr>
          <w:rFonts w:ascii="宋体" w:eastAsia="宋体" w:hAnsi="宋体" w:cs="Arial" w:hint="eastAsia"/>
        </w:rPr>
        <w:t>是房地产市场上最为关心的问题</w:t>
      </w:r>
      <w:r>
        <w:rPr>
          <w:rFonts w:ascii="宋体" w:eastAsia="宋体" w:hAnsi="宋体" w:cs="Arial"/>
        </w:rPr>
        <w:t>,</w:t>
      </w:r>
      <w:r>
        <w:rPr>
          <w:rFonts w:ascii="宋体" w:eastAsia="宋体" w:hAnsi="宋体" w:cs="Arial" w:hint="eastAsia"/>
        </w:rPr>
        <w:t>根据我们这次调查结果</w:t>
      </w:r>
      <w:r>
        <w:rPr>
          <w:rFonts w:ascii="宋体" w:eastAsia="宋体" w:hAnsi="宋体" w:cs="Arial"/>
        </w:rPr>
        <w:t>,</w:t>
      </w:r>
      <w:r>
        <w:rPr>
          <w:rFonts w:ascii="宋体" w:eastAsia="宋体" w:hAnsi="宋体" w:cs="Arial" w:hint="eastAsia"/>
        </w:rPr>
        <w:t>购房者对购房总价格的承受能力如下</w:t>
      </w:r>
      <w:r>
        <w:rPr>
          <w:rFonts w:ascii="宋体" w:eastAsia="宋体" w:hAnsi="宋体" w:cs="Arial"/>
        </w:rPr>
        <w:t>:</w:t>
      </w:r>
      <w:r>
        <w:rPr>
          <w:rFonts w:ascii="宋体" w:eastAsia="宋体" w:hAnsi="宋体" w:cs="Arial" w:hint="eastAsia"/>
        </w:rPr>
        <w:t>承受总价格在</w:t>
      </w:r>
      <w:r>
        <w:rPr>
          <w:rFonts w:ascii="宋体" w:eastAsia="宋体" w:hAnsi="宋体" w:cs="Arial"/>
        </w:rPr>
        <w:t>20</w:t>
      </w:r>
      <w:r>
        <w:rPr>
          <w:rFonts w:ascii="宋体" w:eastAsia="宋体" w:hAnsi="宋体" w:cs="Arial" w:hint="eastAsia"/>
        </w:rPr>
        <w:t>万以下的占</w:t>
      </w:r>
      <w:r>
        <w:rPr>
          <w:rFonts w:ascii="宋体" w:eastAsia="宋体" w:hAnsi="宋体" w:cs="Arial"/>
        </w:rPr>
        <w:t>33%,</w:t>
      </w:r>
      <w:r>
        <w:rPr>
          <w:rFonts w:ascii="宋体" w:eastAsia="宋体" w:hAnsi="宋体" w:cs="Arial" w:hint="eastAsia"/>
        </w:rPr>
        <w:t>承受总价格在</w:t>
      </w:r>
      <w:r>
        <w:rPr>
          <w:rFonts w:ascii="宋体" w:eastAsia="宋体" w:hAnsi="宋体" w:cs="Arial"/>
        </w:rPr>
        <w:t>21--30</w:t>
      </w:r>
      <w:r>
        <w:rPr>
          <w:rFonts w:ascii="宋体" w:eastAsia="宋体" w:hAnsi="宋体" w:cs="Arial" w:hint="eastAsia"/>
        </w:rPr>
        <w:t>万之间的占</w:t>
      </w:r>
      <w:r>
        <w:rPr>
          <w:rFonts w:ascii="宋体" w:eastAsia="宋体" w:hAnsi="宋体" w:cs="Arial"/>
        </w:rPr>
        <w:t>30.5%</w:t>
      </w:r>
      <w:r>
        <w:rPr>
          <w:rFonts w:ascii="宋体" w:eastAsia="宋体" w:hAnsi="宋体" w:cs="Arial" w:hint="eastAsia"/>
        </w:rPr>
        <w:t>承受总价格在</w:t>
      </w:r>
      <w:r>
        <w:rPr>
          <w:rFonts w:ascii="宋体" w:eastAsia="宋体" w:hAnsi="宋体" w:cs="Arial"/>
        </w:rPr>
        <w:t>31--40</w:t>
      </w:r>
      <w:r>
        <w:rPr>
          <w:rFonts w:ascii="宋体" w:eastAsia="宋体" w:hAnsi="宋体" w:cs="Arial" w:hint="eastAsia"/>
        </w:rPr>
        <w:t>万的占</w:t>
      </w:r>
      <w:r>
        <w:rPr>
          <w:rFonts w:ascii="宋体" w:eastAsia="宋体" w:hAnsi="宋体" w:cs="Arial"/>
        </w:rPr>
        <w:t>24.50%</w:t>
      </w:r>
      <w:r>
        <w:rPr>
          <w:rFonts w:ascii="宋体" w:eastAsia="宋体" w:hAnsi="宋体" w:cs="Arial" w:hint="eastAsia"/>
        </w:rPr>
        <w:t>承受总价格在</w:t>
      </w:r>
      <w:r>
        <w:rPr>
          <w:rFonts w:ascii="宋体" w:eastAsia="宋体" w:hAnsi="宋体" w:cs="Arial"/>
        </w:rPr>
        <w:t>41-50</w:t>
      </w:r>
      <w:r>
        <w:rPr>
          <w:rFonts w:ascii="宋体" w:eastAsia="宋体" w:hAnsi="宋体" w:cs="Arial" w:hint="eastAsia"/>
        </w:rPr>
        <w:t>万的占</w:t>
      </w:r>
      <w:r>
        <w:rPr>
          <w:rFonts w:ascii="宋体" w:eastAsia="宋体" w:hAnsi="宋体" w:cs="Arial"/>
        </w:rPr>
        <w:t>8%,</w:t>
      </w:r>
      <w:r>
        <w:rPr>
          <w:rFonts w:ascii="宋体" w:eastAsia="宋体" w:hAnsi="宋体" w:cs="Arial" w:hint="eastAsia"/>
        </w:rPr>
        <w:t>承受总价格在</w:t>
      </w:r>
      <w:r>
        <w:rPr>
          <w:rFonts w:ascii="宋体" w:eastAsia="宋体" w:hAnsi="宋体" w:cs="Arial"/>
        </w:rPr>
        <w:t>50</w:t>
      </w:r>
      <w:r>
        <w:rPr>
          <w:rFonts w:ascii="宋体" w:eastAsia="宋体" w:hAnsi="宋体" w:cs="Arial" w:hint="eastAsia"/>
        </w:rPr>
        <w:t>万以上的占</w:t>
      </w:r>
      <w:r>
        <w:rPr>
          <w:rFonts w:ascii="宋体" w:eastAsia="宋体" w:hAnsi="宋体" w:cs="Arial"/>
        </w:rPr>
        <w:t>4%</w:t>
      </w:r>
      <w:r>
        <w:rPr>
          <w:rFonts w:ascii="宋体" w:eastAsia="宋体" w:hAnsi="宋体" w:cs="Arial" w:hint="eastAsia"/>
        </w:rPr>
        <w:t>。</w:t>
      </w:r>
      <w:bookmarkEnd w:id="3"/>
      <w:bookmarkEnd w:id="4"/>
    </w:p>
    <w:p>
      <w:pPr>
        <w:pStyle w:val="Normal0"/>
        <w:spacing w:line="360" w:lineRule="auto"/>
        <w:ind w:firstLine="480" w:firstLineChars="200"/>
        <w:outlineLvl w:val="0"/>
        <w:rPr>
          <w:rFonts w:ascii="宋体" w:eastAsia="宋体" w:hAnsi="宋体" w:cs="Arial" w:hint="eastAsia"/>
        </w:rPr>
      </w:pPr>
      <w:bookmarkStart w:id="5" w:name="_Toc50787369"/>
      <w:bookmarkStart w:id="6" w:name="_Toc50787077"/>
      <w:r>
        <w:rPr>
          <w:rFonts w:ascii="宋体" w:eastAsia="宋体" w:hAnsi="宋体" w:cs="Arial" w:hint="eastAsia"/>
        </w:rPr>
        <w:t>以上调查结果显示</w:t>
      </w:r>
      <w:r>
        <w:rPr>
          <w:rFonts w:ascii="宋体" w:eastAsia="宋体" w:hAnsi="宋体" w:cs="Arial"/>
        </w:rPr>
        <w:t>,</w:t>
      </w:r>
      <w:r>
        <w:rPr>
          <w:rFonts w:ascii="宋体" w:eastAsia="宋体" w:hAnsi="宋体" w:cs="Arial" w:hint="eastAsia"/>
        </w:rPr>
        <w:t>武汉市购房者所能承受的价格在</w:t>
      </w:r>
      <w:r>
        <w:rPr>
          <w:rFonts w:ascii="宋体" w:eastAsia="宋体" w:hAnsi="宋体" w:cs="Arial"/>
        </w:rPr>
        <w:t>20-30</w:t>
      </w:r>
      <w:r>
        <w:rPr>
          <w:rFonts w:ascii="宋体" w:eastAsia="宋体" w:hAnsi="宋体" w:cs="Arial" w:hint="eastAsia"/>
        </w:rPr>
        <w:t>万之间，比例占到总量的</w:t>
      </w:r>
      <w:r>
        <w:rPr>
          <w:rFonts w:ascii="宋体" w:eastAsia="宋体" w:hAnsi="宋体" w:cs="Arial"/>
        </w:rPr>
        <w:t>60%</w:t>
      </w:r>
      <w:r>
        <w:rPr>
          <w:rFonts w:ascii="宋体" w:eastAsia="宋体" w:hAnsi="宋体" w:cs="Arial" w:hint="eastAsia"/>
        </w:rPr>
        <w:t>以上</w:t>
      </w:r>
      <w:r>
        <w:rPr>
          <w:rFonts w:ascii="宋体" w:eastAsia="宋体" w:hAnsi="宋体" w:cs="Arial"/>
        </w:rPr>
        <w:t>,</w:t>
      </w:r>
      <w:r>
        <w:rPr>
          <w:rFonts w:ascii="宋体" w:eastAsia="宋体" w:hAnsi="宋体" w:cs="Arial" w:hint="eastAsia"/>
        </w:rPr>
        <w:t>可见是主要购买力的承受范围。</w:t>
      </w:r>
      <w:bookmarkEnd w:id="5"/>
      <w:bookmarkEnd w:id="6"/>
    </w:p>
    <w:p>
      <w:pPr>
        <w:pStyle w:val="Normal0"/>
        <w:spacing w:line="360" w:lineRule="auto"/>
        <w:ind w:firstLine="480" w:firstLineChars="200"/>
        <w:outlineLvl w:val="0"/>
        <w:rPr>
          <w:rFonts w:ascii="宋体" w:eastAsia="宋体" w:hAnsi="宋体" w:cs="Arial" w:hint="eastAsia"/>
        </w:rPr>
      </w:pPr>
      <w:bookmarkStart w:id="7" w:name="_Toc50787370"/>
      <w:bookmarkStart w:id="8" w:name="_Toc50787078"/>
      <w:r>
        <w:rPr>
          <w:rFonts w:ascii="宋体" w:eastAsia="宋体" w:hAnsi="宋体" w:cs="Arial" w:hint="eastAsia"/>
        </w:rPr>
        <w:t>另外，重点调查了我们的</w:t>
      </w:r>
      <w:r>
        <w:rPr>
          <w:rFonts w:ascii="宋体" w:eastAsia="宋体" w:hAnsi="宋体" w:cs="Arial" w:hint="eastAsia"/>
          <w:lang w:eastAsia="zh-CN"/>
        </w:rPr>
        <w:t>相关项目</w:t>
      </w:r>
      <w:r>
        <w:rPr>
          <w:rFonts w:ascii="宋体" w:eastAsia="宋体" w:hAnsi="宋体" w:cs="Arial" w:hint="eastAsia"/>
        </w:rPr>
        <w:t>所在的洪山区房地产市场及</w:t>
      </w:r>
      <w:r>
        <w:rPr>
          <w:rFonts w:ascii="宋体" w:eastAsia="宋体" w:hAnsi="宋体" w:cs="Arial" w:hint="eastAsia"/>
          <w:lang w:eastAsia="zh-CN"/>
        </w:rPr>
        <w:t>相关项目</w:t>
      </w:r>
      <w:r>
        <w:rPr>
          <w:rFonts w:ascii="宋体" w:eastAsia="宋体" w:hAnsi="宋体" w:cs="Arial" w:hint="eastAsia"/>
        </w:rPr>
        <w:t>周边的主要楼盘销售状况。在2002年第四季度洪山区住宅价格指数为</w:t>
      </w:r>
      <w:r>
        <w:rPr>
          <w:rFonts w:ascii="宋体" w:eastAsia="宋体" w:hAnsi="宋体" w:cs="Arial"/>
        </w:rPr>
        <w:t>1488.67点，比上季度上涨了36.92点；住宅平均价格为2325.85元/平方米，比上季度上涨了57.68元/平方米，涨幅为2.54%。</w:t>
      </w:r>
      <w:bookmarkEnd w:id="7"/>
      <w:bookmarkEnd w:id="8"/>
    </w:p>
    <w:p>
      <w:pPr>
        <w:pStyle w:val="Normal0"/>
        <w:jc w:val="center"/>
        <w:outlineLvl w:val="0"/>
        <w:rPr>
          <w:rFonts w:eastAsia="宋体" w:hint="eastAsia"/>
          <w:bCs/>
        </w:rPr>
      </w:pPr>
      <w:bookmarkStart w:id="9" w:name="_Toc50787079"/>
      <w:bookmarkStart w:id="10" w:name="_Toc50787371"/>
      <w:r>
        <w:rPr>
          <w:rFonts w:eastAsia="宋体" w:hint="eastAsia"/>
          <w:bCs/>
        </w:rPr>
        <w:t>洪山区住宅价格指数</w:t>
      </w:r>
      <w:bookmarkEnd w:id="9"/>
      <w:bookmarkEnd w:id="10"/>
    </w:p>
    <w:tbl>
      <w:tblPr>
        <w:tblStyle w:val="TableNormal"/>
        <w:tblW w:w="0" w:type="auto"/>
        <w:jc w:val="center"/>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0" w:type="dxa"/>
          <w:left w:w="0" w:type="dxa"/>
          <w:bottom w:w="0" w:type="dxa"/>
          <w:right w:w="0" w:type="dxa"/>
        </w:tblCellMar>
      </w:tblPr>
      <w:tblGrid>
        <w:gridCol w:w="2761"/>
        <w:gridCol w:w="2762"/>
      </w:tblGrid>
      <w:tr>
        <w:tblPrEx>
          <w:tblW w:w="0" w:type="auto"/>
          <w:jc w:val="center"/>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0" w:type="dxa"/>
            <w:left w:w="0" w:type="dxa"/>
            <w:bottom w:w="0" w:type="dxa"/>
            <w:right w:w="0" w:type="dxa"/>
          </w:tblCellMar>
        </w:tblPrEx>
        <w:trPr>
          <w:trHeight w:val="315"/>
          <w:jc w:val="center"/>
        </w:trPr>
        <w:tc>
          <w:tcPr>
            <w:tcW w:w="2761" w:type="dxa"/>
            <w:tcBorders>
              <w:top w:val="single" w:sz="4" w:space="0" w:color="auto"/>
              <w:left w:val="nil"/>
              <w:bottom w:val="single" w:sz="4" w:space="0" w:color="auto"/>
              <w:right w:val="single" w:sz="4" w:space="0" w:color="auto"/>
            </w:tcBorders>
            <w:vAlign w:val="bottom"/>
          </w:tcPr>
          <w:p>
            <w:pPr>
              <w:pStyle w:val="Normal0"/>
              <w:spacing w:before="100" w:beforeAutospacing="1" w:after="100" w:afterAutospacing="1" w:line="193" w:lineRule="atLeast"/>
              <w:jc w:val="center"/>
              <w:rPr>
                <w:rFonts w:eastAsia="宋体"/>
              </w:rPr>
            </w:pPr>
            <w:r>
              <w:rPr>
                <w:rFonts w:eastAsia="宋体" w:hint="eastAsia"/>
              </w:rPr>
              <w:t>季度</w:t>
            </w:r>
            <w:r>
              <w:rPr>
                <w:rFonts w:eastAsia="宋体"/>
              </w:rPr>
              <w:t> </w:t>
            </w:r>
          </w:p>
        </w:tc>
        <w:tc>
          <w:tcPr>
            <w:tcW w:w="2762" w:type="dxa"/>
            <w:tcBorders>
              <w:top w:val="single" w:sz="4" w:space="0" w:color="auto"/>
              <w:left w:val="nil"/>
              <w:bottom w:val="single" w:sz="4" w:space="0" w:color="auto"/>
              <w:right w:val="nil"/>
            </w:tcBorders>
            <w:vAlign w:val="bottom"/>
          </w:tcPr>
          <w:p>
            <w:pPr>
              <w:pStyle w:val="Normal0"/>
              <w:spacing w:before="100" w:beforeAutospacing="1" w:after="100" w:afterAutospacing="1" w:line="193" w:lineRule="atLeast"/>
              <w:jc w:val="center"/>
              <w:rPr>
                <w:rFonts w:eastAsia="宋体"/>
              </w:rPr>
            </w:pPr>
            <w:r>
              <w:rPr>
                <w:rFonts w:eastAsia="宋体" w:hint="eastAsia"/>
              </w:rPr>
              <w:t>洪山区指数</w:t>
            </w:r>
          </w:p>
        </w:tc>
      </w:tr>
      <w:tr>
        <w:tblPrEx>
          <w:tblW w:w="0" w:type="auto"/>
          <w:jc w:val="center"/>
          <w:tblCellMar>
            <w:top w:w="0" w:type="dxa"/>
            <w:left w:w="0" w:type="dxa"/>
            <w:bottom w:w="0" w:type="dxa"/>
            <w:right w:w="0" w:type="dxa"/>
          </w:tblCellMar>
        </w:tblPrEx>
        <w:trPr>
          <w:trHeight w:val="315"/>
          <w:jc w:val="center"/>
        </w:trPr>
        <w:tc>
          <w:tcPr>
            <w:tcW w:w="2761" w:type="dxa"/>
            <w:tcBorders>
              <w:top w:val="nil"/>
              <w:left w:val="nil"/>
              <w:bottom w:val="single" w:sz="4" w:space="0" w:color="auto"/>
              <w:right w:val="single" w:sz="4" w:space="0" w:color="auto"/>
            </w:tcBorders>
            <w:vAlign w:val="bottom"/>
          </w:tcPr>
          <w:p>
            <w:pPr>
              <w:pStyle w:val="Normal0"/>
              <w:spacing w:line="193" w:lineRule="atLeast"/>
              <w:jc w:val="center"/>
              <w:rPr>
                <w:rFonts w:eastAsia="宋体"/>
              </w:rPr>
            </w:pPr>
            <w:r>
              <w:rPr>
                <w:rFonts w:eastAsia="宋体"/>
              </w:rPr>
              <w:t>2001第四季度</w:t>
            </w:r>
          </w:p>
        </w:tc>
        <w:tc>
          <w:tcPr>
            <w:tcW w:w="2762" w:type="dxa"/>
            <w:tcBorders>
              <w:top w:val="nil"/>
              <w:left w:val="nil"/>
              <w:bottom w:val="single" w:sz="4" w:space="0" w:color="auto"/>
              <w:right w:val="nil"/>
            </w:tcBorders>
            <w:vAlign w:val="bottom"/>
          </w:tcPr>
          <w:p>
            <w:pPr>
              <w:pStyle w:val="Normal0"/>
              <w:spacing w:line="193" w:lineRule="atLeast"/>
              <w:jc w:val="center"/>
              <w:rPr>
                <w:rFonts w:eastAsia="宋体"/>
              </w:rPr>
            </w:pPr>
            <w:r>
              <w:rPr>
                <w:rFonts w:eastAsia="宋体"/>
              </w:rPr>
              <w:t>1145.39</w:t>
            </w:r>
          </w:p>
        </w:tc>
      </w:tr>
      <w:tr>
        <w:tblPrEx>
          <w:tblW w:w="0" w:type="auto"/>
          <w:jc w:val="center"/>
          <w:tblCellMar>
            <w:top w:w="0" w:type="dxa"/>
            <w:left w:w="0" w:type="dxa"/>
            <w:bottom w:w="0" w:type="dxa"/>
            <w:right w:w="0" w:type="dxa"/>
          </w:tblCellMar>
        </w:tblPrEx>
        <w:trPr>
          <w:trHeight w:val="315"/>
          <w:jc w:val="center"/>
        </w:trPr>
        <w:tc>
          <w:tcPr>
            <w:tcW w:w="2761" w:type="dxa"/>
            <w:tcBorders>
              <w:top w:val="nil"/>
              <w:left w:val="nil"/>
              <w:bottom w:val="single" w:sz="4" w:space="0" w:color="auto"/>
              <w:right w:val="single" w:sz="4" w:space="0" w:color="auto"/>
            </w:tcBorders>
            <w:vAlign w:val="bottom"/>
          </w:tcPr>
          <w:p>
            <w:pPr>
              <w:pStyle w:val="Normal0"/>
              <w:spacing w:line="193" w:lineRule="atLeast"/>
              <w:jc w:val="center"/>
              <w:rPr>
                <w:rFonts w:eastAsia="宋体"/>
              </w:rPr>
            </w:pPr>
            <w:r>
              <w:rPr>
                <w:rFonts w:eastAsia="宋体"/>
              </w:rPr>
              <w:t>2002第一季度</w:t>
            </w:r>
          </w:p>
        </w:tc>
        <w:tc>
          <w:tcPr>
            <w:tcW w:w="2762" w:type="dxa"/>
            <w:tcBorders>
              <w:top w:val="nil"/>
              <w:left w:val="nil"/>
              <w:bottom w:val="single" w:sz="4" w:space="0" w:color="auto"/>
              <w:right w:val="nil"/>
            </w:tcBorders>
            <w:vAlign w:val="bottom"/>
          </w:tcPr>
          <w:p>
            <w:pPr>
              <w:pStyle w:val="Normal0"/>
              <w:spacing w:line="193" w:lineRule="atLeast"/>
              <w:jc w:val="center"/>
              <w:rPr>
                <w:rFonts w:eastAsia="宋体"/>
              </w:rPr>
            </w:pPr>
            <w:r>
              <w:rPr>
                <w:rFonts w:eastAsia="宋体"/>
              </w:rPr>
              <w:t>1273.52</w:t>
            </w:r>
          </w:p>
        </w:tc>
      </w:tr>
      <w:tr>
        <w:tblPrEx>
          <w:tblW w:w="0" w:type="auto"/>
          <w:jc w:val="center"/>
          <w:tblCellMar>
            <w:top w:w="0" w:type="dxa"/>
            <w:left w:w="0" w:type="dxa"/>
            <w:bottom w:w="0" w:type="dxa"/>
            <w:right w:w="0" w:type="dxa"/>
          </w:tblCellMar>
        </w:tblPrEx>
        <w:trPr>
          <w:trHeight w:val="315"/>
          <w:jc w:val="center"/>
        </w:trPr>
        <w:tc>
          <w:tcPr>
            <w:tcW w:w="2761" w:type="dxa"/>
            <w:tcBorders>
              <w:top w:val="nil"/>
              <w:left w:val="nil"/>
              <w:bottom w:val="single" w:sz="4" w:space="0" w:color="auto"/>
              <w:right w:val="single" w:sz="4" w:space="0" w:color="auto"/>
            </w:tcBorders>
            <w:vAlign w:val="bottom"/>
          </w:tcPr>
          <w:p>
            <w:pPr>
              <w:pStyle w:val="Normal0"/>
              <w:spacing w:line="193" w:lineRule="atLeast"/>
              <w:jc w:val="center"/>
              <w:rPr>
                <w:rFonts w:eastAsia="宋体"/>
              </w:rPr>
            </w:pPr>
            <w:r>
              <w:rPr>
                <w:rFonts w:eastAsia="宋体"/>
              </w:rPr>
              <w:t>2002第二季度</w:t>
            </w:r>
          </w:p>
        </w:tc>
        <w:tc>
          <w:tcPr>
            <w:tcW w:w="2762" w:type="dxa"/>
            <w:tcBorders>
              <w:top w:val="nil"/>
              <w:left w:val="nil"/>
              <w:bottom w:val="single" w:sz="4" w:space="0" w:color="auto"/>
              <w:right w:val="nil"/>
            </w:tcBorders>
            <w:vAlign w:val="bottom"/>
          </w:tcPr>
          <w:p>
            <w:pPr>
              <w:pStyle w:val="Normal0"/>
              <w:spacing w:line="193" w:lineRule="atLeast"/>
              <w:jc w:val="center"/>
              <w:rPr>
                <w:rFonts w:eastAsia="宋体"/>
              </w:rPr>
            </w:pPr>
            <w:r>
              <w:rPr>
                <w:rFonts w:eastAsia="宋体"/>
              </w:rPr>
              <w:t>1327.12</w:t>
            </w:r>
          </w:p>
        </w:tc>
      </w:tr>
      <w:tr>
        <w:tblPrEx>
          <w:tblW w:w="0" w:type="auto"/>
          <w:jc w:val="center"/>
          <w:tblCellMar>
            <w:top w:w="0" w:type="dxa"/>
            <w:left w:w="0" w:type="dxa"/>
            <w:bottom w:w="0" w:type="dxa"/>
            <w:right w:w="0" w:type="dxa"/>
          </w:tblCellMar>
        </w:tblPrEx>
        <w:trPr>
          <w:trHeight w:val="315"/>
          <w:jc w:val="center"/>
        </w:trPr>
        <w:tc>
          <w:tcPr>
            <w:tcW w:w="2761" w:type="dxa"/>
            <w:tcBorders>
              <w:top w:val="nil"/>
              <w:left w:val="nil"/>
              <w:bottom w:val="single" w:sz="4" w:space="0" w:color="auto"/>
              <w:right w:val="single" w:sz="4" w:space="0" w:color="auto"/>
            </w:tcBorders>
            <w:vAlign w:val="bottom"/>
          </w:tcPr>
          <w:p>
            <w:pPr>
              <w:pStyle w:val="Normal0"/>
              <w:spacing w:line="193" w:lineRule="atLeast"/>
              <w:jc w:val="center"/>
              <w:rPr>
                <w:rFonts w:eastAsia="宋体"/>
              </w:rPr>
            </w:pPr>
            <w:r>
              <w:rPr>
                <w:rFonts w:eastAsia="宋体"/>
              </w:rPr>
              <w:t>2002第三季度</w:t>
            </w:r>
          </w:p>
        </w:tc>
        <w:tc>
          <w:tcPr>
            <w:tcW w:w="2762" w:type="dxa"/>
            <w:tcBorders>
              <w:top w:val="nil"/>
              <w:left w:val="nil"/>
              <w:bottom w:val="single" w:sz="4" w:space="0" w:color="auto"/>
              <w:right w:val="nil"/>
            </w:tcBorders>
            <w:vAlign w:val="bottom"/>
          </w:tcPr>
          <w:p>
            <w:pPr>
              <w:pStyle w:val="Normal0"/>
              <w:spacing w:line="193" w:lineRule="atLeast"/>
              <w:jc w:val="center"/>
              <w:rPr>
                <w:rFonts w:eastAsia="宋体"/>
              </w:rPr>
            </w:pPr>
            <w:r>
              <w:rPr>
                <w:rFonts w:eastAsia="宋体"/>
              </w:rPr>
              <w:t>1451.75</w:t>
            </w:r>
          </w:p>
        </w:tc>
      </w:tr>
      <w:tr>
        <w:tblPrEx>
          <w:tblW w:w="0" w:type="auto"/>
          <w:jc w:val="center"/>
          <w:tblCellMar>
            <w:top w:w="0" w:type="dxa"/>
            <w:left w:w="0" w:type="dxa"/>
            <w:bottom w:w="0" w:type="dxa"/>
            <w:right w:w="0" w:type="dxa"/>
          </w:tblCellMar>
        </w:tblPrEx>
        <w:trPr>
          <w:trHeight w:val="315"/>
          <w:jc w:val="center"/>
        </w:trPr>
        <w:tc>
          <w:tcPr>
            <w:tcW w:w="2761" w:type="dxa"/>
            <w:tcBorders>
              <w:top w:val="nil"/>
              <w:left w:val="nil"/>
              <w:bottom w:val="single" w:sz="4" w:space="0" w:color="auto"/>
              <w:right w:val="single" w:sz="4" w:space="0" w:color="auto"/>
            </w:tcBorders>
            <w:vAlign w:val="bottom"/>
          </w:tcPr>
          <w:p>
            <w:pPr>
              <w:pStyle w:val="Normal0"/>
              <w:spacing w:line="193" w:lineRule="atLeast"/>
              <w:jc w:val="center"/>
              <w:rPr>
                <w:rFonts w:eastAsia="宋体"/>
              </w:rPr>
            </w:pPr>
            <w:r>
              <w:rPr>
                <w:rFonts w:eastAsia="宋体"/>
              </w:rPr>
              <w:t>2002第四季度</w:t>
            </w:r>
          </w:p>
        </w:tc>
        <w:tc>
          <w:tcPr>
            <w:tcW w:w="2762" w:type="dxa"/>
            <w:tcBorders>
              <w:top w:val="nil"/>
              <w:left w:val="nil"/>
              <w:bottom w:val="single" w:sz="4" w:space="0" w:color="auto"/>
              <w:right w:val="nil"/>
            </w:tcBorders>
            <w:vAlign w:val="bottom"/>
          </w:tcPr>
          <w:p>
            <w:pPr>
              <w:pStyle w:val="Normal0"/>
              <w:spacing w:line="193" w:lineRule="atLeast"/>
              <w:jc w:val="center"/>
              <w:rPr>
                <w:rFonts w:eastAsia="宋体"/>
              </w:rPr>
            </w:pPr>
            <w:r>
              <w:rPr>
                <w:rFonts w:eastAsia="宋体"/>
              </w:rPr>
              <w:t>1488.67</w:t>
            </w:r>
          </w:p>
        </w:tc>
      </w:tr>
    </w:tbl>
    <w:p>
      <w:pPr>
        <w:pStyle w:val="Normal0"/>
        <w:outlineLvl w:val="0"/>
        <w:rPr>
          <w:rFonts w:ascii="宋体" w:eastAsia="宋体" w:hAnsi="宋体" w:cs="Arial" w:hint="eastAsia"/>
        </w:rPr>
      </w:pPr>
      <w:r>
        <w:rPr>
          <w:rFonts w:eastAsia="宋体" w:hint="eastAsia"/>
        </w:rPr>
        <w:t xml:space="preserve">    </w:t>
      </w:r>
      <w:bookmarkStart w:id="11" w:name="_Toc50787080"/>
      <w:bookmarkStart w:id="12" w:name="_Toc50787372"/>
      <w:r>
        <w:rPr>
          <w:rFonts w:ascii="宋体" w:eastAsia="宋体" w:hAnsi="宋体" w:cs="Ari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4.7pt;height:157.5pt" coordsize="21600,21600" o:preferrelative="t" filled="f" stroked="f">
            <v:stroke joinstyle="miter"/>
            <v:imagedata r:id="rId17" r:href="rId18" o:title=""/>
            <o:lock v:ext="edit" aspectratio="t"/>
            <w10:anchorlock/>
          </v:shape>
        </w:pict>
      </w:r>
      <w:bookmarkEnd w:id="11"/>
      <w:bookmarkEnd w:id="12"/>
    </w:p>
    <w:p>
      <w:pPr>
        <w:pStyle w:val="Normal0"/>
        <w:spacing w:line="360" w:lineRule="auto"/>
        <w:ind w:firstLine="480" w:firstLineChars="200"/>
        <w:outlineLvl w:val="0"/>
        <w:rPr>
          <w:rFonts w:ascii="宋体" w:eastAsia="宋体" w:hAnsi="宋体" w:cs="Arial" w:hint="eastAsia"/>
        </w:rPr>
        <w:sectPr>
          <w:headerReference w:type="default" r:id="rId19"/>
          <w:footerReference w:type="default" r:id="rId20"/>
          <w:type w:val="nextPage"/>
          <w:pgSz w:w="11906" w:h="16838"/>
          <w:pgMar w:top="539" w:right="926" w:bottom="1440" w:left="1800" w:header="495" w:footer="992" w:gutter="0"/>
          <w:pgNumType w:start="7"/>
          <w:cols w:num="1" w:space="425"/>
          <w:titlePg w:val="0"/>
          <w:docGrid w:type="lines" w:linePitch="360" w:charSpace="0"/>
        </w:sectPr>
      </w:pPr>
      <w:bookmarkStart w:id="13" w:name="_Toc50787373"/>
      <w:bookmarkStart w:id="14" w:name="_Toc50787081"/>
      <w:r>
        <w:rPr>
          <w:rFonts w:ascii="宋体" w:eastAsia="宋体" w:hAnsi="宋体" w:cs="Arial" w:hint="eastAsia"/>
        </w:rPr>
        <w:t>2002年第四</w:t>
      </w:r>
    </w:p>
    <w:p>
      <w:pPr>
        <w:pStyle w:val="Normal0"/>
        <w:spacing w:line="360" w:lineRule="auto"/>
        <w:ind w:firstLine="480" w:firstLineChars="200"/>
        <w:outlineLvl w:val="0"/>
        <w:rPr>
          <w:rFonts w:ascii="宋体" w:eastAsia="宋体" w:hAnsi="宋体" w:cs="Arial" w:hint="eastAsia"/>
        </w:rPr>
      </w:pPr>
      <w:r>
        <w:rPr>
          <w:rFonts w:ascii="宋体" w:eastAsia="宋体" w:hAnsi="宋体" w:cs="Arial"/>
        </w:rPr>
        <w:t>季度武珞路沿线楼盘销售均价在3000元/平方米左右，且销售情况良好：书香门第售罄，均价在3200元/平方米左右的兆富国际大厦取得了3000平方米以上的销量。究其原因，一是有良好的地理位置，交通方便；二是该区域楼盘有充足的消费群体——高校教职工和成长中的新小企业、个人投资者，如书香门第住宅主要针对的是高校教师和博士、研究生等。从市场现状看，武珞路沿线地处城市中心，土地成本比较高，因此开发的</w:t>
      </w:r>
      <w:r>
        <w:rPr>
          <w:rFonts w:ascii="宋体" w:eastAsia="宋体" w:hAnsi="宋体" w:cs="Arial" w:hint="eastAsia"/>
          <w:lang w:eastAsia="zh-CN"/>
        </w:rPr>
        <w:t>相关项目</w:t>
      </w:r>
      <w:r>
        <w:rPr>
          <w:rFonts w:ascii="宋体" w:eastAsia="宋体" w:hAnsi="宋体" w:cs="Arial"/>
        </w:rPr>
        <w:t>多为高层的商务写字楼或商住楼。</w:t>
      </w:r>
      <w:bookmarkEnd w:id="13"/>
      <w:bookmarkEnd w:id="14"/>
    </w:p>
    <w:p>
      <w:pPr>
        <w:pStyle w:val="Normal0"/>
        <w:spacing w:line="360" w:lineRule="auto"/>
        <w:ind w:firstLine="480" w:firstLineChars="200"/>
        <w:outlineLvl w:val="0"/>
        <w:rPr>
          <w:rFonts w:ascii="宋体" w:eastAsia="宋体" w:hAnsi="宋体" w:cs="Arial" w:hint="eastAsia"/>
        </w:rPr>
      </w:pPr>
      <w:bookmarkStart w:id="15" w:name="_Toc50787082"/>
      <w:bookmarkStart w:id="16" w:name="_Toc50787374"/>
      <w:r>
        <w:rPr>
          <w:rFonts w:ascii="宋体" w:eastAsia="宋体" w:hAnsi="宋体" w:cs="Arial" w:hint="eastAsia"/>
        </w:rPr>
        <w:t>在</w:t>
      </w:r>
      <w:r>
        <w:rPr>
          <w:rFonts w:ascii="宋体" w:eastAsia="宋体" w:hAnsi="宋体" w:cs="Arial"/>
        </w:rPr>
        <w:t>楚雄大道沿线聚集了名都花园、尚文创业城、华城新都、当代光谷智慧城等多个住宅</w:t>
      </w:r>
      <w:r>
        <w:rPr>
          <w:rFonts w:ascii="宋体" w:eastAsia="宋体" w:hAnsi="宋体" w:cs="Arial" w:hint="eastAsia"/>
          <w:lang w:eastAsia="zh-CN"/>
        </w:rPr>
        <w:t>相关项目</w:t>
      </w:r>
      <w:r>
        <w:rPr>
          <w:rFonts w:ascii="宋体" w:eastAsia="宋体" w:hAnsi="宋体" w:cs="Arial"/>
        </w:rPr>
        <w:t>，除了名都花园价格达到2900元/平方米以外，其他楼盘均价在1940元/平方米上下浮动，该区域高校众多，有较好的自然环境与人文环境，购房者多以高校教职工为主。华城新都本季度销售量在1万平方米以上；当代光谷智慧城本季度销量也保持在5000平方米左右。总体而言，楚雄大道沿线楼盘体本季度价格都有所提高。</w:t>
      </w:r>
      <w:bookmarkEnd w:id="15"/>
      <w:bookmarkEnd w:id="16"/>
    </w:p>
    <w:p>
      <w:pPr>
        <w:pStyle w:val="Normal0"/>
        <w:spacing w:line="360" w:lineRule="auto"/>
        <w:ind w:firstLine="480" w:firstLineChars="200"/>
        <w:outlineLvl w:val="0"/>
        <w:rPr>
          <w:rFonts w:ascii="宋体" w:eastAsia="宋体" w:hAnsi="宋体" w:cs="Arial" w:hint="eastAsia"/>
        </w:rPr>
      </w:pPr>
      <w:bookmarkStart w:id="17" w:name="_Toc50787375"/>
      <w:bookmarkStart w:id="18" w:name="_Toc50787083"/>
      <w:r>
        <w:rPr>
          <w:rFonts w:ascii="宋体" w:eastAsia="宋体" w:hAnsi="宋体" w:cs="Arial"/>
        </w:rPr>
        <w:t>楚雄大道以南沿珞狮南路聚集了丽岛花园、新开盘的明泽·半岛尊邸和南湖山庄。丽岛花园往南楼盘由于均价逐渐降低，取得了较好的销售业绩，本季度新开盘的明泽·半岛尊邸取得了开门红，销量在4000平方米左右。该区域楼盘呈现别墅化、大户型化发展的趋势。</w:t>
      </w:r>
      <w:bookmarkEnd w:id="17"/>
      <w:bookmarkEnd w:id="18"/>
    </w:p>
    <w:p>
      <w:pPr>
        <w:pStyle w:val="Normal0"/>
        <w:spacing w:line="360" w:lineRule="auto"/>
        <w:ind w:firstLine="480" w:firstLineChars="200"/>
        <w:outlineLvl w:val="0"/>
        <w:rPr>
          <w:rFonts w:ascii="宋体" w:eastAsia="宋体" w:hAnsi="宋体" w:cs="Arial" w:hint="eastAsia"/>
        </w:rPr>
      </w:pPr>
      <w:bookmarkStart w:id="19" w:name="_Toc50787084"/>
      <w:bookmarkStart w:id="20" w:name="_Toc50787376"/>
      <w:r>
        <w:rPr>
          <w:rFonts w:ascii="宋体" w:eastAsia="宋体" w:hAnsi="宋体" w:cs="Arial"/>
        </w:rPr>
        <w:t>坐落在洪山区的“中国光谷”所在区域本季度又推出了学府佳园三期，平均价格在2000元/平方米左右。汤逊湖版块在本季度销售平稳，东林外庐二期</w:t>
      </w:r>
      <w:r>
        <w:rPr>
          <w:rFonts w:ascii="宋体" w:eastAsia="宋体" w:hAnsi="宋体" w:cs="Arial" w:hint="eastAsia"/>
          <w:lang w:eastAsia="zh-CN"/>
        </w:rPr>
        <w:t>相关项目</w:t>
      </w:r>
      <w:r>
        <w:rPr>
          <w:rFonts w:ascii="宋体" w:eastAsia="宋体" w:hAnsi="宋体" w:cs="Arial"/>
        </w:rPr>
        <w:t>均价为1600元/平方米，仍保持着较好的销售势头；银河湾均价为1700元/平方米，销量达到1.4万平方米左右；均价在2300元/平方米的玉龙岛花园别墅本季也销售了4000多平方米；水蓝郡经过6月底的暂停销售后于8月重新登场，呈良好态势。</w:t>
      </w:r>
      <w:bookmarkEnd w:id="19"/>
      <w:bookmarkEnd w:id="20"/>
    </w:p>
    <w:p>
      <w:pPr>
        <w:pStyle w:val="Normal0"/>
        <w:spacing w:line="360" w:lineRule="auto"/>
        <w:rPr>
          <w:rFonts w:ascii="宋体" w:eastAsia="宋体" w:hAnsi="宋体"/>
        </w:rPr>
      </w:pPr>
      <w:r>
        <w:rPr>
          <w:rFonts w:ascii="黑体" w:eastAsia="宋体" w:hAnsi="Arial" w:cs="Arial" w:hint="eastAsia"/>
          <w:bCs/>
        </w:rPr>
        <w:t>二．产品供需预测</w:t>
      </w:r>
    </w:p>
    <w:p>
      <w:pPr>
        <w:pStyle w:val="Normal0"/>
        <w:spacing w:line="360" w:lineRule="auto"/>
        <w:ind w:firstLine="480" w:firstLineChars="200"/>
        <w:rPr>
          <w:rFonts w:ascii="宋体" w:eastAsia="宋体" w:hAnsi="宋体"/>
          <w:bCs/>
        </w:rPr>
        <w:sectPr>
          <w:headerReference w:type="default" r:id="rId21"/>
          <w:footerReference w:type="default" r:id="rId22"/>
          <w:type w:val="nextPage"/>
          <w:pgSz w:w="11906" w:h="16838"/>
          <w:pgMar w:top="539" w:right="926" w:bottom="1440" w:left="1800" w:header="495" w:footer="992" w:gutter="0"/>
          <w:pgNumType w:start="8"/>
          <w:cols w:num="1" w:space="425"/>
          <w:titlePg w:val="0"/>
          <w:docGrid w:type="lines" w:linePitch="360" w:charSpace="0"/>
        </w:sectPr>
      </w:pPr>
      <w:r>
        <w:rPr>
          <w:rFonts w:ascii="宋体" w:eastAsia="宋体" w:hAnsi="宋体" w:hint="eastAsia"/>
        </w:rPr>
        <w:t>根据调查，目前武汉市房地产投资大幅增加，</w:t>
      </w:r>
      <w:r>
        <w:rPr>
          <w:rFonts w:ascii="宋体" w:eastAsia="宋体" w:hAnsi="宋体"/>
        </w:rPr>
        <w:t>2001年上半年武汉完成住宅建设投资39.47亿元，比去年同期增长47.17%，施工面积达到958.2万平方米。2002年总投资额为132.5亿元，同比增长14.9%。其中住宅投资99.39亿元，同比增长15.4%，占总投资的75%，经济房开发投资13.65亿元，占总投资的10.3%.从销售投资比率来看，98年销售额只占到投资额的43.78%，99年上升到60%，</w:t>
      </w:r>
      <w:r>
        <w:rPr>
          <w:rFonts w:ascii="宋体" w:eastAsia="宋体" w:hAnsi="宋体" w:hint="eastAsia"/>
        </w:rPr>
        <w:t>在</w:t>
      </w:r>
      <w:r>
        <w:rPr>
          <w:rFonts w:ascii="宋体" w:eastAsia="宋体" w:hAnsi="宋体"/>
        </w:rPr>
        <w:t>2002年</w:t>
      </w:r>
      <w:r>
        <w:rPr>
          <w:rFonts w:ascii="宋体" w:eastAsia="宋体" w:hAnsi="宋体" w:hint="eastAsia"/>
        </w:rPr>
        <w:t>，</w:t>
      </w:r>
    </w:p>
    <w:p>
      <w:pPr>
        <w:pStyle w:val="Normal0"/>
        <w:spacing w:line="360" w:lineRule="auto"/>
        <w:ind w:firstLine="480" w:firstLineChars="200"/>
        <w:rPr>
          <w:rFonts w:ascii="宋体" w:eastAsia="宋体" w:hAnsi="宋体"/>
          <w:bCs/>
        </w:rPr>
      </w:pPr>
      <w:r>
        <w:rPr>
          <w:rFonts w:ascii="宋体" w:eastAsia="宋体" w:hAnsi="宋体"/>
        </w:rPr>
        <w:t>全市销预售总面积为759.32万㎡（其中住宅销售面积393.13万㎡）同比增长17.17%；总销售额为118.55亿元，同比增长26.62%。</w:t>
      </w:r>
      <w:r>
        <w:rPr>
          <w:rFonts w:ascii="宋体" w:eastAsia="宋体" w:hAnsi="宋体" w:hint="eastAsia"/>
        </w:rPr>
        <w:t>虹景花园、华城花园、康居园等一批商品住宅的良好销量，再结合入住武汉光谷的高科技公司的不断增多，白领阶层以及周边高校教师对中高档住房的需求一定会更大，另外国家对居民购买住宅的金融政策支持（贷款）将加大力度，居民购房能力将大大提高。据此分析，我们此时开发商品房，是迎合市场需求，销售前景良好。</w:t>
      </w:r>
    </w:p>
    <w:p>
      <w:pPr>
        <w:pStyle w:val="Normal0"/>
        <w:spacing w:line="360" w:lineRule="auto"/>
        <w:rPr>
          <w:rFonts w:eastAsia="宋体"/>
        </w:rPr>
      </w:pPr>
      <w:r>
        <w:rPr>
          <w:rFonts w:ascii="黑体" w:eastAsia="宋体" w:hAnsi="Arial" w:cs="Arial" w:hint="eastAsia"/>
          <w:bCs/>
        </w:rPr>
        <w:t>三．价格预测</w:t>
      </w:r>
    </w:p>
    <w:p>
      <w:pPr>
        <w:pStyle w:val="Normal0"/>
        <w:spacing w:line="360" w:lineRule="auto"/>
        <w:ind w:firstLine="480" w:firstLineChars="200"/>
        <w:rPr>
          <w:rFonts w:ascii="宋体" w:eastAsia="宋体" w:hAnsi="宋体"/>
        </w:rPr>
      </w:pPr>
      <w:r>
        <w:rPr>
          <w:rFonts w:ascii="宋体" w:eastAsia="宋体" w:hAnsi="宋体" w:cs="Arial" w:hint="eastAsia"/>
        </w:rPr>
        <w:t>据调查，今</w:t>
      </w:r>
      <w:r>
        <w:rPr>
          <w:rFonts w:ascii="宋体" w:eastAsia="宋体" w:hAnsi="宋体" w:cs="Arial"/>
        </w:rPr>
        <w:t>年</w:t>
      </w:r>
      <w:r>
        <w:rPr>
          <w:rFonts w:ascii="宋体" w:eastAsia="宋体" w:hAnsi="宋体" w:cs="Arial" w:hint="eastAsia"/>
        </w:rPr>
        <w:t>武汉</w:t>
      </w:r>
      <w:r>
        <w:rPr>
          <w:rFonts w:ascii="宋体" w:eastAsia="宋体" w:hAnsi="宋体" w:cs="Arial"/>
        </w:rPr>
        <w:t>市还将陆续推出一系列的中高档</w:t>
      </w:r>
      <w:r>
        <w:rPr>
          <w:rFonts w:ascii="宋体" w:eastAsia="宋体" w:hAnsi="宋体" w:cs="Arial" w:hint="eastAsia"/>
          <w:lang w:eastAsia="zh-CN"/>
        </w:rPr>
        <w:t>相关项目</w:t>
      </w:r>
      <w:r>
        <w:rPr>
          <w:rFonts w:ascii="宋体" w:eastAsia="宋体" w:hAnsi="宋体" w:cs="Arial"/>
        </w:rPr>
        <w:t>，整体</w:t>
      </w:r>
      <w:r>
        <w:rPr>
          <w:rFonts w:ascii="宋体" w:eastAsia="宋体" w:hAnsi="宋体" w:cs="Arial" w:hint="eastAsia"/>
          <w:lang w:eastAsia="zh-CN"/>
        </w:rPr>
        <w:t>相关项目</w:t>
      </w:r>
      <w:r>
        <w:rPr>
          <w:rFonts w:ascii="宋体" w:eastAsia="宋体" w:hAnsi="宋体" w:cs="Arial"/>
        </w:rPr>
        <w:t>水平与</w:t>
      </w:r>
      <w:r>
        <w:rPr>
          <w:rFonts w:ascii="宋体" w:eastAsia="宋体" w:hAnsi="宋体" w:cs="Arial" w:hint="eastAsia"/>
        </w:rPr>
        <w:t>2002年</w:t>
      </w:r>
      <w:r>
        <w:rPr>
          <w:rFonts w:ascii="宋体" w:eastAsia="宋体" w:hAnsi="宋体" w:cs="Arial" w:hint="eastAsia"/>
          <w:lang w:eastAsia="zh-CN"/>
        </w:rPr>
        <w:t>相关项目</w:t>
      </w:r>
      <w:r>
        <w:rPr>
          <w:rFonts w:ascii="宋体" w:eastAsia="宋体" w:hAnsi="宋体" w:cs="Arial"/>
        </w:rPr>
        <w:t>相比，这些</w:t>
      </w:r>
      <w:r>
        <w:rPr>
          <w:rFonts w:ascii="宋体" w:eastAsia="宋体" w:hAnsi="宋体" w:cs="Arial" w:hint="eastAsia"/>
          <w:lang w:eastAsia="zh-CN"/>
        </w:rPr>
        <w:t>相关项目</w:t>
      </w:r>
      <w:r>
        <w:rPr>
          <w:rFonts w:ascii="宋体" w:eastAsia="宋体" w:hAnsi="宋体" w:cs="Arial"/>
        </w:rPr>
        <w:t>无论在质量，还是在规划设计上，都将会再上一个档次，从而拉动</w:t>
      </w:r>
      <w:r>
        <w:rPr>
          <w:rFonts w:ascii="宋体" w:eastAsia="宋体" w:hAnsi="宋体" w:cs="Arial" w:hint="eastAsia"/>
        </w:rPr>
        <w:t>武汉</w:t>
      </w:r>
      <w:r>
        <w:rPr>
          <w:rFonts w:ascii="宋体" w:eastAsia="宋体" w:hAnsi="宋体" w:cs="Arial"/>
        </w:rPr>
        <w:t>市房价继续走高。</w:t>
      </w:r>
      <w:r>
        <w:rPr>
          <w:rFonts w:ascii="宋体" w:eastAsia="宋体" w:hAnsi="宋体" w:cs="Arial" w:hint="eastAsia"/>
        </w:rPr>
        <w:t>今年武汉</w:t>
      </w:r>
      <w:r>
        <w:rPr>
          <w:rFonts w:ascii="宋体" w:eastAsia="宋体" w:hAnsi="宋体" w:cs="Arial"/>
        </w:rPr>
        <w:t>市基础建设</w:t>
      </w:r>
      <w:r>
        <w:rPr>
          <w:rFonts w:ascii="宋体" w:eastAsia="宋体" w:hAnsi="宋体" w:cs="Arial" w:hint="eastAsia"/>
        </w:rPr>
        <w:t>将要</w:t>
      </w:r>
      <w:r>
        <w:rPr>
          <w:rFonts w:ascii="宋体" w:eastAsia="宋体" w:hAnsi="宋体" w:cs="Arial"/>
        </w:rPr>
        <w:t>快速发展。几处大型房屋拆迁改造工程，使得大量居民重新置业，为</w:t>
      </w:r>
      <w:r>
        <w:rPr>
          <w:rFonts w:ascii="宋体" w:eastAsia="宋体" w:hAnsi="宋体" w:cs="Arial" w:hint="eastAsia"/>
        </w:rPr>
        <w:t>武汉</w:t>
      </w:r>
      <w:r>
        <w:rPr>
          <w:rFonts w:ascii="宋体" w:eastAsia="宋体" w:hAnsi="宋体" w:cs="Arial"/>
        </w:rPr>
        <w:t>市</w:t>
      </w:r>
      <w:r>
        <w:rPr>
          <w:rFonts w:ascii="宋体" w:eastAsia="宋体" w:hAnsi="宋体" w:cs="Arial" w:hint="eastAsia"/>
        </w:rPr>
        <w:t>商品房</w:t>
      </w:r>
      <w:r>
        <w:rPr>
          <w:rFonts w:ascii="宋体" w:eastAsia="宋体" w:hAnsi="宋体" w:cs="Arial"/>
        </w:rPr>
        <w:t>的销售提供了契机，这将导致</w:t>
      </w:r>
      <w:r>
        <w:rPr>
          <w:rFonts w:ascii="宋体" w:eastAsia="宋体" w:hAnsi="宋体" w:cs="Arial" w:hint="eastAsia"/>
        </w:rPr>
        <w:t>武汉</w:t>
      </w:r>
      <w:r>
        <w:rPr>
          <w:rFonts w:ascii="宋体" w:eastAsia="宋体" w:hAnsi="宋体" w:cs="Arial"/>
        </w:rPr>
        <w:t>市</w:t>
      </w:r>
      <w:r>
        <w:rPr>
          <w:rFonts w:ascii="宋体" w:eastAsia="宋体" w:hAnsi="宋体" w:cs="Arial" w:hint="eastAsia"/>
        </w:rPr>
        <w:t>商品</w:t>
      </w:r>
      <w:r>
        <w:rPr>
          <w:rFonts w:ascii="宋体" w:eastAsia="宋体" w:hAnsi="宋体" w:cs="Arial"/>
        </w:rPr>
        <w:t>房价格出现上涨趋势</w:t>
      </w:r>
      <w:r>
        <w:rPr>
          <w:rFonts w:ascii="宋体" w:eastAsia="宋体" w:hAnsi="宋体" w:cs="Arial" w:hint="eastAsia"/>
        </w:rPr>
        <w:t>。今年武汉市房价升幅在</w:t>
      </w:r>
      <w:r>
        <w:rPr>
          <w:rFonts w:ascii="宋体" w:eastAsia="宋体" w:hAnsi="宋体" w:cs="Arial"/>
        </w:rPr>
        <w:t>10%左右，其中适用房升幅达20%，从原因上看，主要有四：</w:t>
      </w:r>
    </w:p>
    <w:p>
      <w:pPr>
        <w:pStyle w:val="Normal0"/>
        <w:spacing w:line="360" w:lineRule="auto"/>
        <w:ind w:firstLine="480" w:firstLineChars="200"/>
        <w:rPr>
          <w:rFonts w:ascii="宋体" w:eastAsia="宋体" w:hAnsi="宋体" w:cs="Arial"/>
        </w:rPr>
      </w:pPr>
      <w:r>
        <w:rPr>
          <w:rFonts w:ascii="宋体" w:eastAsia="宋体" w:hAnsi="宋体" w:hint="eastAsia"/>
          <w:bCs/>
        </w:rPr>
        <w:t>1.</w:t>
      </w:r>
      <w:r>
        <w:rPr>
          <w:rFonts w:ascii="宋体" w:eastAsia="宋体" w:hAnsi="宋体" w:cs="Arial"/>
        </w:rPr>
        <w:t>在政府土地供应政策与方式变化的情况下，地价上升。住宅集中区地段周边开发</w:t>
      </w:r>
      <w:r>
        <w:rPr>
          <w:rFonts w:ascii="宋体" w:eastAsia="宋体" w:hAnsi="宋体" w:cs="Arial" w:hint="eastAsia"/>
          <w:lang w:eastAsia="zh-CN"/>
        </w:rPr>
        <w:t>相关项目</w:t>
      </w:r>
      <w:r>
        <w:rPr>
          <w:rFonts w:ascii="宋体" w:eastAsia="宋体" w:hAnsi="宋体" w:cs="Arial"/>
        </w:rPr>
        <w:t>的增多，形成“扎堆”效应，带动地价上升。</w:t>
      </w:r>
    </w:p>
    <w:p>
      <w:pPr>
        <w:pStyle w:val="Normal0"/>
        <w:spacing w:line="360" w:lineRule="auto"/>
        <w:ind w:firstLine="480" w:firstLineChars="200"/>
        <w:rPr>
          <w:rFonts w:ascii="宋体" w:eastAsia="宋体" w:hAnsi="宋体" w:cs="Arial" w:hint="eastAsia"/>
        </w:rPr>
      </w:pPr>
      <w:r>
        <w:rPr>
          <w:rFonts w:ascii="宋体" w:eastAsia="宋体" w:hAnsi="宋体" w:hint="eastAsia"/>
          <w:bCs/>
        </w:rPr>
        <w:t>2.</w:t>
      </w:r>
      <w:r>
        <w:rPr>
          <w:rFonts w:ascii="宋体" w:eastAsia="宋体" w:hAnsi="宋体" w:cs="Arial"/>
        </w:rPr>
        <w:t>需求量大。</w:t>
      </w:r>
      <w:r>
        <w:rPr>
          <w:rFonts w:ascii="宋体" w:eastAsia="宋体" w:hAnsi="宋体" w:cs="Arial" w:hint="eastAsia"/>
        </w:rPr>
        <w:t>从目前我市房地产的消费市场来看，有</w:t>
      </w:r>
      <w:r>
        <w:rPr>
          <w:rFonts w:ascii="宋体" w:eastAsia="宋体" w:hAnsi="宋体" w:cs="Arial"/>
        </w:rPr>
        <w:t>84.6%的消费者都采用了商业贷款或组合贷款的方式进行购房置业，而且更多的人因贷款利率较低则更希望采用公积金贷款</w:t>
      </w:r>
      <w:r>
        <w:rPr>
          <w:rFonts w:ascii="宋体" w:eastAsia="宋体" w:hAnsi="宋体" w:cs="Arial" w:hint="eastAsia"/>
        </w:rPr>
        <w:t>；还有居民的</w:t>
      </w:r>
      <w:r>
        <w:rPr>
          <w:rFonts w:ascii="宋体" w:eastAsia="宋体" w:hAnsi="宋体" w:cs="Arial"/>
        </w:rPr>
        <w:t>福利性住房观念已经开始向商品化转变，使得市场积累的需求量在短时期内释放出来。</w:t>
      </w:r>
    </w:p>
    <w:p>
      <w:pPr>
        <w:pStyle w:val="Normal0"/>
        <w:spacing w:line="360" w:lineRule="auto"/>
        <w:ind w:firstLine="480" w:firstLineChars="200"/>
        <w:rPr>
          <w:rFonts w:ascii="宋体" w:eastAsia="宋体" w:hAnsi="宋体" w:cs="Arial"/>
        </w:rPr>
      </w:pPr>
      <w:r>
        <w:rPr>
          <w:rFonts w:ascii="宋体" w:eastAsia="宋体" w:hAnsi="宋体" w:hint="eastAsia"/>
          <w:bCs/>
        </w:rPr>
        <w:t>3.</w:t>
      </w:r>
      <w:r>
        <w:rPr>
          <w:rFonts w:ascii="宋体" w:eastAsia="宋体" w:hAnsi="宋体" w:cs="Arial"/>
        </w:rPr>
        <w:t>购买力的增强，按揭的作用。我市城镇居民的人均可支配收入的增加，使居民购买力有所增强，再加上不少“持币观望”者的加入，银行按揭到位，</w:t>
      </w:r>
      <w:r>
        <w:rPr>
          <w:rFonts w:ascii="宋体" w:eastAsia="宋体" w:hAnsi="宋体" w:cs="Arial" w:hint="eastAsia"/>
        </w:rPr>
        <w:t>国家对居民购买住宅的金融政策支持（贷款）将加大力度，居民购房能力将大大提高，致</w:t>
      </w:r>
      <w:r>
        <w:rPr>
          <w:rFonts w:ascii="宋体" w:eastAsia="宋体" w:hAnsi="宋体" w:cs="Arial"/>
        </w:rPr>
        <w:t>使房价上涨。</w:t>
      </w:r>
    </w:p>
    <w:p>
      <w:pPr>
        <w:pStyle w:val="Normal0"/>
        <w:spacing w:line="360" w:lineRule="auto"/>
        <w:ind w:firstLine="480" w:firstLineChars="200"/>
        <w:rPr>
          <w:rFonts w:ascii="宋体" w:eastAsia="宋体" w:hAnsi="宋体" w:hint="eastAsia"/>
        </w:rPr>
      </w:pPr>
      <w:r>
        <w:rPr>
          <w:rFonts w:ascii="宋体" w:eastAsia="宋体" w:hAnsi="宋体" w:hint="eastAsia"/>
          <w:bCs/>
        </w:rPr>
        <w:t>4.</w:t>
      </w:r>
      <w:r>
        <w:rPr>
          <w:rFonts w:ascii="宋体" w:eastAsia="宋体" w:hAnsi="宋体"/>
        </w:rPr>
        <w:t>住宅品质的提高，也成为了房市升温。</w:t>
      </w:r>
      <w:r>
        <w:rPr>
          <w:rFonts w:ascii="宋体" w:eastAsia="宋体" w:hAnsi="宋体" w:hint="eastAsia"/>
        </w:rPr>
        <w:t>因为随着经济的发展，居民对住宅的选择与选择能力大大增强，居民以十分挑剔的目光审视、评判选择住宅，对住宅的品质以及物业</w:t>
      </w:r>
      <w:r>
        <w:rPr>
          <w:rFonts w:ascii="宋体" w:eastAsia="宋体" w:hAnsi="宋体" w:hint="eastAsia"/>
          <w:lang w:eastAsia="zh-CN"/>
        </w:rPr>
        <w:t>管理管控</w:t>
      </w:r>
      <w:r>
        <w:rPr>
          <w:rFonts w:ascii="宋体" w:eastAsia="宋体" w:hAnsi="宋体" w:hint="eastAsia"/>
        </w:rPr>
        <w:t>服务的要求的提高。最终导致</w:t>
      </w:r>
      <w:r>
        <w:rPr>
          <w:rFonts w:ascii="宋体" w:eastAsia="宋体" w:hAnsi="宋体"/>
        </w:rPr>
        <w:t>价格上扬</w:t>
      </w:r>
      <w:r>
        <w:rPr>
          <w:rFonts w:ascii="宋体" w:eastAsia="宋体" w:hAnsi="宋体" w:hint="eastAsia"/>
        </w:rPr>
        <w:t>。</w:t>
      </w:r>
    </w:p>
    <w:p>
      <w:pPr>
        <w:pStyle w:val="Normal0"/>
        <w:spacing w:line="360" w:lineRule="auto"/>
        <w:ind w:firstLine="480" w:firstLineChars="200"/>
        <w:rPr>
          <w:rFonts w:ascii="宋体" w:eastAsia="宋体" w:hAnsi="宋体" w:hint="eastAsia"/>
        </w:rPr>
        <w:sectPr>
          <w:headerReference w:type="default" r:id="rId23"/>
          <w:footerReference w:type="default" r:id="rId24"/>
          <w:type w:val="nextPage"/>
          <w:pgSz w:w="11906" w:h="16838"/>
          <w:pgMar w:top="539" w:right="926" w:bottom="1440" w:left="1800" w:header="495" w:footer="992" w:gutter="0"/>
          <w:pgNumType w:start="9"/>
          <w:cols w:num="1" w:space="425"/>
          <w:titlePg w:val="0"/>
          <w:docGrid w:type="lines" w:linePitch="360" w:charSpace="0"/>
        </w:sectPr>
      </w:pPr>
      <w:r>
        <w:rPr>
          <w:rFonts w:ascii="宋体" w:eastAsia="宋体" w:hAnsi="宋体" w:hint="eastAsia"/>
          <w:bCs/>
        </w:rPr>
        <w:t>5.</w:t>
      </w:r>
      <w:r>
        <w:rPr>
          <w:rFonts w:ascii="宋体" w:eastAsia="宋体" w:hAnsi="宋体"/>
        </w:rPr>
        <w:t>竞争激烈，由于房地产市场供销了两旺</w:t>
      </w:r>
      <w:r>
        <w:rPr>
          <w:rFonts w:ascii="宋体" w:eastAsia="宋体" w:hAnsi="宋体" w:hint="eastAsia"/>
        </w:rPr>
        <w:t>，大量外地开发企业纷纷入驻武汉以争夺市场</w:t>
      </w:r>
      <w:r>
        <w:rPr>
          <w:rFonts w:ascii="宋体" w:eastAsia="宋体" w:hAnsi="宋体"/>
        </w:rPr>
        <w:t>，带来</w:t>
      </w:r>
      <w:r>
        <w:rPr>
          <w:rFonts w:ascii="宋体" w:eastAsia="宋体" w:hAnsi="宋体" w:hint="eastAsia"/>
        </w:rPr>
        <w:t>了</w:t>
      </w:r>
      <w:r>
        <w:rPr>
          <w:rFonts w:ascii="宋体" w:eastAsia="宋体" w:hAnsi="宋体"/>
        </w:rPr>
        <w:t>激烈的竞争。</w:t>
      </w:r>
    </w:p>
    <w:p>
      <w:pPr>
        <w:pStyle w:val="Normal0"/>
        <w:spacing w:line="360" w:lineRule="auto"/>
        <w:ind w:firstLine="480" w:firstLineChars="200"/>
        <w:rPr>
          <w:rFonts w:ascii="宋体" w:eastAsia="宋体" w:hAnsi="宋体" w:hint="eastAsia"/>
        </w:rPr>
      </w:pPr>
      <w:r>
        <w:rPr>
          <w:rFonts w:ascii="宋体" w:eastAsia="宋体" w:hAnsi="宋体" w:hint="eastAsia"/>
        </w:rPr>
        <w:t>由于武汉市人口众多，消费市场巨大，加上房地产发展水平相对较低，外地企业纷纷进入武汉。深圳万科、浙江耀江、广州保利、南京三金等国内著名房地产商的到来，使武汉房地产市场的竞争更为激烈化。</w:t>
      </w:r>
    </w:p>
    <w:p>
      <w:pPr>
        <w:pStyle w:val="Normal0"/>
        <w:spacing w:line="360" w:lineRule="auto"/>
        <w:ind w:firstLine="480" w:firstLineChars="200"/>
        <w:rPr>
          <w:rFonts w:ascii="宋体" w:eastAsia="宋体" w:hAnsi="宋体"/>
        </w:rPr>
      </w:pPr>
      <w:r>
        <w:rPr>
          <w:rFonts w:eastAsia="宋体" w:hint="eastAsia"/>
        </w:rPr>
        <w:t>综上所述，再结合我们公司的竞争实力，初步可以确定该小区内房屋销售大约每平方米1800—2200元。</w:t>
      </w:r>
    </w:p>
    <w:p>
      <w:pPr>
        <w:pStyle w:val="Normal0"/>
        <w:spacing w:line="360" w:lineRule="auto"/>
        <w:rPr>
          <w:rFonts w:eastAsia="宋体"/>
        </w:rPr>
      </w:pPr>
      <w:r>
        <w:rPr>
          <w:rFonts w:ascii="黑体" w:eastAsia="宋体" w:hAnsi="Arial" w:cs="Arial" w:hint="eastAsia"/>
          <w:bCs/>
        </w:rPr>
        <w:t>四．竞争力分析</w:t>
      </w:r>
    </w:p>
    <w:p>
      <w:pPr>
        <w:pStyle w:val="BodyTextIndent"/>
        <w:spacing w:line="360" w:lineRule="auto"/>
        <w:ind w:firstLine="410"/>
        <w:rPr>
          <w:rFonts w:hint="eastAsia"/>
          <w:sz w:val="24"/>
        </w:rPr>
      </w:pPr>
      <w:r>
        <w:rPr>
          <w:rFonts w:hint="eastAsia"/>
          <w:sz w:val="24"/>
        </w:rPr>
        <w:t>外地企业纷纷进入武汉。由于武汉市人口众多，消费市场巨大，加上房地产发展水平相对较低，致使大量外地开发企业纷纷入驻武汉以争夺市场。深圳万科、浙江耀江、广州保利、南京三金等国内著名房地产商的到来，使武汉房地产市场的竞争更为激烈化，在激烈竞争的同时也会提高整体的开发水平和住宅的质量。</w:t>
      </w:r>
    </w:p>
    <w:p>
      <w:pPr>
        <w:pStyle w:val="Normal0"/>
        <w:spacing w:line="360" w:lineRule="auto"/>
        <w:ind w:firstLine="480" w:firstLineChars="200"/>
        <w:rPr>
          <w:rFonts w:ascii="宋体" w:eastAsia="宋体" w:hAnsi="宋体" w:hint="eastAsia"/>
        </w:rPr>
      </w:pPr>
      <w:r>
        <w:rPr>
          <w:rFonts w:ascii="宋体" w:eastAsia="宋体" w:hAnsi="宋体" w:hint="eastAsia"/>
        </w:rPr>
        <w:t>另外知名企业得到追捧。品牌的魅力在房地产业中已经显现，目前在武汉市居民购房消费中，企业知名度已经成为重要的参考因素。无论是开发公司还是规划设计、中介代理等企业，知名度和美誉度较高的都受到了购房消费者的青睐，尤其是国内知名的地产商和外域、外省的著名规划设计公司，以其先进的理念推出的楼盘都收到了良好的市场效果。</w:t>
      </w:r>
    </w:p>
    <w:p>
      <w:pPr>
        <w:pStyle w:val="Normal0"/>
        <w:spacing w:line="360" w:lineRule="auto"/>
        <w:ind w:firstLine="480" w:firstLineChars="200"/>
        <w:rPr>
          <w:rFonts w:eastAsia="宋体"/>
        </w:rPr>
      </w:pPr>
      <w:r>
        <w:rPr>
          <w:rFonts w:ascii="宋体" w:eastAsia="宋体" w:hAnsi="宋体" w:hint="eastAsia"/>
        </w:rPr>
        <w:t>鉴于</w:t>
      </w:r>
      <w:r>
        <w:rPr>
          <w:rFonts w:eastAsia="宋体" w:hint="eastAsia"/>
        </w:rPr>
        <w:t>本公司实力雄厚信誉良好，我们可以依托本公司的知名度，根据不同市民的不同需求，推出具有先进理念的楼盘；</w:t>
      </w:r>
      <w:r>
        <w:rPr>
          <w:rFonts w:ascii="宋体" w:eastAsia="宋体" w:hAnsi="宋体" w:hint="eastAsia"/>
        </w:rPr>
        <w:t>再加上我们开发的地段位于“光谷”，靠近东湖和马鞍山森林公园，</w:t>
      </w:r>
      <w:r>
        <w:rPr>
          <w:rFonts w:eastAsia="宋体" w:hint="eastAsia"/>
        </w:rPr>
        <w:t>环境优美</w:t>
      </w:r>
      <w:r>
        <w:rPr>
          <w:rFonts w:ascii="宋体" w:eastAsia="宋体" w:hAnsi="宋体" w:hint="eastAsia"/>
        </w:rPr>
        <w:t>，周边又有多所高校，具有浓厚的人文气息；高收入阶层的市民较多。而周边地段由于武汉近年来的高速发展，致使周边居民住房比较拥挤，与此同时居民的购买力增强，所以</w:t>
      </w:r>
      <w:r>
        <w:rPr>
          <w:rFonts w:eastAsia="宋体" w:hint="eastAsia"/>
        </w:rPr>
        <w:t>该地区市场上住房供应小于需求</w:t>
      </w:r>
      <w:r>
        <w:rPr>
          <w:rFonts w:ascii="宋体" w:eastAsia="宋体" w:hAnsi="宋体" w:hint="eastAsia"/>
        </w:rPr>
        <w:t>，具有巨大的市场潜力，为此</w:t>
      </w:r>
      <w:r>
        <w:rPr>
          <w:rFonts w:ascii="宋体" w:eastAsia="宋体" w:hAnsi="宋体" w:hint="eastAsia"/>
          <w:lang w:eastAsia="zh-CN"/>
        </w:rPr>
        <w:t>相关项目</w:t>
      </w:r>
      <w:r>
        <w:rPr>
          <w:rFonts w:ascii="宋体" w:eastAsia="宋体" w:hAnsi="宋体" w:hint="eastAsia"/>
        </w:rPr>
        <w:t>开发带来了无限的商机。</w:t>
      </w:r>
      <w:r>
        <w:rPr>
          <w:rFonts w:eastAsia="宋体" w:hint="eastAsia"/>
        </w:rPr>
        <w:t>据此我们有理由相信我们开发的商品房有较强的竞争力。</w:t>
      </w:r>
    </w:p>
    <w:p>
      <w:pPr>
        <w:pStyle w:val="Normal0"/>
        <w:spacing w:line="360" w:lineRule="auto"/>
        <w:rPr>
          <w:rFonts w:eastAsia="宋体"/>
        </w:rPr>
      </w:pPr>
      <w:r>
        <w:rPr>
          <w:rFonts w:ascii="黑体" w:eastAsia="宋体" w:hAnsi="Arial" w:cs="Arial" w:hint="eastAsia"/>
          <w:bCs/>
        </w:rPr>
        <w:t>五．市场风险分析</w:t>
      </w:r>
    </w:p>
    <w:p>
      <w:pPr>
        <w:pStyle w:val="Normal0"/>
        <w:spacing w:line="360" w:lineRule="auto"/>
        <w:ind w:firstLine="480" w:firstLineChars="200"/>
        <w:rPr>
          <w:rFonts w:ascii="宋体" w:eastAsia="宋体" w:hAnsi="宋体"/>
        </w:rPr>
        <w:sectPr>
          <w:headerReference w:type="default" r:id="rId25"/>
          <w:footerReference w:type="default" r:id="rId26"/>
          <w:type w:val="nextPage"/>
          <w:pgSz w:w="11906" w:h="16838"/>
          <w:pgMar w:top="539" w:right="926" w:bottom="1440" w:left="1800" w:header="495" w:footer="992" w:gutter="0"/>
          <w:pgNumType w:start="10"/>
          <w:cols w:num="1" w:space="425"/>
          <w:titlePg w:val="0"/>
          <w:docGrid w:type="lines" w:linePitch="360" w:charSpace="0"/>
        </w:sectPr>
      </w:pPr>
      <w:r>
        <w:rPr>
          <w:rFonts w:ascii="宋体" w:eastAsia="宋体" w:hAnsi="宋体"/>
          <w:bCs/>
        </w:rPr>
        <w:t>1.</w:t>
      </w:r>
      <w:r>
        <w:rPr>
          <w:rFonts w:ascii="宋体" w:eastAsia="宋体" w:hAnsi="宋体" w:hint="eastAsia"/>
        </w:rPr>
        <w:t>该居民小区主要居住对象为在东湖高新科技工业园区工作的白领阶层，周边高校院所的知识分子，入驻华中硅谷的电脑从业人员，以及其他知识层次较高，家庭收入较好的市民家庭。由于他们：</w:t>
      </w:r>
    </w:p>
    <w:p>
      <w:pPr>
        <w:pStyle w:val="Normal0"/>
        <w:tabs>
          <w:tab w:val="left" w:pos="1140"/>
        </w:tabs>
        <w:spacing w:line="360" w:lineRule="auto"/>
        <w:ind w:firstLine="480" w:firstLineChars="200"/>
        <w:rPr>
          <w:rFonts w:ascii="宋体" w:eastAsia="宋体" w:hAnsi="宋体"/>
        </w:rPr>
      </w:pPr>
      <w:r>
        <w:rPr>
          <w:rFonts w:ascii="宋体" w:eastAsia="宋体" w:hAnsi="宋体"/>
        </w:rPr>
        <w:t>1）</w:t>
      </w:r>
      <w:r>
        <w:rPr>
          <w:rFonts w:ascii="宋体" w:eastAsia="宋体" w:hAnsi="宋体" w:hint="eastAsia"/>
        </w:rPr>
        <w:t>职业稳定：改革开放以来</w:t>
      </w:r>
      <w:r>
        <w:rPr>
          <w:rFonts w:ascii="宋体" w:eastAsia="宋体" w:hAnsi="宋体"/>
        </w:rPr>
        <w:t>,教职工的职业相对来说比较稳定，同时随着经济水平的不断提高，人们对文化的追求也提高到了新的位置，随之而来的是教职工的收入水平也逐步的提高。</w:t>
      </w:r>
    </w:p>
    <w:p>
      <w:pPr>
        <w:pStyle w:val="Normal0"/>
        <w:tabs>
          <w:tab w:val="left" w:pos="1140"/>
        </w:tabs>
        <w:spacing w:line="360" w:lineRule="auto"/>
        <w:ind w:firstLine="480" w:firstLineChars="200"/>
        <w:rPr>
          <w:rFonts w:ascii="宋体" w:eastAsia="宋体" w:hAnsi="宋体"/>
        </w:rPr>
      </w:pPr>
      <w:r>
        <w:rPr>
          <w:rFonts w:ascii="宋体" w:eastAsia="宋体" w:hAnsi="宋体"/>
        </w:rPr>
        <w:t>2）</w:t>
      </w:r>
      <w:r>
        <w:rPr>
          <w:rFonts w:ascii="宋体" w:eastAsia="宋体" w:hAnsi="宋体" w:hint="eastAsia"/>
        </w:rPr>
        <w:t>收入稳定：教职工的收入水平在稳定中逐步提高。东湖高新科技工业园区工作的白领阶层，入驻华中硅谷的电脑从业人员，他们都属于高收入阶层。</w:t>
      </w:r>
    </w:p>
    <w:p>
      <w:pPr>
        <w:pStyle w:val="Normal0"/>
        <w:tabs>
          <w:tab w:val="left" w:pos="1140"/>
        </w:tabs>
        <w:spacing w:line="360" w:lineRule="auto"/>
        <w:ind w:firstLine="480" w:firstLineChars="200"/>
        <w:rPr>
          <w:rFonts w:ascii="宋体" w:eastAsia="宋体" w:hAnsi="宋体" w:hint="eastAsia"/>
        </w:rPr>
      </w:pPr>
      <w:r>
        <w:rPr>
          <w:rFonts w:ascii="宋体" w:eastAsia="宋体" w:hAnsi="宋体"/>
        </w:rPr>
        <w:t>3）</w:t>
      </w:r>
      <w:r>
        <w:rPr>
          <w:rFonts w:ascii="宋体" w:eastAsia="宋体" w:hAnsi="宋体" w:hint="eastAsia"/>
        </w:rPr>
        <w:t>文化水平较高：他们的年龄的大多在</w:t>
      </w:r>
      <w:r>
        <w:rPr>
          <w:rFonts w:ascii="宋体" w:eastAsia="宋体" w:hAnsi="宋体"/>
        </w:rPr>
        <w:t>35~45岁之间，人到中年是单位的骨干力量，年富力强，工作紧张，需要一个好的投资环境</w:t>
      </w:r>
      <w:r>
        <w:rPr>
          <w:rFonts w:ascii="宋体" w:eastAsia="宋体" w:hAnsi="宋体" w:hint="eastAsia"/>
        </w:rPr>
        <w:t>。</w:t>
      </w:r>
    </w:p>
    <w:p>
      <w:pPr>
        <w:pStyle w:val="Normal0"/>
        <w:tabs>
          <w:tab w:val="left" w:pos="1140"/>
        </w:tabs>
        <w:spacing w:line="360" w:lineRule="auto"/>
        <w:ind w:firstLine="480" w:firstLineChars="200"/>
        <w:rPr>
          <w:rFonts w:ascii="宋体" w:eastAsia="宋体" w:hAnsi="宋体"/>
        </w:rPr>
      </w:pPr>
      <w:r>
        <w:rPr>
          <w:rFonts w:ascii="宋体" w:eastAsia="宋体" w:hAnsi="宋体"/>
        </w:rPr>
        <w:t>4）</w:t>
      </w:r>
      <w:r>
        <w:rPr>
          <w:rFonts w:ascii="宋体" w:eastAsia="宋体" w:hAnsi="宋体" w:hint="eastAsia"/>
        </w:rPr>
        <w:t>对家庭居室的要求较高：除对住宅的舒适性</w:t>
      </w:r>
      <w:r>
        <w:rPr>
          <w:rFonts w:ascii="宋体" w:eastAsia="宋体" w:hAnsi="宋体"/>
        </w:rPr>
        <w:t>.安全性的要求以外，由于工作的原因，他们要求居住地能上班方便，同时在家也可顺利开展工作，对小区环境的要求，对住宅品位的要求，对户型的设计要求也比较高。</w:t>
      </w:r>
    </w:p>
    <w:p>
      <w:pPr>
        <w:pStyle w:val="Normal0"/>
        <w:spacing w:line="360" w:lineRule="auto"/>
        <w:ind w:firstLine="480" w:firstLineChars="200"/>
        <w:rPr>
          <w:rFonts w:ascii="宋体" w:eastAsia="宋体" w:hAnsi="宋体"/>
        </w:rPr>
      </w:pPr>
      <w:r>
        <w:rPr>
          <w:rFonts w:ascii="宋体" w:eastAsia="宋体" w:hAnsi="宋体" w:hint="eastAsia"/>
        </w:rPr>
        <w:t>这就意味着该</w:t>
      </w:r>
      <w:r>
        <w:rPr>
          <w:rFonts w:ascii="宋体" w:eastAsia="宋体" w:hAnsi="宋体" w:hint="eastAsia"/>
          <w:lang w:eastAsia="zh-CN"/>
        </w:rPr>
        <w:t>相关项目</w:t>
      </w:r>
      <w:r>
        <w:rPr>
          <w:rFonts w:ascii="宋体" w:eastAsia="宋体" w:hAnsi="宋体" w:hint="eastAsia"/>
        </w:rPr>
        <w:t>的变现性较好，比较容易出手，这也是</w:t>
      </w:r>
      <w:r>
        <w:rPr>
          <w:rFonts w:ascii="宋体" w:eastAsia="宋体" w:hAnsi="宋体" w:hint="eastAsia"/>
          <w:lang w:eastAsia="zh-CN"/>
        </w:rPr>
        <w:t>相关项目</w:t>
      </w:r>
      <w:r>
        <w:rPr>
          <w:rFonts w:ascii="宋体" w:eastAsia="宋体" w:hAnsi="宋体" w:hint="eastAsia"/>
        </w:rPr>
        <w:t>投资本金安全性的保证。所以投资风险不会太大</w:t>
      </w:r>
      <w:r>
        <w:rPr>
          <w:rFonts w:ascii="宋体" w:eastAsia="宋体" w:hAnsi="宋体"/>
        </w:rPr>
        <w:t>.</w:t>
      </w:r>
    </w:p>
    <w:p>
      <w:pPr>
        <w:pStyle w:val="Normal0"/>
        <w:tabs>
          <w:tab w:val="left" w:pos="0"/>
        </w:tabs>
        <w:spacing w:line="360" w:lineRule="auto"/>
        <w:ind w:firstLine="480" w:firstLineChars="200"/>
        <w:rPr>
          <w:rFonts w:ascii="宋体" w:eastAsia="宋体" w:hAnsi="宋体"/>
        </w:rPr>
      </w:pPr>
      <w:r>
        <w:rPr>
          <w:rFonts w:ascii="宋体" w:eastAsia="宋体" w:hAnsi="宋体"/>
          <w:bCs/>
        </w:rPr>
        <w:t>2.</w:t>
      </w:r>
      <w:r>
        <w:rPr>
          <w:rFonts w:ascii="宋体" w:eastAsia="宋体" w:hAnsi="宋体"/>
        </w:rPr>
        <w:t>通货膨胀的防护能力：在市场经济条件下，通货膨胀的影响是长期存在的，而对于房地产投资而言，是本身具有对通货膨胀的防护能力，这是由房地产本身具有升值能力来决定的，这就减少了通货膨胀对该</w:t>
      </w:r>
      <w:r>
        <w:rPr>
          <w:rFonts w:ascii="宋体" w:eastAsia="宋体" w:hAnsi="宋体" w:hint="eastAsia"/>
          <w:lang w:eastAsia="zh-CN"/>
        </w:rPr>
        <w:t>相关项目</w:t>
      </w:r>
      <w:r>
        <w:rPr>
          <w:rFonts w:ascii="宋体" w:eastAsia="宋体" w:hAnsi="宋体"/>
        </w:rPr>
        <w:t>的影响，同时对该</w:t>
      </w:r>
      <w:r>
        <w:rPr>
          <w:rFonts w:ascii="宋体" w:eastAsia="宋体" w:hAnsi="宋体" w:hint="eastAsia"/>
          <w:lang w:eastAsia="zh-CN"/>
        </w:rPr>
        <w:t>相关项目</w:t>
      </w:r>
      <w:r>
        <w:rPr>
          <w:rFonts w:ascii="宋体" w:eastAsia="宋体" w:hAnsi="宋体"/>
        </w:rPr>
        <w:t>的投资采取了相对保守的措施，这就为该</w:t>
      </w:r>
      <w:r>
        <w:rPr>
          <w:rFonts w:ascii="宋体" w:eastAsia="宋体" w:hAnsi="宋体" w:hint="eastAsia"/>
          <w:lang w:eastAsia="zh-CN"/>
        </w:rPr>
        <w:t>相关项目</w:t>
      </w:r>
      <w:r>
        <w:rPr>
          <w:rFonts w:ascii="宋体" w:eastAsia="宋体" w:hAnsi="宋体"/>
        </w:rPr>
        <w:t>的投资减轻了风险。</w:t>
      </w:r>
    </w:p>
    <w:p>
      <w:pPr>
        <w:pStyle w:val="Normal0"/>
        <w:tabs>
          <w:tab w:val="left" w:pos="180"/>
        </w:tabs>
        <w:spacing w:line="360" w:lineRule="auto"/>
        <w:ind w:firstLine="480" w:firstLineChars="200"/>
        <w:rPr>
          <w:rFonts w:ascii="宋体" w:eastAsia="宋体" w:hAnsi="宋体" w:hint="eastAsia"/>
        </w:rPr>
      </w:pPr>
      <w:r>
        <w:rPr>
          <w:rFonts w:ascii="宋体" w:eastAsia="宋体" w:hAnsi="宋体"/>
          <w:bCs/>
        </w:rPr>
        <w:t>3.</w:t>
      </w:r>
      <w:r>
        <w:rPr>
          <w:rFonts w:ascii="宋体" w:eastAsia="宋体" w:hAnsi="宋体" w:hint="eastAsia"/>
        </w:rPr>
        <w:t>房地产开发受政府行为影响较大，同样也受银行利率影响，假如依照目前政府政策，风险较小。</w:t>
      </w:r>
    </w:p>
    <w:p>
      <w:pPr>
        <w:pStyle w:val="Heading1"/>
        <w:rPr>
          <w:rFonts w:eastAsia="宋体" w:hint="eastAsia"/>
          <w:b w:val="0"/>
          <w:sz w:val="24"/>
          <w:szCs w:val="24"/>
          <w:lang w:eastAsia="zh-CN"/>
        </w:rPr>
      </w:pPr>
      <w:bookmarkStart w:id="21" w:name="_Toc50787377"/>
      <w:r>
        <w:rPr>
          <w:rFonts w:hint="eastAsia"/>
          <w:b w:val="0"/>
          <w:sz w:val="24"/>
          <w:szCs w:val="24"/>
        </w:rPr>
        <w:t>三、建设规模与产品</w:t>
      </w:r>
      <w:bookmarkEnd w:id="21"/>
      <w:r>
        <w:rPr>
          <w:rFonts w:hint="eastAsia"/>
          <w:b w:val="0"/>
          <w:sz w:val="24"/>
          <w:szCs w:val="24"/>
          <w:lang w:eastAsia="zh-CN"/>
        </w:rPr>
        <w:t>合适的方案</w:t>
      </w:r>
    </w:p>
    <w:p>
      <w:pPr>
        <w:pStyle w:val="BodyTextIndent"/>
        <w:spacing w:line="360" w:lineRule="auto"/>
        <w:ind w:firstLine="410"/>
        <w:rPr>
          <w:rFonts w:hint="eastAsia"/>
          <w:sz w:val="24"/>
        </w:rPr>
      </w:pPr>
      <w:r>
        <w:rPr>
          <w:rFonts w:hint="eastAsia"/>
          <w:sz w:val="24"/>
        </w:rPr>
        <w:t>建设规模与产品</w:t>
      </w:r>
      <w:r>
        <w:rPr>
          <w:rFonts w:hint="eastAsia"/>
          <w:sz w:val="24"/>
          <w:lang w:eastAsia="zh-CN"/>
        </w:rPr>
        <w:t>合适的方案</w:t>
      </w:r>
      <w:r>
        <w:rPr>
          <w:rFonts w:hint="eastAsia"/>
          <w:sz w:val="24"/>
        </w:rPr>
        <w:t>研究是在市场预测和资源评价的基础上，论证比选拟建</w:t>
      </w:r>
      <w:r>
        <w:rPr>
          <w:rFonts w:hint="eastAsia"/>
          <w:sz w:val="24"/>
          <w:lang w:eastAsia="zh-CN"/>
        </w:rPr>
        <w:t>相关项目</w:t>
      </w:r>
      <w:r>
        <w:rPr>
          <w:rFonts w:hint="eastAsia"/>
          <w:sz w:val="24"/>
        </w:rPr>
        <w:t>的建设规模和产品</w:t>
      </w:r>
      <w:r>
        <w:rPr>
          <w:rFonts w:hint="eastAsia"/>
          <w:sz w:val="24"/>
          <w:lang w:eastAsia="zh-CN"/>
        </w:rPr>
        <w:t>合适的方案</w:t>
      </w:r>
      <w:r>
        <w:rPr>
          <w:rFonts w:hint="eastAsia"/>
          <w:sz w:val="24"/>
        </w:rPr>
        <w:t>，作为确定</w:t>
      </w:r>
      <w:r>
        <w:rPr>
          <w:rFonts w:hint="eastAsia"/>
          <w:sz w:val="24"/>
          <w:lang w:eastAsia="zh-CN"/>
        </w:rPr>
        <w:t>相关项目</w:t>
      </w:r>
      <w:r>
        <w:rPr>
          <w:rFonts w:hint="eastAsia"/>
          <w:sz w:val="24"/>
        </w:rPr>
        <w:t>技术</w:t>
      </w:r>
      <w:r>
        <w:rPr>
          <w:rFonts w:hint="eastAsia"/>
          <w:sz w:val="24"/>
          <w:lang w:eastAsia="zh-CN"/>
        </w:rPr>
        <w:t>合适的方案</w:t>
      </w:r>
      <w:r>
        <w:rPr>
          <w:rFonts w:hint="eastAsia"/>
          <w:sz w:val="24"/>
        </w:rPr>
        <w:t>、设备</w:t>
      </w:r>
      <w:r>
        <w:rPr>
          <w:rFonts w:hint="eastAsia"/>
          <w:sz w:val="24"/>
          <w:lang w:eastAsia="zh-CN"/>
        </w:rPr>
        <w:t>合适的方案</w:t>
      </w:r>
      <w:r>
        <w:rPr>
          <w:rFonts w:hint="eastAsia"/>
          <w:sz w:val="24"/>
        </w:rPr>
        <w:t>、工程</w:t>
      </w:r>
      <w:r>
        <w:rPr>
          <w:rFonts w:hint="eastAsia"/>
          <w:sz w:val="24"/>
          <w:lang w:eastAsia="zh-CN"/>
        </w:rPr>
        <w:t>合适的方案</w:t>
      </w:r>
      <w:r>
        <w:rPr>
          <w:rFonts w:hint="eastAsia"/>
          <w:sz w:val="24"/>
        </w:rPr>
        <w:t>、原材料燃料供应</w:t>
      </w:r>
      <w:r>
        <w:rPr>
          <w:rFonts w:hint="eastAsia"/>
          <w:sz w:val="24"/>
          <w:lang w:eastAsia="zh-CN"/>
        </w:rPr>
        <w:t>合适的方案</w:t>
      </w:r>
      <w:r>
        <w:rPr>
          <w:rFonts w:hint="eastAsia"/>
          <w:sz w:val="24"/>
        </w:rPr>
        <w:t>及投资估算的依据。</w:t>
      </w:r>
    </w:p>
    <w:p>
      <w:pPr>
        <w:pStyle w:val="Normal0"/>
        <w:spacing w:line="360" w:lineRule="auto"/>
        <w:rPr>
          <w:rFonts w:eastAsia="宋体" w:hint="eastAsia"/>
          <w:bCs/>
        </w:rPr>
        <w:sectPr>
          <w:headerReference w:type="default" r:id="rId27"/>
          <w:footerReference w:type="default" r:id="rId28"/>
          <w:type w:val="nextPage"/>
          <w:pgSz w:w="11906" w:h="16838"/>
          <w:pgMar w:top="539" w:right="926" w:bottom="1440" w:left="1800" w:header="495" w:footer="992" w:gutter="0"/>
          <w:pgNumType w:start="11"/>
          <w:cols w:num="1" w:space="425"/>
          <w:titlePg w:val="0"/>
          <w:docGrid w:type="lines" w:linePitch="360" w:charSpace="0"/>
        </w:sectPr>
      </w:pPr>
      <w:r>
        <w:rPr>
          <w:rFonts w:ascii="黑体" w:eastAsia="宋体" w:hAnsi="Arial" w:cs="Arial" w:hint="eastAsia"/>
          <w:bCs/>
        </w:rPr>
        <w:t>一．建设规模</w:t>
      </w:r>
    </w:p>
    <w:p>
      <w:pPr>
        <w:pStyle w:val="BodyTextIndent"/>
        <w:spacing w:line="360" w:lineRule="auto"/>
        <w:ind w:firstLine="410"/>
        <w:rPr>
          <w:rFonts w:ascii="宋体" w:hAnsi="宋体" w:hint="eastAsia"/>
          <w:sz w:val="24"/>
        </w:rPr>
      </w:pPr>
      <w:r>
        <w:rPr>
          <w:rFonts w:hint="eastAsia"/>
          <w:sz w:val="24"/>
        </w:rPr>
        <w:t>考虑到自有资金的有限（3000万元），现代花园</w:t>
      </w:r>
      <w:r>
        <w:rPr>
          <w:rFonts w:hint="eastAsia"/>
          <w:sz w:val="24"/>
          <w:lang w:eastAsia="zh-CN"/>
        </w:rPr>
        <w:t>相关项目</w:t>
      </w:r>
      <w:r>
        <w:rPr>
          <w:rFonts w:hint="eastAsia"/>
          <w:sz w:val="24"/>
        </w:rPr>
        <w:t>规划总用地10万平方米，建筑面积12.9万平方米，其中住宅11.6万平方米，公建1.3万平方米。总居住户数996户，规划总居住人口3187人，容积率1.29，绿化覆盖率45%。小区内设幼儿园、配套有会所、文化中心、商业网点、集贸市场、居委会、派出所等设施。</w:t>
      </w:r>
      <w:r>
        <w:rPr>
          <w:rFonts w:ascii="宋体" w:hAnsi="宋体" w:hint="eastAsia"/>
          <w:sz w:val="24"/>
        </w:rPr>
        <w:t>(小区基本规划简图见附图2)</w:t>
      </w:r>
    </w:p>
    <w:p>
      <w:pPr>
        <w:pStyle w:val="Normal0"/>
        <w:spacing w:line="360" w:lineRule="auto"/>
        <w:rPr>
          <w:rFonts w:eastAsia="宋体" w:hint="eastAsia"/>
          <w:bCs/>
          <w:lang w:eastAsia="zh-CN"/>
        </w:rPr>
      </w:pPr>
      <w:r>
        <w:rPr>
          <w:rFonts w:ascii="黑体" w:eastAsia="宋体" w:hAnsi="Arial" w:cs="Arial" w:hint="eastAsia"/>
          <w:bCs/>
        </w:rPr>
        <w:t>二．产品</w:t>
      </w:r>
      <w:r>
        <w:rPr>
          <w:rFonts w:ascii="黑体" w:eastAsia="宋体" w:hAnsi="Arial" w:cs="Arial" w:hint="eastAsia"/>
          <w:bCs/>
          <w:lang w:eastAsia="zh-CN"/>
        </w:rPr>
        <w:t>合适的方案</w:t>
      </w:r>
    </w:p>
    <w:p>
      <w:pPr>
        <w:pStyle w:val="Normal0"/>
        <w:spacing w:line="360" w:lineRule="auto"/>
        <w:rPr>
          <w:rFonts w:eastAsia="宋体" w:hint="eastAsia"/>
          <w:bCs/>
        </w:rPr>
      </w:pPr>
      <w:r>
        <w:rPr>
          <w:rFonts w:eastAsia="宋体" w:hint="eastAsia"/>
          <w:bCs/>
        </w:rPr>
        <w:t>1. 户型选择</w:t>
      </w:r>
    </w:p>
    <w:p>
      <w:pPr>
        <w:pStyle w:val="BodyTextIndent"/>
        <w:spacing w:line="360" w:lineRule="auto"/>
        <w:ind w:firstLine="410"/>
        <w:rPr>
          <w:rFonts w:hint="eastAsia"/>
          <w:sz w:val="24"/>
        </w:rPr>
      </w:pPr>
      <w:r>
        <w:rPr>
          <w:rFonts w:hint="eastAsia"/>
          <w:sz w:val="24"/>
        </w:rPr>
        <w:t>小区规划以中档多层住宅为主，配以少量高档带电梯小高层住宅。在规划设计及建筑风格上充分体现“以人为本”的设计理念。注重环境的营造并赋予其浓郁的文化内涵，充分体现21世纪科技新城高品质住宅区的风貌。</w:t>
      </w:r>
    </w:p>
    <w:p>
      <w:pPr>
        <w:pStyle w:val="BodyTextIndent"/>
        <w:spacing w:line="360" w:lineRule="auto"/>
        <w:ind w:firstLine="410"/>
        <w:rPr>
          <w:rFonts w:hint="eastAsia"/>
          <w:sz w:val="24"/>
        </w:rPr>
      </w:pPr>
      <w:r>
        <w:rPr>
          <w:rFonts w:hint="eastAsia"/>
          <w:sz w:val="24"/>
        </w:rPr>
        <w:t>现代花园</w:t>
      </w:r>
      <w:r>
        <w:rPr>
          <w:rFonts w:hint="eastAsia"/>
          <w:sz w:val="24"/>
          <w:lang w:eastAsia="zh-CN"/>
        </w:rPr>
        <w:t>相关项目</w:t>
      </w:r>
      <w:r>
        <w:rPr>
          <w:rFonts w:hint="eastAsia"/>
          <w:sz w:val="24"/>
        </w:rPr>
        <w:t>主要居住对象为在东湖高新科技工业园区工作的白领阶层，周边高校院所的知识分子，入驻华中硅谷的电脑从业人员，以及其他知识层次较高，家庭收入较好的市民家庭。</w:t>
      </w:r>
    </w:p>
    <w:p>
      <w:pPr>
        <w:pStyle w:val="BodyTextIndent"/>
        <w:spacing w:line="360" w:lineRule="auto"/>
        <w:ind w:firstLine="410"/>
        <w:rPr>
          <w:rFonts w:hint="eastAsia"/>
          <w:sz w:val="24"/>
        </w:rPr>
      </w:pPr>
      <w:r>
        <w:rPr>
          <w:rFonts w:hint="eastAsia"/>
          <w:sz w:val="24"/>
        </w:rPr>
        <w:t>根据以上多种消费对象的不同品位和要求，故选择了多种户型，见下表：</w:t>
      </w:r>
    </w:p>
    <w:p>
      <w:pPr>
        <w:pStyle w:val="BodyTextIndent"/>
        <w:spacing w:line="360" w:lineRule="auto"/>
        <w:ind w:firstLine="410"/>
        <w:jc w:val="center"/>
        <w:rPr>
          <w:rFonts w:hint="eastAsia"/>
          <w:bCs/>
          <w:sz w:val="24"/>
        </w:rPr>
      </w:pPr>
      <w:r>
        <w:rPr>
          <w:rFonts w:hint="eastAsia"/>
          <w:bCs/>
          <w:sz w:val="24"/>
        </w:rPr>
        <w:t>户 型 分 配 表</w:t>
      </w:r>
    </w:p>
    <w:tbl>
      <w:tblPr>
        <w:tblStyle w:val="TableNormal"/>
        <w:tblW w:w="0" w:type="auto"/>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690"/>
        <w:gridCol w:w="675"/>
        <w:gridCol w:w="3193"/>
        <w:gridCol w:w="1260"/>
        <w:gridCol w:w="1440"/>
      </w:tblGrid>
      <w:tr>
        <w:tblPrEx>
          <w:tblW w:w="0" w:type="auto"/>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690" w:type="dxa"/>
          </w:tcPr>
          <w:p>
            <w:pPr>
              <w:pStyle w:val="Normal0"/>
              <w:jc w:val="center"/>
              <w:rPr>
                <w:rFonts w:eastAsia="宋体" w:hint="eastAsia"/>
              </w:rPr>
            </w:pPr>
            <w:r>
              <w:rPr>
                <w:rFonts w:eastAsia="宋体" w:hint="eastAsia"/>
              </w:rPr>
              <w:t>楼型</w:t>
            </w:r>
          </w:p>
        </w:tc>
        <w:tc>
          <w:tcPr>
            <w:tcW w:w="675" w:type="dxa"/>
          </w:tcPr>
          <w:p>
            <w:pPr>
              <w:pStyle w:val="Normal0"/>
              <w:jc w:val="center"/>
              <w:rPr>
                <w:rFonts w:eastAsia="宋体" w:hint="eastAsia"/>
              </w:rPr>
            </w:pPr>
            <w:r>
              <w:rPr>
                <w:rFonts w:eastAsia="宋体" w:hint="eastAsia"/>
              </w:rPr>
              <w:t>户型</w:t>
            </w:r>
          </w:p>
        </w:tc>
        <w:tc>
          <w:tcPr>
            <w:tcW w:w="3193" w:type="dxa"/>
          </w:tcPr>
          <w:p>
            <w:pPr>
              <w:pStyle w:val="Normal0"/>
              <w:jc w:val="center"/>
              <w:rPr>
                <w:rFonts w:eastAsia="宋体" w:hint="eastAsia"/>
              </w:rPr>
            </w:pPr>
            <w:r>
              <w:rPr>
                <w:rFonts w:eastAsia="宋体" w:hint="eastAsia"/>
              </w:rPr>
              <w:t>格   式</w:t>
            </w:r>
          </w:p>
        </w:tc>
        <w:tc>
          <w:tcPr>
            <w:tcW w:w="1260" w:type="dxa"/>
          </w:tcPr>
          <w:p>
            <w:pPr>
              <w:pStyle w:val="Normal0"/>
              <w:jc w:val="center"/>
              <w:rPr>
                <w:rFonts w:eastAsia="宋体" w:hint="eastAsia"/>
              </w:rPr>
            </w:pPr>
            <w:r>
              <w:rPr>
                <w:rFonts w:eastAsia="宋体" w:hint="eastAsia"/>
              </w:rPr>
              <w:t>面积（㎡）</w:t>
            </w:r>
          </w:p>
        </w:tc>
        <w:tc>
          <w:tcPr>
            <w:tcW w:w="1440" w:type="dxa"/>
          </w:tcPr>
          <w:p>
            <w:pPr>
              <w:pStyle w:val="Normal0"/>
              <w:jc w:val="center"/>
              <w:rPr>
                <w:rFonts w:eastAsia="宋体" w:hint="eastAsia"/>
              </w:rPr>
            </w:pPr>
            <w:r>
              <w:rPr>
                <w:rFonts w:eastAsia="宋体" w:hint="eastAsia"/>
              </w:rPr>
              <w:t>数量（套）</w:t>
            </w:r>
          </w:p>
        </w:tc>
      </w:tr>
      <w:tr>
        <w:tblPrEx>
          <w:tblW w:w="0" w:type="auto"/>
          <w:tblInd w:w="590" w:type="dxa"/>
          <w:tblCellMar>
            <w:top w:w="0" w:type="dxa"/>
            <w:left w:w="108" w:type="dxa"/>
            <w:bottom w:w="0" w:type="dxa"/>
            <w:right w:w="108" w:type="dxa"/>
          </w:tblCellMar>
        </w:tblPrEx>
        <w:trPr>
          <w:cantSplit/>
        </w:trPr>
        <w:tc>
          <w:tcPr>
            <w:tcW w:w="690" w:type="dxa"/>
            <w:vMerge w:val="restart"/>
          </w:tcPr>
          <w:p>
            <w:pPr>
              <w:pStyle w:val="Normal0"/>
              <w:jc w:val="center"/>
              <w:rPr>
                <w:rFonts w:eastAsia="宋体" w:hint="eastAsia"/>
                <w:bCs/>
              </w:rPr>
            </w:pPr>
            <w:r>
              <w:rPr>
                <w:rFonts w:eastAsia="宋体" w:hint="eastAsia"/>
                <w:bCs/>
              </w:rPr>
              <w:t>①</w:t>
            </w:r>
          </w:p>
        </w:tc>
        <w:tc>
          <w:tcPr>
            <w:tcW w:w="675" w:type="dxa"/>
          </w:tcPr>
          <w:p>
            <w:pPr>
              <w:pStyle w:val="Normal0"/>
              <w:jc w:val="center"/>
              <w:rPr>
                <w:rFonts w:ascii="宋体" w:eastAsia="宋体" w:hAnsi="宋体" w:hint="eastAsia"/>
              </w:rPr>
            </w:pPr>
            <w:r>
              <w:rPr>
                <w:rFonts w:ascii="宋体" w:eastAsia="宋体" w:hAnsi="宋体" w:hint="eastAsia"/>
              </w:rPr>
              <w:t>A</w:t>
            </w:r>
          </w:p>
        </w:tc>
        <w:tc>
          <w:tcPr>
            <w:tcW w:w="3193" w:type="dxa"/>
          </w:tcPr>
          <w:p>
            <w:pPr>
              <w:pStyle w:val="Normal0"/>
              <w:jc w:val="center"/>
              <w:rPr>
                <w:rFonts w:ascii="宋体" w:eastAsia="宋体" w:hAnsi="宋体" w:hint="eastAsia"/>
              </w:rPr>
            </w:pPr>
            <w:r>
              <w:rPr>
                <w:rFonts w:ascii="宋体" w:eastAsia="宋体" w:hAnsi="宋体" w:hint="eastAsia"/>
              </w:rPr>
              <w:t>3室2厅2卫1厨1阳台</w:t>
            </w:r>
          </w:p>
        </w:tc>
        <w:tc>
          <w:tcPr>
            <w:tcW w:w="1260" w:type="dxa"/>
          </w:tcPr>
          <w:p>
            <w:pPr>
              <w:pStyle w:val="Normal0"/>
              <w:jc w:val="center"/>
              <w:rPr>
                <w:rFonts w:ascii="宋体" w:eastAsia="宋体" w:hAnsi="宋体" w:hint="eastAsia"/>
              </w:rPr>
            </w:pPr>
            <w:r>
              <w:rPr>
                <w:rFonts w:ascii="宋体" w:eastAsia="宋体" w:hAnsi="宋体" w:hint="eastAsia"/>
              </w:rPr>
              <w:t>128.52</w:t>
            </w:r>
          </w:p>
        </w:tc>
        <w:tc>
          <w:tcPr>
            <w:tcW w:w="1440" w:type="dxa"/>
          </w:tcPr>
          <w:p>
            <w:pPr>
              <w:pStyle w:val="Normal0"/>
              <w:jc w:val="center"/>
              <w:rPr>
                <w:rFonts w:ascii="宋体" w:eastAsia="宋体" w:hAnsi="宋体" w:hint="eastAsia"/>
              </w:rPr>
            </w:pPr>
            <w:r>
              <w:rPr>
                <w:rFonts w:ascii="宋体" w:eastAsia="宋体" w:hAnsi="宋体" w:hint="eastAsia"/>
              </w:rPr>
              <w:t>64</w:t>
            </w:r>
          </w:p>
        </w:tc>
      </w:tr>
      <w:tr>
        <w:tblPrEx>
          <w:tblW w:w="0" w:type="auto"/>
          <w:tblInd w:w="590" w:type="dxa"/>
          <w:tblCellMar>
            <w:top w:w="0" w:type="dxa"/>
            <w:left w:w="108" w:type="dxa"/>
            <w:bottom w:w="0" w:type="dxa"/>
            <w:right w:w="108" w:type="dxa"/>
          </w:tblCellMar>
        </w:tblPrEx>
        <w:trPr>
          <w:cantSplit/>
        </w:trPr>
        <w:tc>
          <w:tcPr>
            <w:tcW w:w="690" w:type="dxa"/>
            <w:vMerge/>
          </w:tcPr>
          <w:p>
            <w:pPr>
              <w:pStyle w:val="Normal0"/>
              <w:jc w:val="center"/>
              <w:rPr>
                <w:rFonts w:eastAsia="宋体" w:hint="eastAsia"/>
                <w:bCs/>
              </w:rPr>
            </w:pPr>
          </w:p>
        </w:tc>
        <w:tc>
          <w:tcPr>
            <w:tcW w:w="675" w:type="dxa"/>
          </w:tcPr>
          <w:p>
            <w:pPr>
              <w:pStyle w:val="Normal0"/>
              <w:jc w:val="center"/>
              <w:rPr>
                <w:rFonts w:ascii="宋体" w:eastAsia="宋体" w:hAnsi="宋体" w:hint="eastAsia"/>
              </w:rPr>
            </w:pPr>
            <w:r>
              <w:rPr>
                <w:rFonts w:ascii="宋体" w:eastAsia="宋体" w:hAnsi="宋体" w:hint="eastAsia"/>
              </w:rPr>
              <w:t>B</w:t>
            </w:r>
          </w:p>
        </w:tc>
        <w:tc>
          <w:tcPr>
            <w:tcW w:w="3193" w:type="dxa"/>
          </w:tcPr>
          <w:p>
            <w:pPr>
              <w:pStyle w:val="Normal0"/>
              <w:jc w:val="center"/>
              <w:rPr>
                <w:rFonts w:ascii="宋体" w:eastAsia="宋体" w:hAnsi="宋体" w:hint="eastAsia"/>
              </w:rPr>
            </w:pPr>
            <w:r>
              <w:rPr>
                <w:rFonts w:ascii="宋体" w:eastAsia="宋体" w:hAnsi="宋体" w:hint="eastAsia"/>
              </w:rPr>
              <w:t>3室2厅2卫1厨2阳台</w:t>
            </w:r>
          </w:p>
        </w:tc>
        <w:tc>
          <w:tcPr>
            <w:tcW w:w="1260" w:type="dxa"/>
          </w:tcPr>
          <w:p>
            <w:pPr>
              <w:pStyle w:val="Normal0"/>
              <w:jc w:val="center"/>
              <w:rPr>
                <w:rFonts w:ascii="宋体" w:eastAsia="宋体" w:hAnsi="宋体" w:hint="eastAsia"/>
              </w:rPr>
            </w:pPr>
            <w:r>
              <w:rPr>
                <w:rFonts w:ascii="宋体" w:eastAsia="宋体" w:hAnsi="宋体" w:hint="eastAsia"/>
              </w:rPr>
              <w:t>131.22</w:t>
            </w:r>
          </w:p>
        </w:tc>
        <w:tc>
          <w:tcPr>
            <w:tcW w:w="1440" w:type="dxa"/>
          </w:tcPr>
          <w:p>
            <w:pPr>
              <w:pStyle w:val="Normal0"/>
              <w:jc w:val="center"/>
              <w:rPr>
                <w:rFonts w:ascii="宋体" w:eastAsia="宋体" w:hAnsi="宋体" w:hint="eastAsia"/>
              </w:rPr>
            </w:pPr>
            <w:r>
              <w:rPr>
                <w:rFonts w:ascii="宋体" w:eastAsia="宋体" w:hAnsi="宋体" w:hint="eastAsia"/>
              </w:rPr>
              <w:t>64</w:t>
            </w:r>
          </w:p>
        </w:tc>
      </w:tr>
      <w:tr>
        <w:tblPrEx>
          <w:tblW w:w="0" w:type="auto"/>
          <w:tblInd w:w="590" w:type="dxa"/>
          <w:tblCellMar>
            <w:top w:w="0" w:type="dxa"/>
            <w:left w:w="108" w:type="dxa"/>
            <w:bottom w:w="0" w:type="dxa"/>
            <w:right w:w="108" w:type="dxa"/>
          </w:tblCellMar>
        </w:tblPrEx>
        <w:trPr>
          <w:cantSplit/>
        </w:trPr>
        <w:tc>
          <w:tcPr>
            <w:tcW w:w="690" w:type="dxa"/>
            <w:vMerge w:val="restart"/>
          </w:tcPr>
          <w:p>
            <w:pPr>
              <w:pStyle w:val="Normal0"/>
              <w:jc w:val="center"/>
              <w:rPr>
                <w:rFonts w:eastAsia="宋体" w:hint="eastAsia"/>
                <w:bCs/>
              </w:rPr>
            </w:pPr>
            <w:r>
              <w:rPr>
                <w:rFonts w:eastAsia="宋体" w:hint="eastAsia"/>
                <w:bCs/>
              </w:rPr>
              <w:t>②</w:t>
            </w:r>
          </w:p>
        </w:tc>
        <w:tc>
          <w:tcPr>
            <w:tcW w:w="675" w:type="dxa"/>
          </w:tcPr>
          <w:p>
            <w:pPr>
              <w:pStyle w:val="Normal0"/>
              <w:jc w:val="center"/>
              <w:rPr>
                <w:rFonts w:ascii="宋体" w:eastAsia="宋体" w:hAnsi="宋体" w:hint="eastAsia"/>
              </w:rPr>
            </w:pPr>
            <w:r>
              <w:rPr>
                <w:rFonts w:ascii="宋体" w:eastAsia="宋体" w:hAnsi="宋体" w:hint="eastAsia"/>
              </w:rPr>
              <w:t>C</w:t>
            </w:r>
          </w:p>
        </w:tc>
        <w:tc>
          <w:tcPr>
            <w:tcW w:w="3193" w:type="dxa"/>
          </w:tcPr>
          <w:p>
            <w:pPr>
              <w:pStyle w:val="Normal0"/>
              <w:jc w:val="center"/>
              <w:rPr>
                <w:rFonts w:ascii="宋体" w:eastAsia="宋体" w:hAnsi="宋体" w:hint="eastAsia"/>
              </w:rPr>
            </w:pPr>
            <w:r>
              <w:rPr>
                <w:rFonts w:ascii="宋体" w:eastAsia="宋体" w:hAnsi="宋体" w:hint="eastAsia"/>
              </w:rPr>
              <w:t>2室2厅1卫1厨1阳台</w:t>
            </w:r>
          </w:p>
        </w:tc>
        <w:tc>
          <w:tcPr>
            <w:tcW w:w="1260" w:type="dxa"/>
          </w:tcPr>
          <w:p>
            <w:pPr>
              <w:pStyle w:val="Normal0"/>
              <w:jc w:val="center"/>
              <w:rPr>
                <w:rFonts w:ascii="宋体" w:eastAsia="宋体" w:hAnsi="宋体" w:hint="eastAsia"/>
              </w:rPr>
            </w:pPr>
            <w:r>
              <w:rPr>
                <w:rFonts w:ascii="宋体" w:eastAsia="宋体" w:hAnsi="宋体" w:hint="eastAsia"/>
              </w:rPr>
              <w:t>90.08</w:t>
            </w:r>
          </w:p>
        </w:tc>
        <w:tc>
          <w:tcPr>
            <w:tcW w:w="1440" w:type="dxa"/>
          </w:tcPr>
          <w:p>
            <w:pPr>
              <w:pStyle w:val="Normal0"/>
              <w:jc w:val="center"/>
              <w:rPr>
                <w:rFonts w:ascii="宋体" w:eastAsia="宋体" w:hAnsi="宋体" w:hint="eastAsia"/>
              </w:rPr>
            </w:pPr>
            <w:r>
              <w:rPr>
                <w:rFonts w:ascii="宋体" w:eastAsia="宋体" w:hAnsi="宋体" w:hint="eastAsia"/>
              </w:rPr>
              <w:t>80</w:t>
            </w:r>
          </w:p>
        </w:tc>
      </w:tr>
      <w:tr>
        <w:tblPrEx>
          <w:tblW w:w="0" w:type="auto"/>
          <w:tblInd w:w="590" w:type="dxa"/>
          <w:tblCellMar>
            <w:top w:w="0" w:type="dxa"/>
            <w:left w:w="108" w:type="dxa"/>
            <w:bottom w:w="0" w:type="dxa"/>
            <w:right w:w="108" w:type="dxa"/>
          </w:tblCellMar>
        </w:tblPrEx>
        <w:trPr>
          <w:cantSplit/>
        </w:trPr>
        <w:tc>
          <w:tcPr>
            <w:tcW w:w="690" w:type="dxa"/>
            <w:vMerge/>
          </w:tcPr>
          <w:p>
            <w:pPr>
              <w:pStyle w:val="Normal0"/>
              <w:jc w:val="center"/>
              <w:rPr>
                <w:rFonts w:eastAsia="宋体" w:hint="eastAsia"/>
                <w:bCs/>
              </w:rPr>
            </w:pPr>
          </w:p>
        </w:tc>
        <w:tc>
          <w:tcPr>
            <w:tcW w:w="675" w:type="dxa"/>
          </w:tcPr>
          <w:p>
            <w:pPr>
              <w:pStyle w:val="Normal0"/>
              <w:jc w:val="center"/>
              <w:rPr>
                <w:rFonts w:ascii="宋体" w:eastAsia="宋体" w:hAnsi="宋体" w:hint="eastAsia"/>
              </w:rPr>
            </w:pPr>
            <w:r>
              <w:rPr>
                <w:rFonts w:ascii="宋体" w:eastAsia="宋体" w:hAnsi="宋体" w:hint="eastAsia"/>
              </w:rPr>
              <w:t>D</w:t>
            </w:r>
          </w:p>
        </w:tc>
        <w:tc>
          <w:tcPr>
            <w:tcW w:w="3193" w:type="dxa"/>
          </w:tcPr>
          <w:p>
            <w:pPr>
              <w:pStyle w:val="Normal0"/>
              <w:jc w:val="center"/>
              <w:rPr>
                <w:rFonts w:ascii="宋体" w:eastAsia="宋体" w:hAnsi="宋体" w:hint="eastAsia"/>
              </w:rPr>
            </w:pPr>
            <w:r>
              <w:rPr>
                <w:rFonts w:ascii="宋体" w:eastAsia="宋体" w:hAnsi="宋体" w:hint="eastAsia"/>
              </w:rPr>
              <w:t>3室2厅2卫1厨3阳台</w:t>
            </w:r>
          </w:p>
        </w:tc>
        <w:tc>
          <w:tcPr>
            <w:tcW w:w="1260" w:type="dxa"/>
          </w:tcPr>
          <w:p>
            <w:pPr>
              <w:pStyle w:val="Normal0"/>
              <w:jc w:val="center"/>
              <w:rPr>
                <w:rFonts w:ascii="宋体" w:eastAsia="宋体" w:hAnsi="宋体" w:hint="eastAsia"/>
              </w:rPr>
            </w:pPr>
            <w:r>
              <w:rPr>
                <w:rFonts w:ascii="宋体" w:eastAsia="宋体" w:hAnsi="宋体" w:hint="eastAsia"/>
              </w:rPr>
              <w:t>168.44</w:t>
            </w:r>
          </w:p>
        </w:tc>
        <w:tc>
          <w:tcPr>
            <w:tcW w:w="1440" w:type="dxa"/>
          </w:tcPr>
          <w:p>
            <w:pPr>
              <w:pStyle w:val="Normal0"/>
              <w:jc w:val="center"/>
              <w:rPr>
                <w:rFonts w:ascii="宋体" w:eastAsia="宋体" w:hAnsi="宋体" w:hint="eastAsia"/>
              </w:rPr>
            </w:pPr>
            <w:r>
              <w:rPr>
                <w:rFonts w:ascii="宋体" w:eastAsia="宋体" w:hAnsi="宋体" w:hint="eastAsia"/>
              </w:rPr>
              <w:t>80</w:t>
            </w:r>
          </w:p>
        </w:tc>
      </w:tr>
      <w:tr>
        <w:tblPrEx>
          <w:tblW w:w="0" w:type="auto"/>
          <w:tblInd w:w="590" w:type="dxa"/>
          <w:tblCellMar>
            <w:top w:w="0" w:type="dxa"/>
            <w:left w:w="108" w:type="dxa"/>
            <w:bottom w:w="0" w:type="dxa"/>
            <w:right w:w="108" w:type="dxa"/>
          </w:tblCellMar>
        </w:tblPrEx>
        <w:trPr>
          <w:cantSplit/>
        </w:trPr>
        <w:tc>
          <w:tcPr>
            <w:tcW w:w="690" w:type="dxa"/>
            <w:vMerge w:val="restart"/>
          </w:tcPr>
          <w:p>
            <w:pPr>
              <w:pStyle w:val="Normal0"/>
              <w:jc w:val="center"/>
              <w:rPr>
                <w:rFonts w:eastAsia="宋体" w:hint="eastAsia"/>
                <w:bCs/>
              </w:rPr>
            </w:pPr>
            <w:r>
              <w:rPr>
                <w:rFonts w:eastAsia="宋体" w:hint="eastAsia"/>
                <w:bCs/>
              </w:rPr>
              <w:t>③</w:t>
            </w:r>
          </w:p>
        </w:tc>
        <w:tc>
          <w:tcPr>
            <w:tcW w:w="675" w:type="dxa"/>
          </w:tcPr>
          <w:p>
            <w:pPr>
              <w:pStyle w:val="Normal0"/>
              <w:jc w:val="center"/>
              <w:rPr>
                <w:rFonts w:ascii="宋体" w:eastAsia="宋体" w:hAnsi="宋体" w:hint="eastAsia"/>
              </w:rPr>
            </w:pPr>
            <w:r>
              <w:rPr>
                <w:rFonts w:ascii="宋体" w:eastAsia="宋体" w:hAnsi="宋体" w:hint="eastAsia"/>
              </w:rPr>
              <w:t>E</w:t>
            </w:r>
          </w:p>
        </w:tc>
        <w:tc>
          <w:tcPr>
            <w:tcW w:w="3193" w:type="dxa"/>
          </w:tcPr>
          <w:p>
            <w:pPr>
              <w:pStyle w:val="Normal0"/>
              <w:jc w:val="center"/>
              <w:rPr>
                <w:rFonts w:ascii="宋体" w:eastAsia="宋体" w:hAnsi="宋体" w:hint="eastAsia"/>
              </w:rPr>
            </w:pPr>
            <w:r>
              <w:rPr>
                <w:rFonts w:ascii="宋体" w:eastAsia="宋体" w:hAnsi="宋体" w:hint="eastAsia"/>
              </w:rPr>
              <w:t>4室2厅3卫1厨2阳台1书房</w:t>
            </w:r>
          </w:p>
        </w:tc>
        <w:tc>
          <w:tcPr>
            <w:tcW w:w="1260" w:type="dxa"/>
          </w:tcPr>
          <w:p>
            <w:pPr>
              <w:pStyle w:val="Normal0"/>
              <w:jc w:val="center"/>
              <w:rPr>
                <w:rFonts w:ascii="宋体" w:eastAsia="宋体" w:hAnsi="宋体" w:hint="eastAsia"/>
              </w:rPr>
            </w:pPr>
            <w:r>
              <w:rPr>
                <w:rFonts w:ascii="宋体" w:eastAsia="宋体" w:hAnsi="宋体" w:hint="eastAsia"/>
              </w:rPr>
              <w:t>181.26</w:t>
            </w:r>
          </w:p>
        </w:tc>
        <w:tc>
          <w:tcPr>
            <w:tcW w:w="1440" w:type="dxa"/>
          </w:tcPr>
          <w:p>
            <w:pPr>
              <w:pStyle w:val="Normal0"/>
              <w:jc w:val="center"/>
              <w:rPr>
                <w:rFonts w:ascii="宋体" w:eastAsia="宋体" w:hAnsi="宋体" w:hint="eastAsia"/>
              </w:rPr>
            </w:pPr>
            <w:r>
              <w:rPr>
                <w:rFonts w:ascii="宋体" w:eastAsia="宋体" w:hAnsi="宋体" w:hint="eastAsia"/>
              </w:rPr>
              <w:t>90</w:t>
            </w:r>
          </w:p>
        </w:tc>
      </w:tr>
      <w:tr>
        <w:tblPrEx>
          <w:tblW w:w="0" w:type="auto"/>
          <w:tblInd w:w="590" w:type="dxa"/>
          <w:tblCellMar>
            <w:top w:w="0" w:type="dxa"/>
            <w:left w:w="108" w:type="dxa"/>
            <w:bottom w:w="0" w:type="dxa"/>
            <w:right w:w="108" w:type="dxa"/>
          </w:tblCellMar>
        </w:tblPrEx>
        <w:trPr>
          <w:cantSplit/>
        </w:trPr>
        <w:tc>
          <w:tcPr>
            <w:tcW w:w="690" w:type="dxa"/>
            <w:vMerge/>
          </w:tcPr>
          <w:p>
            <w:pPr>
              <w:pStyle w:val="Normal0"/>
              <w:jc w:val="center"/>
              <w:rPr>
                <w:rFonts w:eastAsia="宋体" w:hint="eastAsia"/>
                <w:bCs/>
              </w:rPr>
            </w:pPr>
          </w:p>
        </w:tc>
        <w:tc>
          <w:tcPr>
            <w:tcW w:w="675" w:type="dxa"/>
          </w:tcPr>
          <w:p>
            <w:pPr>
              <w:pStyle w:val="Normal0"/>
              <w:jc w:val="center"/>
              <w:rPr>
                <w:rFonts w:ascii="宋体" w:eastAsia="宋体" w:hAnsi="宋体" w:hint="eastAsia"/>
              </w:rPr>
            </w:pPr>
            <w:r>
              <w:rPr>
                <w:rFonts w:ascii="宋体" w:eastAsia="宋体" w:hAnsi="宋体" w:hint="eastAsia"/>
              </w:rPr>
              <w:t>F</w:t>
            </w:r>
          </w:p>
        </w:tc>
        <w:tc>
          <w:tcPr>
            <w:tcW w:w="3193" w:type="dxa"/>
          </w:tcPr>
          <w:p>
            <w:pPr>
              <w:pStyle w:val="Normal0"/>
              <w:jc w:val="center"/>
              <w:rPr>
                <w:rFonts w:ascii="宋体" w:eastAsia="宋体" w:hAnsi="宋体" w:hint="eastAsia"/>
              </w:rPr>
            </w:pPr>
            <w:r>
              <w:rPr>
                <w:rFonts w:ascii="宋体" w:eastAsia="宋体" w:hAnsi="宋体" w:hint="eastAsia"/>
              </w:rPr>
              <w:t>3室2厅3卫1厨2阳台1书房</w:t>
            </w:r>
          </w:p>
        </w:tc>
        <w:tc>
          <w:tcPr>
            <w:tcW w:w="1260" w:type="dxa"/>
          </w:tcPr>
          <w:p>
            <w:pPr>
              <w:pStyle w:val="Normal0"/>
              <w:jc w:val="center"/>
              <w:rPr>
                <w:rFonts w:ascii="宋体" w:eastAsia="宋体" w:hAnsi="宋体" w:hint="eastAsia"/>
              </w:rPr>
            </w:pPr>
            <w:r>
              <w:rPr>
                <w:rFonts w:ascii="宋体" w:eastAsia="宋体" w:hAnsi="宋体" w:hint="eastAsia"/>
              </w:rPr>
              <w:t>165.82</w:t>
            </w:r>
          </w:p>
        </w:tc>
        <w:tc>
          <w:tcPr>
            <w:tcW w:w="1440" w:type="dxa"/>
          </w:tcPr>
          <w:p>
            <w:pPr>
              <w:pStyle w:val="Normal0"/>
              <w:jc w:val="center"/>
              <w:rPr>
                <w:rFonts w:ascii="宋体" w:eastAsia="宋体" w:hAnsi="宋体" w:hint="eastAsia"/>
              </w:rPr>
            </w:pPr>
            <w:r>
              <w:rPr>
                <w:rFonts w:ascii="宋体" w:eastAsia="宋体" w:hAnsi="宋体" w:hint="eastAsia"/>
              </w:rPr>
              <w:t>90</w:t>
            </w:r>
          </w:p>
        </w:tc>
      </w:tr>
      <w:tr>
        <w:tblPrEx>
          <w:tblW w:w="0" w:type="auto"/>
          <w:tblInd w:w="590" w:type="dxa"/>
          <w:tblCellMar>
            <w:top w:w="0" w:type="dxa"/>
            <w:left w:w="108" w:type="dxa"/>
            <w:bottom w:w="0" w:type="dxa"/>
            <w:right w:w="108" w:type="dxa"/>
          </w:tblCellMar>
        </w:tblPrEx>
        <w:trPr>
          <w:cantSplit/>
        </w:trPr>
        <w:tc>
          <w:tcPr>
            <w:tcW w:w="690" w:type="dxa"/>
            <w:vMerge w:val="restart"/>
          </w:tcPr>
          <w:p>
            <w:pPr>
              <w:pStyle w:val="Normal0"/>
              <w:jc w:val="center"/>
              <w:rPr>
                <w:rFonts w:eastAsia="宋体" w:hint="eastAsia"/>
                <w:bCs/>
              </w:rPr>
            </w:pPr>
            <w:r>
              <w:rPr>
                <w:rFonts w:eastAsia="宋体" w:hint="eastAsia"/>
                <w:bCs/>
              </w:rPr>
              <w:t>④</w:t>
            </w:r>
          </w:p>
        </w:tc>
        <w:tc>
          <w:tcPr>
            <w:tcW w:w="675" w:type="dxa"/>
          </w:tcPr>
          <w:p>
            <w:pPr>
              <w:pStyle w:val="Normal0"/>
              <w:jc w:val="center"/>
              <w:rPr>
                <w:rFonts w:ascii="宋体" w:eastAsia="宋体" w:hAnsi="宋体" w:hint="eastAsia"/>
              </w:rPr>
            </w:pPr>
            <w:r>
              <w:rPr>
                <w:rFonts w:ascii="宋体" w:eastAsia="宋体" w:hAnsi="宋体" w:hint="eastAsia"/>
              </w:rPr>
              <w:t>G</w:t>
            </w:r>
          </w:p>
        </w:tc>
        <w:tc>
          <w:tcPr>
            <w:tcW w:w="3193" w:type="dxa"/>
          </w:tcPr>
          <w:p>
            <w:pPr>
              <w:pStyle w:val="Normal0"/>
              <w:jc w:val="center"/>
              <w:rPr>
                <w:rFonts w:ascii="宋体" w:eastAsia="宋体" w:hAnsi="宋体" w:hint="eastAsia"/>
              </w:rPr>
            </w:pPr>
            <w:r>
              <w:rPr>
                <w:rFonts w:ascii="宋体" w:eastAsia="宋体" w:hAnsi="宋体" w:hint="eastAsia"/>
              </w:rPr>
              <w:t>3室1厅1卫1厨1阳台</w:t>
            </w:r>
          </w:p>
        </w:tc>
        <w:tc>
          <w:tcPr>
            <w:tcW w:w="1260" w:type="dxa"/>
          </w:tcPr>
          <w:p>
            <w:pPr>
              <w:pStyle w:val="Normal0"/>
              <w:jc w:val="center"/>
              <w:rPr>
                <w:rFonts w:ascii="宋体" w:eastAsia="宋体" w:hAnsi="宋体" w:hint="eastAsia"/>
              </w:rPr>
            </w:pPr>
            <w:r>
              <w:rPr>
                <w:rFonts w:ascii="宋体" w:eastAsia="宋体" w:hAnsi="宋体" w:hint="eastAsia"/>
              </w:rPr>
              <w:t>90.79</w:t>
            </w:r>
          </w:p>
        </w:tc>
        <w:tc>
          <w:tcPr>
            <w:tcW w:w="1440" w:type="dxa"/>
          </w:tcPr>
          <w:p>
            <w:pPr>
              <w:pStyle w:val="Normal0"/>
              <w:jc w:val="center"/>
              <w:rPr>
                <w:rFonts w:ascii="宋体" w:eastAsia="宋体" w:hAnsi="宋体" w:hint="eastAsia"/>
              </w:rPr>
            </w:pPr>
            <w:r>
              <w:rPr>
                <w:rFonts w:ascii="宋体" w:eastAsia="宋体" w:hAnsi="宋体" w:hint="eastAsia"/>
              </w:rPr>
              <w:t>264</w:t>
            </w:r>
          </w:p>
        </w:tc>
      </w:tr>
      <w:tr>
        <w:tblPrEx>
          <w:tblW w:w="0" w:type="auto"/>
          <w:tblInd w:w="590" w:type="dxa"/>
          <w:tblCellMar>
            <w:top w:w="0" w:type="dxa"/>
            <w:left w:w="108" w:type="dxa"/>
            <w:bottom w:w="0" w:type="dxa"/>
            <w:right w:w="108" w:type="dxa"/>
          </w:tblCellMar>
        </w:tblPrEx>
        <w:trPr>
          <w:cantSplit/>
        </w:trPr>
        <w:tc>
          <w:tcPr>
            <w:tcW w:w="690" w:type="dxa"/>
            <w:vMerge/>
          </w:tcPr>
          <w:p>
            <w:pPr>
              <w:pStyle w:val="Normal0"/>
              <w:jc w:val="center"/>
              <w:rPr>
                <w:rFonts w:eastAsia="宋体" w:hint="eastAsia"/>
              </w:rPr>
            </w:pPr>
          </w:p>
        </w:tc>
        <w:tc>
          <w:tcPr>
            <w:tcW w:w="675" w:type="dxa"/>
          </w:tcPr>
          <w:p>
            <w:pPr>
              <w:pStyle w:val="Normal0"/>
              <w:jc w:val="center"/>
              <w:rPr>
                <w:rFonts w:ascii="宋体" w:eastAsia="宋体" w:hAnsi="宋体" w:hint="eastAsia"/>
              </w:rPr>
            </w:pPr>
            <w:r>
              <w:rPr>
                <w:rFonts w:ascii="宋体" w:eastAsia="宋体" w:hAnsi="宋体" w:hint="eastAsia"/>
              </w:rPr>
              <w:t>H</w:t>
            </w:r>
          </w:p>
        </w:tc>
        <w:tc>
          <w:tcPr>
            <w:tcW w:w="3193" w:type="dxa"/>
          </w:tcPr>
          <w:p>
            <w:pPr>
              <w:pStyle w:val="Normal0"/>
              <w:jc w:val="center"/>
              <w:rPr>
                <w:rFonts w:ascii="宋体" w:eastAsia="宋体" w:hAnsi="宋体" w:hint="eastAsia"/>
              </w:rPr>
            </w:pPr>
            <w:r>
              <w:rPr>
                <w:rFonts w:ascii="宋体" w:eastAsia="宋体" w:hAnsi="宋体" w:hint="eastAsia"/>
              </w:rPr>
              <w:t>2室1厅1卫1厨1阳台</w:t>
            </w:r>
          </w:p>
        </w:tc>
        <w:tc>
          <w:tcPr>
            <w:tcW w:w="1260" w:type="dxa"/>
          </w:tcPr>
          <w:p>
            <w:pPr>
              <w:pStyle w:val="Normal0"/>
              <w:jc w:val="center"/>
              <w:rPr>
                <w:rFonts w:ascii="宋体" w:eastAsia="宋体" w:hAnsi="宋体" w:hint="eastAsia"/>
              </w:rPr>
            </w:pPr>
            <w:r>
              <w:rPr>
                <w:rFonts w:ascii="宋体" w:eastAsia="宋体" w:hAnsi="宋体" w:hint="eastAsia"/>
              </w:rPr>
              <w:t>81.44</w:t>
            </w:r>
          </w:p>
        </w:tc>
        <w:tc>
          <w:tcPr>
            <w:tcW w:w="1440" w:type="dxa"/>
          </w:tcPr>
          <w:p>
            <w:pPr>
              <w:pStyle w:val="Normal0"/>
              <w:jc w:val="center"/>
              <w:rPr>
                <w:rFonts w:ascii="宋体" w:eastAsia="宋体" w:hAnsi="宋体" w:hint="eastAsia"/>
              </w:rPr>
            </w:pPr>
            <w:r>
              <w:rPr>
                <w:rFonts w:ascii="宋体" w:eastAsia="宋体" w:hAnsi="宋体" w:hint="eastAsia"/>
              </w:rPr>
              <w:t>264</w:t>
            </w:r>
          </w:p>
        </w:tc>
      </w:tr>
    </w:tbl>
    <w:p>
      <w:pPr>
        <w:pStyle w:val="Normal0"/>
        <w:rPr>
          <w:rFonts w:ascii="楷体_GB2312" w:eastAsia="宋体" w:hAnsi="宋体" w:hint="eastAsia"/>
          <w:bCs/>
        </w:rPr>
      </w:pPr>
      <w:r>
        <w:rPr>
          <w:rFonts w:eastAsia="宋体" w:hint="eastAsia"/>
          <w:bCs/>
        </w:rPr>
        <w:t>2. 技术设备条件</w:t>
      </w:r>
    </w:p>
    <w:p>
      <w:pPr>
        <w:pStyle w:val="Normal0"/>
        <w:spacing w:line="360" w:lineRule="auto"/>
        <w:rPr>
          <w:rFonts w:eastAsia="宋体" w:hint="eastAsia"/>
        </w:rPr>
        <w:sectPr>
          <w:headerReference w:type="default" r:id="rId29"/>
          <w:footerReference w:type="default" r:id="rId30"/>
          <w:type w:val="nextPage"/>
          <w:pgSz w:w="11906" w:h="16838"/>
          <w:pgMar w:top="539" w:right="926" w:bottom="1440" w:left="1800" w:header="495" w:footer="992" w:gutter="0"/>
          <w:pgNumType w:start="12"/>
          <w:cols w:num="1" w:space="425"/>
          <w:titlePg w:val="0"/>
          <w:docGrid w:type="lines" w:linePitch="360" w:charSpace="0"/>
        </w:sectPr>
      </w:pPr>
      <w:r>
        <w:rPr>
          <w:rFonts w:eastAsia="宋体" w:hint="eastAsia"/>
          <w:bCs/>
        </w:rPr>
        <w:t xml:space="preserve">1) </w:t>
      </w:r>
      <w:r>
        <w:rPr>
          <w:rFonts w:eastAsia="宋体" w:hint="eastAsia"/>
        </w:rPr>
        <w:t>室外</w:t>
      </w:r>
    </w:p>
    <w:p>
      <w:pPr>
        <w:pStyle w:val="Normal0"/>
        <w:spacing w:line="360" w:lineRule="auto"/>
        <w:ind w:firstLine="480" w:firstLineChars="200"/>
        <w:rPr>
          <w:rFonts w:eastAsia="宋体" w:hint="eastAsia"/>
        </w:rPr>
      </w:pPr>
      <w:r>
        <w:rPr>
          <w:rFonts w:eastAsia="宋体" w:hint="eastAsia"/>
        </w:rPr>
        <w:t>1.外墙：采用高级进口外墙涂料，局部面砖装饰。</w:t>
      </w:r>
    </w:p>
    <w:p>
      <w:pPr>
        <w:pStyle w:val="Normal0"/>
        <w:spacing w:line="360" w:lineRule="auto"/>
        <w:ind w:firstLine="480" w:firstLineChars="200"/>
        <w:rPr>
          <w:rFonts w:eastAsia="宋体" w:hint="eastAsia"/>
        </w:rPr>
      </w:pPr>
      <w:r>
        <w:rPr>
          <w:rFonts w:eastAsia="宋体" w:hint="eastAsia"/>
        </w:rPr>
        <w:t>2.屋面：现浇平屋面、屋顶花园。</w:t>
      </w:r>
    </w:p>
    <w:p>
      <w:pPr>
        <w:pStyle w:val="Normal0"/>
        <w:spacing w:line="360" w:lineRule="auto"/>
        <w:rPr>
          <w:rFonts w:eastAsia="宋体" w:hint="eastAsia"/>
        </w:rPr>
      </w:pPr>
      <w:r>
        <w:rPr>
          <w:rFonts w:eastAsia="宋体" w:hint="eastAsia"/>
          <w:bCs/>
        </w:rPr>
        <w:t xml:space="preserve">2) </w:t>
      </w:r>
      <w:r>
        <w:rPr>
          <w:rFonts w:eastAsia="宋体" w:hint="eastAsia"/>
        </w:rPr>
        <w:t>室内：</w:t>
      </w:r>
    </w:p>
    <w:p>
      <w:pPr>
        <w:pStyle w:val="Normal0"/>
        <w:spacing w:line="360" w:lineRule="auto"/>
        <w:ind w:firstLine="480" w:firstLineChars="200"/>
        <w:rPr>
          <w:rFonts w:eastAsia="宋体" w:hint="eastAsia"/>
        </w:rPr>
      </w:pPr>
      <w:r>
        <w:rPr>
          <w:rFonts w:eastAsia="宋体" w:hint="eastAsia"/>
        </w:rPr>
        <w:t>1.内墙：厅、房为乳胶漆。厨房高级瓷砖到顶。</w:t>
      </w:r>
    </w:p>
    <w:p>
      <w:pPr>
        <w:pStyle w:val="Normal0"/>
        <w:spacing w:line="360" w:lineRule="auto"/>
        <w:ind w:firstLine="480" w:firstLineChars="200"/>
        <w:rPr>
          <w:rFonts w:eastAsia="宋体" w:hint="eastAsia"/>
        </w:rPr>
      </w:pPr>
      <w:r>
        <w:rPr>
          <w:rFonts w:eastAsia="宋体" w:hint="eastAsia"/>
        </w:rPr>
        <w:t>2.顶棚：厅、房为乳胶漆。厨房铝合金扣板吊顶。</w:t>
      </w:r>
    </w:p>
    <w:p>
      <w:pPr>
        <w:pStyle w:val="Normal0"/>
        <w:spacing w:line="360" w:lineRule="auto"/>
        <w:ind w:firstLine="480" w:firstLineChars="200"/>
        <w:rPr>
          <w:rFonts w:eastAsia="宋体" w:hint="eastAsia"/>
        </w:rPr>
      </w:pPr>
      <w:r>
        <w:rPr>
          <w:rFonts w:eastAsia="宋体" w:hint="eastAsia"/>
        </w:rPr>
        <w:t>3.地面：厅、房为水泥砂浆拉毛。厨房、阳台地面铺设高级防滑砖。</w:t>
      </w:r>
    </w:p>
    <w:p>
      <w:pPr>
        <w:pStyle w:val="Normal0"/>
        <w:spacing w:line="360" w:lineRule="auto"/>
        <w:ind w:firstLine="480" w:firstLineChars="200"/>
        <w:rPr>
          <w:rFonts w:eastAsia="宋体" w:hint="eastAsia"/>
        </w:rPr>
      </w:pPr>
      <w:r>
        <w:rPr>
          <w:rFonts w:eastAsia="宋体" w:hint="eastAsia"/>
        </w:rPr>
        <w:t>4.窗：户外窗用彩铝窗。</w:t>
      </w:r>
    </w:p>
    <w:p>
      <w:pPr>
        <w:pStyle w:val="Normal0"/>
        <w:spacing w:line="360" w:lineRule="auto"/>
        <w:ind w:firstLine="480" w:firstLineChars="200"/>
        <w:rPr>
          <w:rFonts w:eastAsia="宋体" w:hint="eastAsia"/>
        </w:rPr>
      </w:pPr>
      <w:r>
        <w:rPr>
          <w:rFonts w:eastAsia="宋体" w:hint="eastAsia"/>
        </w:rPr>
        <w:t>5.门：分户门为高级防盗、防火门，阳台门为彩铝门。</w:t>
      </w:r>
    </w:p>
    <w:p>
      <w:pPr>
        <w:pStyle w:val="Normal0"/>
        <w:spacing w:line="360" w:lineRule="auto"/>
        <w:ind w:firstLine="480" w:firstLineChars="200"/>
        <w:rPr>
          <w:rFonts w:eastAsia="宋体" w:hint="eastAsia"/>
        </w:rPr>
      </w:pPr>
      <w:r>
        <w:rPr>
          <w:rFonts w:eastAsia="宋体" w:hint="eastAsia"/>
        </w:rPr>
        <w:t>6.厨房：赠送套装橱柜（吊柜、地柜、洗菜盆、水龙头）、抽油烟机。</w:t>
      </w:r>
    </w:p>
    <w:p>
      <w:pPr>
        <w:pStyle w:val="Normal0"/>
        <w:spacing w:line="360" w:lineRule="auto"/>
        <w:ind w:firstLine="480" w:firstLineChars="200"/>
        <w:rPr>
          <w:rFonts w:eastAsia="宋体" w:hint="eastAsia"/>
        </w:rPr>
      </w:pPr>
      <w:r>
        <w:rPr>
          <w:rFonts w:eastAsia="宋体" w:hint="eastAsia"/>
        </w:rPr>
        <w:t>7.卫生间：公卫：内墙高级瓷砖到顶，顶棚铝合金扣板吊顶，地面铺设高级防滑砖。赠送淋浴间、冷热水龙头及花洒、柱盆、冷热水柱盆龙头、玻璃镜、节水马桶、预留热水器接口位。其余卫生间：预留给、排水管道；地、墙面水泥砂浆拉毛。</w:t>
      </w:r>
    </w:p>
    <w:p>
      <w:pPr>
        <w:pStyle w:val="Normal0"/>
        <w:spacing w:line="360" w:lineRule="auto"/>
        <w:ind w:firstLine="480" w:firstLineChars="200"/>
        <w:rPr>
          <w:rFonts w:eastAsia="宋体" w:hint="eastAsia"/>
        </w:rPr>
      </w:pPr>
      <w:r>
        <w:rPr>
          <w:rFonts w:eastAsia="宋体" w:hint="eastAsia"/>
        </w:rPr>
        <w:t>8.楼梯间：墙面乳胶漆，地面及踏步为高级防滑地面砖。</w:t>
      </w:r>
    </w:p>
    <w:p>
      <w:pPr>
        <w:pStyle w:val="Normal0"/>
        <w:spacing w:line="360" w:lineRule="auto"/>
        <w:rPr>
          <w:rFonts w:eastAsia="宋体" w:hint="eastAsia"/>
        </w:rPr>
      </w:pPr>
      <w:r>
        <w:rPr>
          <w:rFonts w:eastAsia="宋体" w:hint="eastAsia"/>
          <w:bCs/>
        </w:rPr>
        <w:t xml:space="preserve">3) </w:t>
      </w:r>
      <w:r>
        <w:rPr>
          <w:rFonts w:eastAsia="宋体" w:hint="eastAsia"/>
        </w:rPr>
        <w:t>配套设备：</w:t>
      </w:r>
    </w:p>
    <w:p>
      <w:pPr>
        <w:pStyle w:val="Normal0"/>
        <w:spacing w:line="360" w:lineRule="auto"/>
        <w:ind w:firstLine="480" w:firstLineChars="200"/>
        <w:rPr>
          <w:rFonts w:eastAsia="宋体" w:hint="eastAsia"/>
        </w:rPr>
      </w:pPr>
      <w:r>
        <w:rPr>
          <w:rFonts w:eastAsia="宋体" w:hint="eastAsia"/>
        </w:rPr>
        <w:t>1.电梯：6层以上商品房均配置高档名牌电梯。</w:t>
      </w:r>
    </w:p>
    <w:p>
      <w:pPr>
        <w:pStyle w:val="Normal0"/>
        <w:spacing w:line="360" w:lineRule="auto"/>
        <w:ind w:firstLine="478" w:firstLineChars="199"/>
        <w:rPr>
          <w:rFonts w:eastAsia="宋体" w:hint="eastAsia"/>
        </w:rPr>
      </w:pPr>
      <w:r>
        <w:rPr>
          <w:rFonts w:eastAsia="宋体" w:hint="eastAsia"/>
        </w:rPr>
        <w:t>2.电视、电话、电讯系统：有线电视插口、电话插口、宽带高速上网，报装后可立即使用。</w:t>
      </w:r>
    </w:p>
    <w:p>
      <w:pPr>
        <w:pStyle w:val="Normal0"/>
        <w:spacing w:line="360" w:lineRule="auto"/>
        <w:ind w:firstLine="480" w:firstLineChars="200"/>
        <w:rPr>
          <w:rFonts w:eastAsia="宋体" w:hint="eastAsia"/>
        </w:rPr>
      </w:pPr>
      <w:r>
        <w:rPr>
          <w:rFonts w:eastAsia="宋体" w:hint="eastAsia"/>
        </w:rPr>
        <w:t>3.电气配置：开关、照明、插座、电表各一个。</w:t>
      </w:r>
    </w:p>
    <w:p>
      <w:pPr>
        <w:pStyle w:val="Normal0"/>
        <w:spacing w:line="360" w:lineRule="auto"/>
        <w:ind w:firstLine="480" w:firstLineChars="200"/>
        <w:rPr>
          <w:rFonts w:eastAsia="宋体" w:hint="eastAsia"/>
        </w:rPr>
      </w:pPr>
      <w:r>
        <w:rPr>
          <w:rFonts w:eastAsia="宋体" w:hint="eastAsia"/>
        </w:rPr>
        <w:t>4.煤气：煤气管道安装到厨房。</w:t>
      </w:r>
    </w:p>
    <w:p>
      <w:pPr>
        <w:pStyle w:val="Normal0"/>
        <w:spacing w:line="360" w:lineRule="auto"/>
        <w:ind w:firstLine="480" w:firstLineChars="200"/>
        <w:rPr>
          <w:rFonts w:eastAsia="宋体" w:hint="eastAsia"/>
        </w:rPr>
      </w:pPr>
      <w:r>
        <w:rPr>
          <w:rFonts w:eastAsia="宋体" w:hint="eastAsia"/>
        </w:rPr>
        <w:t>5.给水：变频式供水系统，每户独立水表。</w:t>
      </w:r>
    </w:p>
    <w:p>
      <w:pPr>
        <w:pStyle w:val="Normal0"/>
        <w:spacing w:line="360" w:lineRule="auto"/>
        <w:ind w:firstLine="480" w:firstLineChars="200"/>
        <w:rPr>
          <w:rFonts w:eastAsia="宋体" w:hint="eastAsia"/>
        </w:rPr>
      </w:pPr>
      <w:r>
        <w:rPr>
          <w:rFonts w:eastAsia="宋体" w:hint="eastAsia"/>
        </w:rPr>
        <w:t>6.排水：有组织排水，预设空调机专用冷凝水排水管。</w:t>
      </w:r>
    </w:p>
    <w:p>
      <w:pPr>
        <w:pStyle w:val="Normal0"/>
        <w:spacing w:line="360" w:lineRule="auto"/>
        <w:rPr>
          <w:rFonts w:eastAsia="宋体" w:hint="eastAsia"/>
        </w:rPr>
      </w:pPr>
      <w:r>
        <w:rPr>
          <w:rFonts w:eastAsia="宋体" w:hint="eastAsia"/>
          <w:bCs/>
        </w:rPr>
        <w:t xml:space="preserve">4) </w:t>
      </w:r>
      <w:r>
        <w:rPr>
          <w:rFonts w:eastAsia="宋体" w:hint="eastAsia"/>
        </w:rPr>
        <w:t>智能化系统：</w:t>
      </w:r>
    </w:p>
    <w:p>
      <w:pPr>
        <w:pStyle w:val="Normal0"/>
        <w:spacing w:line="360" w:lineRule="auto"/>
        <w:ind w:firstLine="480" w:firstLineChars="200"/>
        <w:rPr>
          <w:rFonts w:eastAsia="宋体" w:hint="eastAsia"/>
        </w:rPr>
      </w:pPr>
      <w:r>
        <w:rPr>
          <w:rFonts w:eastAsia="宋体" w:hint="eastAsia"/>
        </w:rPr>
        <w:t>1.安全防范系统：家庭紧急报警系统、红外探测、可视对讲防盗门、24小时电子巡更系统、车库</w:t>
      </w:r>
      <w:r>
        <w:rPr>
          <w:rFonts w:eastAsia="宋体" w:hint="eastAsia"/>
          <w:lang w:eastAsia="zh-CN"/>
        </w:rPr>
        <w:t>管理管控</w:t>
      </w:r>
      <w:r>
        <w:rPr>
          <w:rFonts w:eastAsia="宋体" w:hint="eastAsia"/>
        </w:rPr>
        <w:t>系统等。</w:t>
      </w:r>
    </w:p>
    <w:p>
      <w:pPr>
        <w:pStyle w:val="Normal0"/>
        <w:spacing w:line="360" w:lineRule="auto"/>
        <w:ind w:firstLine="480" w:firstLineChars="200"/>
        <w:rPr>
          <w:rFonts w:eastAsia="宋体" w:hint="eastAsia"/>
        </w:rPr>
        <w:sectPr>
          <w:headerReference w:type="default" r:id="rId31"/>
          <w:footerReference w:type="default" r:id="rId32"/>
          <w:type w:val="nextPage"/>
          <w:pgSz w:w="11906" w:h="16838"/>
          <w:pgMar w:top="539" w:right="926" w:bottom="1440" w:left="1800" w:header="495" w:footer="992" w:gutter="0"/>
          <w:pgNumType w:start="13"/>
          <w:cols w:num="1" w:space="425"/>
          <w:titlePg w:val="0"/>
          <w:docGrid w:type="lines" w:linePitch="360" w:charSpace="0"/>
        </w:sectPr>
      </w:pPr>
      <w:r>
        <w:rPr>
          <w:rFonts w:eastAsia="宋体" w:hint="eastAsia"/>
        </w:rPr>
        <w:t>2.“一卡通” 智能系统：IC卡门禁、小区内停车、消费“一卡通”。</w:t>
      </w:r>
    </w:p>
    <w:p>
      <w:pPr>
        <w:pStyle w:val="Normal0"/>
        <w:spacing w:line="360" w:lineRule="auto"/>
        <w:ind w:firstLine="480" w:firstLineChars="200"/>
        <w:rPr>
          <w:rFonts w:eastAsia="宋体" w:hint="eastAsia"/>
        </w:rPr>
      </w:pPr>
      <w:r>
        <w:rPr>
          <w:rFonts w:eastAsia="宋体" w:hint="eastAsia"/>
        </w:rPr>
        <w:t>3.信息服务系统：小区局域网（可接入Internet）、背景音乐、视频点播等。</w:t>
      </w:r>
    </w:p>
    <w:p>
      <w:pPr>
        <w:pStyle w:val="Normal0"/>
        <w:spacing w:line="360" w:lineRule="auto"/>
        <w:rPr>
          <w:rFonts w:eastAsia="宋体" w:hint="eastAsia"/>
        </w:rPr>
      </w:pPr>
      <w:r>
        <w:rPr>
          <w:rFonts w:eastAsia="宋体" w:hint="eastAsia"/>
          <w:bCs/>
        </w:rPr>
        <w:t>3. 道路系统</w:t>
      </w:r>
    </w:p>
    <w:p>
      <w:pPr>
        <w:pStyle w:val="Normal0"/>
        <w:spacing w:line="360" w:lineRule="auto"/>
        <w:ind w:firstLine="480" w:firstLineChars="200"/>
        <w:rPr>
          <w:rFonts w:eastAsia="宋体" w:hint="eastAsia"/>
        </w:rPr>
      </w:pPr>
      <w:r>
        <w:rPr>
          <w:rFonts w:eastAsia="宋体" w:hint="eastAsia"/>
        </w:rPr>
        <w:t>道路为小区主干道和组团内部道路两极。主干道把小区中心、四个组团和幼托串在一起，形成“树枝状”道路系统。</w:t>
      </w:r>
    </w:p>
    <w:p>
      <w:pPr>
        <w:pStyle w:val="Normal0"/>
        <w:rPr>
          <w:rFonts w:eastAsia="宋体" w:hint="eastAsia"/>
          <w:bCs/>
        </w:rPr>
      </w:pPr>
      <w:r>
        <w:rPr>
          <w:rFonts w:eastAsia="宋体" w:hint="eastAsia"/>
          <w:bCs/>
        </w:rPr>
        <w:t>4.</w:t>
      </w:r>
      <w:r>
        <w:rPr>
          <w:rFonts w:eastAsia="宋体" w:hint="eastAsia"/>
        </w:rPr>
        <w:t xml:space="preserve"> </w:t>
      </w:r>
      <w:r>
        <w:rPr>
          <w:rFonts w:eastAsia="宋体" w:hint="eastAsia"/>
          <w:bCs/>
        </w:rPr>
        <w:t>小区建筑小品</w:t>
      </w:r>
    </w:p>
    <w:p>
      <w:pPr>
        <w:pStyle w:val="Normal0"/>
        <w:spacing w:line="360" w:lineRule="auto"/>
        <w:ind w:firstLine="480" w:firstLineChars="200"/>
        <w:rPr>
          <w:rFonts w:eastAsia="宋体" w:hint="eastAsia"/>
        </w:rPr>
      </w:pPr>
      <w:r>
        <w:rPr>
          <w:rFonts w:eastAsia="宋体" w:hint="eastAsia"/>
        </w:rPr>
        <w:t>入口：区内设保安。入口处有宽广的地下停车场</w:t>
      </w:r>
    </w:p>
    <w:p>
      <w:pPr>
        <w:pStyle w:val="Normal0"/>
        <w:spacing w:line="360" w:lineRule="auto"/>
        <w:ind w:firstLine="480" w:firstLineChars="200"/>
        <w:rPr>
          <w:rFonts w:eastAsia="宋体" w:hint="eastAsia"/>
        </w:rPr>
      </w:pPr>
      <w:r>
        <w:rPr>
          <w:rFonts w:eastAsia="宋体" w:hint="eastAsia"/>
        </w:rPr>
        <w:t>指示牌：居住区设置各种指示牌，如指示公共服务设施位置、公共建筑以及</w:t>
      </w:r>
      <w:r>
        <w:rPr>
          <w:rFonts w:eastAsia="宋体" w:hint="eastAsia"/>
          <w:lang w:eastAsia="zh-CN"/>
        </w:rPr>
        <w:t>管理管控</w:t>
      </w:r>
      <w:r>
        <w:rPr>
          <w:rFonts w:eastAsia="宋体" w:hint="eastAsia"/>
        </w:rPr>
        <w:t>处等方便居民使用。</w:t>
      </w:r>
    </w:p>
    <w:p>
      <w:pPr>
        <w:pStyle w:val="Normal0"/>
        <w:spacing w:line="360" w:lineRule="auto"/>
        <w:ind w:firstLine="480" w:firstLineChars="200"/>
        <w:rPr>
          <w:rFonts w:eastAsia="宋体" w:hint="eastAsia"/>
        </w:rPr>
      </w:pPr>
      <w:r>
        <w:rPr>
          <w:rFonts w:eastAsia="宋体" w:hint="eastAsia"/>
        </w:rPr>
        <w:t>庭院灯：保证居住区夜间行人车和公共次序安全、既有安全保护功能、又可美化环境。</w:t>
      </w:r>
    </w:p>
    <w:p>
      <w:pPr>
        <w:pStyle w:val="Normal0"/>
        <w:spacing w:line="360" w:lineRule="auto"/>
        <w:ind w:firstLine="480" w:firstLineChars="200"/>
        <w:rPr>
          <w:rFonts w:eastAsia="宋体" w:hint="eastAsia"/>
        </w:rPr>
      </w:pPr>
      <w:r>
        <w:rPr>
          <w:rFonts w:eastAsia="宋体" w:hint="eastAsia"/>
        </w:rPr>
        <w:t>座椅板凳：设在广场、水边，既绿化又方便使用。</w:t>
      </w:r>
    </w:p>
    <w:p>
      <w:pPr>
        <w:pStyle w:val="BodyTextIndent2"/>
        <w:ind w:firstLine="461"/>
        <w:rPr>
          <w:rFonts w:hint="eastAsia"/>
          <w:sz w:val="24"/>
        </w:rPr>
      </w:pPr>
      <w:r>
        <w:rPr>
          <w:rFonts w:hint="eastAsia"/>
          <w:sz w:val="24"/>
        </w:rPr>
        <w:t>栏杆：起安全保护作用。儿童活动场地以塑料栏杆为主。居住区地形又高低变化时，可设台阶和挡土墙，方便排水。</w:t>
      </w:r>
    </w:p>
    <w:p>
      <w:pPr>
        <w:pStyle w:val="Normal0"/>
        <w:spacing w:line="360" w:lineRule="auto"/>
        <w:ind w:firstLine="480" w:firstLineChars="200"/>
        <w:rPr>
          <w:rFonts w:eastAsia="宋体" w:hint="eastAsia"/>
        </w:rPr>
      </w:pPr>
      <w:r>
        <w:rPr>
          <w:rFonts w:eastAsia="宋体" w:hint="eastAsia"/>
        </w:rPr>
        <w:t>宣传栏：设在人流集中必经之地。大小高度适宜，便以观看。</w:t>
      </w:r>
    </w:p>
    <w:p>
      <w:pPr>
        <w:pStyle w:val="Normal0"/>
        <w:spacing w:line="360" w:lineRule="auto"/>
        <w:ind w:firstLine="480" w:firstLineChars="200"/>
        <w:rPr>
          <w:rFonts w:eastAsia="宋体" w:hint="eastAsia"/>
        </w:rPr>
      </w:pPr>
      <w:r>
        <w:rPr>
          <w:rFonts w:eastAsia="宋体" w:hint="eastAsia"/>
        </w:rPr>
        <w:t>垃圾桶：在公共区域等人流较多的地方、居住楼旁设置。</w:t>
      </w:r>
    </w:p>
    <w:p>
      <w:pPr>
        <w:pStyle w:val="Normal0"/>
        <w:spacing w:line="360" w:lineRule="auto"/>
        <w:ind w:firstLine="480" w:firstLineChars="200"/>
        <w:rPr>
          <w:rFonts w:eastAsia="宋体" w:hint="eastAsia"/>
        </w:rPr>
      </w:pPr>
      <w:r>
        <w:rPr>
          <w:rFonts w:eastAsia="宋体" w:hint="eastAsia"/>
        </w:rPr>
        <w:t>广场：社交游憩公共场所，附设游乐设施。</w:t>
      </w:r>
    </w:p>
    <w:p>
      <w:pPr>
        <w:pStyle w:val="Normal0"/>
        <w:rPr>
          <w:rFonts w:eastAsia="宋体" w:hint="eastAsia"/>
        </w:rPr>
      </w:pPr>
      <w:r>
        <w:rPr>
          <w:rFonts w:eastAsia="宋体" w:hint="eastAsia"/>
          <w:bCs/>
        </w:rPr>
        <w:t>附表</w:t>
      </w:r>
      <w:r>
        <w:rPr>
          <w:rFonts w:eastAsia="宋体" w:hint="eastAsia"/>
        </w:rPr>
        <w:t>：</w:t>
      </w:r>
    </w:p>
    <w:p>
      <w:pPr>
        <w:pStyle w:val="Normal0"/>
        <w:ind w:left="360"/>
        <w:jc w:val="center"/>
        <w:rPr>
          <w:rFonts w:eastAsia="宋体" w:hint="eastAsia"/>
          <w:bCs/>
        </w:rPr>
      </w:pPr>
      <w:r>
        <w:rPr>
          <w:rFonts w:eastAsia="宋体" w:hint="eastAsia"/>
          <w:bCs/>
        </w:rPr>
        <w:t>技 术 经 济 指 标</w:t>
      </w:r>
    </w:p>
    <w:tbl>
      <w:tblPr>
        <w:tblStyle w:val="TableNormal"/>
        <w:tblW w:w="0" w:type="auto"/>
        <w:tblInd w:w="1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935"/>
        <w:gridCol w:w="1095"/>
        <w:gridCol w:w="1800"/>
      </w:tblGrid>
      <w:tr>
        <w:tblPrEx>
          <w:tblW w:w="0" w:type="auto"/>
          <w:tblInd w:w="1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1935" w:type="dxa"/>
            <w:tcBorders>
              <w:left w:val="nil"/>
            </w:tcBorders>
          </w:tcPr>
          <w:p>
            <w:pPr>
              <w:pStyle w:val="Normal0"/>
              <w:jc w:val="center"/>
              <w:rPr>
                <w:rFonts w:eastAsia="宋体" w:hint="eastAsia"/>
              </w:rPr>
            </w:pPr>
            <w:r>
              <w:rPr>
                <w:rFonts w:eastAsia="宋体" w:hint="eastAsia"/>
              </w:rPr>
              <w:t>项  目</w:t>
            </w:r>
          </w:p>
        </w:tc>
        <w:tc>
          <w:tcPr>
            <w:tcW w:w="1095" w:type="dxa"/>
          </w:tcPr>
          <w:p>
            <w:pPr>
              <w:pStyle w:val="Normal0"/>
              <w:jc w:val="center"/>
              <w:rPr>
                <w:rFonts w:eastAsia="宋体" w:hint="eastAsia"/>
              </w:rPr>
            </w:pPr>
            <w:r>
              <w:rPr>
                <w:rFonts w:eastAsia="宋体" w:hint="eastAsia"/>
              </w:rPr>
              <w:t>单  位</w:t>
            </w:r>
          </w:p>
        </w:tc>
        <w:tc>
          <w:tcPr>
            <w:tcW w:w="1800" w:type="dxa"/>
            <w:tcBorders>
              <w:right w:val="nil"/>
            </w:tcBorders>
          </w:tcPr>
          <w:p>
            <w:pPr>
              <w:pStyle w:val="Normal0"/>
              <w:jc w:val="center"/>
              <w:rPr>
                <w:rFonts w:eastAsia="宋体" w:hint="eastAsia"/>
              </w:rPr>
            </w:pPr>
            <w:r>
              <w:rPr>
                <w:rFonts w:eastAsia="宋体" w:hint="eastAsia"/>
              </w:rPr>
              <w:t>数  量</w:t>
            </w:r>
          </w:p>
        </w:tc>
      </w:tr>
      <w:tr>
        <w:tblPrEx>
          <w:tblW w:w="0" w:type="auto"/>
          <w:tblInd w:w="1730" w:type="dxa"/>
          <w:tblCellMar>
            <w:top w:w="0" w:type="dxa"/>
            <w:left w:w="108" w:type="dxa"/>
            <w:bottom w:w="0" w:type="dxa"/>
            <w:right w:w="108" w:type="dxa"/>
          </w:tblCellMar>
        </w:tblPrEx>
        <w:tc>
          <w:tcPr>
            <w:tcW w:w="1935" w:type="dxa"/>
            <w:tcBorders>
              <w:left w:val="nil"/>
            </w:tcBorders>
          </w:tcPr>
          <w:p>
            <w:pPr>
              <w:pStyle w:val="Normal0"/>
              <w:jc w:val="center"/>
              <w:rPr>
                <w:rFonts w:eastAsia="宋体" w:hint="eastAsia"/>
              </w:rPr>
            </w:pPr>
            <w:r>
              <w:rPr>
                <w:rFonts w:eastAsia="宋体" w:hint="eastAsia"/>
              </w:rPr>
              <w:t>居住户数</w:t>
            </w:r>
          </w:p>
        </w:tc>
        <w:tc>
          <w:tcPr>
            <w:tcW w:w="1095" w:type="dxa"/>
          </w:tcPr>
          <w:p>
            <w:pPr>
              <w:pStyle w:val="Normal0"/>
              <w:jc w:val="center"/>
              <w:rPr>
                <w:rFonts w:eastAsia="宋体" w:hint="eastAsia"/>
              </w:rPr>
            </w:pPr>
            <w:r>
              <w:rPr>
                <w:rFonts w:eastAsia="宋体" w:hint="eastAsia"/>
              </w:rPr>
              <w:t>户</w:t>
            </w:r>
          </w:p>
        </w:tc>
        <w:tc>
          <w:tcPr>
            <w:tcW w:w="1800" w:type="dxa"/>
            <w:tcBorders>
              <w:right w:val="nil"/>
            </w:tcBorders>
          </w:tcPr>
          <w:p>
            <w:pPr>
              <w:pStyle w:val="Normal0"/>
              <w:jc w:val="center"/>
              <w:rPr>
                <w:rFonts w:eastAsia="宋体" w:hint="eastAsia"/>
              </w:rPr>
            </w:pPr>
            <w:r>
              <w:rPr>
                <w:rFonts w:eastAsia="宋体" w:hint="eastAsia"/>
              </w:rPr>
              <w:t>996</w:t>
            </w:r>
          </w:p>
        </w:tc>
      </w:tr>
      <w:tr>
        <w:tblPrEx>
          <w:tblW w:w="0" w:type="auto"/>
          <w:tblInd w:w="1730" w:type="dxa"/>
          <w:tblCellMar>
            <w:top w:w="0" w:type="dxa"/>
            <w:left w:w="108" w:type="dxa"/>
            <w:bottom w:w="0" w:type="dxa"/>
            <w:right w:w="108" w:type="dxa"/>
          </w:tblCellMar>
        </w:tblPrEx>
        <w:tc>
          <w:tcPr>
            <w:tcW w:w="1935" w:type="dxa"/>
            <w:tcBorders>
              <w:left w:val="nil"/>
            </w:tcBorders>
          </w:tcPr>
          <w:p>
            <w:pPr>
              <w:pStyle w:val="Normal0"/>
              <w:jc w:val="center"/>
              <w:rPr>
                <w:rFonts w:eastAsia="宋体" w:hint="eastAsia"/>
              </w:rPr>
            </w:pPr>
            <w:r>
              <w:rPr>
                <w:rFonts w:eastAsia="宋体" w:hint="eastAsia"/>
              </w:rPr>
              <w:t>居住人数</w:t>
            </w:r>
          </w:p>
        </w:tc>
        <w:tc>
          <w:tcPr>
            <w:tcW w:w="1095" w:type="dxa"/>
          </w:tcPr>
          <w:p>
            <w:pPr>
              <w:pStyle w:val="Normal0"/>
              <w:jc w:val="center"/>
              <w:rPr>
                <w:rFonts w:eastAsia="宋体" w:hint="eastAsia"/>
              </w:rPr>
            </w:pPr>
            <w:r>
              <w:rPr>
                <w:rFonts w:eastAsia="宋体" w:hint="eastAsia"/>
              </w:rPr>
              <w:t>人</w:t>
            </w:r>
          </w:p>
        </w:tc>
        <w:tc>
          <w:tcPr>
            <w:tcW w:w="1800" w:type="dxa"/>
            <w:tcBorders>
              <w:right w:val="nil"/>
            </w:tcBorders>
          </w:tcPr>
          <w:p>
            <w:pPr>
              <w:pStyle w:val="Normal0"/>
              <w:jc w:val="center"/>
              <w:rPr>
                <w:rFonts w:eastAsia="宋体" w:hint="eastAsia"/>
              </w:rPr>
            </w:pPr>
            <w:r>
              <w:rPr>
                <w:rFonts w:eastAsia="宋体" w:hint="eastAsia"/>
              </w:rPr>
              <w:t>3187</w:t>
            </w:r>
          </w:p>
        </w:tc>
      </w:tr>
      <w:tr>
        <w:tblPrEx>
          <w:tblW w:w="0" w:type="auto"/>
          <w:tblInd w:w="1730" w:type="dxa"/>
          <w:tblCellMar>
            <w:top w:w="0" w:type="dxa"/>
            <w:left w:w="108" w:type="dxa"/>
            <w:bottom w:w="0" w:type="dxa"/>
            <w:right w:w="108" w:type="dxa"/>
          </w:tblCellMar>
        </w:tblPrEx>
        <w:tc>
          <w:tcPr>
            <w:tcW w:w="1935" w:type="dxa"/>
            <w:tcBorders>
              <w:left w:val="nil"/>
            </w:tcBorders>
          </w:tcPr>
          <w:p>
            <w:pPr>
              <w:pStyle w:val="Normal0"/>
              <w:jc w:val="center"/>
              <w:rPr>
                <w:rFonts w:eastAsia="宋体" w:hint="eastAsia"/>
              </w:rPr>
            </w:pPr>
            <w:r>
              <w:rPr>
                <w:rFonts w:eastAsia="宋体" w:hint="eastAsia"/>
              </w:rPr>
              <w:t>户均人口</w:t>
            </w:r>
          </w:p>
        </w:tc>
        <w:tc>
          <w:tcPr>
            <w:tcW w:w="1095" w:type="dxa"/>
          </w:tcPr>
          <w:p>
            <w:pPr>
              <w:pStyle w:val="Normal0"/>
              <w:jc w:val="center"/>
              <w:rPr>
                <w:rFonts w:eastAsia="宋体" w:hint="eastAsia"/>
              </w:rPr>
            </w:pPr>
            <w:r>
              <w:rPr>
                <w:rFonts w:eastAsia="宋体" w:hint="eastAsia"/>
              </w:rPr>
              <w:t>人</w:t>
            </w:r>
          </w:p>
        </w:tc>
        <w:tc>
          <w:tcPr>
            <w:tcW w:w="1800" w:type="dxa"/>
            <w:tcBorders>
              <w:right w:val="nil"/>
            </w:tcBorders>
          </w:tcPr>
          <w:p>
            <w:pPr>
              <w:pStyle w:val="Normal0"/>
              <w:jc w:val="center"/>
              <w:rPr>
                <w:rFonts w:eastAsia="宋体" w:hint="eastAsia"/>
              </w:rPr>
            </w:pPr>
            <w:r>
              <w:rPr>
                <w:rFonts w:eastAsia="宋体" w:hint="eastAsia"/>
              </w:rPr>
              <w:t>3.2</w:t>
            </w:r>
          </w:p>
        </w:tc>
      </w:tr>
      <w:tr>
        <w:tblPrEx>
          <w:tblW w:w="0" w:type="auto"/>
          <w:tblInd w:w="1730" w:type="dxa"/>
          <w:tblCellMar>
            <w:top w:w="0" w:type="dxa"/>
            <w:left w:w="108" w:type="dxa"/>
            <w:bottom w:w="0" w:type="dxa"/>
            <w:right w:w="108" w:type="dxa"/>
          </w:tblCellMar>
        </w:tblPrEx>
        <w:tc>
          <w:tcPr>
            <w:tcW w:w="1935" w:type="dxa"/>
            <w:tcBorders>
              <w:left w:val="nil"/>
            </w:tcBorders>
          </w:tcPr>
          <w:p>
            <w:pPr>
              <w:pStyle w:val="Normal0"/>
              <w:jc w:val="center"/>
              <w:rPr>
                <w:rFonts w:eastAsia="宋体" w:hint="eastAsia"/>
              </w:rPr>
            </w:pPr>
            <w:r>
              <w:rPr>
                <w:rFonts w:eastAsia="宋体" w:hint="eastAsia"/>
              </w:rPr>
              <w:t>总建筑面积</w:t>
            </w:r>
          </w:p>
        </w:tc>
        <w:tc>
          <w:tcPr>
            <w:tcW w:w="1095" w:type="dxa"/>
          </w:tcPr>
          <w:p>
            <w:pPr>
              <w:pStyle w:val="Normal0"/>
              <w:jc w:val="center"/>
              <w:rPr>
                <w:rFonts w:eastAsia="宋体" w:hint="eastAsia"/>
              </w:rPr>
            </w:pPr>
            <w:r>
              <w:rPr>
                <w:rFonts w:eastAsia="宋体" w:hint="eastAsia"/>
              </w:rPr>
              <w:t>万㎡</w:t>
            </w:r>
          </w:p>
        </w:tc>
        <w:tc>
          <w:tcPr>
            <w:tcW w:w="1800" w:type="dxa"/>
            <w:tcBorders>
              <w:right w:val="nil"/>
            </w:tcBorders>
          </w:tcPr>
          <w:p>
            <w:pPr>
              <w:pStyle w:val="Normal0"/>
              <w:jc w:val="center"/>
              <w:rPr>
                <w:rFonts w:eastAsia="宋体" w:hint="eastAsia"/>
              </w:rPr>
            </w:pPr>
            <w:r>
              <w:rPr>
                <w:rFonts w:eastAsia="宋体" w:hint="eastAsia"/>
              </w:rPr>
              <w:t>12.9</w:t>
            </w:r>
          </w:p>
        </w:tc>
      </w:tr>
      <w:tr>
        <w:tblPrEx>
          <w:tblW w:w="0" w:type="auto"/>
          <w:tblInd w:w="1730" w:type="dxa"/>
          <w:tblCellMar>
            <w:top w:w="0" w:type="dxa"/>
            <w:left w:w="108" w:type="dxa"/>
            <w:bottom w:w="0" w:type="dxa"/>
            <w:right w:w="108" w:type="dxa"/>
          </w:tblCellMar>
        </w:tblPrEx>
        <w:tc>
          <w:tcPr>
            <w:tcW w:w="1935" w:type="dxa"/>
            <w:tcBorders>
              <w:left w:val="nil"/>
            </w:tcBorders>
          </w:tcPr>
          <w:p>
            <w:pPr>
              <w:pStyle w:val="Normal0"/>
              <w:jc w:val="center"/>
              <w:rPr>
                <w:rFonts w:eastAsia="宋体" w:hint="eastAsia"/>
              </w:rPr>
            </w:pPr>
            <w:r>
              <w:rPr>
                <w:rFonts w:eastAsia="宋体" w:hint="eastAsia"/>
              </w:rPr>
              <w:t>1.住宅建筑面积</w:t>
            </w:r>
          </w:p>
        </w:tc>
        <w:tc>
          <w:tcPr>
            <w:tcW w:w="1095" w:type="dxa"/>
          </w:tcPr>
          <w:p>
            <w:pPr>
              <w:pStyle w:val="Normal0"/>
              <w:jc w:val="center"/>
              <w:rPr>
                <w:rFonts w:eastAsia="宋体" w:hint="eastAsia"/>
              </w:rPr>
            </w:pPr>
            <w:r>
              <w:rPr>
                <w:rFonts w:eastAsia="宋体" w:hint="eastAsia"/>
              </w:rPr>
              <w:t>万㎡</w:t>
            </w:r>
          </w:p>
        </w:tc>
        <w:tc>
          <w:tcPr>
            <w:tcW w:w="1800" w:type="dxa"/>
            <w:tcBorders>
              <w:right w:val="nil"/>
            </w:tcBorders>
          </w:tcPr>
          <w:p>
            <w:pPr>
              <w:pStyle w:val="Normal0"/>
              <w:jc w:val="center"/>
              <w:rPr>
                <w:rFonts w:eastAsia="宋体" w:hint="eastAsia"/>
              </w:rPr>
            </w:pPr>
            <w:r>
              <w:rPr>
                <w:rFonts w:eastAsia="宋体" w:hint="eastAsia"/>
              </w:rPr>
              <w:t>11.6</w:t>
            </w:r>
          </w:p>
        </w:tc>
      </w:tr>
      <w:tr>
        <w:tblPrEx>
          <w:tblW w:w="0" w:type="auto"/>
          <w:tblInd w:w="1730" w:type="dxa"/>
          <w:tblCellMar>
            <w:top w:w="0" w:type="dxa"/>
            <w:left w:w="108" w:type="dxa"/>
            <w:bottom w:w="0" w:type="dxa"/>
            <w:right w:w="108" w:type="dxa"/>
          </w:tblCellMar>
        </w:tblPrEx>
        <w:tc>
          <w:tcPr>
            <w:tcW w:w="1935" w:type="dxa"/>
            <w:tcBorders>
              <w:left w:val="nil"/>
            </w:tcBorders>
          </w:tcPr>
          <w:p>
            <w:pPr>
              <w:pStyle w:val="Normal0"/>
              <w:jc w:val="center"/>
              <w:rPr>
                <w:rFonts w:eastAsia="宋体" w:hint="eastAsia"/>
              </w:rPr>
            </w:pPr>
            <w:r>
              <w:rPr>
                <w:rFonts w:eastAsia="宋体" w:hint="eastAsia"/>
              </w:rPr>
              <w:t>2.公建面积</w:t>
            </w:r>
          </w:p>
        </w:tc>
        <w:tc>
          <w:tcPr>
            <w:tcW w:w="1095" w:type="dxa"/>
          </w:tcPr>
          <w:p>
            <w:pPr>
              <w:pStyle w:val="Normal0"/>
              <w:jc w:val="center"/>
              <w:rPr>
                <w:rFonts w:eastAsia="宋体" w:hint="eastAsia"/>
              </w:rPr>
            </w:pPr>
            <w:r>
              <w:rPr>
                <w:rFonts w:eastAsia="宋体" w:hint="eastAsia"/>
              </w:rPr>
              <w:t>万㎡</w:t>
            </w:r>
          </w:p>
        </w:tc>
        <w:tc>
          <w:tcPr>
            <w:tcW w:w="1800" w:type="dxa"/>
            <w:tcBorders>
              <w:right w:val="nil"/>
            </w:tcBorders>
          </w:tcPr>
          <w:p>
            <w:pPr>
              <w:pStyle w:val="Normal0"/>
              <w:jc w:val="center"/>
              <w:rPr>
                <w:rFonts w:eastAsia="宋体" w:hint="eastAsia"/>
              </w:rPr>
            </w:pPr>
            <w:r>
              <w:rPr>
                <w:rFonts w:eastAsia="宋体" w:hint="eastAsia"/>
              </w:rPr>
              <w:t>1.3</w:t>
            </w:r>
          </w:p>
        </w:tc>
      </w:tr>
      <w:tr>
        <w:tblPrEx>
          <w:tblW w:w="0" w:type="auto"/>
          <w:tblInd w:w="1730" w:type="dxa"/>
          <w:tblCellMar>
            <w:top w:w="0" w:type="dxa"/>
            <w:left w:w="108" w:type="dxa"/>
            <w:bottom w:w="0" w:type="dxa"/>
            <w:right w:w="108" w:type="dxa"/>
          </w:tblCellMar>
        </w:tblPrEx>
        <w:tc>
          <w:tcPr>
            <w:tcW w:w="1935" w:type="dxa"/>
            <w:tcBorders>
              <w:left w:val="nil"/>
            </w:tcBorders>
          </w:tcPr>
          <w:p>
            <w:pPr>
              <w:pStyle w:val="Normal0"/>
              <w:jc w:val="center"/>
              <w:rPr>
                <w:rFonts w:eastAsia="宋体" w:hint="eastAsia"/>
              </w:rPr>
            </w:pPr>
            <w:r>
              <w:rPr>
                <w:rFonts w:eastAsia="宋体" w:hint="eastAsia"/>
              </w:rPr>
              <w:t>住宅平均层数</w:t>
            </w:r>
          </w:p>
        </w:tc>
        <w:tc>
          <w:tcPr>
            <w:tcW w:w="1095" w:type="dxa"/>
          </w:tcPr>
          <w:p>
            <w:pPr>
              <w:pStyle w:val="Normal0"/>
              <w:jc w:val="center"/>
              <w:rPr>
                <w:rFonts w:eastAsia="宋体" w:hint="eastAsia"/>
              </w:rPr>
            </w:pPr>
            <w:r>
              <w:rPr>
                <w:rFonts w:eastAsia="宋体" w:hint="eastAsia"/>
              </w:rPr>
              <w:t>层</w:t>
            </w:r>
          </w:p>
        </w:tc>
        <w:tc>
          <w:tcPr>
            <w:tcW w:w="1800" w:type="dxa"/>
            <w:tcBorders>
              <w:right w:val="nil"/>
            </w:tcBorders>
          </w:tcPr>
          <w:p>
            <w:pPr>
              <w:pStyle w:val="Normal0"/>
              <w:jc w:val="center"/>
              <w:rPr>
                <w:rFonts w:eastAsia="宋体" w:hint="eastAsia"/>
              </w:rPr>
            </w:pPr>
            <w:r>
              <w:rPr>
                <w:rFonts w:eastAsia="宋体" w:hint="eastAsia"/>
              </w:rPr>
              <w:t>6.53</w:t>
            </w:r>
          </w:p>
        </w:tc>
      </w:tr>
      <w:tr>
        <w:tblPrEx>
          <w:tblW w:w="0" w:type="auto"/>
          <w:tblInd w:w="1730" w:type="dxa"/>
          <w:tblCellMar>
            <w:top w:w="0" w:type="dxa"/>
            <w:left w:w="108" w:type="dxa"/>
            <w:bottom w:w="0" w:type="dxa"/>
            <w:right w:w="108" w:type="dxa"/>
          </w:tblCellMar>
        </w:tblPrEx>
        <w:tc>
          <w:tcPr>
            <w:tcW w:w="1935" w:type="dxa"/>
            <w:tcBorders>
              <w:left w:val="nil"/>
            </w:tcBorders>
          </w:tcPr>
          <w:p>
            <w:pPr>
              <w:pStyle w:val="Normal0"/>
              <w:jc w:val="center"/>
              <w:rPr>
                <w:rFonts w:eastAsia="宋体" w:hint="eastAsia"/>
              </w:rPr>
            </w:pPr>
            <w:r>
              <w:rPr>
                <w:rFonts w:eastAsia="宋体" w:hint="eastAsia"/>
              </w:rPr>
              <w:t>容积率</w:t>
            </w:r>
          </w:p>
        </w:tc>
        <w:tc>
          <w:tcPr>
            <w:tcW w:w="1095" w:type="dxa"/>
          </w:tcPr>
          <w:p>
            <w:pPr>
              <w:pStyle w:val="Normal0"/>
              <w:jc w:val="center"/>
              <w:rPr>
                <w:rFonts w:eastAsia="宋体" w:hint="eastAsia"/>
              </w:rPr>
            </w:pPr>
          </w:p>
        </w:tc>
        <w:tc>
          <w:tcPr>
            <w:tcW w:w="1800" w:type="dxa"/>
            <w:tcBorders>
              <w:right w:val="nil"/>
            </w:tcBorders>
          </w:tcPr>
          <w:p>
            <w:pPr>
              <w:pStyle w:val="Normal0"/>
              <w:jc w:val="center"/>
              <w:rPr>
                <w:rFonts w:eastAsia="宋体" w:hint="eastAsia"/>
              </w:rPr>
            </w:pPr>
            <w:r>
              <w:rPr>
                <w:rFonts w:eastAsia="宋体" w:hint="eastAsia"/>
              </w:rPr>
              <w:t>1.29</w:t>
            </w:r>
          </w:p>
        </w:tc>
      </w:tr>
      <w:tr>
        <w:tblPrEx>
          <w:tblW w:w="0" w:type="auto"/>
          <w:tblInd w:w="1730" w:type="dxa"/>
          <w:tblCellMar>
            <w:top w:w="0" w:type="dxa"/>
            <w:left w:w="108" w:type="dxa"/>
            <w:bottom w:w="0" w:type="dxa"/>
            <w:right w:w="108" w:type="dxa"/>
          </w:tblCellMar>
        </w:tblPrEx>
        <w:tc>
          <w:tcPr>
            <w:tcW w:w="1935" w:type="dxa"/>
            <w:tcBorders>
              <w:left w:val="nil"/>
            </w:tcBorders>
          </w:tcPr>
          <w:p>
            <w:pPr>
              <w:pStyle w:val="Normal0"/>
              <w:jc w:val="center"/>
              <w:rPr>
                <w:rFonts w:eastAsia="宋体" w:hint="eastAsia"/>
              </w:rPr>
            </w:pPr>
            <w:r>
              <w:rPr>
                <w:rFonts w:eastAsia="宋体" w:hint="eastAsia"/>
              </w:rPr>
              <w:t>绿地率</w:t>
            </w:r>
          </w:p>
        </w:tc>
        <w:tc>
          <w:tcPr>
            <w:tcW w:w="1095" w:type="dxa"/>
          </w:tcPr>
          <w:p>
            <w:pPr>
              <w:pStyle w:val="Normal0"/>
              <w:jc w:val="center"/>
              <w:rPr>
                <w:rFonts w:eastAsia="宋体" w:hint="eastAsia"/>
              </w:rPr>
            </w:pPr>
            <w:r>
              <w:rPr>
                <w:rFonts w:eastAsia="宋体" w:hint="eastAsia"/>
              </w:rPr>
              <w:t>%</w:t>
            </w:r>
          </w:p>
        </w:tc>
        <w:tc>
          <w:tcPr>
            <w:tcW w:w="1800" w:type="dxa"/>
            <w:tcBorders>
              <w:right w:val="nil"/>
            </w:tcBorders>
          </w:tcPr>
          <w:p>
            <w:pPr>
              <w:pStyle w:val="Normal0"/>
              <w:jc w:val="center"/>
              <w:rPr>
                <w:rFonts w:eastAsia="宋体" w:hint="eastAsia"/>
              </w:rPr>
            </w:pPr>
            <w:r>
              <w:rPr>
                <w:rFonts w:eastAsia="宋体" w:hint="eastAsia"/>
              </w:rPr>
              <w:t>45</w:t>
            </w:r>
          </w:p>
        </w:tc>
      </w:tr>
    </w:tbl>
    <w:p>
      <w:pPr>
        <w:pStyle w:val="Normal0"/>
        <w:ind w:left="360"/>
        <w:jc w:val="center"/>
        <w:rPr>
          <w:rFonts w:eastAsia="宋体" w:hint="eastAsia"/>
          <w:bCs/>
        </w:rPr>
      </w:pPr>
      <w:r>
        <w:rPr>
          <w:rFonts w:eastAsia="宋体" w:hint="eastAsia"/>
        </w:rPr>
        <w:t xml:space="preserve">   </w:t>
      </w:r>
    </w:p>
    <w:p>
      <w:pPr>
        <w:pStyle w:val="Normal0"/>
        <w:ind w:left="360"/>
        <w:jc w:val="center"/>
        <w:rPr>
          <w:rFonts w:eastAsia="宋体" w:hint="eastAsia"/>
          <w:bCs/>
        </w:rPr>
      </w:pPr>
      <w:r>
        <w:rPr>
          <w:rFonts w:eastAsia="宋体" w:hint="eastAsia"/>
          <w:bCs/>
        </w:rPr>
        <w:t>用 地 平 衡 表</w:t>
      </w:r>
    </w:p>
    <w:tbl>
      <w:tblPr>
        <w:tblStyle w:val="TableNormal"/>
        <w:tblW w:w="0" w:type="auto"/>
        <w:tblInd w:w="1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725"/>
        <w:gridCol w:w="1515"/>
        <w:gridCol w:w="1530"/>
      </w:tblGrid>
      <w:tr>
        <w:tblPrEx>
          <w:tblW w:w="0" w:type="auto"/>
          <w:tblInd w:w="1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1725" w:type="dxa"/>
            <w:tcBorders>
              <w:left w:val="nil"/>
            </w:tcBorders>
          </w:tcPr>
          <w:p>
            <w:pPr>
              <w:pStyle w:val="Normal0"/>
              <w:jc w:val="center"/>
              <w:rPr>
                <w:rFonts w:eastAsia="宋体" w:hint="eastAsia"/>
              </w:rPr>
            </w:pPr>
            <w:r>
              <w:rPr>
                <w:rFonts w:eastAsia="宋体" w:hint="eastAsia"/>
              </w:rPr>
              <w:t>项  目</w:t>
            </w:r>
          </w:p>
        </w:tc>
        <w:tc>
          <w:tcPr>
            <w:tcW w:w="1515" w:type="dxa"/>
          </w:tcPr>
          <w:p>
            <w:pPr>
              <w:pStyle w:val="Normal0"/>
              <w:jc w:val="center"/>
              <w:rPr>
                <w:rFonts w:eastAsia="宋体" w:hint="eastAsia"/>
              </w:rPr>
            </w:pPr>
            <w:r>
              <w:rPr>
                <w:rFonts w:eastAsia="宋体" w:hint="eastAsia"/>
              </w:rPr>
              <w:t>单  位</w:t>
            </w:r>
          </w:p>
        </w:tc>
        <w:tc>
          <w:tcPr>
            <w:tcW w:w="1530" w:type="dxa"/>
            <w:tcBorders>
              <w:right w:val="nil"/>
            </w:tcBorders>
          </w:tcPr>
          <w:p>
            <w:pPr>
              <w:pStyle w:val="Normal0"/>
              <w:jc w:val="center"/>
              <w:rPr>
                <w:rFonts w:eastAsia="宋体" w:hint="eastAsia"/>
              </w:rPr>
            </w:pPr>
            <w:r>
              <w:rPr>
                <w:rFonts w:eastAsia="宋体" w:hint="eastAsia"/>
              </w:rPr>
              <w:t>数  量</w:t>
            </w:r>
          </w:p>
        </w:tc>
      </w:tr>
    </w:tbl>
    <w:p>
      <w:pPr>
        <w:sectPr>
          <w:headerReference w:type="default" r:id="rId33"/>
          <w:footerReference w:type="default" r:id="rId34"/>
          <w:type w:val="nextPage"/>
          <w:pgSz w:w="11906" w:h="16838"/>
          <w:pgMar w:top="539" w:right="926" w:bottom="1440" w:left="1800" w:header="495" w:footer="992" w:gutter="0"/>
          <w:pgNumType w:start="14"/>
          <w:cols w:num="1" w:space="425"/>
          <w:titlePg w:val="0"/>
          <w:docGrid w:type="lines" w:linePitch="360" w:charSpace="0"/>
        </w:sectPr>
      </w:pPr>
    </w:p>
    <w:tbl>
      <w:tblPr>
        <w:tblStyle w:val="TableNormal"/>
        <w:tblW w:w="0" w:type="auto"/>
        <w:tblInd w:w="1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725"/>
        <w:gridCol w:w="1515"/>
        <w:gridCol w:w="1530"/>
      </w:tblGrid>
      <w:tr>
        <w:tblPrEx>
          <w:tblW w:w="0" w:type="auto"/>
          <w:tblInd w:w="1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1725" w:type="dxa"/>
            <w:tcBorders>
              <w:left w:val="nil"/>
            </w:tcBorders>
          </w:tcPr>
          <w:p>
            <w:pPr>
              <w:pStyle w:val="Normal0"/>
              <w:jc w:val="center"/>
              <w:rPr>
                <w:rFonts w:eastAsia="宋体" w:hint="eastAsia"/>
              </w:rPr>
            </w:pPr>
            <w:r>
              <w:rPr>
                <w:rFonts w:eastAsia="宋体" w:hint="eastAsia"/>
              </w:rPr>
              <w:t>小区规划用地</w:t>
            </w:r>
          </w:p>
        </w:tc>
        <w:tc>
          <w:tcPr>
            <w:tcW w:w="1515" w:type="dxa"/>
          </w:tcPr>
          <w:p>
            <w:pPr>
              <w:pStyle w:val="Normal0"/>
              <w:jc w:val="center"/>
              <w:rPr>
                <w:rFonts w:eastAsia="宋体" w:hint="eastAsia"/>
              </w:rPr>
            </w:pPr>
            <w:r>
              <w:rPr>
                <w:rFonts w:eastAsia="宋体" w:hint="eastAsia"/>
              </w:rPr>
              <w:t>万㎡</w:t>
            </w:r>
          </w:p>
        </w:tc>
        <w:tc>
          <w:tcPr>
            <w:tcW w:w="1530" w:type="dxa"/>
            <w:tcBorders>
              <w:right w:val="nil"/>
            </w:tcBorders>
          </w:tcPr>
          <w:p>
            <w:pPr>
              <w:pStyle w:val="Normal0"/>
              <w:jc w:val="center"/>
              <w:rPr>
                <w:rFonts w:eastAsia="宋体" w:hint="eastAsia"/>
              </w:rPr>
            </w:pPr>
            <w:r>
              <w:rPr>
                <w:rFonts w:eastAsia="宋体" w:hint="eastAsia"/>
              </w:rPr>
              <w:t>10</w:t>
            </w:r>
          </w:p>
        </w:tc>
      </w:tr>
      <w:tr>
        <w:tblPrEx>
          <w:tblW w:w="0" w:type="auto"/>
          <w:tblInd w:w="1760" w:type="dxa"/>
          <w:tblCellMar>
            <w:top w:w="0" w:type="dxa"/>
            <w:left w:w="108" w:type="dxa"/>
            <w:bottom w:w="0" w:type="dxa"/>
            <w:right w:w="108" w:type="dxa"/>
          </w:tblCellMar>
        </w:tblPrEx>
        <w:tc>
          <w:tcPr>
            <w:tcW w:w="1725" w:type="dxa"/>
            <w:tcBorders>
              <w:left w:val="nil"/>
            </w:tcBorders>
          </w:tcPr>
          <w:p>
            <w:pPr>
              <w:pStyle w:val="Normal0"/>
              <w:jc w:val="center"/>
              <w:rPr>
                <w:rFonts w:eastAsia="宋体" w:hint="eastAsia"/>
              </w:rPr>
            </w:pPr>
            <w:r>
              <w:rPr>
                <w:rFonts w:eastAsia="宋体" w:hint="eastAsia"/>
              </w:rPr>
              <w:t>1.住宅用地</w:t>
            </w:r>
          </w:p>
        </w:tc>
        <w:tc>
          <w:tcPr>
            <w:tcW w:w="1515" w:type="dxa"/>
          </w:tcPr>
          <w:p>
            <w:pPr>
              <w:pStyle w:val="Normal0"/>
              <w:jc w:val="center"/>
              <w:rPr>
                <w:rFonts w:eastAsia="宋体" w:hint="eastAsia"/>
              </w:rPr>
            </w:pPr>
            <w:r>
              <w:rPr>
                <w:rFonts w:eastAsia="宋体" w:hint="eastAsia"/>
              </w:rPr>
              <w:t>万㎡</w:t>
            </w:r>
          </w:p>
        </w:tc>
        <w:tc>
          <w:tcPr>
            <w:tcW w:w="1530" w:type="dxa"/>
            <w:tcBorders>
              <w:right w:val="nil"/>
            </w:tcBorders>
          </w:tcPr>
          <w:p>
            <w:pPr>
              <w:pStyle w:val="Normal0"/>
              <w:jc w:val="center"/>
              <w:rPr>
                <w:rFonts w:eastAsia="宋体" w:hint="eastAsia"/>
              </w:rPr>
            </w:pPr>
            <w:r>
              <w:rPr>
                <w:rFonts w:eastAsia="宋体" w:hint="eastAsia"/>
              </w:rPr>
              <w:t>4.37</w:t>
            </w:r>
          </w:p>
        </w:tc>
      </w:tr>
      <w:tr>
        <w:tblPrEx>
          <w:tblW w:w="0" w:type="auto"/>
          <w:tblInd w:w="1760" w:type="dxa"/>
          <w:tblCellMar>
            <w:top w:w="0" w:type="dxa"/>
            <w:left w:w="108" w:type="dxa"/>
            <w:bottom w:w="0" w:type="dxa"/>
            <w:right w:w="108" w:type="dxa"/>
          </w:tblCellMar>
        </w:tblPrEx>
        <w:tc>
          <w:tcPr>
            <w:tcW w:w="1725" w:type="dxa"/>
            <w:tcBorders>
              <w:left w:val="nil"/>
            </w:tcBorders>
          </w:tcPr>
          <w:p>
            <w:pPr>
              <w:pStyle w:val="Normal0"/>
              <w:jc w:val="center"/>
              <w:rPr>
                <w:rFonts w:eastAsia="宋体" w:hint="eastAsia"/>
              </w:rPr>
            </w:pPr>
            <w:r>
              <w:rPr>
                <w:rFonts w:eastAsia="宋体" w:hint="eastAsia"/>
              </w:rPr>
              <w:t>2.公建用地</w:t>
            </w:r>
          </w:p>
        </w:tc>
        <w:tc>
          <w:tcPr>
            <w:tcW w:w="1515" w:type="dxa"/>
          </w:tcPr>
          <w:p>
            <w:pPr>
              <w:pStyle w:val="Normal0"/>
              <w:jc w:val="center"/>
              <w:rPr>
                <w:rFonts w:eastAsia="宋体" w:hint="eastAsia"/>
              </w:rPr>
            </w:pPr>
            <w:r>
              <w:rPr>
                <w:rFonts w:eastAsia="宋体" w:hint="eastAsia"/>
              </w:rPr>
              <w:t>万㎡</w:t>
            </w:r>
          </w:p>
        </w:tc>
        <w:tc>
          <w:tcPr>
            <w:tcW w:w="1530" w:type="dxa"/>
            <w:tcBorders>
              <w:right w:val="nil"/>
            </w:tcBorders>
          </w:tcPr>
          <w:p>
            <w:pPr>
              <w:pStyle w:val="Normal0"/>
              <w:jc w:val="center"/>
              <w:rPr>
                <w:rFonts w:eastAsia="宋体" w:hint="eastAsia"/>
              </w:rPr>
            </w:pPr>
            <w:r>
              <w:rPr>
                <w:rFonts w:eastAsia="宋体" w:hint="eastAsia"/>
              </w:rPr>
              <w:t>2.13</w:t>
            </w:r>
          </w:p>
        </w:tc>
      </w:tr>
      <w:tr>
        <w:tblPrEx>
          <w:tblW w:w="0" w:type="auto"/>
          <w:tblInd w:w="1760" w:type="dxa"/>
          <w:tblCellMar>
            <w:top w:w="0" w:type="dxa"/>
            <w:left w:w="108" w:type="dxa"/>
            <w:bottom w:w="0" w:type="dxa"/>
            <w:right w:w="108" w:type="dxa"/>
          </w:tblCellMar>
        </w:tblPrEx>
        <w:tc>
          <w:tcPr>
            <w:tcW w:w="1725" w:type="dxa"/>
            <w:tcBorders>
              <w:left w:val="nil"/>
            </w:tcBorders>
          </w:tcPr>
          <w:p>
            <w:pPr>
              <w:pStyle w:val="Normal0"/>
              <w:jc w:val="center"/>
              <w:rPr>
                <w:rFonts w:eastAsia="宋体" w:hint="eastAsia"/>
              </w:rPr>
            </w:pPr>
            <w:r>
              <w:rPr>
                <w:rFonts w:eastAsia="宋体" w:hint="eastAsia"/>
              </w:rPr>
              <w:t>3.道路用地</w:t>
            </w:r>
          </w:p>
        </w:tc>
        <w:tc>
          <w:tcPr>
            <w:tcW w:w="1515" w:type="dxa"/>
          </w:tcPr>
          <w:p>
            <w:pPr>
              <w:pStyle w:val="Normal0"/>
              <w:jc w:val="center"/>
              <w:rPr>
                <w:rFonts w:eastAsia="宋体" w:hint="eastAsia"/>
              </w:rPr>
            </w:pPr>
            <w:r>
              <w:rPr>
                <w:rFonts w:eastAsia="宋体" w:hint="eastAsia"/>
              </w:rPr>
              <w:t>万㎡</w:t>
            </w:r>
          </w:p>
        </w:tc>
        <w:tc>
          <w:tcPr>
            <w:tcW w:w="1530" w:type="dxa"/>
            <w:tcBorders>
              <w:right w:val="nil"/>
            </w:tcBorders>
          </w:tcPr>
          <w:p>
            <w:pPr>
              <w:pStyle w:val="Normal0"/>
              <w:jc w:val="center"/>
              <w:rPr>
                <w:rFonts w:eastAsia="宋体" w:hint="eastAsia"/>
              </w:rPr>
            </w:pPr>
            <w:r>
              <w:rPr>
                <w:rFonts w:eastAsia="宋体" w:hint="eastAsia"/>
              </w:rPr>
              <w:t>1.09</w:t>
            </w:r>
          </w:p>
        </w:tc>
      </w:tr>
      <w:tr>
        <w:tblPrEx>
          <w:tblW w:w="0" w:type="auto"/>
          <w:tblInd w:w="1760" w:type="dxa"/>
          <w:tblCellMar>
            <w:top w:w="0" w:type="dxa"/>
            <w:left w:w="108" w:type="dxa"/>
            <w:bottom w:w="0" w:type="dxa"/>
            <w:right w:w="108" w:type="dxa"/>
          </w:tblCellMar>
        </w:tblPrEx>
        <w:tc>
          <w:tcPr>
            <w:tcW w:w="1725" w:type="dxa"/>
            <w:tcBorders>
              <w:left w:val="nil"/>
            </w:tcBorders>
          </w:tcPr>
          <w:p>
            <w:pPr>
              <w:pStyle w:val="Normal0"/>
              <w:jc w:val="center"/>
              <w:rPr>
                <w:rFonts w:eastAsia="宋体" w:hint="eastAsia"/>
              </w:rPr>
            </w:pPr>
            <w:r>
              <w:rPr>
                <w:rFonts w:eastAsia="宋体" w:hint="eastAsia"/>
              </w:rPr>
              <w:t>4.公共绿地</w:t>
            </w:r>
          </w:p>
        </w:tc>
        <w:tc>
          <w:tcPr>
            <w:tcW w:w="1515" w:type="dxa"/>
          </w:tcPr>
          <w:p>
            <w:pPr>
              <w:pStyle w:val="Normal0"/>
              <w:jc w:val="center"/>
              <w:rPr>
                <w:rFonts w:eastAsia="宋体" w:hint="eastAsia"/>
              </w:rPr>
            </w:pPr>
            <w:r>
              <w:rPr>
                <w:rFonts w:eastAsia="宋体" w:hint="eastAsia"/>
              </w:rPr>
              <w:t>万㎡</w:t>
            </w:r>
          </w:p>
        </w:tc>
        <w:tc>
          <w:tcPr>
            <w:tcW w:w="1530" w:type="dxa"/>
            <w:tcBorders>
              <w:right w:val="nil"/>
            </w:tcBorders>
          </w:tcPr>
          <w:p>
            <w:pPr>
              <w:pStyle w:val="Normal0"/>
              <w:jc w:val="center"/>
              <w:rPr>
                <w:rFonts w:eastAsia="宋体" w:hint="eastAsia"/>
              </w:rPr>
            </w:pPr>
            <w:r>
              <w:rPr>
                <w:rFonts w:eastAsia="宋体" w:hint="eastAsia"/>
              </w:rPr>
              <w:t>2.0</w:t>
            </w:r>
          </w:p>
        </w:tc>
      </w:tr>
      <w:tr>
        <w:tblPrEx>
          <w:tblW w:w="0" w:type="auto"/>
          <w:tblInd w:w="1760" w:type="dxa"/>
          <w:tblCellMar>
            <w:top w:w="0" w:type="dxa"/>
            <w:left w:w="108" w:type="dxa"/>
            <w:bottom w:w="0" w:type="dxa"/>
            <w:right w:w="108" w:type="dxa"/>
          </w:tblCellMar>
        </w:tblPrEx>
        <w:tc>
          <w:tcPr>
            <w:tcW w:w="1725" w:type="dxa"/>
            <w:tcBorders>
              <w:left w:val="nil"/>
            </w:tcBorders>
          </w:tcPr>
          <w:p>
            <w:pPr>
              <w:pStyle w:val="Normal0"/>
              <w:jc w:val="center"/>
              <w:rPr>
                <w:rFonts w:eastAsia="宋体" w:hint="eastAsia"/>
              </w:rPr>
            </w:pPr>
            <w:r>
              <w:rPr>
                <w:rFonts w:eastAsia="宋体" w:hint="eastAsia"/>
              </w:rPr>
              <w:t>其他用地</w:t>
            </w:r>
          </w:p>
        </w:tc>
        <w:tc>
          <w:tcPr>
            <w:tcW w:w="1515" w:type="dxa"/>
          </w:tcPr>
          <w:p>
            <w:pPr>
              <w:pStyle w:val="Normal0"/>
              <w:jc w:val="center"/>
              <w:rPr>
                <w:rFonts w:eastAsia="宋体" w:hint="eastAsia"/>
              </w:rPr>
            </w:pPr>
            <w:r>
              <w:rPr>
                <w:rFonts w:eastAsia="宋体" w:hint="eastAsia"/>
              </w:rPr>
              <w:t>万㎡</w:t>
            </w:r>
          </w:p>
        </w:tc>
        <w:tc>
          <w:tcPr>
            <w:tcW w:w="1530" w:type="dxa"/>
            <w:tcBorders>
              <w:right w:val="nil"/>
            </w:tcBorders>
          </w:tcPr>
          <w:p>
            <w:pPr>
              <w:pStyle w:val="Normal0"/>
              <w:jc w:val="center"/>
              <w:rPr>
                <w:rFonts w:eastAsia="宋体" w:hint="eastAsia"/>
              </w:rPr>
            </w:pPr>
            <w:r>
              <w:rPr>
                <w:rFonts w:eastAsia="宋体" w:hint="eastAsia"/>
              </w:rPr>
              <w:t>0.41</w:t>
            </w:r>
          </w:p>
        </w:tc>
      </w:tr>
    </w:tbl>
    <w:p>
      <w:pPr>
        <w:pStyle w:val="BodyTextIndent"/>
        <w:spacing w:line="360" w:lineRule="auto"/>
        <w:ind w:firstLine="0" w:firstLineChars="0"/>
        <w:rPr>
          <w:rFonts w:hint="eastAsia"/>
          <w:sz w:val="24"/>
        </w:rPr>
      </w:pPr>
    </w:p>
    <w:p>
      <w:pPr>
        <w:pStyle w:val="Heading1"/>
        <w:rPr>
          <w:rFonts w:eastAsia="宋体" w:hint="eastAsia"/>
          <w:b w:val="0"/>
          <w:sz w:val="24"/>
          <w:szCs w:val="24"/>
          <w:lang w:eastAsia="zh-CN"/>
        </w:rPr>
      </w:pPr>
      <w:bookmarkStart w:id="22" w:name="_Toc50787378"/>
      <w:r>
        <w:rPr>
          <w:rFonts w:hint="eastAsia"/>
          <w:b w:val="0"/>
          <w:sz w:val="24"/>
          <w:szCs w:val="24"/>
        </w:rPr>
        <w:t>四、选址</w:t>
      </w:r>
      <w:bookmarkEnd w:id="22"/>
      <w:r>
        <w:rPr>
          <w:rFonts w:hint="eastAsia"/>
          <w:b w:val="0"/>
          <w:sz w:val="24"/>
          <w:szCs w:val="24"/>
          <w:lang w:eastAsia="zh-CN"/>
        </w:rPr>
        <w:t>合适的方案</w:t>
      </w:r>
    </w:p>
    <w:p>
      <w:pPr>
        <w:pStyle w:val="Normal0"/>
        <w:spacing w:line="360" w:lineRule="auto"/>
        <w:ind w:firstLine="480" w:firstLineChars="200"/>
        <w:rPr>
          <w:rFonts w:ascii="宋体" w:eastAsia="宋体" w:hAnsi="宋体" w:hint="eastAsia"/>
        </w:rPr>
      </w:pPr>
      <w:r>
        <w:rPr>
          <w:rFonts w:ascii="宋体" w:eastAsia="宋体" w:hAnsi="宋体" w:hint="eastAsia"/>
        </w:rPr>
        <w:t>眼下人们买房，不光看房型、地段、朝向，还要看小区的环境、园林设计、信息网络等是否到位。本着节约用地，少占耕地，减少拆迁移民有利于场区合理布置和安全运行几有利于保护环境和生态，有利于保护风景区和文物古迹的原则，依据1、造就武汉市建设规划的要求。2、适应小区投资</w:t>
      </w:r>
      <w:r>
        <w:rPr>
          <w:rFonts w:ascii="宋体" w:eastAsia="宋体" w:hAnsi="宋体" w:hint="eastAsia"/>
          <w:lang w:eastAsia="zh-CN"/>
        </w:rPr>
        <w:t>相关项目</w:t>
      </w:r>
      <w:r>
        <w:rPr>
          <w:rFonts w:ascii="宋体" w:eastAsia="宋体" w:hAnsi="宋体" w:hint="eastAsia"/>
        </w:rPr>
        <w:t>的要求。3、适应小区房屋用途的要求。4、拥有便利的交通条件。5、满足土地的地质条件，市政基础设施等因素需要。我们选定三个位置(详见附图1：场址位置图)。</w:t>
      </w:r>
    </w:p>
    <w:p>
      <w:pPr>
        <w:pStyle w:val="Normal0"/>
        <w:spacing w:line="360" w:lineRule="auto"/>
        <w:rPr>
          <w:rFonts w:ascii="楷体_GB2312" w:eastAsia="宋体" w:hAnsi="宋体" w:hint="eastAsia"/>
          <w:bCs/>
        </w:rPr>
      </w:pPr>
      <w:r>
        <w:rPr>
          <w:rFonts w:ascii="宋体" w:eastAsia="宋体" w:hAnsi="宋体" w:hint="eastAsia"/>
          <w:bCs/>
        </w:rPr>
        <w:t>选址位置一：</w:t>
      </w:r>
    </w:p>
    <w:p>
      <w:pPr>
        <w:pStyle w:val="BodyTextIndent2"/>
        <w:ind w:firstLine="461"/>
        <w:rPr>
          <w:rFonts w:hint="eastAsia"/>
          <w:sz w:val="24"/>
        </w:rPr>
      </w:pPr>
      <w:r>
        <w:rPr>
          <w:rFonts w:hint="eastAsia"/>
          <w:sz w:val="24"/>
        </w:rPr>
        <w:t>拟建于鲁巷广场西南。小区北靠雄楚大街、东接民院路，西临湖北经济</w:t>
      </w:r>
      <w:r>
        <w:rPr>
          <w:rFonts w:hint="eastAsia"/>
          <w:sz w:val="24"/>
          <w:lang w:eastAsia="zh-CN"/>
        </w:rPr>
        <w:t>管理管控</w:t>
      </w:r>
      <w:r>
        <w:rPr>
          <w:rFonts w:hint="eastAsia"/>
          <w:sz w:val="24"/>
        </w:rPr>
        <w:t>大学，南至南湖。</w:t>
      </w:r>
    </w:p>
    <w:p>
      <w:pPr>
        <w:pStyle w:val="Normal0"/>
        <w:spacing w:line="360" w:lineRule="auto"/>
        <w:rPr>
          <w:rFonts w:ascii="宋体" w:eastAsia="宋体" w:hAnsi="宋体" w:hint="eastAsia"/>
          <w:bCs/>
        </w:rPr>
      </w:pPr>
      <w:r>
        <w:rPr>
          <w:rFonts w:ascii="宋体" w:eastAsia="宋体" w:hAnsi="宋体" w:hint="eastAsia"/>
          <w:bCs/>
        </w:rPr>
        <w:t>选址位置二：</w:t>
      </w:r>
    </w:p>
    <w:p>
      <w:pPr>
        <w:pStyle w:val="Normal0"/>
        <w:spacing w:line="360" w:lineRule="auto"/>
        <w:ind w:firstLine="480" w:firstLineChars="200"/>
        <w:rPr>
          <w:rFonts w:ascii="宋体" w:eastAsia="宋体" w:hAnsi="宋体"/>
        </w:rPr>
      </w:pPr>
      <w:r>
        <w:rPr>
          <w:rFonts w:ascii="宋体" w:eastAsia="宋体" w:hAnsi="宋体" w:hint="eastAsia"/>
        </w:rPr>
        <w:t>拟建于关东科技工业园内，东临关山三路，南接大黄村，西连武汉鼓风机厂、市消声器厂，北靠武黄路，路对面是原武汉城建学院、马鞍山森林公园。</w:t>
      </w:r>
    </w:p>
    <w:p>
      <w:pPr>
        <w:pStyle w:val="Normal0"/>
        <w:spacing w:line="360" w:lineRule="auto"/>
        <w:rPr>
          <w:rFonts w:ascii="宋体" w:eastAsia="宋体" w:hAnsi="宋体" w:hint="eastAsia"/>
          <w:bCs/>
        </w:rPr>
      </w:pPr>
      <w:r>
        <w:rPr>
          <w:rFonts w:ascii="宋体" w:eastAsia="宋体" w:hAnsi="宋体" w:hint="eastAsia"/>
          <w:bCs/>
        </w:rPr>
        <w:t>选址位置三：</w:t>
      </w:r>
    </w:p>
    <w:p>
      <w:pPr>
        <w:pStyle w:val="BodyTextIndent2"/>
        <w:ind w:firstLine="461"/>
        <w:rPr>
          <w:rFonts w:hint="eastAsia"/>
          <w:sz w:val="24"/>
        </w:rPr>
      </w:pPr>
      <w:r>
        <w:rPr>
          <w:rFonts w:hint="eastAsia"/>
          <w:sz w:val="24"/>
        </w:rPr>
        <w:t>拟建于华中科技大学西一门外，北接中国地质大学，西临鲁磨路，南靠华中科技大学紫菘公寓。</w:t>
      </w:r>
    </w:p>
    <w:p>
      <w:pPr>
        <w:pStyle w:val="Normal0"/>
        <w:spacing w:line="360" w:lineRule="auto"/>
        <w:ind w:firstLine="480" w:firstLineChars="200"/>
        <w:rPr>
          <w:rFonts w:ascii="宋体" w:eastAsia="宋体" w:hAnsi="宋体" w:hint="eastAsia"/>
        </w:rPr>
      </w:pPr>
      <w:r>
        <w:rPr>
          <w:rFonts w:ascii="宋体" w:eastAsia="宋体" w:hAnsi="宋体" w:hint="eastAsia"/>
        </w:rPr>
        <w:t>三个</w:t>
      </w:r>
      <w:r>
        <w:rPr>
          <w:rFonts w:ascii="宋体" w:eastAsia="宋体" w:hAnsi="宋体" w:hint="eastAsia"/>
          <w:lang w:eastAsia="zh-CN"/>
        </w:rPr>
        <w:t>合适的方案</w:t>
      </w:r>
      <w:r>
        <w:rPr>
          <w:rFonts w:ascii="宋体" w:eastAsia="宋体" w:hAnsi="宋体" w:hint="eastAsia"/>
        </w:rPr>
        <w:t>各有千秋，但经过比选优化，最终选择“选址位置二”。其理由：</w:t>
      </w:r>
    </w:p>
    <w:p>
      <w:pPr>
        <w:pStyle w:val="Normal0"/>
        <w:spacing w:line="360" w:lineRule="auto"/>
        <w:ind w:firstLine="480" w:firstLineChars="200"/>
        <w:rPr>
          <w:rFonts w:ascii="宋体" w:eastAsia="宋体" w:hAnsi="宋体" w:hint="eastAsia"/>
        </w:rPr>
      </w:pPr>
      <w:r>
        <w:rPr>
          <w:rFonts w:ascii="宋体" w:eastAsia="宋体" w:hAnsi="宋体" w:hint="eastAsia"/>
        </w:rPr>
        <w:t>通过收集资料、走访调查、查阅资料及抽样调查，运用科学方法整理和分析相关的信息资料，兹对</w:t>
      </w:r>
      <w:r>
        <w:rPr>
          <w:rFonts w:ascii="宋体" w:eastAsia="宋体" w:hAnsi="宋体" w:hint="eastAsia"/>
          <w:lang w:eastAsia="zh-CN"/>
        </w:rPr>
        <w:t>相关项目</w:t>
      </w:r>
      <w:r>
        <w:rPr>
          <w:rFonts w:ascii="宋体" w:eastAsia="宋体" w:hAnsi="宋体" w:hint="eastAsia"/>
        </w:rPr>
        <w:t>选址的科学性、可行性作以下评述。</w:t>
      </w:r>
    </w:p>
    <w:p>
      <w:pPr>
        <w:pStyle w:val="Normal0"/>
        <w:spacing w:line="360" w:lineRule="auto"/>
        <w:rPr>
          <w:rFonts w:ascii="宋体" w:eastAsia="宋体" w:hAnsi="宋体" w:hint="eastAsia"/>
          <w:bCs/>
        </w:rPr>
        <w:sectPr>
          <w:headerReference w:type="default" r:id="rId35"/>
          <w:footerReference w:type="default" r:id="rId36"/>
          <w:type w:val="nextPage"/>
          <w:pgSz w:w="11906" w:h="16838"/>
          <w:pgMar w:top="539" w:right="926" w:bottom="1440" w:left="1800" w:header="495" w:footer="992" w:gutter="0"/>
          <w:pgNumType w:start="15"/>
          <w:cols w:num="1" w:space="425"/>
          <w:titlePg w:val="0"/>
          <w:docGrid w:type="lines" w:linePitch="360" w:charSpace="0"/>
        </w:sectPr>
      </w:pPr>
      <w:r>
        <w:rPr>
          <w:rFonts w:ascii="黑体" w:eastAsia="宋体" w:hAnsi="Arial" w:cs="Arial" w:hint="eastAsia"/>
          <w:bCs/>
        </w:rPr>
        <w:t>一．</w:t>
      </w:r>
      <w:r>
        <w:rPr>
          <w:rFonts w:ascii="黑体" w:eastAsia="宋体" w:hAnsi="Arial" w:cs="Arial" w:hint="eastAsia"/>
          <w:bCs/>
          <w:lang w:eastAsia="zh-CN"/>
        </w:rPr>
        <w:t>相关项目</w:t>
      </w:r>
      <w:r>
        <w:rPr>
          <w:rFonts w:ascii="黑体" w:eastAsia="宋体" w:hAnsi="Arial" w:cs="Arial" w:hint="eastAsia"/>
          <w:bCs/>
        </w:rPr>
        <w:t>概况</w:t>
      </w:r>
    </w:p>
    <w:p>
      <w:pPr>
        <w:pStyle w:val="Normal0"/>
        <w:spacing w:line="360" w:lineRule="auto"/>
        <w:rPr>
          <w:rFonts w:ascii="宋体" w:eastAsia="宋体" w:hAnsi="宋体" w:hint="eastAsia"/>
        </w:rPr>
      </w:pPr>
      <w:r>
        <w:rPr>
          <w:rFonts w:ascii="宋体" w:eastAsia="宋体" w:hAnsi="宋体" w:hint="eastAsia"/>
          <w:bCs/>
        </w:rPr>
        <w:t>1.</w:t>
      </w:r>
      <w:r>
        <w:rPr>
          <w:rFonts w:ascii="宋体" w:eastAsia="宋体" w:hAnsi="宋体" w:hint="eastAsia"/>
        </w:rPr>
        <w:t xml:space="preserve"> 自然条件</w:t>
      </w:r>
    </w:p>
    <w:p>
      <w:pPr>
        <w:pStyle w:val="Normal0"/>
        <w:spacing w:line="360" w:lineRule="auto"/>
        <w:ind w:firstLine="480" w:firstLineChars="200"/>
        <w:rPr>
          <w:rFonts w:ascii="宋体" w:eastAsia="宋体" w:hAnsi="宋体" w:hint="eastAsia"/>
        </w:rPr>
      </w:pPr>
      <w:r>
        <w:rPr>
          <w:rFonts w:ascii="宋体" w:eastAsia="宋体" w:hAnsi="宋体" w:hint="eastAsia"/>
        </w:rPr>
        <w:t>通过对该地块的构成成分、结构形式、资源状况、承载力的情况进行勘测和研究，发现该地块地质好，属于四类土（沙砾坚土），地基强度好，适用于钢筋混凝土基础，建造10万平方米的房地产才不会超过土地承载力。该地块自然条件良好，不会影响到土地平整、开挖土石方、道路铺设、基础施工及地下工程排水。</w:t>
      </w:r>
    </w:p>
    <w:p>
      <w:pPr>
        <w:pStyle w:val="Normal0"/>
        <w:spacing w:line="360" w:lineRule="auto"/>
        <w:rPr>
          <w:rFonts w:ascii="宋体" w:eastAsia="宋体" w:hAnsi="宋体" w:hint="eastAsia"/>
        </w:rPr>
      </w:pPr>
      <w:r>
        <w:rPr>
          <w:rFonts w:ascii="宋体" w:eastAsia="宋体" w:hAnsi="宋体" w:hint="eastAsia"/>
          <w:bCs/>
        </w:rPr>
        <w:t>2.</w:t>
      </w:r>
      <w:r>
        <w:rPr>
          <w:rFonts w:ascii="宋体" w:eastAsia="宋体" w:hAnsi="宋体" w:hint="eastAsia"/>
        </w:rPr>
        <w:t xml:space="preserve"> 城市的基础设施条件</w:t>
      </w:r>
    </w:p>
    <w:p>
      <w:pPr>
        <w:pStyle w:val="BodyTextIndent"/>
        <w:spacing w:line="360" w:lineRule="auto"/>
        <w:ind w:firstLine="410"/>
        <w:rPr>
          <w:rFonts w:ascii="宋体" w:hAnsi="宋体" w:hint="eastAsia"/>
          <w:sz w:val="24"/>
        </w:rPr>
      </w:pPr>
      <w:r>
        <w:rPr>
          <w:rFonts w:ascii="宋体" w:hAnsi="宋体" w:hint="eastAsia"/>
          <w:sz w:val="24"/>
        </w:rPr>
        <w:t>政府部门通过开发</w:t>
      </w:r>
      <w:r>
        <w:rPr>
          <w:rFonts w:ascii="宋体" w:hAnsi="宋体" w:hint="eastAsia"/>
          <w:sz w:val="24"/>
          <w:lang w:eastAsia="zh-CN"/>
        </w:rPr>
        <w:t>相关项目</w:t>
      </w:r>
      <w:r>
        <w:rPr>
          <w:rFonts w:ascii="宋体" w:hAnsi="宋体" w:hint="eastAsia"/>
          <w:sz w:val="24"/>
        </w:rPr>
        <w:t>征收环境配套费，已为</w:t>
      </w:r>
      <w:r>
        <w:rPr>
          <w:rFonts w:ascii="宋体" w:hAnsi="宋体" w:hint="eastAsia"/>
          <w:sz w:val="24"/>
          <w:lang w:eastAsia="zh-CN"/>
        </w:rPr>
        <w:t>相关项目</w:t>
      </w:r>
      <w:r>
        <w:rPr>
          <w:rFonts w:ascii="宋体" w:hAnsi="宋体" w:hint="eastAsia"/>
          <w:sz w:val="24"/>
        </w:rPr>
        <w:t>提供了排水、电力、燃气、供热、交通等基础设施。</w:t>
      </w:r>
      <w:r>
        <w:rPr>
          <w:rFonts w:ascii="宋体" w:hAnsi="宋体" w:hint="eastAsia"/>
          <w:sz w:val="24"/>
          <w:lang w:eastAsia="zh-CN"/>
        </w:rPr>
        <w:t>相关项目</w:t>
      </w:r>
      <w:r>
        <w:rPr>
          <w:rFonts w:ascii="宋体" w:hAnsi="宋体" w:hint="eastAsia"/>
          <w:sz w:val="24"/>
        </w:rPr>
        <w:t>与城市基础设施网络连接点较近，不需要建造水处理系统。同时经该楼盘有十余条公交线路，五条过江航线，即将修建的汉口常青至武昌森林公园地铁线路其始就在这里，交通方便。周边学校、医院、购物、娱乐场所和公园绿地完善齐备，为居民日常生活提供便捷。珞瑜路这几年的变化日新月异，一改昔日的荒凉，成为今天武昌地区一块黄金地段开发热土。该街区各</w:t>
      </w:r>
      <w:r>
        <w:rPr>
          <w:rFonts w:ascii="宋体" w:hAnsi="宋体" w:hint="eastAsia"/>
          <w:sz w:val="24"/>
          <w:lang w:eastAsia="zh-CN"/>
        </w:rPr>
        <w:t>相关项目</w:t>
      </w:r>
      <w:r>
        <w:rPr>
          <w:rFonts w:ascii="宋体" w:hAnsi="宋体" w:hint="eastAsia"/>
          <w:sz w:val="24"/>
        </w:rPr>
        <w:t>配套设施正在不断完善。如菜场、超市、邮局、银行、……随着大量居民入住和光谷的利用开发，该街区的发展前景将一片乐观。</w:t>
      </w:r>
    </w:p>
    <w:p>
      <w:pPr>
        <w:pStyle w:val="Normal0"/>
        <w:spacing w:line="360" w:lineRule="auto"/>
        <w:rPr>
          <w:rFonts w:ascii="宋体" w:eastAsia="宋体" w:hAnsi="宋体" w:hint="eastAsia"/>
        </w:rPr>
      </w:pPr>
      <w:r>
        <w:rPr>
          <w:rFonts w:ascii="宋体" w:eastAsia="宋体" w:hAnsi="宋体" w:hint="eastAsia"/>
          <w:bCs/>
        </w:rPr>
        <w:t>3.</w:t>
      </w:r>
      <w:r>
        <w:rPr>
          <w:rFonts w:ascii="宋体" w:eastAsia="宋体" w:hAnsi="宋体" w:hint="eastAsia"/>
        </w:rPr>
        <w:t xml:space="preserve"> 周边环境条件</w:t>
      </w:r>
    </w:p>
    <w:p>
      <w:pPr>
        <w:pStyle w:val="Normal0"/>
        <w:spacing w:line="360" w:lineRule="auto"/>
        <w:ind w:firstLine="480" w:firstLineChars="200"/>
        <w:rPr>
          <w:rFonts w:ascii="宋体" w:eastAsia="宋体" w:hAnsi="宋体" w:hint="eastAsia"/>
        </w:rPr>
      </w:pPr>
      <w:r>
        <w:rPr>
          <w:rFonts w:ascii="宋体" w:eastAsia="宋体" w:hAnsi="宋体" w:hint="eastAsia"/>
        </w:rPr>
        <w:t>小区拟建于关东科技工业园内，北靠武黄路，路对面是原武汉城建学院。由原城建学院向北为东湖自然风景区，东湖是全国最大的市内湖淡水湖之一，水域开阔，风光宜人，环湖路绿树红花掩映，曲转回折，是武汉市民周末休闲度假的理想去处。东北面的武昌自然环境保护区——马鞍山森林公园，步行5分钟就可到达。整个小区有山有水，树木繁密，绿地完善齐备，污染小，空气清新，环境幽雅。</w:t>
      </w:r>
    </w:p>
    <w:p>
      <w:pPr>
        <w:pStyle w:val="BodyTextIndent"/>
        <w:spacing w:line="360" w:lineRule="auto"/>
        <w:ind w:firstLine="0" w:firstLineChars="0"/>
        <w:rPr>
          <w:rFonts w:ascii="宋体" w:hAnsi="宋体"/>
          <w:sz w:val="24"/>
        </w:rPr>
      </w:pPr>
      <w:r>
        <w:rPr>
          <w:rFonts w:ascii="宋体" w:hAnsi="宋体"/>
          <w:sz w:val="24"/>
        </w:rPr>
        <w:t>湛蓝的天、清澈的</w:t>
      </w:r>
      <w:r>
        <w:rPr>
          <w:rFonts w:ascii="宋体" w:hAnsi="宋体" w:hint="eastAsia"/>
          <w:sz w:val="24"/>
        </w:rPr>
        <w:t>水</w:t>
      </w:r>
      <w:r>
        <w:rPr>
          <w:rFonts w:ascii="宋体" w:hAnsi="宋体"/>
          <w:sz w:val="24"/>
        </w:rPr>
        <w:t>是其引以为傲的亮点，郁郁葱葱的松林、芳草茵茵的绿地让你在蓝与绿的交响中感受大自然的气息、享受返朴归真的美丽。独特的地理位置，赋予了</w:t>
      </w:r>
      <w:r>
        <w:rPr>
          <w:rFonts w:ascii="宋体" w:hAnsi="宋体" w:hint="eastAsia"/>
          <w:sz w:val="24"/>
        </w:rPr>
        <w:t>小区</w:t>
      </w:r>
      <w:r>
        <w:rPr>
          <w:rFonts w:ascii="宋体" w:hAnsi="宋体"/>
          <w:sz w:val="24"/>
        </w:rPr>
        <w:t>更深刻的内涵。</w:t>
      </w:r>
    </w:p>
    <w:p>
      <w:pPr>
        <w:pStyle w:val="Normal0"/>
        <w:spacing w:line="360" w:lineRule="auto"/>
        <w:ind w:firstLine="480" w:firstLineChars="200"/>
        <w:rPr>
          <w:rFonts w:ascii="宋体" w:eastAsia="宋体" w:hAnsi="宋体" w:hint="eastAsia"/>
        </w:rPr>
        <w:sectPr>
          <w:headerReference w:type="default" r:id="rId37"/>
          <w:footerReference w:type="default" r:id="rId38"/>
          <w:type w:val="nextPage"/>
          <w:pgSz w:w="11906" w:h="16838"/>
          <w:pgMar w:top="539" w:right="926" w:bottom="1440" w:left="1800" w:header="495" w:footer="992" w:gutter="0"/>
          <w:pgNumType w:start="16"/>
          <w:cols w:num="1" w:space="425"/>
          <w:titlePg w:val="0"/>
          <w:docGrid w:type="lines" w:linePitch="360" w:charSpace="0"/>
        </w:sectPr>
      </w:pPr>
    </w:p>
    <w:p>
      <w:pPr>
        <w:pStyle w:val="Normal0"/>
        <w:spacing w:line="360" w:lineRule="auto"/>
        <w:ind w:firstLine="480" w:firstLineChars="200"/>
        <w:rPr>
          <w:rFonts w:ascii="宋体" w:eastAsia="宋体" w:hAnsi="宋体" w:hint="eastAsia"/>
        </w:rPr>
      </w:pPr>
      <w:r>
        <w:rPr>
          <w:rFonts w:ascii="宋体" w:eastAsia="宋体" w:hAnsi="宋体" w:hint="eastAsia"/>
        </w:rPr>
        <w:t>小区地处光谷，且处在武汉重点教育基地位置，周围有上10所高等学府，学术氛围浓厚，汇集大量高素质的人才，形成一流人文环境。与书为邻，以德为友，让人尽情享受私密化的个人空间。</w:t>
      </w:r>
    </w:p>
    <w:p>
      <w:pPr>
        <w:pStyle w:val="Normal0"/>
        <w:spacing w:line="360" w:lineRule="auto"/>
        <w:ind w:firstLine="480" w:firstLineChars="200"/>
        <w:rPr>
          <w:rFonts w:ascii="宋体" w:eastAsia="宋体" w:hAnsi="宋体" w:hint="eastAsia"/>
        </w:rPr>
      </w:pPr>
      <w:r>
        <w:rPr>
          <w:rFonts w:ascii="宋体" w:eastAsia="宋体" w:hAnsi="宋体" w:hint="eastAsia"/>
          <w:lang w:eastAsia="zh-CN"/>
        </w:rPr>
        <w:t>相关项目</w:t>
      </w:r>
      <w:r>
        <w:rPr>
          <w:rFonts w:ascii="宋体" w:eastAsia="宋体" w:hAnsi="宋体" w:hint="eastAsia"/>
        </w:rPr>
        <w:t>选址区域附近人口密度适中，居住人口都是从事高新技术人员，受教育程度高，文化素养好，消费能力可靠，具有很强的够房能力。</w:t>
      </w:r>
    </w:p>
    <w:p>
      <w:pPr>
        <w:pStyle w:val="Normal0"/>
        <w:spacing w:line="360" w:lineRule="auto"/>
        <w:ind w:firstLine="480" w:firstLineChars="200"/>
        <w:rPr>
          <w:rFonts w:ascii="宋体" w:eastAsia="宋体" w:hAnsi="宋体" w:hint="eastAsia"/>
        </w:rPr>
      </w:pPr>
      <w:r>
        <w:rPr>
          <w:rFonts w:ascii="宋体" w:eastAsia="宋体" w:hAnsi="宋体" w:hint="eastAsia"/>
        </w:rPr>
        <w:t>此地浸染着闻名全国的武汉高校风景区的书香墨秀。山水环抱，人杰地灵。云集的高校带来济济人才。故选择此地的人士同时也为下一代选择了一个良好的文化和教育环境。</w:t>
      </w:r>
    </w:p>
    <w:p>
      <w:pPr>
        <w:pStyle w:val="Normal0"/>
        <w:spacing w:line="360" w:lineRule="auto"/>
        <w:rPr>
          <w:rFonts w:ascii="宋体" w:eastAsia="宋体" w:hAnsi="宋体" w:hint="eastAsia"/>
          <w:bCs/>
        </w:rPr>
      </w:pPr>
      <w:r>
        <w:rPr>
          <w:rFonts w:ascii="黑体" w:eastAsia="宋体" w:hAnsi="Arial" w:cs="Arial" w:hint="eastAsia"/>
          <w:bCs/>
        </w:rPr>
        <w:t>二．开发地址的获取与开发</w:t>
      </w:r>
    </w:p>
    <w:p>
      <w:pPr>
        <w:pStyle w:val="Normal0"/>
        <w:spacing w:line="360" w:lineRule="auto"/>
        <w:ind w:firstLine="480" w:firstLineChars="200"/>
        <w:rPr>
          <w:rFonts w:ascii="宋体" w:eastAsia="宋体" w:hAnsi="宋体" w:hint="eastAsia"/>
        </w:rPr>
      </w:pPr>
      <w:r>
        <w:rPr>
          <w:rFonts w:ascii="宋体" w:eastAsia="宋体" w:hAnsi="宋体" w:hint="eastAsia"/>
          <w:bCs/>
        </w:rPr>
        <w:t>1.</w:t>
      </w:r>
      <w:r>
        <w:rPr>
          <w:rFonts w:ascii="宋体" w:eastAsia="宋体" w:hAnsi="宋体" w:hint="eastAsia"/>
        </w:rPr>
        <w:t xml:space="preserve"> 该地块土地使用权以出让方式取得，土地开发实行“统一规划、合理布局、综合开发、配套建设”的方针。该</w:t>
      </w:r>
      <w:r>
        <w:rPr>
          <w:rFonts w:ascii="宋体" w:eastAsia="宋体" w:hAnsi="宋体" w:hint="eastAsia"/>
          <w:lang w:eastAsia="zh-CN"/>
        </w:rPr>
        <w:t>相关项目</w:t>
      </w:r>
      <w:r>
        <w:rPr>
          <w:rFonts w:ascii="宋体" w:eastAsia="宋体" w:hAnsi="宋体" w:hint="eastAsia"/>
        </w:rPr>
        <w:t>建设用地按如下程序进行：</w:t>
      </w:r>
    </w:p>
    <w:p>
      <w:pPr>
        <w:pStyle w:val="Normal0"/>
        <w:spacing w:line="360" w:lineRule="auto"/>
        <w:rPr>
          <w:rFonts w:ascii="宋体" w:eastAsia="宋体" w:hAnsi="宋体" w:hint="eastAsia"/>
        </w:rPr>
      </w:pPr>
      <w:r>
        <w:rPr>
          <w:rFonts w:ascii="宋体" w:eastAsia="宋体" w:hAnsi="宋体" w:hint="eastAsia"/>
        </w:rPr>
        <w:t>(1)申请选址。向土地</w:t>
      </w:r>
      <w:r>
        <w:rPr>
          <w:rFonts w:ascii="宋体" w:eastAsia="宋体" w:hAnsi="宋体" w:hint="eastAsia"/>
          <w:lang w:eastAsia="zh-CN"/>
        </w:rPr>
        <w:t>管理管控</w:t>
      </w:r>
      <w:r>
        <w:rPr>
          <w:rFonts w:ascii="宋体" w:eastAsia="宋体" w:hAnsi="宋体" w:hint="eastAsia"/>
        </w:rPr>
        <w:t>部门提出用地申请，经同意后进行选址。</w:t>
      </w:r>
    </w:p>
    <w:p>
      <w:pPr>
        <w:pStyle w:val="Normal0"/>
        <w:spacing w:line="360" w:lineRule="auto"/>
        <w:rPr>
          <w:rFonts w:ascii="宋体" w:eastAsia="宋体" w:hAnsi="宋体" w:hint="eastAsia"/>
        </w:rPr>
      </w:pPr>
      <w:r>
        <w:rPr>
          <w:rFonts w:ascii="宋体" w:eastAsia="宋体" w:hAnsi="宋体" w:hint="eastAsia"/>
        </w:rPr>
        <w:t>(2)制订</w:t>
      </w:r>
      <w:r>
        <w:rPr>
          <w:rFonts w:ascii="宋体" w:eastAsia="宋体" w:hAnsi="宋体" w:hint="eastAsia"/>
          <w:lang w:eastAsia="zh-CN"/>
        </w:rPr>
        <w:t>合适的方案</w:t>
      </w:r>
      <w:r>
        <w:rPr>
          <w:rFonts w:ascii="宋体" w:eastAsia="宋体" w:hAnsi="宋体" w:hint="eastAsia"/>
        </w:rPr>
        <w:t>。由土地</w:t>
      </w:r>
      <w:r>
        <w:rPr>
          <w:rFonts w:ascii="宋体" w:eastAsia="宋体" w:hAnsi="宋体" w:hint="eastAsia"/>
          <w:lang w:eastAsia="zh-CN"/>
        </w:rPr>
        <w:t>管理管控</w:t>
      </w:r>
      <w:r>
        <w:rPr>
          <w:rFonts w:ascii="宋体" w:eastAsia="宋体" w:hAnsi="宋体" w:hint="eastAsia"/>
        </w:rPr>
        <w:t>部门组织用地单位、被征地单位及有关部门，对选址范围的人口、土地和房屋等进行调查研究制定补偿</w:t>
      </w:r>
      <w:r>
        <w:rPr>
          <w:rFonts w:ascii="宋体" w:eastAsia="宋体" w:hAnsi="宋体" w:hint="eastAsia"/>
          <w:lang w:eastAsia="zh-CN"/>
        </w:rPr>
        <w:t>合适的方案</w:t>
      </w:r>
      <w:r>
        <w:rPr>
          <w:rFonts w:ascii="宋体" w:eastAsia="宋体" w:hAnsi="宋体" w:hint="eastAsia"/>
        </w:rPr>
        <w:t>。</w:t>
      </w:r>
    </w:p>
    <w:p>
      <w:pPr>
        <w:pStyle w:val="Normal0"/>
        <w:spacing w:line="360" w:lineRule="auto"/>
        <w:rPr>
          <w:rFonts w:ascii="宋体" w:eastAsia="宋体" w:hAnsi="宋体" w:hint="eastAsia"/>
        </w:rPr>
      </w:pPr>
      <w:r>
        <w:rPr>
          <w:rFonts w:ascii="宋体" w:eastAsia="宋体" w:hAnsi="宋体" w:hint="eastAsia"/>
        </w:rPr>
        <w:t>(3)申请批准。向武汉市人民政府正式申请审批，批准后的征地</w:t>
      </w:r>
      <w:r>
        <w:rPr>
          <w:rFonts w:ascii="宋体" w:eastAsia="宋体" w:hAnsi="宋体" w:hint="eastAsia"/>
          <w:lang w:eastAsia="zh-CN"/>
        </w:rPr>
        <w:t>合适的方案</w:t>
      </w:r>
      <w:r>
        <w:rPr>
          <w:rFonts w:ascii="宋体" w:eastAsia="宋体" w:hAnsi="宋体" w:hint="eastAsia"/>
        </w:rPr>
        <w:t>，由城市规划部门核定“红线图”，发出规划许可用地通知。</w:t>
      </w:r>
    </w:p>
    <w:p>
      <w:pPr>
        <w:pStyle w:val="Normal0"/>
        <w:spacing w:line="360" w:lineRule="auto"/>
        <w:rPr>
          <w:rFonts w:ascii="宋体" w:eastAsia="宋体" w:hAnsi="宋体" w:hint="eastAsia"/>
        </w:rPr>
      </w:pPr>
      <w:r>
        <w:rPr>
          <w:rFonts w:ascii="宋体" w:eastAsia="宋体" w:hAnsi="宋体" w:hint="eastAsia"/>
        </w:rPr>
        <w:t>(4)发布用地通告：由城市土地</w:t>
      </w:r>
      <w:r>
        <w:rPr>
          <w:rFonts w:ascii="宋体" w:eastAsia="宋体" w:hAnsi="宋体" w:hint="eastAsia"/>
          <w:lang w:eastAsia="zh-CN"/>
        </w:rPr>
        <w:t>管理管控</w:t>
      </w:r>
      <w:r>
        <w:rPr>
          <w:rFonts w:ascii="宋体" w:eastAsia="宋体" w:hAnsi="宋体" w:hint="eastAsia"/>
        </w:rPr>
        <w:t>部门发出具有法律效力的用地通告。</w:t>
      </w:r>
    </w:p>
    <w:p>
      <w:pPr>
        <w:pStyle w:val="Normal0"/>
        <w:spacing w:line="360" w:lineRule="auto"/>
        <w:rPr>
          <w:rFonts w:ascii="宋体" w:eastAsia="宋体" w:hAnsi="宋体" w:hint="eastAsia"/>
        </w:rPr>
      </w:pPr>
      <w:r>
        <w:rPr>
          <w:rFonts w:ascii="宋体" w:eastAsia="宋体" w:hAnsi="宋体" w:hint="eastAsia"/>
        </w:rPr>
        <w:t>(5)签定补偿、安置</w:t>
      </w:r>
      <w:r>
        <w:rPr>
          <w:rFonts w:ascii="宋体" w:eastAsia="宋体" w:hAnsi="宋体" w:hint="eastAsia"/>
          <w:lang w:eastAsia="zh-CN"/>
        </w:rPr>
        <w:t>合同合约</w:t>
      </w:r>
      <w:r>
        <w:rPr>
          <w:rFonts w:ascii="宋体" w:eastAsia="宋体" w:hAnsi="宋体" w:hint="eastAsia"/>
        </w:rPr>
        <w:t>：由用地单位的法人代表与土地所有者或原有土地使用者或他们的委托人，按平等互利、等价有偿和协商一致的原则签定</w:t>
      </w:r>
      <w:r>
        <w:rPr>
          <w:rFonts w:ascii="宋体" w:eastAsia="宋体" w:hAnsi="宋体" w:hint="eastAsia"/>
          <w:lang w:eastAsia="zh-CN"/>
        </w:rPr>
        <w:t>合同合约</w:t>
      </w:r>
      <w:r>
        <w:rPr>
          <w:rFonts w:ascii="宋体" w:eastAsia="宋体" w:hAnsi="宋体" w:hint="eastAsia"/>
        </w:rPr>
        <w:t>或协议，并经土地</w:t>
      </w:r>
      <w:r>
        <w:rPr>
          <w:rFonts w:ascii="宋体" w:eastAsia="宋体" w:hAnsi="宋体" w:hint="eastAsia"/>
          <w:lang w:eastAsia="zh-CN"/>
        </w:rPr>
        <w:t>管理管控</w:t>
      </w:r>
      <w:r>
        <w:rPr>
          <w:rFonts w:ascii="宋体" w:eastAsia="宋体" w:hAnsi="宋体" w:hint="eastAsia"/>
        </w:rPr>
        <w:t>机关签证。</w:t>
      </w:r>
    </w:p>
    <w:p>
      <w:pPr>
        <w:pStyle w:val="Normal0"/>
        <w:spacing w:line="360" w:lineRule="auto"/>
        <w:rPr>
          <w:rFonts w:ascii="宋体" w:eastAsia="宋体" w:hAnsi="宋体" w:hint="eastAsia"/>
        </w:rPr>
      </w:pPr>
      <w:r>
        <w:rPr>
          <w:rFonts w:ascii="宋体" w:eastAsia="宋体" w:hAnsi="宋体" w:hint="eastAsia"/>
        </w:rPr>
        <w:t>(6)发证：由土地</w:t>
      </w:r>
      <w:r>
        <w:rPr>
          <w:rFonts w:ascii="宋体" w:eastAsia="宋体" w:hAnsi="宋体" w:hint="eastAsia"/>
          <w:lang w:eastAsia="zh-CN"/>
        </w:rPr>
        <w:t>管理管控</w:t>
      </w:r>
      <w:r>
        <w:rPr>
          <w:rFonts w:ascii="宋体" w:eastAsia="宋体" w:hAnsi="宋体" w:hint="eastAsia"/>
        </w:rPr>
        <w:t>部门签发准许使用土地的证明。</w:t>
      </w:r>
    </w:p>
    <w:p>
      <w:pPr>
        <w:pStyle w:val="Normal0"/>
        <w:spacing w:line="360" w:lineRule="auto"/>
        <w:ind w:firstLine="478" w:firstLineChars="199"/>
        <w:rPr>
          <w:rFonts w:ascii="宋体" w:eastAsia="宋体" w:hAnsi="宋体"/>
        </w:rPr>
      </w:pPr>
      <w:r>
        <w:rPr>
          <w:rFonts w:ascii="宋体" w:eastAsia="宋体" w:hAnsi="宋体" w:hint="eastAsia"/>
          <w:bCs/>
        </w:rPr>
        <w:t>2.</w:t>
      </w:r>
      <w:r>
        <w:rPr>
          <w:rFonts w:ascii="宋体" w:eastAsia="宋体" w:hAnsi="宋体" w:hint="eastAsia"/>
        </w:rPr>
        <w:t xml:space="preserve"> 对该地块开发成本主要包括拆迁安置费和土地批租费(详见投资开发</w:t>
      </w:r>
      <w:r>
        <w:rPr>
          <w:rFonts w:ascii="宋体" w:eastAsia="宋体" w:hAnsi="宋体" w:hint="eastAsia"/>
          <w:lang w:eastAsia="zh-CN"/>
        </w:rPr>
        <w:t>合适的方案</w:t>
      </w:r>
      <w:r>
        <w:rPr>
          <w:rFonts w:ascii="宋体" w:eastAsia="宋体" w:hAnsi="宋体" w:hint="eastAsia"/>
        </w:rPr>
        <w:t>中的</w:t>
      </w:r>
      <w:r>
        <w:rPr>
          <w:rFonts w:ascii="宋体" w:eastAsia="宋体" w:hAnsi="宋体" w:hint="eastAsia"/>
          <w:lang w:eastAsia="zh-CN"/>
        </w:rPr>
        <w:t>相关项目</w:t>
      </w:r>
      <w:r>
        <w:rPr>
          <w:rFonts w:ascii="宋体" w:eastAsia="宋体" w:hAnsi="宋体" w:hint="eastAsia"/>
        </w:rPr>
        <w:t>的总投资估算表)。</w:t>
      </w:r>
    </w:p>
    <w:p>
      <w:pPr>
        <w:pStyle w:val="Normal0"/>
        <w:spacing w:line="360" w:lineRule="auto"/>
        <w:rPr>
          <w:rFonts w:ascii="宋体" w:eastAsia="宋体" w:hAnsi="宋体" w:hint="eastAsia"/>
        </w:rPr>
      </w:pPr>
      <w:r>
        <w:rPr>
          <w:rFonts w:ascii="黑体" w:eastAsia="宋体" w:hAnsi="Arial" w:cs="Arial" w:hint="eastAsia"/>
          <w:bCs/>
        </w:rPr>
        <w:t>三．建设条件</w:t>
      </w:r>
    </w:p>
    <w:p>
      <w:pPr>
        <w:pStyle w:val="Normal0"/>
        <w:spacing w:line="360" w:lineRule="auto"/>
        <w:ind w:left="420"/>
        <w:rPr>
          <w:rFonts w:ascii="宋体" w:eastAsia="宋体" w:hAnsi="宋体" w:hint="eastAsia"/>
        </w:rPr>
      </w:pPr>
      <w:r>
        <w:rPr>
          <w:rFonts w:ascii="宋体" w:eastAsia="宋体" w:hAnsi="宋体" w:hint="eastAsia"/>
          <w:bCs/>
        </w:rPr>
        <w:t>1.</w:t>
      </w:r>
      <w:r>
        <w:rPr>
          <w:rFonts w:ascii="宋体" w:eastAsia="宋体" w:hAnsi="宋体" w:hint="eastAsia"/>
        </w:rPr>
        <w:t xml:space="preserve"> 供水</w:t>
      </w:r>
    </w:p>
    <w:p>
      <w:pPr>
        <w:pStyle w:val="Normal0"/>
        <w:spacing w:line="360" w:lineRule="auto"/>
        <w:ind w:left="420"/>
        <w:rPr>
          <w:rFonts w:ascii="宋体" w:eastAsia="宋体" w:hAnsi="宋体" w:hint="eastAsia"/>
        </w:rPr>
      </w:pPr>
      <w:r>
        <w:rPr>
          <w:rFonts w:ascii="宋体" w:eastAsia="宋体" w:hAnsi="宋体" w:hint="eastAsia"/>
        </w:rPr>
        <w:t>在鼓风小区东侧有现状DN1000</w:t>
      </w:r>
      <w:r>
        <w:rPr>
          <w:rFonts w:ascii="宋体" w:eastAsia="宋体" w:hAnsi="宋体"/>
        </w:rPr>
        <w:t>mm</w:t>
      </w:r>
      <w:r>
        <w:rPr>
          <w:rFonts w:ascii="宋体" w:eastAsia="宋体" w:hAnsi="宋体" w:hint="eastAsia"/>
        </w:rPr>
        <w:t>上水管线，本</w:t>
      </w:r>
      <w:r>
        <w:rPr>
          <w:rFonts w:ascii="宋体" w:eastAsia="宋体" w:hAnsi="宋体" w:hint="eastAsia"/>
          <w:lang w:eastAsia="zh-CN"/>
        </w:rPr>
        <w:t>相关项目</w:t>
      </w:r>
      <w:r>
        <w:rPr>
          <w:rFonts w:ascii="宋体" w:eastAsia="宋体" w:hAnsi="宋体" w:hint="eastAsia"/>
        </w:rPr>
        <w:t>上水可从上述干线引入。</w:t>
      </w:r>
    </w:p>
    <w:p>
      <w:pPr>
        <w:pStyle w:val="Normal0"/>
        <w:spacing w:line="360" w:lineRule="auto"/>
        <w:ind w:left="420"/>
        <w:rPr>
          <w:rFonts w:ascii="宋体" w:eastAsia="宋体" w:hAnsi="宋体" w:hint="eastAsia"/>
        </w:rPr>
        <w:sectPr>
          <w:headerReference w:type="default" r:id="rId39"/>
          <w:footerReference w:type="default" r:id="rId40"/>
          <w:type w:val="nextPage"/>
          <w:pgSz w:w="11906" w:h="16838"/>
          <w:pgMar w:top="539" w:right="926" w:bottom="1440" w:left="1800" w:header="495" w:footer="992" w:gutter="0"/>
          <w:pgNumType w:start="17"/>
          <w:cols w:num="1" w:space="425"/>
          <w:titlePg w:val="0"/>
          <w:docGrid w:type="lines" w:linePitch="360" w:charSpace="0"/>
        </w:sectPr>
      </w:pPr>
      <w:r>
        <w:rPr>
          <w:rFonts w:ascii="宋体" w:eastAsia="宋体" w:hAnsi="宋体" w:hint="eastAsia"/>
          <w:bCs/>
        </w:rPr>
        <w:t>2.</w:t>
      </w:r>
      <w:r>
        <w:rPr>
          <w:rFonts w:ascii="宋体" w:eastAsia="宋体" w:hAnsi="宋体" w:hint="eastAsia"/>
        </w:rPr>
        <w:t xml:space="preserve"> 雨，污水排放</w:t>
      </w:r>
    </w:p>
    <w:p>
      <w:pPr>
        <w:pStyle w:val="Normal0"/>
        <w:spacing w:line="360" w:lineRule="auto"/>
        <w:ind w:firstLine="480" w:firstLineChars="200"/>
        <w:rPr>
          <w:rFonts w:ascii="宋体" w:eastAsia="宋体" w:hAnsi="宋体" w:hint="eastAsia"/>
        </w:rPr>
      </w:pPr>
      <w:r>
        <w:rPr>
          <w:rFonts w:ascii="宋体" w:eastAsia="宋体" w:hAnsi="宋体" w:hint="eastAsia"/>
        </w:rPr>
        <w:t>武黄路大街现有现状DN2100毫米的雨水管线和DN1800毫米的污水管线，可以就进排入。</w:t>
      </w:r>
    </w:p>
    <w:p>
      <w:pPr>
        <w:pStyle w:val="Normal0"/>
        <w:spacing w:line="360" w:lineRule="auto"/>
        <w:ind w:left="420"/>
        <w:rPr>
          <w:rFonts w:ascii="宋体" w:eastAsia="宋体" w:hAnsi="宋体" w:hint="eastAsia"/>
        </w:rPr>
      </w:pPr>
      <w:r>
        <w:rPr>
          <w:rFonts w:ascii="宋体" w:eastAsia="宋体" w:hAnsi="宋体" w:hint="eastAsia"/>
          <w:bCs/>
        </w:rPr>
        <w:t>3.</w:t>
      </w:r>
      <w:r>
        <w:rPr>
          <w:rFonts w:ascii="宋体" w:eastAsia="宋体" w:hAnsi="宋体" w:hint="eastAsia"/>
        </w:rPr>
        <w:t xml:space="preserve"> 供热</w:t>
      </w:r>
    </w:p>
    <w:p>
      <w:pPr>
        <w:pStyle w:val="Normal0"/>
        <w:spacing w:line="360" w:lineRule="auto"/>
        <w:ind w:left="420"/>
        <w:rPr>
          <w:rFonts w:ascii="宋体" w:eastAsia="宋体" w:hAnsi="宋体" w:hint="eastAsia"/>
        </w:rPr>
      </w:pPr>
      <w:r>
        <w:rPr>
          <w:rFonts w:ascii="宋体" w:eastAsia="宋体" w:hAnsi="宋体" w:hint="eastAsia"/>
        </w:rPr>
        <w:t>拟从武黄路新敷设的供热干线接入。</w:t>
      </w:r>
    </w:p>
    <w:p>
      <w:pPr>
        <w:pStyle w:val="Normal0"/>
        <w:spacing w:line="360" w:lineRule="auto"/>
        <w:ind w:left="420"/>
        <w:rPr>
          <w:rFonts w:ascii="宋体" w:eastAsia="宋体" w:hAnsi="宋体" w:hint="eastAsia"/>
        </w:rPr>
      </w:pPr>
      <w:r>
        <w:rPr>
          <w:rFonts w:ascii="宋体" w:eastAsia="宋体" w:hAnsi="宋体" w:hint="eastAsia"/>
          <w:bCs/>
        </w:rPr>
        <w:t>4.</w:t>
      </w:r>
      <w:r>
        <w:rPr>
          <w:rFonts w:ascii="宋体" w:eastAsia="宋体" w:hAnsi="宋体" w:hint="eastAsia"/>
        </w:rPr>
        <w:t xml:space="preserve"> 供电</w:t>
      </w:r>
    </w:p>
    <w:p>
      <w:pPr>
        <w:pStyle w:val="Normal0"/>
        <w:spacing w:line="360" w:lineRule="auto"/>
        <w:ind w:firstLine="480" w:firstLineChars="200"/>
        <w:rPr>
          <w:rFonts w:ascii="宋体" w:eastAsia="宋体" w:hAnsi="宋体" w:hint="eastAsia"/>
        </w:rPr>
      </w:pPr>
      <w:r>
        <w:rPr>
          <w:rFonts w:ascii="宋体" w:eastAsia="宋体" w:hAnsi="宋体" w:hint="eastAsia"/>
        </w:rPr>
        <w:t>拟采用双路供电，一路从鼓风机厂开闭站引一条10千伏电缆，接入小区内配电室；另一路可由东鑫饭店配电室引入。考虑留有余地，变压器容量为8000千伏安。</w:t>
      </w:r>
    </w:p>
    <w:p>
      <w:pPr>
        <w:pStyle w:val="Normal0"/>
        <w:spacing w:line="360" w:lineRule="auto"/>
        <w:ind w:left="420"/>
        <w:rPr>
          <w:rFonts w:ascii="宋体" w:eastAsia="宋体" w:hAnsi="宋体" w:hint="eastAsia"/>
        </w:rPr>
      </w:pPr>
      <w:r>
        <w:rPr>
          <w:rFonts w:ascii="宋体" w:eastAsia="宋体" w:hAnsi="宋体" w:hint="eastAsia"/>
          <w:bCs/>
        </w:rPr>
        <w:t>5.</w:t>
      </w:r>
      <w:r>
        <w:rPr>
          <w:rFonts w:ascii="宋体" w:eastAsia="宋体" w:hAnsi="宋体" w:hint="eastAsia"/>
        </w:rPr>
        <w:t xml:space="preserve"> 供气</w:t>
      </w:r>
    </w:p>
    <w:p>
      <w:pPr>
        <w:pStyle w:val="BodyTextIndent"/>
        <w:spacing w:line="360" w:lineRule="auto"/>
        <w:ind w:firstLine="410"/>
        <w:rPr>
          <w:rFonts w:ascii="宋体" w:hAnsi="宋体" w:hint="eastAsia"/>
          <w:sz w:val="24"/>
        </w:rPr>
      </w:pPr>
      <w:r>
        <w:rPr>
          <w:rFonts w:ascii="宋体" w:hAnsi="宋体" w:hint="eastAsia"/>
          <w:sz w:val="24"/>
        </w:rPr>
        <w:t>已由鲁磨路引入了天然气高压线，已建成了天然气高中压调压站。通过天然气中压管向区内送气。本</w:t>
      </w:r>
      <w:r>
        <w:rPr>
          <w:rFonts w:ascii="宋体" w:hAnsi="宋体" w:hint="eastAsia"/>
          <w:sz w:val="24"/>
          <w:lang w:eastAsia="zh-CN"/>
        </w:rPr>
        <w:t>相关项目</w:t>
      </w:r>
      <w:r>
        <w:rPr>
          <w:rFonts w:ascii="宋体" w:hAnsi="宋体" w:hint="eastAsia"/>
          <w:sz w:val="24"/>
        </w:rPr>
        <w:t>住宅区前后的道路、绿化以及所需的各种市政条件及基础设施配套，均由武汉宏达房地产开发公司统一开发，各种设施接口均至本</w:t>
      </w:r>
      <w:r>
        <w:rPr>
          <w:rFonts w:ascii="宋体" w:hAnsi="宋体" w:hint="eastAsia"/>
          <w:sz w:val="24"/>
          <w:lang w:eastAsia="zh-CN"/>
        </w:rPr>
        <w:t>相关项目</w:t>
      </w:r>
      <w:r>
        <w:rPr>
          <w:rFonts w:ascii="宋体" w:hAnsi="宋体" w:hint="eastAsia"/>
          <w:sz w:val="24"/>
        </w:rPr>
        <w:t>红线内。目前，本</w:t>
      </w:r>
      <w:r>
        <w:rPr>
          <w:rFonts w:ascii="宋体" w:hAnsi="宋体" w:hint="eastAsia"/>
          <w:sz w:val="24"/>
          <w:lang w:eastAsia="zh-CN"/>
        </w:rPr>
        <w:t>相关项目</w:t>
      </w:r>
      <w:r>
        <w:rPr>
          <w:rFonts w:ascii="宋体" w:hAnsi="宋体" w:hint="eastAsia"/>
          <w:sz w:val="24"/>
        </w:rPr>
        <w:t>建设场地以达到“三通一平”，其他配套设施将与住宅建设同步进行。</w:t>
      </w:r>
    </w:p>
    <w:p>
      <w:pPr>
        <w:pStyle w:val="Normal0"/>
        <w:spacing w:line="360" w:lineRule="auto"/>
        <w:ind w:left="420"/>
        <w:rPr>
          <w:rFonts w:ascii="宋体" w:eastAsia="宋体" w:hAnsi="宋体" w:hint="eastAsia"/>
        </w:rPr>
      </w:pPr>
      <w:r>
        <w:rPr>
          <w:rFonts w:ascii="宋体" w:eastAsia="宋体" w:hAnsi="宋体" w:hint="eastAsia"/>
          <w:bCs/>
        </w:rPr>
        <w:t>6.</w:t>
      </w:r>
      <w:r>
        <w:rPr>
          <w:rFonts w:ascii="宋体" w:eastAsia="宋体" w:hAnsi="宋体" w:hint="eastAsia"/>
        </w:rPr>
        <w:t xml:space="preserve"> 电信</w:t>
      </w:r>
    </w:p>
    <w:p>
      <w:pPr>
        <w:pStyle w:val="Normal0"/>
        <w:spacing w:line="360" w:lineRule="auto"/>
        <w:ind w:firstLine="480" w:firstLineChars="200"/>
        <w:rPr>
          <w:rFonts w:ascii="宋体" w:eastAsia="宋体" w:hAnsi="宋体" w:hint="eastAsia"/>
        </w:rPr>
      </w:pPr>
      <w:r>
        <w:rPr>
          <w:rFonts w:ascii="宋体" w:eastAsia="宋体" w:hAnsi="宋体" w:hint="eastAsia"/>
        </w:rPr>
        <w:t>本</w:t>
      </w:r>
      <w:r>
        <w:rPr>
          <w:rFonts w:ascii="宋体" w:eastAsia="宋体" w:hAnsi="宋体" w:hint="eastAsia"/>
          <w:lang w:eastAsia="zh-CN"/>
        </w:rPr>
        <w:t>相关项目</w:t>
      </w:r>
      <w:r>
        <w:rPr>
          <w:rFonts w:ascii="宋体" w:eastAsia="宋体" w:hAnsi="宋体" w:hint="eastAsia"/>
        </w:rPr>
        <w:t>预计需装机容量为820门的程控交换机，拟由洪山区电话局从831开设下属分局解决。</w:t>
      </w:r>
    </w:p>
    <w:p>
      <w:pPr>
        <w:pStyle w:val="Normal0"/>
        <w:spacing w:line="360" w:lineRule="auto"/>
        <w:rPr>
          <w:rFonts w:ascii="宋体" w:eastAsia="宋体" w:hAnsi="宋体" w:hint="eastAsia"/>
          <w:bCs/>
        </w:rPr>
      </w:pPr>
      <w:r>
        <w:rPr>
          <w:rFonts w:ascii="黑体" w:eastAsia="宋体" w:hAnsi="Arial" w:cs="Arial" w:hint="eastAsia"/>
          <w:bCs/>
        </w:rPr>
        <w:t>四．建设规模</w:t>
      </w:r>
    </w:p>
    <w:p>
      <w:pPr>
        <w:pStyle w:val="Normal0"/>
        <w:spacing w:line="360" w:lineRule="auto"/>
        <w:ind w:firstLine="480" w:firstLineChars="200"/>
        <w:rPr>
          <w:rFonts w:ascii="宋体" w:eastAsia="宋体" w:hAnsi="宋体" w:hint="eastAsia"/>
        </w:rPr>
      </w:pPr>
      <w:r>
        <w:rPr>
          <w:rFonts w:ascii="宋体" w:eastAsia="宋体" w:hAnsi="宋体" w:hint="eastAsia"/>
        </w:rPr>
        <w:t>总占地面积10万平方米，总建筑面积12.9万平方米（其中公建面积约1.3万平方米），总户数996户，地下停车场4820平方米，绿化面积近4.5万平方米，容积率1.3。小区内部规划“一中心四组团”，中心区天然山石人工瀑布，周边四个组团各成体系、各具特色。小区内有托儿所、小商场、银行…………</w:t>
      </w:r>
    </w:p>
    <w:p>
      <w:pPr>
        <w:pStyle w:val="Normal0"/>
        <w:spacing w:line="360" w:lineRule="auto"/>
        <w:rPr>
          <w:rFonts w:ascii="宋体" w:eastAsia="宋体" w:hAnsi="宋体" w:hint="eastAsia"/>
          <w:bCs/>
        </w:rPr>
      </w:pPr>
      <w:r>
        <w:rPr>
          <w:rFonts w:ascii="黑体" w:eastAsia="宋体" w:hAnsi="Arial" w:cs="Arial" w:hint="eastAsia"/>
          <w:bCs/>
        </w:rPr>
        <w:t>五．环境保护</w:t>
      </w:r>
    </w:p>
    <w:p>
      <w:pPr>
        <w:pStyle w:val="Normal0"/>
        <w:spacing w:line="360" w:lineRule="auto"/>
        <w:ind w:firstLine="480" w:firstLineChars="200"/>
        <w:rPr>
          <w:rFonts w:ascii="宋体" w:eastAsia="宋体" w:hAnsi="宋体" w:hint="eastAsia"/>
        </w:rPr>
      </w:pPr>
      <w:r>
        <w:rPr>
          <w:rFonts w:ascii="宋体" w:eastAsia="宋体" w:hAnsi="宋体" w:hint="eastAsia"/>
          <w:bCs/>
        </w:rPr>
        <w:t xml:space="preserve">1. </w:t>
      </w:r>
      <w:r>
        <w:rPr>
          <w:rFonts w:ascii="宋体" w:eastAsia="宋体" w:hAnsi="宋体" w:hint="eastAsia"/>
        </w:rPr>
        <w:t>大气</w:t>
      </w:r>
    </w:p>
    <w:p>
      <w:pPr>
        <w:pStyle w:val="BodyTextIndent"/>
        <w:spacing w:line="360" w:lineRule="auto"/>
        <w:ind w:firstLine="410"/>
        <w:rPr>
          <w:rFonts w:ascii="宋体" w:hAnsi="宋体" w:hint="eastAsia"/>
          <w:sz w:val="24"/>
        </w:rPr>
        <w:sectPr>
          <w:headerReference w:type="default" r:id="rId41"/>
          <w:footerReference w:type="default" r:id="rId42"/>
          <w:type w:val="nextPage"/>
          <w:pgSz w:w="11906" w:h="16838"/>
          <w:pgMar w:top="539" w:right="926" w:bottom="1440" w:left="1800" w:header="495" w:footer="992" w:gutter="0"/>
          <w:pgNumType w:start="18"/>
          <w:cols w:num="1" w:space="425"/>
          <w:titlePg w:val="0"/>
          <w:docGrid w:type="lines" w:linePitch="360" w:charSpace="0"/>
        </w:sectPr>
      </w:pPr>
      <w:r>
        <w:rPr>
          <w:rFonts w:ascii="宋体" w:hAnsi="宋体" w:hint="eastAsia"/>
          <w:sz w:val="24"/>
        </w:rPr>
        <w:t>制冷拟采用溴化锂装置，取消了制冷剂氟里昂的使用，有利于保护臭氧层。餐饮以煤气为燃料，所以应在操作间设计通风排气装置，且排气烟囱避开其它环境敏感地段。地下停车场废气主要为汽车尾气，再次安装通风排气装置。</w:t>
      </w:r>
    </w:p>
    <w:p>
      <w:pPr>
        <w:pStyle w:val="Normal0"/>
        <w:spacing w:line="360" w:lineRule="auto"/>
        <w:ind w:firstLine="480" w:firstLineChars="200"/>
        <w:rPr>
          <w:rFonts w:ascii="宋体" w:eastAsia="宋体" w:hAnsi="宋体" w:hint="eastAsia"/>
        </w:rPr>
      </w:pPr>
      <w:r>
        <w:rPr>
          <w:rFonts w:ascii="宋体" w:eastAsia="宋体" w:hAnsi="宋体" w:hint="eastAsia"/>
          <w:bCs/>
        </w:rPr>
        <w:t xml:space="preserve">2. </w:t>
      </w:r>
      <w:r>
        <w:rPr>
          <w:rFonts w:ascii="宋体" w:eastAsia="宋体" w:hAnsi="宋体" w:hint="eastAsia"/>
        </w:rPr>
        <w:t>污水处理</w:t>
      </w:r>
    </w:p>
    <w:p>
      <w:pPr>
        <w:pStyle w:val="Normal0"/>
        <w:spacing w:line="360" w:lineRule="auto"/>
        <w:ind w:firstLine="480" w:firstLineChars="200"/>
        <w:rPr>
          <w:rFonts w:ascii="宋体" w:eastAsia="宋体" w:hAnsi="宋体" w:hint="eastAsia"/>
        </w:rPr>
      </w:pPr>
      <w:r>
        <w:rPr>
          <w:rFonts w:ascii="宋体" w:eastAsia="宋体" w:hAnsi="宋体" w:hint="eastAsia"/>
        </w:rPr>
        <w:t>本</w:t>
      </w:r>
      <w:r>
        <w:rPr>
          <w:rFonts w:ascii="宋体" w:eastAsia="宋体" w:hAnsi="宋体" w:hint="eastAsia"/>
          <w:lang w:eastAsia="zh-CN"/>
        </w:rPr>
        <w:t>相关项目</w:t>
      </w:r>
      <w:r>
        <w:rPr>
          <w:rFonts w:ascii="宋体" w:eastAsia="宋体" w:hAnsi="宋体" w:hint="eastAsia"/>
        </w:rPr>
        <w:t>产生 的污水主要有餐饮废水，生活废水和洗浴污水。生活废水和餐饮废水经隔油，沉淀处理后排入下水道。</w:t>
      </w:r>
    </w:p>
    <w:p>
      <w:pPr>
        <w:pStyle w:val="Heading1"/>
        <w:rPr>
          <w:b w:val="0"/>
          <w:sz w:val="24"/>
          <w:szCs w:val="24"/>
        </w:rPr>
      </w:pPr>
      <w:bookmarkStart w:id="23" w:name="_Toc50787379"/>
      <w:r>
        <w:rPr>
          <w:rFonts w:hint="eastAsia"/>
          <w:b w:val="0"/>
          <w:sz w:val="24"/>
          <w:szCs w:val="24"/>
        </w:rPr>
        <w:t>五、节能节水措施</w:t>
      </w:r>
      <w:bookmarkEnd w:id="23"/>
    </w:p>
    <w:p>
      <w:pPr>
        <w:pStyle w:val="Normal0"/>
        <w:spacing w:line="360" w:lineRule="auto"/>
        <w:rPr>
          <w:rFonts w:ascii="宋体" w:eastAsia="宋体"/>
          <w:lang w:val="zh-CN"/>
        </w:rPr>
      </w:pPr>
      <w:r>
        <w:rPr>
          <w:rFonts w:ascii="黑体" w:eastAsia="宋体" w:hAnsi="Arial" w:cs="Arial" w:hint="eastAsia"/>
          <w:bCs/>
        </w:rPr>
        <w:t>一．节能措施</w:t>
      </w:r>
    </w:p>
    <w:p>
      <w:pPr>
        <w:pStyle w:val="Normal0"/>
        <w:autoSpaceDE w:val="0"/>
        <w:autoSpaceDN w:val="0"/>
        <w:adjustRightInd w:val="0"/>
        <w:spacing w:line="360" w:lineRule="auto"/>
        <w:ind w:firstLine="480" w:firstLineChars="200"/>
        <w:rPr>
          <w:rFonts w:ascii="宋体" w:eastAsia="宋体"/>
          <w:lang w:val="zh-CN"/>
        </w:rPr>
      </w:pPr>
      <w:r>
        <w:rPr>
          <w:rFonts w:ascii="宋体" w:eastAsia="宋体" w:hint="eastAsia"/>
          <w:lang w:val="zh-CN"/>
        </w:rPr>
        <w:t>现代花园小区建筑热环境和能源系统的设计应贯彻国家和地方有关节约能源的法规和政策，严格执行《夏热冬冷地区居住建筑节能设计标准》。保证舒适，健康的室内热环境基础上，采取有效的节能措施，改善建筑的热工性能，降低建筑全年能耗；积极采用对环境污染小的可再生能源，并提高采暖、空调等耗能系统的效率；最大限度地减少建筑对能源的需求和对空气污染的破坏，以实现可持续发展的目标。</w:t>
      </w:r>
    </w:p>
    <w:p>
      <w:pPr>
        <w:pStyle w:val="Normal0"/>
        <w:spacing w:line="360" w:lineRule="auto"/>
        <w:rPr>
          <w:rFonts w:ascii="宋体" w:eastAsia="宋体"/>
          <w:lang w:val="zh-CN"/>
        </w:rPr>
      </w:pPr>
      <w:r>
        <w:rPr>
          <w:rFonts w:eastAsia="宋体"/>
          <w:bCs/>
        </w:rPr>
        <w:t>1</w:t>
      </w:r>
      <w:r>
        <w:rPr>
          <w:rFonts w:eastAsia="宋体" w:hint="eastAsia"/>
          <w:bCs/>
        </w:rPr>
        <w:t>、建筑节能技术</w:t>
      </w:r>
    </w:p>
    <w:p>
      <w:pPr>
        <w:pStyle w:val="Normal0"/>
        <w:autoSpaceDE w:val="0"/>
        <w:autoSpaceDN w:val="0"/>
        <w:adjustRightInd w:val="0"/>
        <w:spacing w:line="360" w:lineRule="auto"/>
        <w:ind w:firstLine="480" w:firstLineChars="200"/>
        <w:rPr>
          <w:rFonts w:ascii="宋体" w:eastAsia="宋体"/>
          <w:lang w:val="zh-CN"/>
        </w:rPr>
      </w:pPr>
      <w:r>
        <w:rPr>
          <w:rFonts w:ascii="宋体" w:eastAsia="宋体" w:hint="eastAsia"/>
          <w:lang w:val="zh-CN"/>
        </w:rPr>
        <w:t>该工程维护结构的保温材料选择和构造合适的方案如下：</w:t>
      </w:r>
    </w:p>
    <w:p>
      <w:pPr>
        <w:pStyle w:val="Normal0"/>
        <w:autoSpaceDE w:val="0"/>
        <w:autoSpaceDN w:val="0"/>
        <w:adjustRightInd w:val="0"/>
        <w:spacing w:line="360" w:lineRule="auto"/>
        <w:ind w:firstLine="480" w:firstLineChars="200"/>
        <w:rPr>
          <w:rFonts w:ascii="宋体" w:eastAsia="宋体"/>
          <w:lang w:val="zh-CN"/>
        </w:rPr>
      </w:pPr>
      <w:r>
        <w:rPr>
          <w:rFonts w:ascii="宋体" w:eastAsia="宋体" w:hint="eastAsia"/>
          <w:lang w:val="zh-CN"/>
        </w:rPr>
        <w:t>屋面：选用</w:t>
      </w:r>
      <w:r>
        <w:rPr>
          <w:rFonts w:ascii="宋体" w:eastAsia="宋体"/>
          <w:lang w:val="zh-CN"/>
        </w:rPr>
        <w:t>150mm</w:t>
      </w:r>
      <w:r>
        <w:rPr>
          <w:rFonts w:ascii="宋体" w:eastAsia="宋体" w:hint="eastAsia"/>
          <w:lang w:val="zh-CN"/>
        </w:rPr>
        <w:t>厚水泥聚苯保温板做保温层，材料密度</w:t>
      </w:r>
      <w:r>
        <w:rPr>
          <w:rFonts w:ascii="宋体" w:eastAsia="宋体"/>
          <w:lang w:val="zh-CN"/>
        </w:rPr>
        <w:t>280-300kg/m3.</w:t>
      </w:r>
      <w:r>
        <w:rPr>
          <w:rFonts w:ascii="宋体" w:eastAsia="宋体" w:hint="eastAsia"/>
          <w:lang w:val="zh-CN"/>
        </w:rPr>
        <w:t>屋面传热系数</w:t>
      </w:r>
      <w:r>
        <w:rPr>
          <w:rFonts w:ascii="宋体" w:eastAsia="宋体"/>
          <w:lang w:val="zh-CN"/>
        </w:rPr>
        <w:t>=0.60W/</w:t>
      </w:r>
      <w:r>
        <w:rPr>
          <w:rFonts w:ascii="宋体" w:eastAsia="宋体" w:hint="eastAsia"/>
          <w:lang w:val="zh-CN"/>
        </w:rPr>
        <w:t>(</w:t>
      </w:r>
      <w:r>
        <w:rPr>
          <w:rFonts w:ascii="宋体" w:eastAsia="宋体"/>
          <w:lang w:val="zh-CN"/>
        </w:rPr>
        <w:t>m2.k)</w:t>
      </w:r>
    </w:p>
    <w:p>
      <w:pPr>
        <w:pStyle w:val="Normal0"/>
        <w:autoSpaceDE w:val="0"/>
        <w:autoSpaceDN w:val="0"/>
        <w:adjustRightInd w:val="0"/>
        <w:spacing w:line="360" w:lineRule="auto"/>
        <w:ind w:firstLine="480" w:firstLineChars="200"/>
        <w:rPr>
          <w:rFonts w:ascii="宋体" w:eastAsia="宋体"/>
          <w:lang w:val="zh-CN"/>
        </w:rPr>
      </w:pPr>
      <w:r>
        <w:rPr>
          <w:rFonts w:ascii="宋体" w:eastAsia="宋体" w:hint="eastAsia"/>
          <w:lang w:val="zh-CN"/>
        </w:rPr>
        <w:t>外墙：普通内墙抹灰，</w:t>
      </w:r>
      <w:r>
        <w:rPr>
          <w:rFonts w:ascii="宋体" w:eastAsia="宋体"/>
          <w:lang w:val="zh-CN"/>
        </w:rPr>
        <w:t>240</w:t>
      </w:r>
      <w:r>
        <w:rPr>
          <w:rFonts w:ascii="宋体" w:eastAsia="宋体" w:hint="eastAsia"/>
          <w:lang w:val="zh-CN"/>
        </w:rPr>
        <w:t>厚粉煤灰烧结砖，外贴</w:t>
      </w:r>
      <w:r>
        <w:rPr>
          <w:rFonts w:ascii="宋体" w:eastAsia="宋体"/>
          <w:lang w:val="zh-CN"/>
        </w:rPr>
        <w:t>40</w:t>
      </w:r>
      <w:r>
        <w:rPr>
          <w:rFonts w:ascii="宋体" w:eastAsia="宋体" w:hint="eastAsia"/>
          <w:lang w:val="zh-CN"/>
        </w:rPr>
        <w:t>厚聚苯板，外饰面系统涂层，外墙传热为</w:t>
      </w:r>
      <w:r>
        <w:rPr>
          <w:rFonts w:ascii="宋体" w:eastAsia="宋体"/>
          <w:lang w:val="zh-CN"/>
        </w:rPr>
        <w:t>k=0.77W/(m2.k)</w:t>
      </w:r>
    </w:p>
    <w:p>
      <w:pPr>
        <w:pStyle w:val="Normal0"/>
        <w:autoSpaceDE w:val="0"/>
        <w:autoSpaceDN w:val="0"/>
        <w:adjustRightInd w:val="0"/>
        <w:spacing w:line="360" w:lineRule="auto"/>
        <w:ind w:firstLine="480" w:firstLineChars="200"/>
        <w:rPr>
          <w:rFonts w:ascii="宋体" w:eastAsia="宋体"/>
          <w:lang w:val="zh-CN"/>
        </w:rPr>
      </w:pPr>
      <w:r>
        <w:rPr>
          <w:rFonts w:ascii="宋体" w:eastAsia="宋体" w:hint="eastAsia"/>
          <w:lang w:val="zh-CN"/>
        </w:rPr>
        <w:t>门窗：选用产品要求其抗风性能属标准</w:t>
      </w:r>
      <w:r>
        <w:rPr>
          <w:rFonts w:ascii="宋体" w:eastAsia="宋体"/>
          <w:lang w:val="zh-CN"/>
        </w:rPr>
        <w:t>GB7106</w:t>
      </w:r>
      <w:r>
        <w:rPr>
          <w:rFonts w:ascii="宋体" w:eastAsia="宋体" w:hint="eastAsia"/>
          <w:lang w:val="zh-CN"/>
        </w:rPr>
        <w:t>第</w:t>
      </w:r>
      <w:r>
        <w:rPr>
          <w:rFonts w:ascii="宋体" w:eastAsia="宋体"/>
          <w:lang w:val="zh-CN"/>
        </w:rPr>
        <w:t>2</w:t>
      </w:r>
      <w:r>
        <w:rPr>
          <w:rFonts w:ascii="宋体" w:eastAsia="宋体" w:hint="eastAsia"/>
          <w:lang w:val="zh-CN"/>
        </w:rPr>
        <w:t>级，空气渗透性能属标准</w:t>
      </w:r>
      <w:r>
        <w:rPr>
          <w:rFonts w:ascii="宋体" w:eastAsia="宋体"/>
          <w:lang w:val="zh-CN"/>
        </w:rPr>
        <w:t>GB7108</w:t>
      </w:r>
      <w:r>
        <w:rPr>
          <w:rFonts w:ascii="宋体" w:eastAsia="宋体" w:hint="eastAsia"/>
          <w:lang w:val="zh-CN"/>
        </w:rPr>
        <w:t>第</w:t>
      </w:r>
      <w:r>
        <w:rPr>
          <w:rFonts w:ascii="宋体" w:eastAsia="宋体"/>
          <w:lang w:val="zh-CN"/>
        </w:rPr>
        <w:t>3</w:t>
      </w:r>
      <w:r>
        <w:rPr>
          <w:rFonts w:ascii="宋体" w:eastAsia="宋体" w:hint="eastAsia"/>
          <w:lang w:val="zh-CN"/>
        </w:rPr>
        <w:t>级，雨水渗透性能属标准</w:t>
      </w:r>
      <w:r>
        <w:rPr>
          <w:rFonts w:ascii="宋体" w:eastAsia="宋体"/>
          <w:lang w:val="zh-CN"/>
        </w:rPr>
        <w:t>GB7108</w:t>
      </w:r>
      <w:r>
        <w:rPr>
          <w:rFonts w:ascii="宋体" w:eastAsia="宋体" w:hint="eastAsia"/>
          <w:lang w:val="zh-CN"/>
        </w:rPr>
        <w:t>第</w:t>
      </w:r>
      <w:r>
        <w:rPr>
          <w:rFonts w:ascii="宋体" w:eastAsia="宋体"/>
          <w:lang w:val="zh-CN"/>
        </w:rPr>
        <w:t>4</w:t>
      </w:r>
      <w:r>
        <w:rPr>
          <w:rFonts w:ascii="宋体" w:eastAsia="宋体" w:hint="eastAsia"/>
          <w:lang w:val="zh-CN"/>
        </w:rPr>
        <w:t>级，外墙窗均为塑钢双玻，其传热系数为</w:t>
      </w:r>
      <w:r>
        <w:rPr>
          <w:rFonts w:ascii="宋体" w:eastAsia="宋体"/>
          <w:lang w:val="zh-CN"/>
        </w:rPr>
        <w:t>k=2.56W/(m2.k),</w:t>
      </w:r>
      <w:r>
        <w:rPr>
          <w:rFonts w:ascii="宋体" w:eastAsia="宋体" w:hint="eastAsia"/>
          <w:lang w:val="zh-CN"/>
        </w:rPr>
        <w:t>采用保温分户门，其传热系数为</w:t>
      </w:r>
      <w:r>
        <w:rPr>
          <w:rFonts w:ascii="宋体" w:eastAsia="宋体"/>
          <w:lang w:val="zh-CN"/>
        </w:rPr>
        <w:t>k=1.70W/(m2.k)</w:t>
      </w:r>
    </w:p>
    <w:p>
      <w:pPr>
        <w:pStyle w:val="Normal0"/>
        <w:autoSpaceDE w:val="0"/>
        <w:autoSpaceDN w:val="0"/>
        <w:adjustRightInd w:val="0"/>
        <w:spacing w:line="360" w:lineRule="auto"/>
        <w:ind w:firstLine="480" w:firstLineChars="200"/>
        <w:rPr>
          <w:rFonts w:ascii="宋体" w:eastAsia="宋体"/>
          <w:lang w:val="zh-CN"/>
        </w:rPr>
      </w:pPr>
      <w:r>
        <w:rPr>
          <w:rFonts w:ascii="宋体" w:eastAsia="宋体" w:hint="eastAsia"/>
          <w:lang w:val="zh-CN"/>
        </w:rPr>
        <w:t>楼梯间：普通内墙抹灰，</w:t>
      </w:r>
      <w:r>
        <w:rPr>
          <w:rFonts w:ascii="宋体" w:eastAsia="宋体"/>
          <w:lang w:val="zh-CN"/>
        </w:rPr>
        <w:t>240</w:t>
      </w:r>
      <w:r>
        <w:rPr>
          <w:rFonts w:ascii="宋体" w:eastAsia="宋体" w:hint="eastAsia"/>
          <w:lang w:val="zh-CN"/>
        </w:rPr>
        <w:t>厚粉煤灰烧结砖，靠楼梯间一侧加抹</w:t>
      </w:r>
      <w:r>
        <w:rPr>
          <w:rFonts w:ascii="宋体" w:eastAsia="宋体"/>
          <w:lang w:val="zh-CN"/>
        </w:rPr>
        <w:t>20</w:t>
      </w:r>
      <w:r>
        <w:rPr>
          <w:rFonts w:ascii="宋体" w:eastAsia="宋体" w:hint="eastAsia"/>
          <w:lang w:val="zh-CN"/>
        </w:rPr>
        <w:t>厚保温砂浆，其传热系数为</w:t>
      </w:r>
      <w:r>
        <w:rPr>
          <w:rFonts w:ascii="宋体" w:eastAsia="宋体"/>
          <w:lang w:val="zh-CN"/>
        </w:rPr>
        <w:t>k=1.67W/(m2.k)</w:t>
      </w:r>
    </w:p>
    <w:p>
      <w:pPr>
        <w:pStyle w:val="Normal0"/>
        <w:spacing w:line="360" w:lineRule="auto"/>
        <w:rPr>
          <w:rFonts w:ascii="宋体" w:eastAsia="宋体"/>
          <w:bCs/>
          <w:lang w:val="zh-CN"/>
        </w:rPr>
      </w:pPr>
      <w:r>
        <w:rPr>
          <w:rFonts w:eastAsia="宋体"/>
          <w:bCs/>
        </w:rPr>
        <w:t>2</w:t>
      </w:r>
      <w:r>
        <w:rPr>
          <w:rFonts w:eastAsia="宋体" w:hint="eastAsia"/>
          <w:bCs/>
        </w:rPr>
        <w:t>、采暖系统的保温节能措施</w:t>
      </w:r>
    </w:p>
    <w:p>
      <w:pPr>
        <w:pStyle w:val="Normal0"/>
        <w:autoSpaceDE w:val="0"/>
        <w:autoSpaceDN w:val="0"/>
        <w:adjustRightInd w:val="0"/>
        <w:spacing w:line="360" w:lineRule="auto"/>
        <w:ind w:firstLine="480" w:firstLineChars="200"/>
        <w:rPr>
          <w:rFonts w:ascii="宋体" w:eastAsia="宋体"/>
          <w:lang w:val="zh-CN"/>
        </w:rPr>
        <w:sectPr>
          <w:headerReference w:type="default" r:id="rId43"/>
          <w:footerReference w:type="default" r:id="rId44"/>
          <w:type w:val="nextPage"/>
          <w:pgSz w:w="11906" w:h="16838"/>
          <w:pgMar w:top="539" w:right="926" w:bottom="1440" w:left="1800" w:header="495" w:footer="992" w:gutter="0"/>
          <w:pgNumType w:start="19"/>
          <w:cols w:num="1" w:space="425"/>
          <w:titlePg w:val="0"/>
          <w:docGrid w:type="lines" w:linePitch="360" w:charSpace="0"/>
        </w:sectPr>
      </w:pPr>
      <w:r>
        <w:rPr>
          <w:rFonts w:ascii="宋体" w:eastAsia="宋体" w:hint="eastAsia"/>
          <w:lang w:val="zh-CN"/>
        </w:rPr>
        <w:t>小区供热采用高热效率的</w:t>
      </w:r>
      <w:r>
        <w:rPr>
          <w:rFonts w:ascii="宋体" w:eastAsia="宋体"/>
          <w:lang w:val="zh-CN"/>
        </w:rPr>
        <w:t>29MW</w:t>
      </w:r>
      <w:r>
        <w:rPr>
          <w:rFonts w:ascii="宋体" w:eastAsia="宋体" w:hint="eastAsia"/>
          <w:lang w:val="zh-CN"/>
        </w:rPr>
        <w:t>的热水锅炉(热效率为</w:t>
      </w:r>
      <w:r>
        <w:rPr>
          <w:rFonts w:ascii="宋体" w:eastAsia="宋体"/>
          <w:lang w:val="zh-CN"/>
        </w:rPr>
        <w:t>80%</w:t>
      </w:r>
      <w:r>
        <w:rPr>
          <w:rFonts w:ascii="宋体" w:eastAsia="宋体" w:hint="eastAsia"/>
          <w:lang w:val="zh-CN"/>
        </w:rPr>
        <w:t>)、</w:t>
      </w:r>
      <w:r>
        <w:rPr>
          <w:rFonts w:ascii="宋体" w:eastAsia="宋体"/>
          <w:lang w:val="zh-CN"/>
        </w:rPr>
        <w:t>APV</w:t>
      </w:r>
    </w:p>
    <w:p>
      <w:pPr>
        <w:pStyle w:val="Normal0"/>
        <w:autoSpaceDE w:val="0"/>
        <w:autoSpaceDN w:val="0"/>
        <w:adjustRightInd w:val="0"/>
        <w:spacing w:line="360" w:lineRule="auto"/>
        <w:ind w:firstLine="480" w:firstLineChars="200"/>
        <w:rPr>
          <w:rFonts w:ascii="宋体" w:eastAsia="宋体"/>
          <w:lang w:val="zh-CN"/>
        </w:rPr>
      </w:pPr>
      <w:r>
        <w:rPr>
          <w:rFonts w:ascii="宋体" w:eastAsia="宋体" w:hint="eastAsia"/>
          <w:lang w:val="zh-CN"/>
        </w:rPr>
        <w:t>湍流技术高换热系数的换热器、高度聚乙烯保温管(热效率达</w:t>
      </w:r>
      <w:r>
        <w:rPr>
          <w:rFonts w:ascii="宋体" w:eastAsia="宋体"/>
          <w:lang w:val="zh-CN"/>
        </w:rPr>
        <w:t>90%</w:t>
      </w:r>
      <w:r>
        <w:rPr>
          <w:rFonts w:ascii="宋体" w:eastAsia="宋体" w:hint="eastAsia"/>
          <w:lang w:val="zh-CN"/>
        </w:rPr>
        <w:t>)、自力式流量控制器等措施，达到了供热系统部分节能的要求。小区内热交换站采用变频循环泵和流量自动调节系统，可根据设定的流量极值和室外温度的变化自动调节流量。小区内管网敷设中，采用高密度聚乙烯直埋保温管和聚氨脂发泡剂，有效避免了在管网传送中的热量损失。</w:t>
      </w:r>
    </w:p>
    <w:p>
      <w:pPr>
        <w:pStyle w:val="BodyTextIndent2"/>
        <w:ind w:firstLine="461"/>
        <w:rPr>
          <w:sz w:val="24"/>
          <w:lang w:val="zh-CN"/>
        </w:rPr>
      </w:pPr>
      <w:r>
        <w:rPr>
          <w:rFonts w:hint="eastAsia"/>
          <w:sz w:val="24"/>
          <w:lang w:val="zh-CN"/>
        </w:rPr>
        <w:t>供暖系统采用上供下回双管式。系统布置简单，水路通畅，安装检修方便。最大优点是可以实现各组散热器的单独调节而不影响其他散热器的热力工作情况，并为将来安装热表计量收费创造了条件。每组散热器进水管安装丹佛斯温控阀。该阀门可随室外气温变化自动调节室内温度达到恒定温度，克服了双管系统垂直失调的弊病。采暖系统按单元设置，各热力出口均安装差压控制器。可避免水力平衡调节的困难，并为外网自动调节创造了条件。房间散热器选用铝合金暖气片。</w:t>
      </w:r>
    </w:p>
    <w:p>
      <w:pPr>
        <w:pStyle w:val="Normal0"/>
        <w:spacing w:line="360" w:lineRule="auto"/>
        <w:rPr>
          <w:rFonts w:ascii="宋体" w:eastAsia="宋体"/>
          <w:lang w:val="zh-CN"/>
        </w:rPr>
      </w:pPr>
      <w:r>
        <w:rPr>
          <w:rFonts w:eastAsia="宋体"/>
          <w:bCs/>
        </w:rPr>
        <w:t>3</w:t>
      </w:r>
      <w:r>
        <w:rPr>
          <w:rFonts w:eastAsia="宋体" w:hint="eastAsia"/>
          <w:bCs/>
        </w:rPr>
        <w:t>、建筑节能技术、材料、工艺的应用</w:t>
      </w:r>
    </w:p>
    <w:p>
      <w:pPr>
        <w:pStyle w:val="BodyTextIndent"/>
        <w:spacing w:line="360" w:lineRule="auto"/>
        <w:ind w:firstLine="410"/>
        <w:rPr>
          <w:sz w:val="24"/>
        </w:rPr>
      </w:pPr>
      <w:r>
        <w:rPr>
          <w:rFonts w:hint="eastAsia"/>
          <w:sz w:val="24"/>
        </w:rPr>
        <w:t>除了在保温节能做法及措施中介绍的新技术外，在现代还原的建设过程中，应大量应用四新技术，为住宅产业化及带动其他产业的发展起到一定的作用。</w:t>
      </w:r>
    </w:p>
    <w:p>
      <w:pPr>
        <w:pStyle w:val="Normal0"/>
        <w:autoSpaceDE w:val="0"/>
        <w:autoSpaceDN w:val="0"/>
        <w:adjustRightInd w:val="0"/>
        <w:spacing w:line="360" w:lineRule="auto"/>
        <w:ind w:firstLine="480" w:firstLineChars="200"/>
        <w:rPr>
          <w:rFonts w:ascii="宋体" w:eastAsia="宋体"/>
          <w:lang w:val="zh-CN"/>
        </w:rPr>
      </w:pPr>
      <w:r>
        <w:rPr>
          <w:rFonts w:ascii="宋体" w:eastAsia="宋体" w:hint="eastAsia"/>
          <w:lang w:val="zh-CN"/>
        </w:rPr>
        <w:t>地基处理采用</w:t>
      </w:r>
      <w:r>
        <w:rPr>
          <w:rFonts w:ascii="宋体" w:eastAsia="宋体"/>
          <w:lang w:val="zh-CN"/>
        </w:rPr>
        <w:t>CFG</w:t>
      </w:r>
      <w:r>
        <w:rPr>
          <w:rFonts w:ascii="宋体" w:eastAsia="宋体" w:hint="eastAsia"/>
          <w:lang w:val="zh-CN"/>
        </w:rPr>
        <w:t>桩复合地基；地下室地面及外墙采用聚氨脂涂料防水技术；排水管采用</w:t>
      </w:r>
      <w:r>
        <w:rPr>
          <w:rFonts w:ascii="宋体" w:eastAsia="宋体"/>
          <w:lang w:val="zh-CN"/>
        </w:rPr>
        <w:t>UPVC</w:t>
      </w:r>
      <w:r>
        <w:rPr>
          <w:rFonts w:ascii="宋体" w:eastAsia="宋体" w:hint="eastAsia"/>
          <w:lang w:val="zh-CN"/>
        </w:rPr>
        <w:t>管件；水嘴采用瓷片水嘴；坡屋面聚苯板保温技术；屋面防水全部采用</w:t>
      </w:r>
      <w:r>
        <w:rPr>
          <w:rFonts w:ascii="宋体" w:eastAsia="宋体"/>
          <w:lang w:val="zh-CN"/>
        </w:rPr>
        <w:t>SBS</w:t>
      </w:r>
      <w:r>
        <w:rPr>
          <w:rFonts w:ascii="宋体" w:eastAsia="宋体" w:hint="eastAsia"/>
          <w:lang w:val="zh-CN"/>
        </w:rPr>
        <w:t>防水做法；塑钢门窗采用单框双层中空玻璃；单元分门户采用高档实木及钢制三防门；楼道照明采用红外线光控开关；楼梯间入口采用防盗对讲系统；燃气采用</w:t>
      </w:r>
      <w:r>
        <w:rPr>
          <w:rFonts w:ascii="宋体" w:eastAsia="宋体"/>
          <w:lang w:val="zh-CN"/>
        </w:rPr>
        <w:t>PGM2.51</w:t>
      </w:r>
      <w:r>
        <w:rPr>
          <w:rFonts w:ascii="宋体" w:eastAsia="宋体" w:hint="eastAsia"/>
          <w:lang w:val="zh-CN"/>
        </w:rPr>
        <w:t>磁卡燃气表；电表为</w:t>
      </w:r>
      <w:r>
        <w:rPr>
          <w:rFonts w:ascii="宋体" w:eastAsia="宋体"/>
          <w:lang w:val="zh-CN"/>
        </w:rPr>
        <w:t>DDY-17</w:t>
      </w:r>
      <w:r>
        <w:rPr>
          <w:rFonts w:ascii="宋体" w:eastAsia="宋体" w:hint="eastAsia"/>
          <w:lang w:val="zh-CN"/>
        </w:rPr>
        <w:t>磁卡电表；水表采用</w:t>
      </w:r>
      <w:r>
        <w:rPr>
          <w:rFonts w:ascii="宋体" w:eastAsia="宋体"/>
          <w:lang w:val="zh-CN"/>
        </w:rPr>
        <w:t>ZS-2</w:t>
      </w:r>
      <w:r>
        <w:rPr>
          <w:rFonts w:ascii="宋体" w:eastAsia="宋体" w:hint="eastAsia"/>
          <w:lang w:val="zh-CN"/>
        </w:rPr>
        <w:t>远程控制装置；</w:t>
      </w:r>
      <w:r>
        <w:rPr>
          <w:rFonts w:ascii="宋体" w:eastAsia="宋体"/>
          <w:lang w:val="zh-CN"/>
        </w:rPr>
        <w:t>GRC</w:t>
      </w:r>
      <w:r>
        <w:rPr>
          <w:rFonts w:ascii="宋体" w:eastAsia="宋体" w:hint="eastAsia"/>
          <w:lang w:val="zh-CN"/>
        </w:rPr>
        <w:t>隔墙板、硅美轻质隔墙板应用技术；变压式通风道；采用高效有机硅厨厕防水技术。</w:t>
      </w:r>
    </w:p>
    <w:p>
      <w:pPr>
        <w:pStyle w:val="Normal0"/>
        <w:spacing w:line="360" w:lineRule="auto"/>
        <w:rPr>
          <w:rFonts w:ascii="宋体" w:eastAsia="宋体"/>
          <w:lang w:val="zh-CN"/>
        </w:rPr>
      </w:pPr>
      <w:r>
        <w:rPr>
          <w:rFonts w:ascii="黑体" w:eastAsia="宋体" w:hAnsi="Arial" w:cs="Arial" w:hint="eastAsia"/>
          <w:bCs/>
        </w:rPr>
        <w:t>二．节水措施</w:t>
      </w:r>
    </w:p>
    <w:p>
      <w:pPr>
        <w:pStyle w:val="Normal0"/>
        <w:spacing w:line="360" w:lineRule="auto"/>
        <w:rPr>
          <w:rFonts w:ascii="宋体" w:eastAsia="宋体"/>
          <w:bCs/>
          <w:lang w:val="zh-CN"/>
        </w:rPr>
      </w:pPr>
      <w:r>
        <w:rPr>
          <w:rFonts w:eastAsia="宋体"/>
          <w:bCs/>
        </w:rPr>
        <w:t>1</w:t>
      </w:r>
      <w:r>
        <w:rPr>
          <w:rFonts w:eastAsia="宋体" w:hint="eastAsia"/>
          <w:bCs/>
        </w:rPr>
        <w:t>、小区水环境</w:t>
      </w:r>
    </w:p>
    <w:p>
      <w:pPr>
        <w:pStyle w:val="BodyTextIndent2"/>
        <w:ind w:firstLine="461"/>
        <w:rPr>
          <w:sz w:val="24"/>
          <w:lang w:val="zh-CN"/>
        </w:rPr>
      </w:pPr>
      <w:r>
        <w:rPr>
          <w:rFonts w:hint="eastAsia"/>
          <w:sz w:val="24"/>
          <w:lang w:val="zh-CN"/>
        </w:rPr>
        <w:t>合理规划和建设小区水环境，提供安全。有效的供水、污水处理、日用系统，节约用水。实现水资源的可持续发展和利用，改善小区生态环境。建立完善的给水系统，保证供水水质符合卫生要求，水量稳定，水压可靠；建立完善的排水系统；雨水或生活污水经处理后回用作生活杂用水等各种用途时，水质应达到国家规定的相应标准，以保障回用水的安全和适用。</w:t>
      </w:r>
    </w:p>
    <w:p>
      <w:pPr>
        <w:pStyle w:val="BodyTextIndent2"/>
        <w:ind w:firstLine="461"/>
        <w:rPr>
          <w:sz w:val="24"/>
          <w:lang w:val="zh-CN"/>
        </w:rPr>
        <w:sectPr>
          <w:headerReference w:type="default" r:id="rId45"/>
          <w:footerReference w:type="default" r:id="rId46"/>
          <w:type w:val="nextPage"/>
          <w:pgSz w:w="11906" w:h="16838"/>
          <w:pgMar w:top="539" w:right="926" w:bottom="1440" w:left="1800" w:header="495" w:footer="992" w:gutter="0"/>
          <w:pgNumType w:start="20"/>
          <w:cols w:num="1" w:space="425"/>
          <w:titlePg w:val="0"/>
          <w:docGrid w:type="lines" w:linePitch="360" w:charSpace="0"/>
        </w:sectPr>
      </w:pPr>
      <w:r>
        <w:rPr>
          <w:rFonts w:hint="eastAsia"/>
          <w:sz w:val="24"/>
        </w:rPr>
        <w:t>对小区用水水量和水质进行估算与评价，提供详尽的居民用水量估算资料。提出合理用水分配</w:t>
      </w:r>
      <w:r>
        <w:rPr>
          <w:rFonts w:hint="eastAsia"/>
          <w:sz w:val="24"/>
          <w:lang w:eastAsia="zh-CN"/>
        </w:rPr>
        <w:t>相关计划</w:t>
      </w:r>
      <w:r>
        <w:rPr>
          <w:rFonts w:hint="eastAsia"/>
          <w:sz w:val="24"/>
        </w:rPr>
        <w:t>、水质和水量保证</w:t>
      </w:r>
      <w:r>
        <w:rPr>
          <w:rFonts w:hint="eastAsia"/>
          <w:sz w:val="24"/>
          <w:lang w:eastAsia="zh-CN"/>
        </w:rPr>
        <w:t>合适的方案</w:t>
      </w:r>
      <w:r>
        <w:rPr>
          <w:rFonts w:hint="eastAsia"/>
          <w:sz w:val="24"/>
        </w:rPr>
        <w:t>。最大限度地有效利用水资源，减少小区污水的排放量，实现小区用水的良性循环。</w:t>
      </w:r>
    </w:p>
    <w:p>
      <w:pPr>
        <w:pStyle w:val="BodyTextIndent2"/>
        <w:ind w:firstLine="461"/>
        <w:rPr>
          <w:sz w:val="24"/>
          <w:lang w:val="zh-CN"/>
        </w:rPr>
      </w:pPr>
      <w:r>
        <w:rPr>
          <w:rFonts w:hint="eastAsia"/>
          <w:sz w:val="24"/>
          <w:lang w:val="zh-CN"/>
        </w:rPr>
        <w:t>以足够的水量和水压向所有的用户不间断地供应符合卫生要求的饮用水、消防用水和其它生活用水；及时将小区内的污水和雨水排放收集到指定场所。</w:t>
      </w:r>
    </w:p>
    <w:p>
      <w:pPr>
        <w:pStyle w:val="Normal0"/>
        <w:autoSpaceDE w:val="0"/>
        <w:autoSpaceDN w:val="0"/>
        <w:adjustRightInd w:val="0"/>
        <w:spacing w:line="360" w:lineRule="auto"/>
        <w:ind w:firstLine="480" w:firstLineChars="200"/>
        <w:rPr>
          <w:rFonts w:ascii="宋体" w:eastAsia="宋体"/>
          <w:lang w:val="zh-CN"/>
        </w:rPr>
      </w:pPr>
      <w:r>
        <w:rPr>
          <w:rFonts w:ascii="宋体" w:eastAsia="宋体" w:hint="eastAsia"/>
          <w:lang w:val="zh-CN"/>
        </w:rPr>
        <w:t>收集雨水用以在一定范围内补充小区用水，完善小区屋顶和地表径流规划，避免雨水淹渍、冲刷给环境带来的破坏。充分利用雨水，减少市政供水。收集后的雨水经适当处理后回用做小区杂用水。</w:t>
      </w:r>
    </w:p>
    <w:p>
      <w:pPr>
        <w:pStyle w:val="Normal0"/>
        <w:spacing w:line="360" w:lineRule="auto"/>
        <w:rPr>
          <w:rFonts w:ascii="宋体" w:eastAsia="宋体"/>
          <w:lang w:val="zh-CN"/>
        </w:rPr>
      </w:pPr>
      <w:r>
        <w:rPr>
          <w:rFonts w:eastAsia="宋体"/>
          <w:bCs/>
        </w:rPr>
        <w:t>2</w:t>
      </w:r>
      <w:r>
        <w:rPr>
          <w:rFonts w:eastAsia="宋体" w:hint="eastAsia"/>
          <w:bCs/>
        </w:rPr>
        <w:t>、绿化景观用水节水</w:t>
      </w:r>
    </w:p>
    <w:p>
      <w:pPr>
        <w:pStyle w:val="Normal0"/>
        <w:autoSpaceDE w:val="0"/>
        <w:autoSpaceDN w:val="0"/>
        <w:adjustRightInd w:val="0"/>
        <w:spacing w:line="360" w:lineRule="auto"/>
        <w:ind w:firstLine="480" w:firstLineChars="200"/>
        <w:rPr>
          <w:rFonts w:ascii="宋体" w:eastAsia="宋体"/>
          <w:lang w:val="zh-CN"/>
        </w:rPr>
      </w:pPr>
      <w:r>
        <w:rPr>
          <w:rFonts w:ascii="宋体" w:eastAsia="宋体" w:hint="eastAsia"/>
          <w:lang w:val="zh-CN"/>
        </w:rPr>
        <w:t>保障小区绿化、景观用水，改善小区用水分配，提高景观用水水质和效率。</w:t>
      </w:r>
      <w:r>
        <w:rPr>
          <w:rFonts w:ascii="宋体" w:eastAsia="宋体"/>
          <w:lang w:val="zh-CN"/>
        </w:rPr>
        <w:t xml:space="preserve"> </w:t>
      </w:r>
    </w:p>
    <w:p>
      <w:pPr>
        <w:pStyle w:val="BodyTextIndent3"/>
        <w:ind w:left="480"/>
        <w:rPr>
          <w:rFonts w:eastAsia="宋体"/>
          <w:sz w:val="24"/>
          <w:szCs w:val="24"/>
        </w:rPr>
      </w:pPr>
      <w:r>
        <w:rPr>
          <w:rFonts w:eastAsia="宋体" w:hint="eastAsia"/>
          <w:sz w:val="24"/>
          <w:szCs w:val="24"/>
        </w:rPr>
        <w:t>景观用水应设置循环系统，并应结合中水系统进行优化设计以保证水质，提高用水效率。提倡营造少灌或免灌绿化群落，减少草坪面积，尤其是冷地型草坪面积。</w:t>
      </w:r>
    </w:p>
    <w:p>
      <w:pPr>
        <w:pStyle w:val="Normal0"/>
        <w:autoSpaceDE w:val="0"/>
        <w:autoSpaceDN w:val="0"/>
        <w:adjustRightInd w:val="0"/>
        <w:spacing w:line="360" w:lineRule="auto"/>
        <w:ind w:firstLine="480" w:firstLineChars="200"/>
        <w:rPr>
          <w:rFonts w:ascii="宋体" w:eastAsia="宋体" w:hint="eastAsia"/>
          <w:lang w:val="zh-CN"/>
        </w:rPr>
      </w:pPr>
      <w:r>
        <w:rPr>
          <w:rFonts w:eastAsia="宋体" w:hint="eastAsia"/>
          <w:lang w:val="zh-CN"/>
        </w:rPr>
        <w:t>绿化用水应利用雨水或生活污水回用作为绿化用水，以利于节水及利用自然渗透补充地下水。</w:t>
      </w:r>
    </w:p>
    <w:p>
      <w:pPr>
        <w:pStyle w:val="Normal0"/>
        <w:spacing w:line="360" w:lineRule="auto"/>
        <w:rPr>
          <w:rFonts w:ascii="宋体" w:eastAsia="宋体"/>
          <w:bCs/>
          <w:lang w:val="zh-CN"/>
        </w:rPr>
      </w:pPr>
      <w:r>
        <w:rPr>
          <w:rFonts w:eastAsia="宋体"/>
          <w:bCs/>
        </w:rPr>
        <w:t>3</w:t>
      </w:r>
      <w:r>
        <w:rPr>
          <w:rFonts w:eastAsia="宋体" w:hint="eastAsia"/>
          <w:bCs/>
        </w:rPr>
        <w:t>、节水器具应用</w:t>
      </w:r>
    </w:p>
    <w:p>
      <w:pPr>
        <w:pStyle w:val="Normal0"/>
        <w:autoSpaceDE w:val="0"/>
        <w:autoSpaceDN w:val="0"/>
        <w:adjustRightInd w:val="0"/>
        <w:spacing w:line="360" w:lineRule="auto"/>
        <w:ind w:firstLine="480" w:firstLineChars="200"/>
        <w:rPr>
          <w:rFonts w:ascii="宋体" w:eastAsia="宋体"/>
          <w:lang w:val="zh-CN"/>
        </w:rPr>
      </w:pPr>
      <w:r>
        <w:rPr>
          <w:rFonts w:ascii="宋体" w:eastAsia="宋体" w:hint="eastAsia"/>
          <w:lang w:val="zh-CN"/>
        </w:rPr>
        <w:t>大力推广使用节水型器具，不断提高用水效益。不使用耗水</w:t>
      </w:r>
      <w:r>
        <w:rPr>
          <w:rFonts w:ascii="宋体" w:eastAsia="宋体"/>
          <w:lang w:val="zh-CN"/>
        </w:rPr>
        <w:t>9</w:t>
      </w:r>
      <w:r>
        <w:rPr>
          <w:rFonts w:ascii="宋体" w:eastAsia="宋体" w:hint="eastAsia"/>
          <w:lang w:val="zh-CN"/>
        </w:rPr>
        <w:t>升和</w:t>
      </w:r>
      <w:r>
        <w:rPr>
          <w:rFonts w:ascii="宋体" w:eastAsia="宋体"/>
          <w:lang w:val="zh-CN"/>
        </w:rPr>
        <w:t>9</w:t>
      </w:r>
      <w:r>
        <w:rPr>
          <w:rFonts w:ascii="宋体" w:eastAsia="宋体" w:hint="eastAsia"/>
          <w:lang w:val="zh-CN"/>
        </w:rPr>
        <w:t>升以上的座便器。</w:t>
      </w:r>
    </w:p>
    <w:p>
      <w:pPr>
        <w:pStyle w:val="Normal0"/>
        <w:autoSpaceDE w:val="0"/>
        <w:autoSpaceDN w:val="0"/>
        <w:adjustRightInd w:val="0"/>
        <w:spacing w:line="360" w:lineRule="auto"/>
        <w:ind w:firstLine="480" w:firstLineChars="200"/>
        <w:rPr>
          <w:rFonts w:ascii="宋体" w:eastAsia="宋体"/>
          <w:lang w:val="zh-CN"/>
        </w:rPr>
      </w:pPr>
      <w:r>
        <w:rPr>
          <w:rFonts w:ascii="宋体" w:eastAsia="宋体" w:hint="eastAsia"/>
          <w:lang w:val="zh-CN"/>
        </w:rPr>
        <w:t>龙头：(</w:t>
      </w:r>
      <w:r>
        <w:rPr>
          <w:rFonts w:ascii="宋体" w:eastAsia="宋体"/>
          <w:lang w:val="zh-CN"/>
        </w:rPr>
        <w:t>1</w:t>
      </w:r>
      <w:r>
        <w:rPr>
          <w:rFonts w:ascii="宋体" w:eastAsia="宋体" w:hint="eastAsia"/>
          <w:lang w:val="zh-CN"/>
        </w:rPr>
        <w:t>)不使用螺旋升降式铸铁水嘴。(</w:t>
      </w:r>
      <w:r>
        <w:rPr>
          <w:rFonts w:ascii="宋体" w:eastAsia="宋体"/>
          <w:lang w:val="zh-CN"/>
        </w:rPr>
        <w:t>2</w:t>
      </w:r>
      <w:r>
        <w:rPr>
          <w:rFonts w:ascii="宋体" w:eastAsia="宋体" w:hint="eastAsia"/>
          <w:lang w:val="zh-CN"/>
        </w:rPr>
        <w:t>)根据用水场合的不同，可选用延时自动关闭(延时自闭)式、水力式、光电感应式和电容感应式等类型水龙头；手压、脚踏、肘动式水龙头；停水自动关闭(停水自闭)式水龙头；陶瓷片防漏水龙头等节流水龙头。</w:t>
      </w:r>
    </w:p>
    <w:p>
      <w:pPr>
        <w:pStyle w:val="Normal0"/>
        <w:autoSpaceDE w:val="0"/>
        <w:autoSpaceDN w:val="0"/>
        <w:adjustRightInd w:val="0"/>
        <w:spacing w:line="360" w:lineRule="auto"/>
        <w:ind w:firstLine="480" w:firstLineChars="200"/>
        <w:rPr>
          <w:rFonts w:ascii="宋体" w:eastAsia="宋体"/>
          <w:lang w:val="zh-CN"/>
        </w:rPr>
      </w:pPr>
      <w:r>
        <w:rPr>
          <w:rFonts w:ascii="宋体" w:eastAsia="宋体" w:hint="eastAsia"/>
          <w:lang w:val="zh-CN"/>
        </w:rPr>
        <w:t>淋浴器具：冷、热水混合器具(水温调节器)；电磁式淋浴节水装置；节水喷头等。</w:t>
      </w:r>
    </w:p>
    <w:p>
      <w:pPr>
        <w:pStyle w:val="Normal0"/>
        <w:autoSpaceDE w:val="0"/>
        <w:autoSpaceDN w:val="0"/>
        <w:adjustRightInd w:val="0"/>
        <w:spacing w:line="360" w:lineRule="auto"/>
        <w:ind w:firstLine="480" w:firstLineChars="200"/>
        <w:rPr>
          <w:rFonts w:eastAsia="宋体" w:hint="eastAsia"/>
          <w:lang w:val="zh-CN"/>
        </w:rPr>
      </w:pPr>
      <w:r>
        <w:rPr>
          <w:rFonts w:eastAsia="宋体" w:hint="eastAsia"/>
          <w:lang w:val="zh-CN"/>
        </w:rPr>
        <w:t>节水型用水家用电器：采用高效节水洗衣机，洗碗机等节水型家电。</w:t>
      </w:r>
    </w:p>
    <w:p>
      <w:pPr>
        <w:pStyle w:val="Heading1"/>
        <w:rPr>
          <w:rFonts w:hint="eastAsia"/>
          <w:b w:val="0"/>
          <w:sz w:val="24"/>
          <w:szCs w:val="24"/>
        </w:rPr>
      </w:pPr>
      <w:bookmarkStart w:id="24" w:name="_Toc50787380"/>
      <w:r>
        <w:rPr>
          <w:rFonts w:hint="eastAsia"/>
          <w:b w:val="0"/>
          <w:sz w:val="24"/>
          <w:szCs w:val="24"/>
        </w:rPr>
        <w:t>六、环境影响评价</w:t>
      </w:r>
      <w:bookmarkEnd w:id="24"/>
    </w:p>
    <w:p>
      <w:pPr>
        <w:pStyle w:val="Normal0"/>
        <w:spacing w:line="360" w:lineRule="auto"/>
        <w:rPr>
          <w:rFonts w:ascii="仿宋_GB2312" w:eastAsia="宋体" w:hAnsi="Arial" w:cs="Arial" w:hint="eastAsia"/>
          <w:bCs/>
        </w:rPr>
      </w:pPr>
      <w:r>
        <w:rPr>
          <w:rFonts w:ascii="黑体" w:eastAsia="宋体" w:hAnsi="Arial" w:cs="Arial" w:hint="eastAsia"/>
          <w:bCs/>
        </w:rPr>
        <w:t>一．环境条件调查</w:t>
      </w:r>
    </w:p>
    <w:p>
      <w:pPr>
        <w:pStyle w:val="Normal0"/>
        <w:spacing w:line="360" w:lineRule="auto"/>
        <w:ind w:firstLine="480" w:firstLineChars="200"/>
        <w:rPr>
          <w:rFonts w:ascii="宋体" w:eastAsia="宋体" w:hAnsi="宋体" w:hint="eastAsia"/>
        </w:rPr>
        <w:sectPr>
          <w:headerReference w:type="default" r:id="rId47"/>
          <w:footerReference w:type="default" r:id="rId48"/>
          <w:type w:val="nextPage"/>
          <w:pgSz w:w="11906" w:h="16838"/>
          <w:pgMar w:top="539" w:right="926" w:bottom="1440" w:left="1800" w:header="495" w:footer="992" w:gutter="0"/>
          <w:pgNumType w:start="21"/>
          <w:cols w:num="1" w:space="425"/>
          <w:titlePg w:val="0"/>
          <w:docGrid w:type="lines" w:linePitch="360" w:charSpace="0"/>
        </w:sectPr>
      </w:pPr>
      <w:r>
        <w:rPr>
          <w:rFonts w:ascii="宋体" w:eastAsia="宋体" w:hAnsi="宋体" w:hint="eastAsia"/>
        </w:rPr>
        <w:t>现代花园提出</w:t>
      </w:r>
      <w:r>
        <w:rPr>
          <w:rFonts w:ascii="宋体" w:eastAsia="宋体" w:hAnsi="宋体"/>
        </w:rPr>
        <w:t>“</w:t>
      </w:r>
      <w:r>
        <w:rPr>
          <w:rFonts w:ascii="宋体" w:eastAsia="宋体" w:hAnsi="宋体" w:hint="eastAsia"/>
        </w:rPr>
        <w:t>绿色生态社区</w:t>
      </w:r>
      <w:r>
        <w:rPr>
          <w:rFonts w:ascii="宋体" w:eastAsia="宋体" w:hAnsi="宋体"/>
        </w:rPr>
        <w:t>”</w:t>
      </w:r>
      <w:r>
        <w:rPr>
          <w:rFonts w:ascii="宋体" w:eastAsia="宋体" w:hAnsi="宋体" w:hint="eastAsia"/>
        </w:rPr>
        <w:t>的概念。在当前的房地产开发过程中，讲究园艺设计，提倡健康住宅已是大势所趋，但目前国内的景观设计多采用喷泉、广场等</w:t>
      </w:r>
      <w:r>
        <w:rPr>
          <w:rFonts w:ascii="宋体" w:eastAsia="宋体" w:hAnsi="宋体"/>
        </w:rPr>
        <w:t>“</w:t>
      </w:r>
      <w:r>
        <w:rPr>
          <w:rFonts w:ascii="宋体" w:eastAsia="宋体" w:hAnsi="宋体" w:hint="eastAsia"/>
        </w:rPr>
        <w:t>硬质景观</w:t>
      </w:r>
      <w:r>
        <w:rPr>
          <w:rFonts w:ascii="宋体" w:eastAsia="宋体" w:hAnsi="宋体"/>
        </w:rPr>
        <w:t>”</w:t>
      </w:r>
      <w:r>
        <w:rPr>
          <w:rFonts w:ascii="宋体" w:eastAsia="宋体" w:hAnsi="宋体" w:hint="eastAsia"/>
        </w:rPr>
        <w:t>，较少采用有生命力的活生生的</w:t>
      </w:r>
      <w:r>
        <w:rPr>
          <w:rFonts w:ascii="宋体" w:eastAsia="宋体" w:hAnsi="宋体"/>
        </w:rPr>
        <w:t>“</w:t>
      </w:r>
      <w:r>
        <w:rPr>
          <w:rFonts w:ascii="宋体" w:eastAsia="宋体" w:hAnsi="宋体" w:hint="eastAsia"/>
        </w:rPr>
        <w:t>软质景观</w:t>
      </w:r>
      <w:r>
        <w:rPr>
          <w:rFonts w:ascii="宋体" w:eastAsia="宋体" w:hAnsi="宋体"/>
        </w:rPr>
        <w:t>”</w:t>
      </w:r>
      <w:r>
        <w:rPr>
          <w:rFonts w:ascii="宋体" w:eastAsia="宋体" w:hAnsi="宋体" w:hint="eastAsia"/>
        </w:rPr>
        <w:t>，只注重视觉效果，而没有营造整体气氛，</w:t>
      </w:r>
      <w:r>
        <w:rPr>
          <w:rFonts w:ascii="宋体" w:eastAsia="宋体" w:hAnsi="宋体"/>
        </w:rPr>
        <w:t>”</w:t>
      </w:r>
    </w:p>
    <w:p>
      <w:pPr>
        <w:pStyle w:val="Normal0"/>
        <w:spacing w:line="360" w:lineRule="auto"/>
        <w:ind w:firstLine="480" w:firstLineChars="200"/>
        <w:rPr>
          <w:rFonts w:ascii="宋体" w:eastAsia="宋体" w:hAnsi="宋体" w:hint="eastAsia"/>
        </w:rPr>
      </w:pPr>
      <w:r>
        <w:rPr>
          <w:rFonts w:ascii="宋体" w:eastAsia="宋体" w:hAnsi="宋体" w:hint="eastAsia"/>
        </w:rPr>
        <w:t>形成了层次分明的景观体系，同时设计师还十分注意尺度感，通过小型景质将人的视线从高大的建筑物上转移，从而减少了人的压抑感。45%的绿化率保证了周围良好的环境，建成后注重人文环境和只人化控制，污染较少。自然景观优越、空气清新、湿度适宜，夏季凉爽，远离闹市区的鲁巷，周边高校分布极广，绿地面积率大。远离重工业区，工业污染小。</w:t>
      </w:r>
      <w:r>
        <w:rPr>
          <w:rFonts w:ascii="宋体" w:eastAsia="宋体" w:hAnsi="宋体" w:hint="eastAsia"/>
        </w:rPr>
        <w:t xml:space="preserve"> </w:t>
      </w:r>
    </w:p>
    <w:p>
      <w:pPr>
        <w:pStyle w:val="Normal0"/>
        <w:spacing w:line="360" w:lineRule="auto"/>
        <w:rPr>
          <w:rFonts w:ascii="仿宋_GB2312" w:eastAsia="宋体" w:hAnsi="Arial" w:cs="Arial" w:hint="eastAsia"/>
          <w:bCs/>
        </w:rPr>
      </w:pPr>
      <w:r>
        <w:rPr>
          <w:rFonts w:ascii="黑体" w:eastAsia="宋体" w:hAnsi="Arial" w:cs="Arial" w:hint="eastAsia"/>
          <w:bCs/>
        </w:rPr>
        <w:t>二．施工期环境影响分析</w:t>
      </w:r>
    </w:p>
    <w:p>
      <w:pPr>
        <w:pStyle w:val="Normal0"/>
        <w:tabs>
          <w:tab w:val="center" w:pos="4153"/>
        </w:tabs>
        <w:spacing w:line="360" w:lineRule="auto"/>
        <w:rPr>
          <w:rFonts w:ascii="宋体" w:eastAsia="宋体" w:hAnsi="宋体" w:hint="eastAsia"/>
        </w:rPr>
      </w:pPr>
      <w:r>
        <w:rPr>
          <w:rFonts w:ascii="宋体" w:eastAsia="宋体" w:hAnsi="宋体" w:hint="eastAsia"/>
        </w:rPr>
        <w:t>1.施工期污染源</w:t>
      </w:r>
    </w:p>
    <w:p>
      <w:pPr>
        <w:pStyle w:val="Normal0"/>
        <w:tabs>
          <w:tab w:val="center" w:pos="4153"/>
        </w:tabs>
        <w:spacing w:line="360" w:lineRule="auto"/>
        <w:ind w:left="420"/>
        <w:rPr>
          <w:rFonts w:ascii="宋体" w:eastAsia="宋体" w:hAnsi="宋体" w:hint="eastAsia"/>
        </w:rPr>
      </w:pPr>
      <w:r>
        <w:rPr>
          <w:rFonts w:ascii="宋体" w:eastAsia="宋体" w:hAnsi="宋体" w:hint="eastAsia"/>
        </w:rPr>
        <w:t xml:space="preserve">(1)施工期噪声污染源  </w:t>
      </w:r>
    </w:p>
    <w:p>
      <w:pPr>
        <w:pStyle w:val="Normal0"/>
        <w:tabs>
          <w:tab w:val="center" w:pos="4153"/>
        </w:tabs>
        <w:spacing w:line="360" w:lineRule="auto"/>
        <w:ind w:firstLine="420" w:firstLineChars="175"/>
        <w:rPr>
          <w:rFonts w:ascii="宋体" w:eastAsia="宋体" w:hAnsi="宋体" w:hint="eastAsia"/>
        </w:rPr>
      </w:pPr>
      <w:r>
        <w:rPr>
          <w:rFonts w:ascii="宋体" w:eastAsia="宋体" w:hAnsi="宋体" w:hint="eastAsia"/>
        </w:rPr>
        <w:t>施工期的噪声主要来源于包括施工现场的各类机械设备和物料运输的交通噪声。施工场地噪声主要是施工机械设备噪声，物料装卸碰撞噪声及施工人员的活动噪声，各施工阶段的主要噪声源及其声级见表。声级最大的是电钻，可达115dB(A)。物料运输的交通噪声主要是各施工阶段物料运输车辆引起的噪声，各阶段的车辆类型及声级见表。本</w:t>
      </w:r>
      <w:r>
        <w:rPr>
          <w:rFonts w:ascii="宋体" w:eastAsia="宋体" w:hAnsi="宋体" w:hint="eastAsia"/>
          <w:lang w:eastAsia="zh-CN"/>
        </w:rPr>
        <w:t>相关项目</w:t>
      </w:r>
      <w:r>
        <w:rPr>
          <w:rFonts w:ascii="宋体" w:eastAsia="宋体" w:hAnsi="宋体" w:hint="eastAsia"/>
        </w:rPr>
        <w:t>运输车辆安排时尽量避开居民楼。</w:t>
      </w:r>
    </w:p>
    <w:p>
      <w:pPr>
        <w:pStyle w:val="Normal0"/>
        <w:tabs>
          <w:tab w:val="center" w:pos="4153"/>
        </w:tabs>
        <w:ind w:left="420"/>
        <w:jc w:val="center"/>
        <w:rPr>
          <w:rFonts w:ascii="宋体" w:eastAsia="宋体" w:hAnsi="宋体" w:hint="eastAsia"/>
          <w:bCs/>
        </w:rPr>
      </w:pPr>
      <w:r>
        <w:rPr>
          <w:rFonts w:ascii="宋体" w:eastAsia="宋体" w:hAnsi="宋体" w:hint="eastAsia"/>
          <w:bCs/>
        </w:rPr>
        <w:t>各施工阶段主要噪声源状况</w:t>
      </w:r>
    </w:p>
    <w:tbl>
      <w:tblPr>
        <w:tblStyle w:val="TableNormal"/>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575"/>
        <w:gridCol w:w="906"/>
        <w:gridCol w:w="1056"/>
        <w:gridCol w:w="1722"/>
        <w:gridCol w:w="1354"/>
        <w:gridCol w:w="1544"/>
      </w:tblGrid>
      <w:tr>
        <w:tblPrEx>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1575" w:type="dxa"/>
          </w:tcPr>
          <w:p>
            <w:pPr>
              <w:pStyle w:val="Normal0"/>
              <w:tabs>
                <w:tab w:val="center" w:pos="4153"/>
              </w:tabs>
              <w:rPr>
                <w:rFonts w:ascii="宋体" w:eastAsia="宋体" w:hAnsi="宋体" w:hint="eastAsia"/>
              </w:rPr>
            </w:pPr>
            <w:r>
              <w:rPr>
                <w:rFonts w:ascii="宋体" w:eastAsia="宋体" w:hAnsi="宋体" w:hint="eastAsia"/>
              </w:rPr>
              <w:t>施工阶段</w:t>
            </w:r>
          </w:p>
        </w:tc>
        <w:tc>
          <w:tcPr>
            <w:tcW w:w="906" w:type="dxa"/>
          </w:tcPr>
          <w:p>
            <w:pPr>
              <w:pStyle w:val="Normal0"/>
              <w:tabs>
                <w:tab w:val="center" w:pos="4153"/>
              </w:tabs>
              <w:rPr>
                <w:rFonts w:ascii="宋体" w:eastAsia="宋体" w:hAnsi="宋体" w:hint="eastAsia"/>
              </w:rPr>
            </w:pPr>
            <w:r>
              <w:rPr>
                <w:rFonts w:ascii="宋体" w:eastAsia="宋体" w:hAnsi="宋体" w:hint="eastAsia"/>
              </w:rPr>
              <w:t>声源</w:t>
            </w:r>
          </w:p>
        </w:tc>
        <w:tc>
          <w:tcPr>
            <w:tcW w:w="984" w:type="dxa"/>
          </w:tcPr>
          <w:p>
            <w:pPr>
              <w:pStyle w:val="Normal0"/>
              <w:tabs>
                <w:tab w:val="center" w:pos="4153"/>
              </w:tabs>
              <w:rPr>
                <w:rFonts w:ascii="宋体" w:eastAsia="宋体" w:hAnsi="宋体" w:hint="eastAsia"/>
              </w:rPr>
            </w:pPr>
            <w:r>
              <w:rPr>
                <w:rFonts w:ascii="宋体" w:eastAsia="宋体" w:hAnsi="宋体" w:hint="eastAsia"/>
              </w:rPr>
              <w:t>声级</w:t>
            </w:r>
          </w:p>
        </w:tc>
        <w:tc>
          <w:tcPr>
            <w:tcW w:w="1722" w:type="dxa"/>
          </w:tcPr>
          <w:p>
            <w:pPr>
              <w:pStyle w:val="Normal0"/>
              <w:tabs>
                <w:tab w:val="center" w:pos="4153"/>
              </w:tabs>
              <w:rPr>
                <w:rFonts w:ascii="宋体" w:eastAsia="宋体" w:hAnsi="宋体" w:hint="eastAsia"/>
              </w:rPr>
            </w:pPr>
            <w:r>
              <w:rPr>
                <w:rFonts w:ascii="宋体" w:eastAsia="宋体" w:hAnsi="宋体" w:hint="eastAsia"/>
              </w:rPr>
              <w:t>施工阶段</w:t>
            </w:r>
          </w:p>
        </w:tc>
        <w:tc>
          <w:tcPr>
            <w:tcW w:w="1354" w:type="dxa"/>
          </w:tcPr>
          <w:p>
            <w:pPr>
              <w:pStyle w:val="Normal0"/>
              <w:tabs>
                <w:tab w:val="center" w:pos="4153"/>
              </w:tabs>
              <w:rPr>
                <w:rFonts w:ascii="宋体" w:eastAsia="宋体" w:hAnsi="宋体" w:hint="eastAsia"/>
              </w:rPr>
            </w:pPr>
            <w:r>
              <w:rPr>
                <w:rFonts w:ascii="宋体" w:eastAsia="宋体" w:hAnsi="宋体" w:hint="eastAsia"/>
              </w:rPr>
              <w:t>声源</w:t>
            </w:r>
          </w:p>
        </w:tc>
        <w:tc>
          <w:tcPr>
            <w:tcW w:w="1544" w:type="dxa"/>
          </w:tcPr>
          <w:p>
            <w:pPr>
              <w:pStyle w:val="Normal0"/>
              <w:tabs>
                <w:tab w:val="center" w:pos="4153"/>
              </w:tabs>
              <w:rPr>
                <w:rFonts w:ascii="宋体" w:eastAsia="宋体" w:hAnsi="宋体" w:hint="eastAsia"/>
              </w:rPr>
            </w:pPr>
            <w:r>
              <w:rPr>
                <w:rFonts w:ascii="宋体" w:eastAsia="宋体" w:hAnsi="宋体" w:hint="eastAsia"/>
              </w:rPr>
              <w:t>声级</w:t>
            </w:r>
          </w:p>
        </w:tc>
      </w:tr>
      <w:tr>
        <w:tblPrEx>
          <w:tblW w:w="0" w:type="auto"/>
          <w:tblInd w:w="213" w:type="dxa"/>
          <w:tblCellMar>
            <w:top w:w="0" w:type="dxa"/>
            <w:left w:w="108" w:type="dxa"/>
            <w:bottom w:w="0" w:type="dxa"/>
            <w:right w:w="108" w:type="dxa"/>
          </w:tblCellMar>
        </w:tblPrEx>
        <w:trPr>
          <w:cantSplit/>
        </w:trPr>
        <w:tc>
          <w:tcPr>
            <w:tcW w:w="1575" w:type="dxa"/>
            <w:vMerge w:val="restart"/>
          </w:tcPr>
          <w:p>
            <w:pPr>
              <w:pStyle w:val="Normal0"/>
              <w:tabs>
                <w:tab w:val="center" w:pos="4153"/>
              </w:tabs>
              <w:jc w:val="center"/>
              <w:rPr>
                <w:rFonts w:ascii="宋体" w:eastAsia="宋体" w:hAnsi="宋体" w:hint="eastAsia"/>
              </w:rPr>
            </w:pPr>
          </w:p>
          <w:p>
            <w:pPr>
              <w:pStyle w:val="Normal0"/>
              <w:tabs>
                <w:tab w:val="center" w:pos="4153"/>
              </w:tabs>
              <w:jc w:val="center"/>
              <w:rPr>
                <w:rFonts w:ascii="宋体" w:eastAsia="宋体" w:hAnsi="宋体" w:hint="eastAsia"/>
              </w:rPr>
            </w:pPr>
          </w:p>
          <w:p>
            <w:pPr>
              <w:pStyle w:val="Normal0"/>
              <w:tabs>
                <w:tab w:val="center" w:pos="4153"/>
              </w:tabs>
              <w:rPr>
                <w:rFonts w:ascii="宋体" w:eastAsia="宋体" w:hAnsi="宋体" w:hint="eastAsia"/>
              </w:rPr>
            </w:pPr>
            <w:r>
              <w:rPr>
                <w:rFonts w:ascii="宋体" w:eastAsia="宋体" w:hAnsi="宋体" w:hint="eastAsia"/>
              </w:rPr>
              <w:t>土石方阶段</w:t>
            </w:r>
          </w:p>
          <w:p>
            <w:pPr>
              <w:pStyle w:val="Normal0"/>
              <w:tabs>
                <w:tab w:val="center" w:pos="4153"/>
              </w:tabs>
              <w:rPr>
                <w:rFonts w:ascii="宋体" w:eastAsia="宋体" w:hAnsi="宋体" w:hint="eastAsia"/>
              </w:rPr>
            </w:pPr>
          </w:p>
        </w:tc>
        <w:tc>
          <w:tcPr>
            <w:tcW w:w="906" w:type="dxa"/>
          </w:tcPr>
          <w:p>
            <w:pPr>
              <w:pStyle w:val="Normal0"/>
              <w:tabs>
                <w:tab w:val="center" w:pos="4153"/>
              </w:tabs>
              <w:rPr>
                <w:rFonts w:ascii="宋体" w:eastAsia="宋体" w:hAnsi="宋体" w:hint="eastAsia"/>
              </w:rPr>
            </w:pPr>
            <w:r>
              <w:rPr>
                <w:rFonts w:ascii="宋体" w:eastAsia="宋体" w:hAnsi="宋体" w:hint="eastAsia"/>
              </w:rPr>
              <w:t>挖土机</w:t>
            </w:r>
          </w:p>
        </w:tc>
        <w:tc>
          <w:tcPr>
            <w:tcW w:w="984" w:type="dxa"/>
          </w:tcPr>
          <w:p>
            <w:pPr>
              <w:pStyle w:val="Normal0"/>
              <w:tabs>
                <w:tab w:val="center" w:pos="4153"/>
              </w:tabs>
              <w:rPr>
                <w:rFonts w:ascii="宋体" w:eastAsia="宋体" w:hAnsi="宋体" w:hint="eastAsia"/>
              </w:rPr>
            </w:pPr>
            <w:r>
              <w:rPr>
                <w:rFonts w:ascii="宋体" w:eastAsia="宋体" w:hAnsi="宋体" w:hint="eastAsia"/>
              </w:rPr>
              <w:t>78-96</w:t>
            </w:r>
          </w:p>
        </w:tc>
        <w:tc>
          <w:tcPr>
            <w:tcW w:w="1722" w:type="dxa"/>
            <w:vMerge w:val="restart"/>
          </w:tcPr>
          <w:p>
            <w:pPr>
              <w:pStyle w:val="Normal0"/>
              <w:tabs>
                <w:tab w:val="center" w:pos="4153"/>
              </w:tabs>
              <w:rPr>
                <w:rFonts w:ascii="宋体" w:eastAsia="宋体" w:hAnsi="宋体" w:hint="eastAsia"/>
              </w:rPr>
            </w:pPr>
          </w:p>
          <w:p>
            <w:pPr>
              <w:pStyle w:val="Normal0"/>
              <w:tabs>
                <w:tab w:val="center" w:pos="4153"/>
              </w:tabs>
              <w:rPr>
                <w:rFonts w:ascii="宋体" w:eastAsia="宋体" w:hAnsi="宋体" w:hint="eastAsia"/>
              </w:rPr>
            </w:pPr>
          </w:p>
          <w:p>
            <w:pPr>
              <w:pStyle w:val="Normal0"/>
              <w:tabs>
                <w:tab w:val="center" w:pos="4153"/>
              </w:tabs>
              <w:rPr>
                <w:rFonts w:ascii="宋体" w:eastAsia="宋体" w:hAnsi="宋体" w:hint="eastAsia"/>
              </w:rPr>
            </w:pPr>
          </w:p>
          <w:p>
            <w:pPr>
              <w:pStyle w:val="Normal0"/>
              <w:tabs>
                <w:tab w:val="center" w:pos="4153"/>
              </w:tabs>
              <w:rPr>
                <w:rFonts w:ascii="宋体" w:eastAsia="宋体" w:hAnsi="宋体" w:hint="eastAsia"/>
              </w:rPr>
            </w:pPr>
          </w:p>
          <w:p>
            <w:pPr>
              <w:pStyle w:val="Normal0"/>
              <w:tabs>
                <w:tab w:val="center" w:pos="4153"/>
              </w:tabs>
              <w:rPr>
                <w:rFonts w:ascii="宋体" w:eastAsia="宋体" w:hAnsi="宋体" w:hint="eastAsia"/>
              </w:rPr>
            </w:pPr>
          </w:p>
          <w:p>
            <w:pPr>
              <w:pStyle w:val="Normal0"/>
              <w:tabs>
                <w:tab w:val="center" w:pos="4153"/>
              </w:tabs>
              <w:rPr>
                <w:rFonts w:ascii="宋体" w:eastAsia="宋体" w:hAnsi="宋体" w:hint="eastAsia"/>
              </w:rPr>
            </w:pPr>
            <w:r>
              <w:rPr>
                <w:rFonts w:ascii="宋体" w:eastAsia="宋体" w:hAnsi="宋体" w:hint="eastAsia"/>
              </w:rPr>
              <w:t>装修、安装阶段</w:t>
            </w:r>
          </w:p>
        </w:tc>
        <w:tc>
          <w:tcPr>
            <w:tcW w:w="1354" w:type="dxa"/>
          </w:tcPr>
          <w:p>
            <w:pPr>
              <w:pStyle w:val="Normal0"/>
              <w:tabs>
                <w:tab w:val="center" w:pos="4153"/>
              </w:tabs>
              <w:rPr>
                <w:rFonts w:ascii="宋体" w:eastAsia="宋体" w:hAnsi="宋体" w:hint="eastAsia"/>
              </w:rPr>
            </w:pPr>
            <w:r>
              <w:rPr>
                <w:rFonts w:ascii="宋体" w:eastAsia="宋体" w:hAnsi="宋体" w:hint="eastAsia"/>
              </w:rPr>
              <w:t>电钻</w:t>
            </w:r>
          </w:p>
        </w:tc>
        <w:tc>
          <w:tcPr>
            <w:tcW w:w="1544" w:type="dxa"/>
          </w:tcPr>
          <w:p>
            <w:pPr>
              <w:pStyle w:val="Normal0"/>
              <w:tabs>
                <w:tab w:val="center" w:pos="4153"/>
              </w:tabs>
              <w:rPr>
                <w:rFonts w:ascii="宋体" w:eastAsia="宋体" w:hAnsi="宋体" w:hint="eastAsia"/>
              </w:rPr>
            </w:pPr>
            <w:r>
              <w:rPr>
                <w:rFonts w:ascii="宋体" w:eastAsia="宋体" w:hAnsi="宋体" w:hint="eastAsia"/>
              </w:rPr>
              <w:t>100-115</w:t>
            </w:r>
          </w:p>
        </w:tc>
      </w:tr>
      <w:tr>
        <w:tblPrEx>
          <w:tblW w:w="0" w:type="auto"/>
          <w:tblInd w:w="213" w:type="dxa"/>
          <w:tblCellMar>
            <w:top w:w="0" w:type="dxa"/>
            <w:left w:w="108" w:type="dxa"/>
            <w:bottom w:w="0" w:type="dxa"/>
            <w:right w:w="108" w:type="dxa"/>
          </w:tblCellMar>
        </w:tblPrEx>
        <w:trPr>
          <w:cantSplit/>
        </w:trPr>
        <w:tc>
          <w:tcPr>
            <w:tcW w:w="1575" w:type="dxa"/>
            <w:vMerge/>
          </w:tcPr>
          <w:p>
            <w:pPr>
              <w:pStyle w:val="Normal0"/>
              <w:tabs>
                <w:tab w:val="center" w:pos="4153"/>
              </w:tabs>
              <w:rPr>
                <w:rFonts w:ascii="宋体" w:eastAsia="宋体" w:hAnsi="宋体" w:hint="eastAsia"/>
              </w:rPr>
            </w:pPr>
          </w:p>
        </w:tc>
        <w:tc>
          <w:tcPr>
            <w:tcW w:w="906" w:type="dxa"/>
          </w:tcPr>
          <w:p>
            <w:pPr>
              <w:pStyle w:val="Normal0"/>
              <w:tabs>
                <w:tab w:val="center" w:pos="4153"/>
              </w:tabs>
              <w:rPr>
                <w:rFonts w:ascii="宋体" w:eastAsia="宋体" w:hAnsi="宋体" w:hint="eastAsia"/>
              </w:rPr>
            </w:pPr>
            <w:r>
              <w:rPr>
                <w:rFonts w:ascii="宋体" w:eastAsia="宋体" w:hAnsi="宋体" w:hint="eastAsia"/>
              </w:rPr>
              <w:t>冲击机</w:t>
            </w:r>
          </w:p>
        </w:tc>
        <w:tc>
          <w:tcPr>
            <w:tcW w:w="984" w:type="dxa"/>
          </w:tcPr>
          <w:p>
            <w:pPr>
              <w:pStyle w:val="Normal0"/>
              <w:tabs>
                <w:tab w:val="center" w:pos="4153"/>
              </w:tabs>
              <w:rPr>
                <w:rFonts w:ascii="宋体" w:eastAsia="宋体" w:hAnsi="宋体" w:hint="eastAsia"/>
              </w:rPr>
            </w:pPr>
            <w:r>
              <w:rPr>
                <w:rFonts w:ascii="宋体" w:eastAsia="宋体" w:hAnsi="宋体" w:hint="eastAsia"/>
              </w:rPr>
              <w:t>95</w:t>
            </w:r>
          </w:p>
        </w:tc>
        <w:tc>
          <w:tcPr>
            <w:tcW w:w="1722" w:type="dxa"/>
            <w:vMerge/>
          </w:tcPr>
          <w:p>
            <w:pPr>
              <w:pStyle w:val="Normal0"/>
              <w:tabs>
                <w:tab w:val="center" w:pos="4153"/>
              </w:tabs>
              <w:rPr>
                <w:rFonts w:ascii="宋体" w:eastAsia="宋体" w:hAnsi="宋体" w:hint="eastAsia"/>
              </w:rPr>
            </w:pPr>
          </w:p>
        </w:tc>
        <w:tc>
          <w:tcPr>
            <w:tcW w:w="1354" w:type="dxa"/>
          </w:tcPr>
          <w:p>
            <w:pPr>
              <w:pStyle w:val="Normal0"/>
              <w:tabs>
                <w:tab w:val="center" w:pos="4153"/>
              </w:tabs>
              <w:rPr>
                <w:rFonts w:ascii="宋体" w:eastAsia="宋体" w:hAnsi="宋体" w:hint="eastAsia"/>
              </w:rPr>
            </w:pPr>
            <w:r>
              <w:rPr>
                <w:rFonts w:ascii="宋体" w:eastAsia="宋体" w:hAnsi="宋体" w:hint="eastAsia"/>
              </w:rPr>
              <w:t>电锤</w:t>
            </w:r>
          </w:p>
        </w:tc>
        <w:tc>
          <w:tcPr>
            <w:tcW w:w="1544" w:type="dxa"/>
          </w:tcPr>
          <w:p>
            <w:pPr>
              <w:pStyle w:val="Normal0"/>
              <w:tabs>
                <w:tab w:val="center" w:pos="4153"/>
              </w:tabs>
              <w:rPr>
                <w:rFonts w:ascii="宋体" w:eastAsia="宋体" w:hAnsi="宋体" w:hint="eastAsia"/>
              </w:rPr>
            </w:pPr>
            <w:r>
              <w:rPr>
                <w:rFonts w:ascii="宋体" w:eastAsia="宋体" w:hAnsi="宋体" w:hint="eastAsia"/>
              </w:rPr>
              <w:t>100-105</w:t>
            </w:r>
          </w:p>
        </w:tc>
      </w:tr>
      <w:tr>
        <w:tblPrEx>
          <w:tblW w:w="0" w:type="auto"/>
          <w:tblInd w:w="213" w:type="dxa"/>
          <w:tblCellMar>
            <w:top w:w="0" w:type="dxa"/>
            <w:left w:w="108" w:type="dxa"/>
            <w:bottom w:w="0" w:type="dxa"/>
            <w:right w:w="108" w:type="dxa"/>
          </w:tblCellMar>
        </w:tblPrEx>
        <w:trPr>
          <w:cantSplit/>
        </w:trPr>
        <w:tc>
          <w:tcPr>
            <w:tcW w:w="1575" w:type="dxa"/>
            <w:vMerge/>
          </w:tcPr>
          <w:p>
            <w:pPr>
              <w:pStyle w:val="Normal0"/>
              <w:tabs>
                <w:tab w:val="center" w:pos="4153"/>
              </w:tabs>
              <w:rPr>
                <w:rFonts w:ascii="宋体" w:eastAsia="宋体" w:hAnsi="宋体" w:hint="eastAsia"/>
              </w:rPr>
            </w:pPr>
          </w:p>
        </w:tc>
        <w:tc>
          <w:tcPr>
            <w:tcW w:w="906" w:type="dxa"/>
          </w:tcPr>
          <w:p>
            <w:pPr>
              <w:pStyle w:val="Normal0"/>
              <w:tabs>
                <w:tab w:val="center" w:pos="4153"/>
              </w:tabs>
              <w:rPr>
                <w:rFonts w:ascii="宋体" w:eastAsia="宋体" w:hAnsi="宋体" w:hint="eastAsia"/>
              </w:rPr>
            </w:pPr>
            <w:r>
              <w:rPr>
                <w:rFonts w:ascii="宋体" w:eastAsia="宋体" w:hAnsi="宋体" w:hint="eastAsia"/>
              </w:rPr>
              <w:t>空压机</w:t>
            </w:r>
          </w:p>
        </w:tc>
        <w:tc>
          <w:tcPr>
            <w:tcW w:w="984" w:type="dxa"/>
          </w:tcPr>
          <w:p>
            <w:pPr>
              <w:pStyle w:val="Normal0"/>
              <w:tabs>
                <w:tab w:val="center" w:pos="4153"/>
              </w:tabs>
              <w:rPr>
                <w:rFonts w:ascii="宋体" w:eastAsia="宋体" w:hAnsi="宋体" w:hint="eastAsia"/>
              </w:rPr>
            </w:pPr>
            <w:r>
              <w:rPr>
                <w:rFonts w:ascii="宋体" w:eastAsia="宋体" w:hAnsi="宋体" w:hint="eastAsia"/>
              </w:rPr>
              <w:t>75-85</w:t>
            </w:r>
          </w:p>
        </w:tc>
        <w:tc>
          <w:tcPr>
            <w:tcW w:w="1722" w:type="dxa"/>
            <w:vMerge/>
          </w:tcPr>
          <w:p>
            <w:pPr>
              <w:pStyle w:val="Normal0"/>
              <w:tabs>
                <w:tab w:val="center" w:pos="4153"/>
              </w:tabs>
              <w:rPr>
                <w:rFonts w:ascii="宋体" w:eastAsia="宋体" w:hAnsi="宋体" w:hint="eastAsia"/>
              </w:rPr>
            </w:pPr>
          </w:p>
        </w:tc>
        <w:tc>
          <w:tcPr>
            <w:tcW w:w="1354" w:type="dxa"/>
          </w:tcPr>
          <w:p>
            <w:pPr>
              <w:pStyle w:val="Normal0"/>
              <w:tabs>
                <w:tab w:val="center" w:pos="4153"/>
              </w:tabs>
              <w:rPr>
                <w:rFonts w:ascii="宋体" w:eastAsia="宋体" w:hAnsi="宋体" w:hint="eastAsia"/>
              </w:rPr>
            </w:pPr>
            <w:r>
              <w:rPr>
                <w:rFonts w:ascii="宋体" w:eastAsia="宋体" w:hAnsi="宋体" w:hint="eastAsia"/>
              </w:rPr>
              <w:t>手工钻</w:t>
            </w:r>
          </w:p>
        </w:tc>
        <w:tc>
          <w:tcPr>
            <w:tcW w:w="1544" w:type="dxa"/>
          </w:tcPr>
          <w:p>
            <w:pPr>
              <w:pStyle w:val="Normal0"/>
              <w:tabs>
                <w:tab w:val="center" w:pos="4153"/>
              </w:tabs>
              <w:rPr>
                <w:rFonts w:ascii="宋体" w:eastAsia="宋体" w:hAnsi="宋体" w:hint="eastAsia"/>
              </w:rPr>
            </w:pPr>
            <w:r>
              <w:rPr>
                <w:rFonts w:ascii="宋体" w:eastAsia="宋体" w:hAnsi="宋体" w:hint="eastAsia"/>
              </w:rPr>
              <w:t>100-105</w:t>
            </w:r>
          </w:p>
        </w:tc>
      </w:tr>
      <w:tr>
        <w:tblPrEx>
          <w:tblW w:w="0" w:type="auto"/>
          <w:tblInd w:w="213" w:type="dxa"/>
          <w:tblCellMar>
            <w:top w:w="0" w:type="dxa"/>
            <w:left w:w="108" w:type="dxa"/>
            <w:bottom w:w="0" w:type="dxa"/>
            <w:right w:w="108" w:type="dxa"/>
          </w:tblCellMar>
        </w:tblPrEx>
        <w:trPr>
          <w:cantSplit/>
        </w:trPr>
        <w:tc>
          <w:tcPr>
            <w:tcW w:w="1575" w:type="dxa"/>
            <w:vMerge/>
          </w:tcPr>
          <w:p>
            <w:pPr>
              <w:pStyle w:val="Normal0"/>
              <w:tabs>
                <w:tab w:val="center" w:pos="4153"/>
              </w:tabs>
              <w:rPr>
                <w:rFonts w:ascii="宋体" w:eastAsia="宋体" w:hAnsi="宋体" w:hint="eastAsia"/>
              </w:rPr>
            </w:pPr>
          </w:p>
        </w:tc>
        <w:tc>
          <w:tcPr>
            <w:tcW w:w="906" w:type="dxa"/>
          </w:tcPr>
          <w:p>
            <w:pPr>
              <w:pStyle w:val="Normal0"/>
              <w:tabs>
                <w:tab w:val="center" w:pos="4153"/>
              </w:tabs>
              <w:rPr>
                <w:rFonts w:ascii="宋体" w:eastAsia="宋体" w:hAnsi="宋体" w:hint="eastAsia"/>
              </w:rPr>
            </w:pPr>
            <w:r>
              <w:rPr>
                <w:rFonts w:ascii="宋体" w:eastAsia="宋体" w:hAnsi="宋体" w:hint="eastAsia"/>
              </w:rPr>
              <w:t>打桩机</w:t>
            </w:r>
          </w:p>
        </w:tc>
        <w:tc>
          <w:tcPr>
            <w:tcW w:w="984" w:type="dxa"/>
          </w:tcPr>
          <w:p>
            <w:pPr>
              <w:pStyle w:val="Normal0"/>
              <w:tabs>
                <w:tab w:val="center" w:pos="4153"/>
              </w:tabs>
              <w:rPr>
                <w:rFonts w:ascii="宋体" w:eastAsia="宋体" w:hAnsi="宋体" w:hint="eastAsia"/>
              </w:rPr>
            </w:pPr>
            <w:r>
              <w:rPr>
                <w:rFonts w:ascii="宋体" w:eastAsia="宋体" w:hAnsi="宋体" w:hint="eastAsia"/>
              </w:rPr>
              <w:t>95-105</w:t>
            </w:r>
          </w:p>
        </w:tc>
        <w:tc>
          <w:tcPr>
            <w:tcW w:w="1722" w:type="dxa"/>
            <w:vMerge/>
          </w:tcPr>
          <w:p>
            <w:pPr>
              <w:pStyle w:val="Normal0"/>
              <w:tabs>
                <w:tab w:val="center" w:pos="4153"/>
              </w:tabs>
              <w:rPr>
                <w:rFonts w:ascii="宋体" w:eastAsia="宋体" w:hAnsi="宋体" w:hint="eastAsia"/>
              </w:rPr>
            </w:pPr>
          </w:p>
        </w:tc>
        <w:tc>
          <w:tcPr>
            <w:tcW w:w="1354" w:type="dxa"/>
          </w:tcPr>
          <w:p>
            <w:pPr>
              <w:pStyle w:val="Normal0"/>
              <w:tabs>
                <w:tab w:val="center" w:pos="4153"/>
              </w:tabs>
              <w:rPr>
                <w:rFonts w:ascii="宋体" w:eastAsia="宋体" w:hAnsi="宋体" w:hint="eastAsia"/>
              </w:rPr>
            </w:pPr>
            <w:r>
              <w:rPr>
                <w:rFonts w:ascii="宋体" w:eastAsia="宋体" w:hAnsi="宋体" w:hint="eastAsia"/>
              </w:rPr>
              <w:t>无齿锯</w:t>
            </w:r>
          </w:p>
        </w:tc>
        <w:tc>
          <w:tcPr>
            <w:tcW w:w="1544" w:type="dxa"/>
          </w:tcPr>
          <w:p>
            <w:pPr>
              <w:pStyle w:val="Normal0"/>
              <w:tabs>
                <w:tab w:val="center" w:pos="4153"/>
              </w:tabs>
              <w:rPr>
                <w:rFonts w:ascii="宋体" w:eastAsia="宋体" w:hAnsi="宋体" w:hint="eastAsia"/>
              </w:rPr>
            </w:pPr>
            <w:r>
              <w:rPr>
                <w:rFonts w:ascii="宋体" w:eastAsia="宋体" w:hAnsi="宋体" w:hint="eastAsia"/>
              </w:rPr>
              <w:t>105</w:t>
            </w:r>
          </w:p>
        </w:tc>
      </w:tr>
      <w:tr>
        <w:tblPrEx>
          <w:tblW w:w="0" w:type="auto"/>
          <w:tblInd w:w="213" w:type="dxa"/>
          <w:tblCellMar>
            <w:top w:w="0" w:type="dxa"/>
            <w:left w:w="108" w:type="dxa"/>
            <w:bottom w:w="0" w:type="dxa"/>
            <w:right w:w="108" w:type="dxa"/>
          </w:tblCellMar>
        </w:tblPrEx>
        <w:trPr>
          <w:cantSplit/>
        </w:trPr>
        <w:tc>
          <w:tcPr>
            <w:tcW w:w="1575" w:type="dxa"/>
            <w:vMerge w:val="restart"/>
          </w:tcPr>
          <w:p>
            <w:pPr>
              <w:pStyle w:val="Normal0"/>
              <w:tabs>
                <w:tab w:val="center" w:pos="4153"/>
              </w:tabs>
              <w:rPr>
                <w:rFonts w:ascii="宋体" w:eastAsia="宋体" w:hAnsi="宋体" w:hint="eastAsia"/>
              </w:rPr>
            </w:pPr>
          </w:p>
          <w:p>
            <w:pPr>
              <w:pStyle w:val="Normal0"/>
              <w:tabs>
                <w:tab w:val="center" w:pos="4153"/>
              </w:tabs>
              <w:rPr>
                <w:rFonts w:ascii="宋体" w:eastAsia="宋体" w:hAnsi="宋体" w:hint="eastAsia"/>
              </w:rPr>
            </w:pPr>
          </w:p>
          <w:p>
            <w:pPr>
              <w:pStyle w:val="Normal0"/>
              <w:tabs>
                <w:tab w:val="center" w:pos="4153"/>
              </w:tabs>
              <w:rPr>
                <w:rFonts w:ascii="宋体" w:eastAsia="宋体" w:hAnsi="宋体" w:hint="eastAsia"/>
              </w:rPr>
            </w:pPr>
          </w:p>
          <w:p>
            <w:pPr>
              <w:pStyle w:val="Normal0"/>
              <w:tabs>
                <w:tab w:val="center" w:pos="4153"/>
              </w:tabs>
              <w:rPr>
                <w:rFonts w:ascii="宋体" w:eastAsia="宋体" w:hAnsi="宋体" w:hint="eastAsia"/>
              </w:rPr>
            </w:pPr>
            <w:r>
              <w:rPr>
                <w:rFonts w:ascii="宋体" w:eastAsia="宋体" w:hAnsi="宋体" w:hint="eastAsia"/>
              </w:rPr>
              <w:t>底板与结构阶段</w:t>
            </w:r>
          </w:p>
        </w:tc>
        <w:tc>
          <w:tcPr>
            <w:tcW w:w="906" w:type="dxa"/>
          </w:tcPr>
          <w:p>
            <w:pPr>
              <w:pStyle w:val="Normal0"/>
              <w:tabs>
                <w:tab w:val="center" w:pos="4153"/>
              </w:tabs>
              <w:rPr>
                <w:rFonts w:ascii="宋体" w:eastAsia="宋体" w:hAnsi="宋体" w:hint="eastAsia"/>
              </w:rPr>
            </w:pPr>
            <w:r>
              <w:rPr>
                <w:rFonts w:ascii="宋体" w:eastAsia="宋体" w:hAnsi="宋体" w:hint="eastAsia"/>
              </w:rPr>
              <w:t>混凝土输送泵</w:t>
            </w:r>
          </w:p>
        </w:tc>
        <w:tc>
          <w:tcPr>
            <w:tcW w:w="984" w:type="dxa"/>
          </w:tcPr>
          <w:p>
            <w:pPr>
              <w:pStyle w:val="Normal0"/>
              <w:tabs>
                <w:tab w:val="center" w:pos="4153"/>
              </w:tabs>
              <w:rPr>
                <w:rFonts w:ascii="宋体" w:eastAsia="宋体" w:hAnsi="宋体" w:hint="eastAsia"/>
              </w:rPr>
            </w:pPr>
            <w:r>
              <w:rPr>
                <w:rFonts w:ascii="宋体" w:eastAsia="宋体" w:hAnsi="宋体" w:hint="eastAsia"/>
              </w:rPr>
              <w:t>90-100</w:t>
            </w:r>
          </w:p>
        </w:tc>
        <w:tc>
          <w:tcPr>
            <w:tcW w:w="1722" w:type="dxa"/>
            <w:vMerge/>
          </w:tcPr>
          <w:p>
            <w:pPr>
              <w:pStyle w:val="Normal0"/>
              <w:tabs>
                <w:tab w:val="center" w:pos="4153"/>
              </w:tabs>
              <w:rPr>
                <w:rFonts w:ascii="宋体" w:eastAsia="宋体" w:hAnsi="宋体" w:hint="eastAsia"/>
              </w:rPr>
            </w:pPr>
          </w:p>
        </w:tc>
        <w:tc>
          <w:tcPr>
            <w:tcW w:w="1354" w:type="dxa"/>
          </w:tcPr>
          <w:p>
            <w:pPr>
              <w:pStyle w:val="Normal0"/>
              <w:tabs>
                <w:tab w:val="center" w:pos="4153"/>
              </w:tabs>
              <w:rPr>
                <w:rFonts w:ascii="宋体" w:eastAsia="宋体" w:hAnsi="宋体" w:hint="eastAsia"/>
              </w:rPr>
            </w:pPr>
            <w:r>
              <w:rPr>
                <w:rFonts w:ascii="宋体" w:eastAsia="宋体" w:hAnsi="宋体" w:hint="eastAsia"/>
              </w:rPr>
              <w:t>多功能木工刨</w:t>
            </w:r>
          </w:p>
        </w:tc>
        <w:tc>
          <w:tcPr>
            <w:tcW w:w="1544" w:type="dxa"/>
          </w:tcPr>
          <w:p>
            <w:pPr>
              <w:pStyle w:val="Normal0"/>
              <w:tabs>
                <w:tab w:val="center" w:pos="4153"/>
              </w:tabs>
              <w:rPr>
                <w:rFonts w:ascii="宋体" w:eastAsia="宋体" w:hAnsi="宋体" w:hint="eastAsia"/>
              </w:rPr>
            </w:pPr>
            <w:r>
              <w:rPr>
                <w:rFonts w:ascii="宋体" w:eastAsia="宋体" w:hAnsi="宋体" w:hint="eastAsia"/>
              </w:rPr>
              <w:t>90-100</w:t>
            </w:r>
          </w:p>
        </w:tc>
      </w:tr>
      <w:tr>
        <w:tblPrEx>
          <w:tblW w:w="0" w:type="auto"/>
          <w:tblInd w:w="213" w:type="dxa"/>
          <w:tblCellMar>
            <w:top w:w="0" w:type="dxa"/>
            <w:left w:w="108" w:type="dxa"/>
            <w:bottom w:w="0" w:type="dxa"/>
            <w:right w:w="108" w:type="dxa"/>
          </w:tblCellMar>
        </w:tblPrEx>
        <w:trPr>
          <w:cantSplit/>
        </w:trPr>
        <w:tc>
          <w:tcPr>
            <w:tcW w:w="1575" w:type="dxa"/>
            <w:vMerge/>
          </w:tcPr>
          <w:p>
            <w:pPr>
              <w:pStyle w:val="Normal0"/>
              <w:tabs>
                <w:tab w:val="center" w:pos="4153"/>
              </w:tabs>
              <w:rPr>
                <w:rFonts w:ascii="宋体" w:eastAsia="宋体" w:hAnsi="宋体" w:hint="eastAsia"/>
              </w:rPr>
            </w:pPr>
          </w:p>
        </w:tc>
        <w:tc>
          <w:tcPr>
            <w:tcW w:w="906" w:type="dxa"/>
          </w:tcPr>
          <w:p>
            <w:pPr>
              <w:pStyle w:val="Normal0"/>
              <w:tabs>
                <w:tab w:val="center" w:pos="4153"/>
              </w:tabs>
              <w:rPr>
                <w:rFonts w:ascii="宋体" w:eastAsia="宋体" w:hAnsi="宋体" w:hint="eastAsia"/>
              </w:rPr>
            </w:pPr>
            <w:r>
              <w:rPr>
                <w:rFonts w:ascii="宋体" w:eastAsia="宋体" w:hAnsi="宋体" w:hint="eastAsia"/>
              </w:rPr>
              <w:t>振捣器</w:t>
            </w:r>
          </w:p>
        </w:tc>
        <w:tc>
          <w:tcPr>
            <w:tcW w:w="984" w:type="dxa"/>
          </w:tcPr>
          <w:p>
            <w:pPr>
              <w:pStyle w:val="Normal0"/>
              <w:tabs>
                <w:tab w:val="center" w:pos="4153"/>
              </w:tabs>
              <w:rPr>
                <w:rFonts w:ascii="宋体" w:eastAsia="宋体" w:hAnsi="宋体" w:hint="eastAsia"/>
              </w:rPr>
            </w:pPr>
            <w:r>
              <w:rPr>
                <w:rFonts w:ascii="宋体" w:eastAsia="宋体" w:hAnsi="宋体" w:hint="eastAsia"/>
              </w:rPr>
              <w:t>100-105</w:t>
            </w:r>
          </w:p>
        </w:tc>
        <w:tc>
          <w:tcPr>
            <w:tcW w:w="1722" w:type="dxa"/>
            <w:vMerge/>
          </w:tcPr>
          <w:p>
            <w:pPr>
              <w:pStyle w:val="Normal0"/>
              <w:tabs>
                <w:tab w:val="center" w:pos="4153"/>
              </w:tabs>
              <w:rPr>
                <w:rFonts w:ascii="宋体" w:eastAsia="宋体" w:hAnsi="宋体" w:hint="eastAsia"/>
              </w:rPr>
            </w:pPr>
          </w:p>
        </w:tc>
        <w:tc>
          <w:tcPr>
            <w:tcW w:w="1354" w:type="dxa"/>
          </w:tcPr>
          <w:p>
            <w:pPr>
              <w:pStyle w:val="Normal0"/>
              <w:tabs>
                <w:tab w:val="center" w:pos="4153"/>
              </w:tabs>
              <w:rPr>
                <w:rFonts w:ascii="宋体" w:eastAsia="宋体" w:hAnsi="宋体" w:hint="eastAsia"/>
              </w:rPr>
            </w:pPr>
            <w:r>
              <w:rPr>
                <w:rFonts w:ascii="宋体" w:eastAsia="宋体" w:hAnsi="宋体" w:hint="eastAsia"/>
              </w:rPr>
              <w:t>混凝土搅拌机</w:t>
            </w:r>
          </w:p>
        </w:tc>
        <w:tc>
          <w:tcPr>
            <w:tcW w:w="1544" w:type="dxa"/>
          </w:tcPr>
          <w:p>
            <w:pPr>
              <w:pStyle w:val="Normal0"/>
              <w:tabs>
                <w:tab w:val="center" w:pos="4153"/>
              </w:tabs>
              <w:rPr>
                <w:rFonts w:ascii="宋体" w:eastAsia="宋体" w:hAnsi="宋体" w:hint="eastAsia"/>
              </w:rPr>
            </w:pPr>
            <w:r>
              <w:rPr>
                <w:rFonts w:ascii="宋体" w:eastAsia="宋体" w:hAnsi="宋体" w:hint="eastAsia"/>
              </w:rPr>
              <w:t>100-110</w:t>
            </w:r>
          </w:p>
        </w:tc>
      </w:tr>
      <w:tr>
        <w:tblPrEx>
          <w:tblW w:w="0" w:type="auto"/>
          <w:tblInd w:w="213" w:type="dxa"/>
          <w:tblCellMar>
            <w:top w:w="0" w:type="dxa"/>
            <w:left w:w="108" w:type="dxa"/>
            <w:bottom w:w="0" w:type="dxa"/>
            <w:right w:w="108" w:type="dxa"/>
          </w:tblCellMar>
        </w:tblPrEx>
        <w:trPr>
          <w:cantSplit/>
        </w:trPr>
        <w:tc>
          <w:tcPr>
            <w:tcW w:w="1575" w:type="dxa"/>
            <w:vMerge/>
          </w:tcPr>
          <w:p>
            <w:pPr>
              <w:pStyle w:val="Normal0"/>
              <w:tabs>
                <w:tab w:val="center" w:pos="4153"/>
              </w:tabs>
              <w:rPr>
                <w:rFonts w:ascii="宋体" w:eastAsia="宋体" w:hAnsi="宋体" w:hint="eastAsia"/>
              </w:rPr>
            </w:pPr>
          </w:p>
        </w:tc>
        <w:tc>
          <w:tcPr>
            <w:tcW w:w="906" w:type="dxa"/>
          </w:tcPr>
          <w:p>
            <w:pPr>
              <w:pStyle w:val="Normal0"/>
              <w:tabs>
                <w:tab w:val="center" w:pos="4153"/>
              </w:tabs>
              <w:rPr>
                <w:rFonts w:ascii="宋体" w:eastAsia="宋体" w:hAnsi="宋体" w:hint="eastAsia"/>
              </w:rPr>
            </w:pPr>
            <w:r>
              <w:rPr>
                <w:rFonts w:ascii="宋体" w:eastAsia="宋体" w:hAnsi="宋体" w:hint="eastAsia"/>
              </w:rPr>
              <w:t>电据</w:t>
            </w:r>
          </w:p>
        </w:tc>
        <w:tc>
          <w:tcPr>
            <w:tcW w:w="984" w:type="dxa"/>
          </w:tcPr>
          <w:p>
            <w:pPr>
              <w:pStyle w:val="Normal0"/>
              <w:tabs>
                <w:tab w:val="center" w:pos="4153"/>
              </w:tabs>
              <w:rPr>
                <w:rFonts w:ascii="宋体" w:eastAsia="宋体" w:hAnsi="宋体" w:hint="eastAsia"/>
              </w:rPr>
            </w:pPr>
            <w:r>
              <w:rPr>
                <w:rFonts w:ascii="宋体" w:eastAsia="宋体" w:hAnsi="宋体" w:hint="eastAsia"/>
              </w:rPr>
              <w:t>100-110</w:t>
            </w:r>
          </w:p>
        </w:tc>
        <w:tc>
          <w:tcPr>
            <w:tcW w:w="1722" w:type="dxa"/>
            <w:vMerge/>
          </w:tcPr>
          <w:p>
            <w:pPr>
              <w:pStyle w:val="Normal0"/>
              <w:tabs>
                <w:tab w:val="center" w:pos="4153"/>
              </w:tabs>
              <w:rPr>
                <w:rFonts w:ascii="宋体" w:eastAsia="宋体" w:hAnsi="宋体" w:hint="eastAsia"/>
              </w:rPr>
            </w:pPr>
          </w:p>
        </w:tc>
        <w:tc>
          <w:tcPr>
            <w:tcW w:w="1354" w:type="dxa"/>
          </w:tcPr>
          <w:p>
            <w:pPr>
              <w:pStyle w:val="Normal0"/>
              <w:tabs>
                <w:tab w:val="center" w:pos="4153"/>
              </w:tabs>
              <w:rPr>
                <w:rFonts w:ascii="宋体" w:eastAsia="宋体" w:hAnsi="宋体" w:hint="eastAsia"/>
              </w:rPr>
            </w:pPr>
            <w:r>
              <w:rPr>
                <w:rFonts w:ascii="宋体" w:eastAsia="宋体" w:hAnsi="宋体" w:hint="eastAsia"/>
              </w:rPr>
              <w:t>云石机</w:t>
            </w:r>
          </w:p>
        </w:tc>
        <w:tc>
          <w:tcPr>
            <w:tcW w:w="1544" w:type="dxa"/>
          </w:tcPr>
          <w:p>
            <w:pPr>
              <w:pStyle w:val="Normal0"/>
              <w:tabs>
                <w:tab w:val="center" w:pos="4153"/>
              </w:tabs>
              <w:rPr>
                <w:rFonts w:ascii="宋体" w:eastAsia="宋体" w:hAnsi="宋体" w:hint="eastAsia"/>
              </w:rPr>
            </w:pPr>
            <w:r>
              <w:rPr>
                <w:rFonts w:ascii="宋体" w:eastAsia="宋体" w:hAnsi="宋体" w:hint="eastAsia"/>
              </w:rPr>
              <w:t>100-110</w:t>
            </w:r>
          </w:p>
        </w:tc>
      </w:tr>
      <w:tr>
        <w:tblPrEx>
          <w:tblW w:w="0" w:type="auto"/>
          <w:tblInd w:w="213" w:type="dxa"/>
          <w:tblCellMar>
            <w:top w:w="0" w:type="dxa"/>
            <w:left w:w="108" w:type="dxa"/>
            <w:bottom w:w="0" w:type="dxa"/>
            <w:right w:w="108" w:type="dxa"/>
          </w:tblCellMar>
        </w:tblPrEx>
        <w:trPr>
          <w:cantSplit/>
        </w:trPr>
        <w:tc>
          <w:tcPr>
            <w:tcW w:w="1575" w:type="dxa"/>
            <w:vMerge/>
          </w:tcPr>
          <w:p>
            <w:pPr>
              <w:pStyle w:val="Normal0"/>
              <w:tabs>
                <w:tab w:val="center" w:pos="4153"/>
              </w:tabs>
              <w:rPr>
                <w:rFonts w:ascii="宋体" w:eastAsia="宋体" w:hAnsi="宋体" w:hint="eastAsia"/>
              </w:rPr>
            </w:pPr>
          </w:p>
        </w:tc>
        <w:tc>
          <w:tcPr>
            <w:tcW w:w="906" w:type="dxa"/>
          </w:tcPr>
          <w:p>
            <w:pPr>
              <w:pStyle w:val="Normal0"/>
              <w:tabs>
                <w:tab w:val="center" w:pos="4153"/>
              </w:tabs>
              <w:rPr>
                <w:rFonts w:ascii="宋体" w:eastAsia="宋体" w:hAnsi="宋体" w:hint="eastAsia"/>
              </w:rPr>
            </w:pPr>
            <w:r>
              <w:rPr>
                <w:rFonts w:ascii="宋体" w:eastAsia="宋体" w:hAnsi="宋体" w:hint="eastAsia"/>
              </w:rPr>
              <w:t>电焊机</w:t>
            </w:r>
          </w:p>
        </w:tc>
        <w:tc>
          <w:tcPr>
            <w:tcW w:w="984" w:type="dxa"/>
          </w:tcPr>
          <w:p>
            <w:pPr>
              <w:pStyle w:val="Normal0"/>
              <w:tabs>
                <w:tab w:val="center" w:pos="4153"/>
              </w:tabs>
              <w:rPr>
                <w:rFonts w:ascii="宋体" w:eastAsia="宋体" w:hAnsi="宋体" w:hint="eastAsia"/>
              </w:rPr>
            </w:pPr>
            <w:r>
              <w:rPr>
                <w:rFonts w:ascii="宋体" w:eastAsia="宋体" w:hAnsi="宋体" w:hint="eastAsia"/>
              </w:rPr>
              <w:t>90-95</w:t>
            </w:r>
          </w:p>
        </w:tc>
        <w:tc>
          <w:tcPr>
            <w:tcW w:w="1722" w:type="dxa"/>
            <w:vMerge/>
          </w:tcPr>
          <w:p>
            <w:pPr>
              <w:pStyle w:val="Normal0"/>
              <w:tabs>
                <w:tab w:val="center" w:pos="4153"/>
              </w:tabs>
              <w:rPr>
                <w:rFonts w:ascii="宋体" w:eastAsia="宋体" w:hAnsi="宋体" w:hint="eastAsia"/>
              </w:rPr>
            </w:pPr>
          </w:p>
        </w:tc>
        <w:tc>
          <w:tcPr>
            <w:tcW w:w="1354" w:type="dxa"/>
          </w:tcPr>
          <w:p>
            <w:pPr>
              <w:pStyle w:val="Normal0"/>
              <w:tabs>
                <w:tab w:val="center" w:pos="4153"/>
              </w:tabs>
              <w:rPr>
                <w:rFonts w:ascii="宋体" w:eastAsia="宋体" w:hAnsi="宋体" w:hint="eastAsia"/>
              </w:rPr>
            </w:pPr>
            <w:r>
              <w:rPr>
                <w:rFonts w:ascii="宋体" w:eastAsia="宋体" w:hAnsi="宋体" w:hint="eastAsia"/>
              </w:rPr>
              <w:t>多角磨光机</w:t>
            </w:r>
          </w:p>
        </w:tc>
        <w:tc>
          <w:tcPr>
            <w:tcW w:w="1544" w:type="dxa"/>
          </w:tcPr>
          <w:p>
            <w:pPr>
              <w:pStyle w:val="Normal0"/>
              <w:tabs>
                <w:tab w:val="center" w:pos="4153"/>
              </w:tabs>
              <w:rPr>
                <w:rFonts w:ascii="宋体" w:eastAsia="宋体" w:hAnsi="宋体" w:hint="eastAsia"/>
              </w:rPr>
            </w:pPr>
            <w:r>
              <w:rPr>
                <w:rFonts w:ascii="宋体" w:eastAsia="宋体" w:hAnsi="宋体" w:hint="eastAsia"/>
              </w:rPr>
              <w:t>100-115</w:t>
            </w:r>
          </w:p>
        </w:tc>
      </w:tr>
      <w:tr>
        <w:tblPrEx>
          <w:tblW w:w="0" w:type="auto"/>
          <w:tblInd w:w="213" w:type="dxa"/>
          <w:tblCellMar>
            <w:top w:w="0" w:type="dxa"/>
            <w:left w:w="108" w:type="dxa"/>
            <w:bottom w:w="0" w:type="dxa"/>
            <w:right w:w="108" w:type="dxa"/>
          </w:tblCellMar>
        </w:tblPrEx>
        <w:trPr>
          <w:cantSplit/>
        </w:trPr>
        <w:tc>
          <w:tcPr>
            <w:tcW w:w="1575" w:type="dxa"/>
            <w:vMerge/>
          </w:tcPr>
          <w:p>
            <w:pPr>
              <w:pStyle w:val="Normal0"/>
              <w:tabs>
                <w:tab w:val="center" w:pos="4153"/>
              </w:tabs>
              <w:rPr>
                <w:rFonts w:ascii="宋体" w:eastAsia="宋体" w:hAnsi="宋体" w:hint="eastAsia"/>
              </w:rPr>
            </w:pPr>
          </w:p>
        </w:tc>
        <w:tc>
          <w:tcPr>
            <w:tcW w:w="906" w:type="dxa"/>
          </w:tcPr>
          <w:p>
            <w:pPr>
              <w:pStyle w:val="Normal0"/>
              <w:tabs>
                <w:tab w:val="center" w:pos="4153"/>
              </w:tabs>
              <w:rPr>
                <w:rFonts w:ascii="宋体" w:eastAsia="宋体" w:hAnsi="宋体" w:hint="eastAsia"/>
              </w:rPr>
            </w:pPr>
            <w:r>
              <w:rPr>
                <w:rFonts w:ascii="宋体" w:eastAsia="宋体" w:hAnsi="宋体" w:hint="eastAsia"/>
              </w:rPr>
              <w:t>空压机</w:t>
            </w:r>
          </w:p>
        </w:tc>
        <w:tc>
          <w:tcPr>
            <w:tcW w:w="984" w:type="dxa"/>
          </w:tcPr>
          <w:p>
            <w:pPr>
              <w:pStyle w:val="Normal0"/>
              <w:tabs>
                <w:tab w:val="center" w:pos="4153"/>
              </w:tabs>
              <w:rPr>
                <w:rFonts w:ascii="宋体" w:eastAsia="宋体" w:hAnsi="宋体" w:hint="eastAsia"/>
              </w:rPr>
            </w:pPr>
            <w:r>
              <w:rPr>
                <w:rFonts w:ascii="宋体" w:eastAsia="宋体" w:hAnsi="宋体" w:hint="eastAsia"/>
              </w:rPr>
              <w:t>75-85</w:t>
            </w:r>
          </w:p>
        </w:tc>
        <w:tc>
          <w:tcPr>
            <w:tcW w:w="1722" w:type="dxa"/>
            <w:vMerge/>
          </w:tcPr>
          <w:p>
            <w:pPr>
              <w:pStyle w:val="Normal0"/>
              <w:tabs>
                <w:tab w:val="center" w:pos="4153"/>
              </w:tabs>
              <w:rPr>
                <w:rFonts w:ascii="宋体" w:eastAsia="宋体" w:hAnsi="宋体" w:hint="eastAsia"/>
              </w:rPr>
            </w:pPr>
          </w:p>
        </w:tc>
        <w:tc>
          <w:tcPr>
            <w:tcW w:w="1354" w:type="dxa"/>
          </w:tcPr>
          <w:p>
            <w:pPr>
              <w:pStyle w:val="Normal0"/>
              <w:tabs>
                <w:tab w:val="center" w:pos="4153"/>
              </w:tabs>
              <w:rPr>
                <w:rFonts w:ascii="宋体" w:eastAsia="宋体" w:hAnsi="宋体" w:hint="eastAsia"/>
              </w:rPr>
            </w:pPr>
          </w:p>
        </w:tc>
        <w:tc>
          <w:tcPr>
            <w:tcW w:w="1544" w:type="dxa"/>
          </w:tcPr>
          <w:p>
            <w:pPr>
              <w:pStyle w:val="Normal0"/>
              <w:tabs>
                <w:tab w:val="center" w:pos="4153"/>
              </w:tabs>
              <w:rPr>
                <w:rFonts w:ascii="宋体" w:eastAsia="宋体" w:hAnsi="宋体" w:hint="eastAsia"/>
              </w:rPr>
            </w:pPr>
          </w:p>
        </w:tc>
      </w:tr>
    </w:tbl>
    <w:p>
      <w:pPr>
        <w:pStyle w:val="Normal0"/>
        <w:tabs>
          <w:tab w:val="center" w:pos="4153"/>
        </w:tabs>
        <w:rPr>
          <w:rFonts w:ascii="宋体" w:eastAsia="宋体" w:hAnsi="宋体" w:hint="eastAsia"/>
          <w:bCs/>
        </w:rPr>
        <w:sectPr>
          <w:headerReference w:type="default" r:id="rId49"/>
          <w:footerReference w:type="default" r:id="rId50"/>
          <w:type w:val="nextPage"/>
          <w:pgSz w:w="11906" w:h="16838"/>
          <w:pgMar w:top="539" w:right="926" w:bottom="1440" w:left="1800" w:header="495" w:footer="992" w:gutter="0"/>
          <w:pgNumType w:start="22"/>
          <w:cols w:num="1" w:space="425"/>
          <w:titlePg w:val="0"/>
          <w:docGrid w:type="lines" w:linePitch="360" w:charSpace="0"/>
        </w:sectPr>
      </w:pPr>
    </w:p>
    <w:tbl>
      <w:tblPr>
        <w:tblStyle w:val="TableNormal"/>
        <w:tblpPr w:leftFromText="180" w:rightFromText="180" w:vertAnchor="text" w:horzAnchor="margin" w:tblpX="180" w:tblpY="313"/>
        <w:tblW w:w="820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800"/>
        <w:gridCol w:w="2700"/>
        <w:gridCol w:w="2160"/>
        <w:gridCol w:w="1548"/>
      </w:tblGrid>
      <w:tr>
        <w:tblPrEx>
          <w:tblW w:w="820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500"/>
        </w:trPr>
        <w:tc>
          <w:tcPr>
            <w:tcW w:w="1800" w:type="dxa"/>
          </w:tcPr>
          <w:p>
            <w:pPr>
              <w:pStyle w:val="Normal0"/>
              <w:tabs>
                <w:tab w:val="center" w:pos="4153"/>
              </w:tabs>
              <w:jc w:val="center"/>
              <w:rPr>
                <w:rFonts w:ascii="宋体" w:eastAsia="宋体" w:hAnsi="宋体" w:hint="eastAsia"/>
              </w:rPr>
            </w:pPr>
            <w:r>
              <w:rPr>
                <w:rFonts w:ascii="宋体" w:eastAsia="宋体" w:hAnsi="宋体" w:hint="eastAsia"/>
              </w:rPr>
              <w:t>施工阶段</w:t>
            </w:r>
          </w:p>
        </w:tc>
        <w:tc>
          <w:tcPr>
            <w:tcW w:w="2700" w:type="dxa"/>
          </w:tcPr>
          <w:p>
            <w:pPr>
              <w:pStyle w:val="Normal0"/>
              <w:tabs>
                <w:tab w:val="center" w:pos="4153"/>
              </w:tabs>
              <w:jc w:val="center"/>
              <w:rPr>
                <w:rFonts w:ascii="宋体" w:eastAsia="宋体" w:hAnsi="宋体" w:hint="eastAsia"/>
                <w:lang w:eastAsia="zh-CN"/>
              </w:rPr>
            </w:pPr>
            <w:r>
              <w:rPr>
                <w:rFonts w:ascii="宋体" w:eastAsia="宋体" w:hAnsi="宋体" w:hint="eastAsia"/>
              </w:rPr>
              <w:t>运输</w:t>
            </w:r>
            <w:r>
              <w:rPr>
                <w:rFonts w:ascii="宋体" w:eastAsia="宋体" w:hAnsi="宋体" w:hint="eastAsia"/>
                <w:lang w:eastAsia="zh-CN"/>
              </w:rPr>
              <w:t>合适的内容</w:t>
            </w:r>
          </w:p>
        </w:tc>
        <w:tc>
          <w:tcPr>
            <w:tcW w:w="2160" w:type="dxa"/>
          </w:tcPr>
          <w:p>
            <w:pPr>
              <w:pStyle w:val="Normal0"/>
              <w:tabs>
                <w:tab w:val="center" w:pos="4153"/>
              </w:tabs>
              <w:jc w:val="center"/>
              <w:rPr>
                <w:rFonts w:ascii="宋体" w:eastAsia="宋体" w:hAnsi="宋体" w:hint="eastAsia"/>
              </w:rPr>
            </w:pPr>
            <w:r>
              <w:rPr>
                <w:rFonts w:ascii="宋体" w:eastAsia="宋体" w:hAnsi="宋体" w:hint="eastAsia"/>
              </w:rPr>
              <w:t>车辆类型</w:t>
            </w:r>
          </w:p>
        </w:tc>
        <w:tc>
          <w:tcPr>
            <w:tcW w:w="1548" w:type="dxa"/>
          </w:tcPr>
          <w:p>
            <w:pPr>
              <w:pStyle w:val="Normal0"/>
              <w:tabs>
                <w:tab w:val="center" w:pos="4153"/>
              </w:tabs>
              <w:jc w:val="center"/>
              <w:rPr>
                <w:rFonts w:ascii="宋体" w:eastAsia="宋体" w:hAnsi="宋体" w:hint="eastAsia"/>
              </w:rPr>
            </w:pPr>
            <w:r>
              <w:rPr>
                <w:rFonts w:ascii="宋体" w:eastAsia="宋体" w:hAnsi="宋体" w:hint="eastAsia"/>
              </w:rPr>
              <w:t>声级/dB(A)</w:t>
            </w:r>
          </w:p>
        </w:tc>
      </w:tr>
      <w:tr>
        <w:tblPrEx>
          <w:tblW w:w="8208" w:type="dxa"/>
          <w:tblInd w:w="0" w:type="dxa"/>
          <w:tblCellMar>
            <w:top w:w="0" w:type="dxa"/>
            <w:left w:w="108" w:type="dxa"/>
            <w:bottom w:w="0" w:type="dxa"/>
            <w:right w:w="108" w:type="dxa"/>
          </w:tblCellMar>
        </w:tblPrEx>
        <w:trPr>
          <w:cantSplit/>
          <w:trHeight w:val="1056"/>
        </w:trPr>
        <w:tc>
          <w:tcPr>
            <w:tcW w:w="1800" w:type="dxa"/>
            <w:tcBorders>
              <w:bottom w:val="single" w:sz="4" w:space="0" w:color="auto"/>
            </w:tcBorders>
          </w:tcPr>
          <w:p>
            <w:pPr>
              <w:pStyle w:val="Normal0"/>
              <w:tabs>
                <w:tab w:val="center" w:pos="4153"/>
              </w:tabs>
              <w:jc w:val="center"/>
              <w:rPr>
                <w:rFonts w:ascii="宋体" w:eastAsia="宋体" w:hAnsi="宋体"/>
              </w:rPr>
            </w:pPr>
            <w:r>
              <w:rPr>
                <w:rFonts w:ascii="宋体" w:eastAsia="宋体" w:hAnsi="宋体" w:hint="eastAsia"/>
              </w:rPr>
              <w:t>土方阶段</w:t>
            </w:r>
          </w:p>
          <w:p>
            <w:pPr>
              <w:pStyle w:val="Normal0"/>
              <w:tabs>
                <w:tab w:val="center" w:pos="4153"/>
              </w:tabs>
              <w:jc w:val="center"/>
              <w:rPr>
                <w:rFonts w:ascii="宋体" w:eastAsia="宋体" w:hAnsi="宋体"/>
              </w:rPr>
            </w:pPr>
            <w:r>
              <w:rPr>
                <w:rFonts w:ascii="宋体" w:eastAsia="宋体" w:hAnsi="宋体" w:hint="eastAsia"/>
              </w:rPr>
              <w:t>底板与结构阶段</w:t>
            </w:r>
          </w:p>
          <w:p>
            <w:pPr>
              <w:pStyle w:val="Normal0"/>
              <w:tabs>
                <w:tab w:val="center" w:pos="4153"/>
              </w:tabs>
              <w:jc w:val="center"/>
              <w:rPr>
                <w:rFonts w:ascii="宋体" w:eastAsia="宋体" w:hAnsi="宋体" w:hint="eastAsia"/>
              </w:rPr>
            </w:pPr>
            <w:r>
              <w:rPr>
                <w:rFonts w:ascii="宋体" w:eastAsia="宋体" w:hAnsi="宋体" w:hint="eastAsia"/>
              </w:rPr>
              <w:t>装修阶段</w:t>
            </w:r>
          </w:p>
        </w:tc>
        <w:tc>
          <w:tcPr>
            <w:tcW w:w="2700" w:type="dxa"/>
            <w:tcBorders>
              <w:bottom w:val="single" w:sz="4" w:space="0" w:color="auto"/>
            </w:tcBorders>
          </w:tcPr>
          <w:p>
            <w:pPr>
              <w:pStyle w:val="Normal0"/>
              <w:tabs>
                <w:tab w:val="center" w:pos="4153"/>
              </w:tabs>
              <w:jc w:val="center"/>
              <w:rPr>
                <w:rFonts w:ascii="宋体" w:eastAsia="宋体" w:hAnsi="宋体"/>
              </w:rPr>
            </w:pPr>
            <w:r>
              <w:rPr>
                <w:rFonts w:ascii="宋体" w:eastAsia="宋体" w:hAnsi="宋体" w:hint="eastAsia"/>
              </w:rPr>
              <w:t>土方外运</w:t>
            </w:r>
          </w:p>
          <w:p>
            <w:pPr>
              <w:pStyle w:val="Normal0"/>
              <w:tabs>
                <w:tab w:val="center" w:pos="4153"/>
              </w:tabs>
              <w:jc w:val="center"/>
              <w:rPr>
                <w:rFonts w:ascii="宋体" w:eastAsia="宋体" w:hAnsi="宋体"/>
              </w:rPr>
            </w:pPr>
            <w:r>
              <w:rPr>
                <w:rFonts w:ascii="宋体" w:eastAsia="宋体" w:hAnsi="宋体" w:hint="eastAsia"/>
              </w:rPr>
              <w:t>钢筋、商品混凝土</w:t>
            </w:r>
          </w:p>
          <w:p>
            <w:pPr>
              <w:pStyle w:val="Normal0"/>
              <w:tabs>
                <w:tab w:val="center" w:pos="4153"/>
              </w:tabs>
              <w:jc w:val="center"/>
              <w:rPr>
                <w:rFonts w:ascii="宋体" w:eastAsia="宋体" w:hAnsi="宋体" w:hint="eastAsia"/>
              </w:rPr>
            </w:pPr>
            <w:r>
              <w:rPr>
                <w:rFonts w:ascii="宋体" w:eastAsia="宋体" w:hAnsi="宋体" w:hint="eastAsia"/>
              </w:rPr>
              <w:t>各种装修材料及主要设备</w:t>
            </w:r>
          </w:p>
        </w:tc>
        <w:tc>
          <w:tcPr>
            <w:tcW w:w="2160" w:type="dxa"/>
            <w:tcBorders>
              <w:bottom w:val="single" w:sz="4" w:space="0" w:color="auto"/>
            </w:tcBorders>
          </w:tcPr>
          <w:p>
            <w:pPr>
              <w:pStyle w:val="Normal0"/>
              <w:tabs>
                <w:tab w:val="center" w:pos="4153"/>
              </w:tabs>
              <w:jc w:val="center"/>
              <w:rPr>
                <w:rFonts w:ascii="宋体" w:eastAsia="宋体" w:hAnsi="宋体"/>
              </w:rPr>
            </w:pPr>
            <w:r>
              <w:rPr>
                <w:rFonts w:ascii="宋体" w:eastAsia="宋体" w:hAnsi="宋体" w:hint="eastAsia"/>
              </w:rPr>
              <w:t>大型载重机</w:t>
            </w:r>
          </w:p>
          <w:p>
            <w:pPr>
              <w:pStyle w:val="Normal0"/>
              <w:tabs>
                <w:tab w:val="center" w:pos="4153"/>
              </w:tabs>
              <w:jc w:val="center"/>
              <w:rPr>
                <w:rFonts w:ascii="宋体" w:eastAsia="宋体" w:hAnsi="宋体"/>
              </w:rPr>
            </w:pPr>
            <w:r>
              <w:rPr>
                <w:rFonts w:ascii="宋体" w:eastAsia="宋体" w:hAnsi="宋体" w:hint="eastAsia"/>
              </w:rPr>
              <w:t>混凝土罐车、载重车</w:t>
            </w:r>
          </w:p>
          <w:p>
            <w:pPr>
              <w:pStyle w:val="Normal0"/>
              <w:tabs>
                <w:tab w:val="center" w:pos="4153"/>
              </w:tabs>
              <w:jc w:val="center"/>
              <w:rPr>
                <w:rFonts w:ascii="宋体" w:eastAsia="宋体" w:hAnsi="宋体" w:hint="eastAsia"/>
              </w:rPr>
            </w:pPr>
            <w:r>
              <w:rPr>
                <w:rFonts w:ascii="宋体" w:eastAsia="宋体" w:hAnsi="宋体" w:hint="eastAsia"/>
              </w:rPr>
              <w:t>轻型载重卡车</w:t>
            </w:r>
          </w:p>
        </w:tc>
        <w:tc>
          <w:tcPr>
            <w:tcW w:w="1548" w:type="dxa"/>
            <w:tcBorders>
              <w:bottom w:val="single" w:sz="4" w:space="0" w:color="auto"/>
            </w:tcBorders>
          </w:tcPr>
          <w:p>
            <w:pPr>
              <w:pStyle w:val="Normal0"/>
              <w:tabs>
                <w:tab w:val="center" w:pos="4153"/>
              </w:tabs>
              <w:jc w:val="center"/>
              <w:rPr>
                <w:rFonts w:ascii="宋体" w:eastAsia="宋体" w:hAnsi="宋体"/>
              </w:rPr>
            </w:pPr>
            <w:r>
              <w:rPr>
                <w:rFonts w:ascii="宋体" w:eastAsia="宋体" w:hAnsi="宋体" w:hint="eastAsia"/>
              </w:rPr>
              <w:t>90</w:t>
            </w:r>
          </w:p>
          <w:p>
            <w:pPr>
              <w:pStyle w:val="Normal0"/>
              <w:tabs>
                <w:tab w:val="center" w:pos="4153"/>
              </w:tabs>
              <w:jc w:val="center"/>
              <w:rPr>
                <w:rFonts w:ascii="宋体" w:eastAsia="宋体" w:hAnsi="宋体"/>
              </w:rPr>
            </w:pPr>
            <w:r>
              <w:rPr>
                <w:rFonts w:ascii="宋体" w:eastAsia="宋体" w:hAnsi="宋体" w:hint="eastAsia"/>
              </w:rPr>
              <w:t>80-85</w:t>
            </w:r>
          </w:p>
          <w:p>
            <w:pPr>
              <w:pStyle w:val="Normal0"/>
              <w:tabs>
                <w:tab w:val="center" w:pos="4153"/>
              </w:tabs>
              <w:jc w:val="center"/>
              <w:rPr>
                <w:rFonts w:ascii="宋体" w:eastAsia="宋体" w:hAnsi="宋体" w:hint="eastAsia"/>
              </w:rPr>
            </w:pPr>
            <w:r>
              <w:rPr>
                <w:rFonts w:ascii="宋体" w:eastAsia="宋体" w:hAnsi="宋体" w:hint="eastAsia"/>
              </w:rPr>
              <w:t>75</w:t>
            </w:r>
          </w:p>
        </w:tc>
      </w:tr>
    </w:tbl>
    <w:p>
      <w:pPr>
        <w:pStyle w:val="Normal0"/>
        <w:tabs>
          <w:tab w:val="center" w:pos="4153"/>
        </w:tabs>
        <w:ind w:left="420"/>
        <w:jc w:val="center"/>
        <w:rPr>
          <w:rFonts w:ascii="宋体" w:eastAsia="宋体" w:hAnsi="宋体" w:hint="eastAsia"/>
          <w:bCs/>
        </w:rPr>
      </w:pPr>
      <w:r>
        <w:rPr>
          <w:rFonts w:ascii="宋体" w:eastAsia="宋体" w:hAnsi="宋体" w:hint="eastAsia"/>
          <w:bCs/>
        </w:rPr>
        <w:t>交通运输车辆声级</w:t>
      </w:r>
    </w:p>
    <w:p>
      <w:pPr>
        <w:pStyle w:val="Normal0"/>
        <w:tabs>
          <w:tab w:val="center" w:pos="4153"/>
        </w:tabs>
        <w:spacing w:line="360" w:lineRule="auto"/>
        <w:rPr>
          <w:rFonts w:ascii="宋体" w:eastAsia="宋体" w:hAnsi="宋体" w:hint="eastAsia"/>
        </w:rPr>
      </w:pPr>
      <w:r>
        <w:rPr>
          <w:rFonts w:ascii="宋体" w:eastAsia="宋体" w:hAnsi="宋体" w:hint="eastAsia"/>
        </w:rPr>
        <w:t xml:space="preserve"> (2)施工期扬尘</w:t>
      </w:r>
    </w:p>
    <w:p>
      <w:pPr>
        <w:pStyle w:val="Normal0"/>
        <w:tabs>
          <w:tab w:val="center" w:pos="4153"/>
        </w:tabs>
        <w:spacing w:line="360" w:lineRule="auto"/>
        <w:ind w:firstLine="480" w:firstLineChars="200"/>
        <w:rPr>
          <w:rFonts w:ascii="宋体" w:eastAsia="宋体" w:hAnsi="宋体" w:hint="eastAsia"/>
        </w:rPr>
      </w:pPr>
      <w:r>
        <w:rPr>
          <w:rFonts w:ascii="宋体" w:eastAsia="宋体" w:hAnsi="宋体" w:hint="eastAsia"/>
        </w:rPr>
        <w:t>施工期扬尘主要来自土方的挖掘扬尘及现场堆放扬尘；建筑材料（白灰、水泥、沙子、石子、砖等）的现场搬运及堆放扬尘；施工垃圾的清理及堆放扬尘；人来车往造成的现场道路扬尘。</w:t>
      </w:r>
    </w:p>
    <w:p>
      <w:pPr>
        <w:pStyle w:val="Normal0"/>
        <w:tabs>
          <w:tab w:val="center" w:pos="4153"/>
        </w:tabs>
        <w:spacing w:line="360" w:lineRule="auto"/>
        <w:rPr>
          <w:rFonts w:ascii="宋体" w:eastAsia="宋体" w:hAnsi="宋体" w:hint="eastAsia"/>
        </w:rPr>
      </w:pPr>
      <w:r>
        <w:rPr>
          <w:rFonts w:ascii="宋体" w:eastAsia="宋体" w:hAnsi="宋体" w:hint="eastAsia"/>
        </w:rPr>
        <w:t>(3)施工期废水污染源</w:t>
      </w:r>
    </w:p>
    <w:p>
      <w:pPr>
        <w:pStyle w:val="Normal0"/>
        <w:tabs>
          <w:tab w:val="center" w:pos="4153"/>
        </w:tabs>
        <w:spacing w:line="360" w:lineRule="auto"/>
        <w:ind w:firstLine="480" w:firstLineChars="200"/>
        <w:rPr>
          <w:rFonts w:ascii="宋体" w:eastAsia="宋体" w:hAnsi="宋体" w:hint="eastAsia"/>
        </w:rPr>
      </w:pPr>
      <w:r>
        <w:rPr>
          <w:rFonts w:ascii="宋体" w:eastAsia="宋体" w:hAnsi="宋体" w:hint="eastAsia"/>
        </w:rPr>
        <w:t>施工期产生的废水包括施工人员的生活污水和施工本身产生的废水，施工废水主要包括土方阶段降水井的排水，结构阶段混凝土养护排水，以及各种车辆冲洗水。</w:t>
      </w:r>
    </w:p>
    <w:p>
      <w:pPr>
        <w:pStyle w:val="Normal0"/>
        <w:tabs>
          <w:tab w:val="center" w:pos="4153"/>
        </w:tabs>
        <w:spacing w:line="360" w:lineRule="auto"/>
        <w:rPr>
          <w:rFonts w:ascii="宋体" w:eastAsia="宋体" w:hAnsi="宋体" w:hint="eastAsia"/>
        </w:rPr>
      </w:pPr>
      <w:r>
        <w:rPr>
          <w:rFonts w:ascii="宋体" w:eastAsia="宋体" w:hAnsi="宋体" w:hint="eastAsia"/>
        </w:rPr>
        <w:t>(4)施工期固体废弃物</w:t>
      </w:r>
    </w:p>
    <w:p>
      <w:pPr>
        <w:pStyle w:val="Normal0"/>
        <w:tabs>
          <w:tab w:val="center" w:pos="4153"/>
        </w:tabs>
        <w:spacing w:line="360" w:lineRule="auto"/>
        <w:ind w:firstLine="480" w:firstLineChars="200"/>
        <w:rPr>
          <w:rFonts w:ascii="宋体" w:eastAsia="宋体" w:hAnsi="宋体" w:hint="eastAsia"/>
        </w:rPr>
      </w:pPr>
      <w:r>
        <w:rPr>
          <w:rFonts w:ascii="宋体" w:eastAsia="宋体" w:hAnsi="宋体" w:hint="eastAsia"/>
        </w:rPr>
        <w:t>施工期固体废弃物主要为施工人员的生活垃圾、施工渣土及损坏或废弃的各种建筑装修材料。</w:t>
      </w:r>
    </w:p>
    <w:p>
      <w:pPr>
        <w:pStyle w:val="Normal0"/>
        <w:tabs>
          <w:tab w:val="center" w:pos="4153"/>
        </w:tabs>
        <w:spacing w:line="360" w:lineRule="auto"/>
        <w:rPr>
          <w:rFonts w:ascii="宋体" w:eastAsia="宋体" w:hAnsi="宋体" w:hint="eastAsia"/>
        </w:rPr>
      </w:pPr>
      <w:r>
        <w:rPr>
          <w:rFonts w:ascii="宋体" w:eastAsia="宋体" w:hAnsi="宋体" w:hint="eastAsia"/>
        </w:rPr>
        <w:t>2.施工期环境影响分析</w:t>
      </w:r>
    </w:p>
    <w:p>
      <w:pPr>
        <w:pStyle w:val="Normal0"/>
        <w:tabs>
          <w:tab w:val="center" w:pos="4153"/>
        </w:tabs>
        <w:spacing w:line="360" w:lineRule="auto"/>
        <w:rPr>
          <w:rFonts w:ascii="宋体" w:eastAsia="宋体" w:hAnsi="宋体" w:hint="eastAsia"/>
        </w:rPr>
      </w:pPr>
      <w:r>
        <w:rPr>
          <w:rFonts w:ascii="宋体" w:eastAsia="宋体" w:hAnsi="宋体" w:hint="eastAsia"/>
        </w:rPr>
        <w:t>(1)施工噪声影响</w:t>
      </w:r>
    </w:p>
    <w:p>
      <w:pPr>
        <w:pStyle w:val="Normal0"/>
        <w:tabs>
          <w:tab w:val="center" w:pos="4153"/>
        </w:tabs>
        <w:spacing w:line="360" w:lineRule="auto"/>
        <w:ind w:firstLine="480" w:firstLineChars="200"/>
        <w:rPr>
          <w:rFonts w:ascii="宋体" w:eastAsia="宋体" w:hAnsi="宋体" w:hint="eastAsia"/>
        </w:rPr>
      </w:pPr>
      <w:r>
        <w:rPr>
          <w:rFonts w:ascii="宋体" w:eastAsia="宋体" w:hAnsi="宋体" w:hint="eastAsia"/>
        </w:rPr>
        <w:t>根据噪声污染源分析可知，由于施工场地的噪声源主要为各类高噪声的施工机械，这些机械的单体声级一般均在80dB以上，且各施工阶段均有大量设备交互作业，这些设备在场地内的位置，同时使用率有较大变化，因此很难计算其确切的施工场界噪声，根据本工厂施工量，按经验计算阶段其各施工阶段的昼夜声级见表。</w:t>
      </w:r>
    </w:p>
    <w:p>
      <w:pPr>
        <w:pStyle w:val="Normal0"/>
        <w:ind w:firstLine="2630" w:firstLineChars="1096"/>
        <w:rPr>
          <w:rFonts w:ascii="宋体" w:eastAsia="宋体" w:hAnsi="宋体" w:hint="eastAsia"/>
        </w:rPr>
      </w:pPr>
      <w:r>
        <w:rPr>
          <w:rFonts w:ascii="宋体" w:eastAsia="宋体" w:hAnsi="宋体" w:hint="eastAsia"/>
          <w:bCs/>
        </w:rPr>
        <w:t>各施工阶段昼、夜声级估算值</w:t>
      </w:r>
      <w:r>
        <w:rPr>
          <w:rFonts w:ascii="宋体" w:eastAsia="宋体" w:hAnsi="宋体" w:hint="eastAsia"/>
        </w:rPr>
        <w:t xml:space="preserve">           单位：dB（A）</w:t>
      </w:r>
    </w:p>
    <w:tbl>
      <w:tblPr>
        <w:tblStyle w:val="TableNormal"/>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470"/>
        <w:gridCol w:w="2100"/>
        <w:gridCol w:w="1470"/>
        <w:gridCol w:w="1959"/>
        <w:gridCol w:w="1086"/>
      </w:tblGrid>
      <w:tr>
        <w:tblPrEx>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1470" w:type="dxa"/>
          </w:tcPr>
          <w:p>
            <w:pPr>
              <w:pStyle w:val="Normal0"/>
              <w:rPr>
                <w:rFonts w:ascii="宋体" w:eastAsia="宋体" w:hAnsi="宋体" w:hint="eastAsia"/>
              </w:rPr>
            </w:pPr>
            <w:r>
              <w:rPr>
                <w:rFonts w:ascii="宋体" w:eastAsia="宋体" w:hAnsi="宋体" w:hint="eastAsia"/>
              </w:rPr>
              <w:t>施工阶段</w:t>
            </w:r>
          </w:p>
        </w:tc>
        <w:tc>
          <w:tcPr>
            <w:tcW w:w="2100" w:type="dxa"/>
          </w:tcPr>
          <w:p>
            <w:pPr>
              <w:pStyle w:val="Normal0"/>
              <w:rPr>
                <w:rFonts w:ascii="宋体" w:eastAsia="宋体" w:hAnsi="宋体" w:hint="eastAsia"/>
              </w:rPr>
            </w:pPr>
            <w:r>
              <w:rPr>
                <w:rFonts w:ascii="宋体" w:eastAsia="宋体" w:hAnsi="宋体" w:hint="eastAsia"/>
              </w:rPr>
              <w:t>昼间场界噪声</w:t>
            </w:r>
          </w:p>
        </w:tc>
        <w:tc>
          <w:tcPr>
            <w:tcW w:w="1470" w:type="dxa"/>
          </w:tcPr>
          <w:p>
            <w:pPr>
              <w:pStyle w:val="Normal0"/>
              <w:rPr>
                <w:rFonts w:ascii="宋体" w:eastAsia="宋体" w:hAnsi="宋体" w:hint="eastAsia"/>
              </w:rPr>
            </w:pPr>
            <w:r>
              <w:rPr>
                <w:rFonts w:ascii="宋体" w:eastAsia="宋体" w:hAnsi="宋体" w:hint="eastAsia"/>
              </w:rPr>
              <w:t>标准值</w:t>
            </w:r>
          </w:p>
        </w:tc>
        <w:tc>
          <w:tcPr>
            <w:tcW w:w="1959" w:type="dxa"/>
          </w:tcPr>
          <w:p>
            <w:pPr>
              <w:pStyle w:val="Normal0"/>
              <w:rPr>
                <w:rFonts w:ascii="宋体" w:eastAsia="宋体" w:hAnsi="宋体" w:hint="eastAsia"/>
              </w:rPr>
            </w:pPr>
            <w:r>
              <w:rPr>
                <w:rFonts w:ascii="宋体" w:eastAsia="宋体" w:hAnsi="宋体" w:hint="eastAsia"/>
              </w:rPr>
              <w:t>夜间场界噪声</w:t>
            </w:r>
          </w:p>
        </w:tc>
        <w:tc>
          <w:tcPr>
            <w:tcW w:w="1086" w:type="dxa"/>
          </w:tcPr>
          <w:p>
            <w:pPr>
              <w:pStyle w:val="Normal0"/>
              <w:rPr>
                <w:rFonts w:ascii="宋体" w:eastAsia="宋体" w:hAnsi="宋体" w:hint="eastAsia"/>
              </w:rPr>
            </w:pPr>
            <w:r>
              <w:rPr>
                <w:rFonts w:ascii="宋体" w:eastAsia="宋体" w:hAnsi="宋体" w:hint="eastAsia"/>
              </w:rPr>
              <w:t>标准值</w:t>
            </w:r>
          </w:p>
        </w:tc>
      </w:tr>
      <w:tr>
        <w:tblPrEx>
          <w:tblW w:w="0" w:type="auto"/>
          <w:tblInd w:w="213" w:type="dxa"/>
          <w:tblCellMar>
            <w:top w:w="0" w:type="dxa"/>
            <w:left w:w="108" w:type="dxa"/>
            <w:bottom w:w="0" w:type="dxa"/>
            <w:right w:w="108" w:type="dxa"/>
          </w:tblCellMar>
        </w:tblPrEx>
        <w:tc>
          <w:tcPr>
            <w:tcW w:w="1470" w:type="dxa"/>
          </w:tcPr>
          <w:p>
            <w:pPr>
              <w:pStyle w:val="Normal0"/>
              <w:rPr>
                <w:rFonts w:ascii="宋体" w:eastAsia="宋体" w:hAnsi="宋体" w:hint="eastAsia"/>
              </w:rPr>
            </w:pPr>
            <w:r>
              <w:rPr>
                <w:rFonts w:ascii="宋体" w:eastAsia="宋体" w:hAnsi="宋体" w:hint="eastAsia"/>
              </w:rPr>
              <w:t>土方阶段</w:t>
            </w:r>
          </w:p>
        </w:tc>
        <w:tc>
          <w:tcPr>
            <w:tcW w:w="2100" w:type="dxa"/>
          </w:tcPr>
          <w:p>
            <w:pPr>
              <w:pStyle w:val="Normal0"/>
              <w:rPr>
                <w:rFonts w:ascii="宋体" w:eastAsia="宋体" w:hAnsi="宋体" w:hint="eastAsia"/>
              </w:rPr>
            </w:pPr>
            <w:r>
              <w:rPr>
                <w:rFonts w:ascii="宋体" w:eastAsia="宋体" w:hAnsi="宋体" w:hint="eastAsia"/>
              </w:rPr>
              <w:t>75-85</w:t>
            </w:r>
          </w:p>
        </w:tc>
        <w:tc>
          <w:tcPr>
            <w:tcW w:w="1470" w:type="dxa"/>
          </w:tcPr>
          <w:p>
            <w:pPr>
              <w:pStyle w:val="Normal0"/>
              <w:rPr>
                <w:rFonts w:ascii="宋体" w:eastAsia="宋体" w:hAnsi="宋体" w:hint="eastAsia"/>
              </w:rPr>
            </w:pPr>
            <w:r>
              <w:rPr>
                <w:rFonts w:ascii="宋体" w:eastAsia="宋体" w:hAnsi="宋体" w:hint="eastAsia"/>
              </w:rPr>
              <w:t>75</w:t>
            </w:r>
          </w:p>
        </w:tc>
        <w:tc>
          <w:tcPr>
            <w:tcW w:w="1959" w:type="dxa"/>
          </w:tcPr>
          <w:p>
            <w:pPr>
              <w:pStyle w:val="Normal0"/>
              <w:rPr>
                <w:rFonts w:ascii="宋体" w:eastAsia="宋体" w:hAnsi="宋体" w:hint="eastAsia"/>
              </w:rPr>
            </w:pPr>
            <w:r>
              <w:rPr>
                <w:rFonts w:ascii="宋体" w:eastAsia="宋体" w:hAnsi="宋体" w:hint="eastAsia"/>
              </w:rPr>
              <w:t>75-85</w:t>
            </w:r>
          </w:p>
        </w:tc>
        <w:tc>
          <w:tcPr>
            <w:tcW w:w="1086" w:type="dxa"/>
          </w:tcPr>
          <w:p>
            <w:pPr>
              <w:pStyle w:val="Normal0"/>
              <w:rPr>
                <w:rFonts w:ascii="宋体" w:eastAsia="宋体" w:hAnsi="宋体" w:hint="eastAsia"/>
              </w:rPr>
            </w:pPr>
            <w:r>
              <w:rPr>
                <w:rFonts w:ascii="宋体" w:eastAsia="宋体" w:hAnsi="宋体" w:hint="eastAsia"/>
              </w:rPr>
              <w:t>55</w:t>
            </w:r>
          </w:p>
        </w:tc>
      </w:tr>
      <w:tr>
        <w:tblPrEx>
          <w:tblW w:w="0" w:type="auto"/>
          <w:tblInd w:w="213" w:type="dxa"/>
          <w:tblCellMar>
            <w:top w:w="0" w:type="dxa"/>
            <w:left w:w="108" w:type="dxa"/>
            <w:bottom w:w="0" w:type="dxa"/>
            <w:right w:w="108" w:type="dxa"/>
          </w:tblCellMar>
        </w:tblPrEx>
        <w:tc>
          <w:tcPr>
            <w:tcW w:w="1470" w:type="dxa"/>
          </w:tcPr>
          <w:p>
            <w:pPr>
              <w:pStyle w:val="Normal0"/>
              <w:rPr>
                <w:rFonts w:ascii="宋体" w:eastAsia="宋体" w:hAnsi="宋体" w:hint="eastAsia"/>
              </w:rPr>
            </w:pPr>
            <w:r>
              <w:rPr>
                <w:rFonts w:ascii="宋体" w:eastAsia="宋体" w:hAnsi="宋体" w:hint="eastAsia"/>
              </w:rPr>
              <w:t>结构阶段</w:t>
            </w:r>
          </w:p>
        </w:tc>
        <w:tc>
          <w:tcPr>
            <w:tcW w:w="2100" w:type="dxa"/>
          </w:tcPr>
          <w:p>
            <w:pPr>
              <w:pStyle w:val="Normal0"/>
              <w:rPr>
                <w:rFonts w:ascii="宋体" w:eastAsia="宋体" w:hAnsi="宋体" w:hint="eastAsia"/>
              </w:rPr>
            </w:pPr>
            <w:r>
              <w:rPr>
                <w:rFonts w:ascii="宋体" w:eastAsia="宋体" w:hAnsi="宋体" w:hint="eastAsia"/>
              </w:rPr>
              <w:t>70-85</w:t>
            </w:r>
          </w:p>
        </w:tc>
        <w:tc>
          <w:tcPr>
            <w:tcW w:w="1470" w:type="dxa"/>
          </w:tcPr>
          <w:p>
            <w:pPr>
              <w:pStyle w:val="Normal0"/>
              <w:rPr>
                <w:rFonts w:ascii="宋体" w:eastAsia="宋体" w:hAnsi="宋体" w:hint="eastAsia"/>
              </w:rPr>
            </w:pPr>
            <w:r>
              <w:rPr>
                <w:rFonts w:ascii="宋体" w:eastAsia="宋体" w:hAnsi="宋体" w:hint="eastAsia"/>
              </w:rPr>
              <w:t>70</w:t>
            </w:r>
          </w:p>
        </w:tc>
        <w:tc>
          <w:tcPr>
            <w:tcW w:w="1959" w:type="dxa"/>
          </w:tcPr>
          <w:p>
            <w:pPr>
              <w:pStyle w:val="Normal0"/>
              <w:rPr>
                <w:rFonts w:ascii="宋体" w:eastAsia="宋体" w:hAnsi="宋体" w:hint="eastAsia"/>
              </w:rPr>
            </w:pPr>
            <w:r>
              <w:rPr>
                <w:rFonts w:ascii="宋体" w:eastAsia="宋体" w:hAnsi="宋体" w:hint="eastAsia"/>
              </w:rPr>
              <w:t>65-80</w:t>
            </w:r>
          </w:p>
        </w:tc>
        <w:tc>
          <w:tcPr>
            <w:tcW w:w="1086" w:type="dxa"/>
          </w:tcPr>
          <w:p>
            <w:pPr>
              <w:pStyle w:val="Normal0"/>
              <w:rPr>
                <w:rFonts w:ascii="宋体" w:eastAsia="宋体" w:hAnsi="宋体" w:hint="eastAsia"/>
              </w:rPr>
            </w:pPr>
            <w:r>
              <w:rPr>
                <w:rFonts w:ascii="宋体" w:eastAsia="宋体" w:hAnsi="宋体" w:hint="eastAsia"/>
              </w:rPr>
              <w:t>55</w:t>
            </w:r>
          </w:p>
        </w:tc>
      </w:tr>
      <w:tr>
        <w:tblPrEx>
          <w:tblW w:w="0" w:type="auto"/>
          <w:tblInd w:w="213" w:type="dxa"/>
          <w:tblCellMar>
            <w:top w:w="0" w:type="dxa"/>
            <w:left w:w="108" w:type="dxa"/>
            <w:bottom w:w="0" w:type="dxa"/>
            <w:right w:w="108" w:type="dxa"/>
          </w:tblCellMar>
        </w:tblPrEx>
        <w:tc>
          <w:tcPr>
            <w:tcW w:w="1470" w:type="dxa"/>
          </w:tcPr>
          <w:p>
            <w:pPr>
              <w:pStyle w:val="Normal0"/>
              <w:rPr>
                <w:rFonts w:ascii="宋体" w:eastAsia="宋体" w:hAnsi="宋体" w:hint="eastAsia"/>
              </w:rPr>
            </w:pPr>
            <w:r>
              <w:rPr>
                <w:rFonts w:ascii="宋体" w:eastAsia="宋体" w:hAnsi="宋体" w:hint="eastAsia"/>
              </w:rPr>
              <w:t>装修阶段</w:t>
            </w:r>
          </w:p>
        </w:tc>
        <w:tc>
          <w:tcPr>
            <w:tcW w:w="2100" w:type="dxa"/>
          </w:tcPr>
          <w:p>
            <w:pPr>
              <w:pStyle w:val="Normal0"/>
              <w:rPr>
                <w:rFonts w:ascii="宋体" w:eastAsia="宋体" w:hAnsi="宋体" w:hint="eastAsia"/>
              </w:rPr>
            </w:pPr>
            <w:r>
              <w:rPr>
                <w:rFonts w:ascii="宋体" w:eastAsia="宋体" w:hAnsi="宋体" w:hint="eastAsia"/>
              </w:rPr>
              <w:t>80-95</w:t>
            </w:r>
          </w:p>
        </w:tc>
        <w:tc>
          <w:tcPr>
            <w:tcW w:w="1470" w:type="dxa"/>
          </w:tcPr>
          <w:p>
            <w:pPr>
              <w:pStyle w:val="Normal0"/>
              <w:rPr>
                <w:rFonts w:ascii="宋体" w:eastAsia="宋体" w:hAnsi="宋体" w:hint="eastAsia"/>
              </w:rPr>
            </w:pPr>
            <w:r>
              <w:rPr>
                <w:rFonts w:ascii="宋体" w:eastAsia="宋体" w:hAnsi="宋体" w:hint="eastAsia"/>
              </w:rPr>
              <w:t>85</w:t>
            </w:r>
          </w:p>
        </w:tc>
        <w:tc>
          <w:tcPr>
            <w:tcW w:w="1959" w:type="dxa"/>
          </w:tcPr>
          <w:p>
            <w:pPr>
              <w:pStyle w:val="Normal0"/>
              <w:rPr>
                <w:rFonts w:ascii="宋体" w:eastAsia="宋体" w:hAnsi="宋体" w:hint="eastAsia"/>
              </w:rPr>
            </w:pPr>
            <w:r>
              <w:rPr>
                <w:rFonts w:ascii="宋体" w:eastAsia="宋体" w:hAnsi="宋体" w:hint="eastAsia"/>
              </w:rPr>
              <w:t>禁止施工</w:t>
            </w:r>
          </w:p>
        </w:tc>
        <w:tc>
          <w:tcPr>
            <w:tcW w:w="1086" w:type="dxa"/>
          </w:tcPr>
          <w:p>
            <w:pPr>
              <w:pStyle w:val="Normal0"/>
              <w:rPr>
                <w:rFonts w:ascii="宋体" w:eastAsia="宋体" w:hAnsi="宋体" w:hint="eastAsia"/>
              </w:rPr>
            </w:pPr>
            <w:r>
              <w:rPr>
                <w:rFonts w:ascii="宋体" w:eastAsia="宋体" w:hAnsi="宋体" w:hint="eastAsia"/>
              </w:rPr>
              <w:t>55</w:t>
            </w:r>
          </w:p>
        </w:tc>
      </w:tr>
    </w:tbl>
    <w:p>
      <w:pPr>
        <w:pStyle w:val="Normal0"/>
        <w:tabs>
          <w:tab w:val="center" w:pos="4153"/>
        </w:tabs>
        <w:spacing w:line="360" w:lineRule="auto"/>
        <w:rPr>
          <w:rFonts w:ascii="宋体" w:eastAsia="宋体" w:hAnsi="宋体" w:hint="eastAsia"/>
        </w:rPr>
        <w:sectPr>
          <w:headerReference w:type="default" r:id="rId51"/>
          <w:footerReference w:type="default" r:id="rId52"/>
          <w:type w:val="nextPage"/>
          <w:pgSz w:w="11906" w:h="16838"/>
          <w:pgMar w:top="539" w:right="926" w:bottom="1440" w:left="1800" w:header="495" w:footer="992" w:gutter="0"/>
          <w:pgNumType w:start="23"/>
          <w:cols w:num="1" w:space="425"/>
          <w:titlePg w:val="0"/>
          <w:docGrid w:type="lines" w:linePitch="360" w:charSpace="0"/>
        </w:sectPr>
      </w:pPr>
      <w:r>
        <w:rPr>
          <w:rFonts w:ascii="宋体" w:eastAsia="宋体" w:hAnsi="宋体" w:hint="eastAsia"/>
        </w:rPr>
        <w:t>(2)施工扬尘的影响</w:t>
      </w:r>
    </w:p>
    <w:p>
      <w:pPr>
        <w:pStyle w:val="Normal0"/>
        <w:tabs>
          <w:tab w:val="center" w:pos="4153"/>
        </w:tabs>
        <w:spacing w:line="360" w:lineRule="auto"/>
        <w:rPr>
          <w:rFonts w:ascii="宋体" w:eastAsia="宋体" w:hAnsi="宋体" w:hint="eastAsia"/>
        </w:rPr>
      </w:pPr>
      <w:r>
        <w:rPr>
          <w:rFonts w:ascii="宋体" w:eastAsia="宋体" w:hAnsi="宋体" w:hint="eastAsia"/>
        </w:rPr>
        <w:t xml:space="preserve">    由于土石方过程破坏了地表结构，会造成地面扬尘污染环境，其扬尘量的大小与诸多因素有关，是一个复杂、较难定量的问题。</w:t>
      </w:r>
    </w:p>
    <w:p>
      <w:pPr>
        <w:pStyle w:val="Normal0"/>
        <w:tabs>
          <w:tab w:val="center" w:pos="4153"/>
        </w:tabs>
        <w:spacing w:line="360" w:lineRule="auto"/>
        <w:ind w:firstLine="480" w:firstLineChars="200"/>
        <w:rPr>
          <w:rFonts w:ascii="宋体" w:eastAsia="宋体" w:hAnsi="宋体" w:hint="eastAsia"/>
        </w:rPr>
      </w:pPr>
      <w:r>
        <w:rPr>
          <w:rFonts w:ascii="宋体" w:eastAsia="宋体" w:hAnsi="宋体" w:hint="eastAsia"/>
        </w:rPr>
        <w:t>通过对施工期环境影响的分析，施工期主要污染为噪声与扬尘，为减少其环境污染，应做到：①现场施工中，建筑材料的堆放及混凝土拌和应定点、定位，并采取防尘措施，设置挡风板。施工期间尽量选用烟气量较少的内燃机械和车辆，减少尾气污染，施工道路经常保持清洁，湿润，以减少汽车轮胎与路面接触而引起的扬尘污染，同时车辆应限速行驶；混凝土搅拌等高噪声作业及施工车的进出口，尽可能远离居民住宅，施工车场地尽量平整，减少颠簸声，以减少施工噪声对居民生活的影响；②施工中做到无高噪声及爆炸声，打桩时不在夜深人静时进行，吊装设备噪声满足环保要求；③施工中不产生超标准的空气污染，环保措施与工程进度做到“三同时”，环境治理设施应与</w:t>
      </w:r>
      <w:r>
        <w:rPr>
          <w:rFonts w:ascii="宋体" w:eastAsia="宋体" w:hAnsi="宋体" w:hint="eastAsia"/>
          <w:lang w:eastAsia="zh-CN"/>
        </w:rPr>
        <w:t>相关项目</w:t>
      </w:r>
      <w:r>
        <w:rPr>
          <w:rFonts w:ascii="宋体" w:eastAsia="宋体" w:hAnsi="宋体" w:hint="eastAsia"/>
        </w:rPr>
        <w:t>的主题工程同时设计，同时施工，同时交付使用；④建筑垃圾及时清理，文明施工；地块周围树立高于3米的简易屏障，或在使用机械设备旁树立屏障，减少施工机械的噪音。</w:t>
      </w:r>
    </w:p>
    <w:p>
      <w:pPr>
        <w:pStyle w:val="Normal0"/>
        <w:spacing w:line="360" w:lineRule="auto"/>
        <w:rPr>
          <w:rFonts w:ascii="宋体" w:eastAsia="宋体" w:hAnsi="宋体" w:hint="eastAsia"/>
          <w:bCs/>
        </w:rPr>
      </w:pPr>
      <w:r>
        <w:rPr>
          <w:rFonts w:ascii="黑体" w:eastAsia="宋体" w:hAnsi="Arial" w:cs="Arial" w:hint="eastAsia"/>
          <w:bCs/>
        </w:rPr>
        <w:t>三．</w:t>
      </w:r>
      <w:r>
        <w:rPr>
          <w:rFonts w:ascii="黑体" w:eastAsia="宋体" w:hAnsi="Arial" w:cs="Arial" w:hint="eastAsia"/>
          <w:bCs/>
          <w:lang w:eastAsia="zh-CN"/>
        </w:rPr>
        <w:t>相关项目</w:t>
      </w:r>
      <w:r>
        <w:rPr>
          <w:rFonts w:ascii="黑体" w:eastAsia="宋体" w:hAnsi="Arial" w:cs="Arial" w:hint="eastAsia"/>
          <w:bCs/>
        </w:rPr>
        <w:t>建成后环境影响影响分析</w:t>
      </w:r>
    </w:p>
    <w:p>
      <w:pPr>
        <w:pStyle w:val="Normal0"/>
        <w:tabs>
          <w:tab w:val="center" w:pos="4153"/>
        </w:tabs>
        <w:spacing w:line="360" w:lineRule="auto"/>
        <w:ind w:firstLine="480" w:firstLineChars="200"/>
        <w:rPr>
          <w:rFonts w:ascii="宋体" w:eastAsia="宋体" w:hAnsi="宋体" w:hint="eastAsia"/>
        </w:rPr>
      </w:pPr>
      <w:r>
        <w:rPr>
          <w:rFonts w:ascii="宋体" w:eastAsia="宋体" w:hAnsi="宋体" w:hint="eastAsia"/>
        </w:rPr>
        <w:t>作为房地产开发</w:t>
      </w:r>
      <w:r>
        <w:rPr>
          <w:rFonts w:ascii="宋体" w:eastAsia="宋体" w:hAnsi="宋体" w:hint="eastAsia"/>
          <w:lang w:eastAsia="zh-CN"/>
        </w:rPr>
        <w:t>相关项目</w:t>
      </w:r>
      <w:r>
        <w:rPr>
          <w:rFonts w:ascii="宋体" w:eastAsia="宋体" w:hAnsi="宋体" w:hint="eastAsia"/>
        </w:rPr>
        <w:t>，基本无工艺废气和生产废水排放，因此污染源分析主要是燃料燃烧废气、生活污水和生活垃圾。</w:t>
      </w:r>
    </w:p>
    <w:p>
      <w:pPr>
        <w:pStyle w:val="Normal0"/>
        <w:tabs>
          <w:tab w:val="center" w:pos="4153"/>
        </w:tabs>
        <w:spacing w:line="360" w:lineRule="auto"/>
        <w:rPr>
          <w:rFonts w:ascii="宋体" w:eastAsia="宋体" w:hAnsi="宋体" w:hint="eastAsia"/>
        </w:rPr>
      </w:pPr>
      <w:r>
        <w:rPr>
          <w:rFonts w:ascii="宋体" w:eastAsia="宋体" w:hAnsi="宋体" w:hint="eastAsia"/>
        </w:rPr>
        <w:t>1.大气污染源分析</w:t>
      </w:r>
    </w:p>
    <w:p>
      <w:pPr>
        <w:pStyle w:val="Normal0"/>
        <w:tabs>
          <w:tab w:val="center" w:pos="4153"/>
        </w:tabs>
        <w:spacing w:line="360" w:lineRule="auto"/>
        <w:rPr>
          <w:rFonts w:ascii="宋体" w:eastAsia="宋体" w:hAnsi="宋体" w:hint="eastAsia"/>
        </w:rPr>
      </w:pPr>
      <w:r>
        <w:rPr>
          <w:rFonts w:ascii="宋体" w:eastAsia="宋体" w:hAnsi="宋体" w:hint="eastAsia"/>
        </w:rPr>
        <w:t>(1)地下车库废气</w:t>
      </w:r>
    </w:p>
    <w:p>
      <w:pPr>
        <w:pStyle w:val="Normal0"/>
        <w:tabs>
          <w:tab w:val="center" w:pos="4153"/>
        </w:tabs>
        <w:spacing w:line="360" w:lineRule="auto"/>
        <w:ind w:firstLine="480" w:firstLineChars="200"/>
        <w:rPr>
          <w:rFonts w:ascii="宋体" w:eastAsia="宋体" w:hAnsi="宋体" w:hint="eastAsia"/>
        </w:rPr>
      </w:pPr>
      <w:r>
        <w:rPr>
          <w:rFonts w:ascii="宋体" w:eastAsia="宋体" w:hAnsi="宋体" w:hint="eastAsia"/>
        </w:rPr>
        <w:t>现代花园建有240个停车位的停车场，地下车库面积4820，层高约3.9m。停车场设有两个进出口。车库内的废气排放高度为2.5米，排气量约7000立方米/h</w:t>
      </w:r>
    </w:p>
    <w:p>
      <w:pPr>
        <w:pStyle w:val="Normal0"/>
        <w:tabs>
          <w:tab w:val="center" w:pos="4153"/>
        </w:tabs>
        <w:spacing w:line="360" w:lineRule="auto"/>
        <w:rPr>
          <w:rFonts w:ascii="宋体" w:eastAsia="宋体" w:hAnsi="宋体" w:hint="eastAsia"/>
        </w:rPr>
      </w:pPr>
      <w:r>
        <w:rPr>
          <w:rFonts w:ascii="宋体" w:eastAsia="宋体" w:hAnsi="宋体" w:hint="eastAsia"/>
        </w:rPr>
        <w:t>(2)天然气燃烧废气</w:t>
      </w:r>
    </w:p>
    <w:p>
      <w:pPr>
        <w:pStyle w:val="Normal0"/>
        <w:tabs>
          <w:tab w:val="center" w:pos="4153"/>
        </w:tabs>
        <w:spacing w:line="360" w:lineRule="auto"/>
        <w:ind w:firstLine="480" w:firstLineChars="200"/>
        <w:rPr>
          <w:rFonts w:ascii="宋体" w:eastAsia="宋体" w:hAnsi="宋体" w:hint="eastAsia"/>
        </w:rPr>
      </w:pPr>
      <w:r>
        <w:rPr>
          <w:rFonts w:ascii="宋体" w:eastAsia="宋体" w:hAnsi="宋体" w:hint="eastAsia"/>
        </w:rPr>
        <w:t>居民住宅采暖和炊事采用天然气，最大燃气量为1.8立方米/h，平均燃气量为1.4立方米/h，996户居民共用天然气2420000立方米。</w:t>
      </w:r>
    </w:p>
    <w:p>
      <w:pPr>
        <w:pStyle w:val="Normal0"/>
        <w:tabs>
          <w:tab w:val="center" w:pos="4153"/>
        </w:tabs>
        <w:spacing w:line="360" w:lineRule="auto"/>
        <w:rPr>
          <w:rFonts w:ascii="宋体" w:eastAsia="宋体" w:hAnsi="宋体" w:hint="eastAsia"/>
        </w:rPr>
      </w:pPr>
      <w:r>
        <w:rPr>
          <w:rFonts w:ascii="宋体" w:eastAsia="宋体" w:hAnsi="宋体" w:hint="eastAsia"/>
        </w:rPr>
        <w:t>2.水污染源分析</w:t>
      </w:r>
    </w:p>
    <w:p>
      <w:pPr>
        <w:pStyle w:val="Normal0"/>
        <w:tabs>
          <w:tab w:val="center" w:pos="4153"/>
        </w:tabs>
        <w:spacing w:line="360" w:lineRule="auto"/>
        <w:ind w:firstLine="480" w:firstLineChars="200"/>
        <w:rPr>
          <w:rFonts w:ascii="宋体" w:eastAsia="宋体" w:hAnsi="宋体" w:hint="eastAsia"/>
        </w:rPr>
        <w:sectPr>
          <w:headerReference w:type="default" r:id="rId53"/>
          <w:footerReference w:type="default" r:id="rId54"/>
          <w:type w:val="nextPage"/>
          <w:pgSz w:w="11906" w:h="16838"/>
          <w:pgMar w:top="539" w:right="926" w:bottom="1440" w:left="1800" w:header="495" w:footer="992" w:gutter="0"/>
          <w:pgNumType w:start="24"/>
          <w:cols w:num="1" w:space="425"/>
          <w:titlePg w:val="0"/>
          <w:docGrid w:type="lines" w:linePitch="360" w:charSpace="0"/>
        </w:sectPr>
      </w:pPr>
      <w:r>
        <w:rPr>
          <w:rFonts w:ascii="宋体" w:eastAsia="宋体" w:hAnsi="宋体" w:hint="eastAsia"/>
        </w:rPr>
        <w:t>拟建</w:t>
      </w:r>
      <w:r>
        <w:rPr>
          <w:rFonts w:ascii="宋体" w:eastAsia="宋体" w:hAnsi="宋体" w:hint="eastAsia"/>
          <w:lang w:eastAsia="zh-CN"/>
        </w:rPr>
        <w:t>相关项目</w:t>
      </w:r>
      <w:r>
        <w:rPr>
          <w:rFonts w:ascii="宋体" w:eastAsia="宋体" w:hAnsi="宋体" w:hint="eastAsia"/>
        </w:rPr>
        <w:t>的水污染源主要是生活污水。按人均每天用水150L估算，居住人口3187人，生活耗水量每天480立方米。污水类型包括洗浴排水、冲厕排水和厨房污水。</w:t>
      </w:r>
    </w:p>
    <w:p>
      <w:pPr>
        <w:pStyle w:val="Normal0"/>
        <w:spacing w:line="360" w:lineRule="auto"/>
        <w:rPr>
          <w:rFonts w:ascii="宋体" w:eastAsia="宋体" w:hAnsi="宋体" w:hint="eastAsia"/>
          <w:bCs/>
        </w:rPr>
      </w:pPr>
      <w:r>
        <w:rPr>
          <w:rFonts w:ascii="黑体" w:eastAsia="宋体" w:hAnsi="Arial" w:cs="Arial" w:hint="eastAsia"/>
          <w:bCs/>
        </w:rPr>
        <w:t>四．公众参与</w:t>
      </w:r>
    </w:p>
    <w:p>
      <w:pPr>
        <w:pStyle w:val="Normal0"/>
        <w:tabs>
          <w:tab w:val="center" w:pos="4153"/>
        </w:tabs>
        <w:spacing w:line="360" w:lineRule="auto"/>
        <w:ind w:firstLine="480" w:firstLineChars="200"/>
        <w:rPr>
          <w:rFonts w:ascii="宋体" w:eastAsia="宋体" w:hAnsi="宋体" w:hint="eastAsia"/>
        </w:rPr>
      </w:pPr>
      <w:r>
        <w:rPr>
          <w:rFonts w:ascii="宋体" w:eastAsia="宋体" w:hAnsi="宋体" w:hint="eastAsia"/>
        </w:rPr>
        <w:t>现代花园环境影响评价“公众参与”的木的在于使公众对拟建</w:t>
      </w:r>
      <w:r>
        <w:rPr>
          <w:rFonts w:ascii="宋体" w:eastAsia="宋体" w:hAnsi="宋体" w:hint="eastAsia"/>
          <w:lang w:eastAsia="zh-CN"/>
        </w:rPr>
        <w:t>相关项目</w:t>
      </w:r>
      <w:r>
        <w:rPr>
          <w:rFonts w:ascii="宋体" w:eastAsia="宋体" w:hAnsi="宋体" w:hint="eastAsia"/>
        </w:rPr>
        <w:t>的各种意见、建议、和要求贯彻于整个环境影响评价中，沟通公众与</w:t>
      </w:r>
      <w:r>
        <w:rPr>
          <w:rFonts w:ascii="宋体" w:eastAsia="宋体" w:hAnsi="宋体" w:hint="eastAsia"/>
          <w:lang w:eastAsia="zh-CN"/>
        </w:rPr>
        <w:t>相关项目</w:t>
      </w:r>
      <w:r>
        <w:rPr>
          <w:rFonts w:ascii="宋体" w:eastAsia="宋体" w:hAnsi="宋体" w:hint="eastAsia"/>
        </w:rPr>
        <w:t>建设方的相互了解，弥补环境影响评价过程中可能存在的疏漏，制定出严格的环境监管措施与实施</w:t>
      </w:r>
      <w:r>
        <w:rPr>
          <w:rFonts w:ascii="宋体" w:eastAsia="宋体" w:hAnsi="宋体" w:hint="eastAsia"/>
          <w:lang w:eastAsia="zh-CN"/>
        </w:rPr>
        <w:t>相关计划</w:t>
      </w:r>
      <w:r>
        <w:rPr>
          <w:rFonts w:ascii="宋体" w:eastAsia="宋体" w:hAnsi="宋体" w:hint="eastAsia"/>
        </w:rPr>
        <w:t>，使该</w:t>
      </w:r>
      <w:r>
        <w:rPr>
          <w:rFonts w:ascii="宋体" w:eastAsia="宋体" w:hAnsi="宋体" w:hint="eastAsia"/>
          <w:lang w:eastAsia="zh-CN"/>
        </w:rPr>
        <w:t>相关项目</w:t>
      </w:r>
      <w:r>
        <w:rPr>
          <w:rFonts w:ascii="宋体" w:eastAsia="宋体" w:hAnsi="宋体" w:hint="eastAsia"/>
        </w:rPr>
        <w:t>的规划设计更加完善和合理，从而有利于</w:t>
      </w:r>
      <w:r>
        <w:rPr>
          <w:rFonts w:ascii="宋体" w:eastAsia="宋体" w:hAnsi="宋体" w:hint="eastAsia"/>
          <w:lang w:eastAsia="zh-CN"/>
        </w:rPr>
        <w:t>相关项目</w:t>
      </w:r>
      <w:r>
        <w:rPr>
          <w:rFonts w:ascii="宋体" w:eastAsia="宋体" w:hAnsi="宋体" w:hint="eastAsia"/>
        </w:rPr>
        <w:t>的综合效益。公众参与的对象为洪山区人大常委会的代表以及附近周围的居民，</w:t>
      </w:r>
      <w:r>
        <w:rPr>
          <w:rFonts w:ascii="宋体" w:eastAsia="宋体" w:hAnsi="宋体" w:hint="eastAsia"/>
          <w:lang w:eastAsia="zh-CN"/>
        </w:rPr>
        <w:t>相关项目</w:t>
      </w:r>
      <w:r>
        <w:rPr>
          <w:rFonts w:ascii="宋体" w:eastAsia="宋体" w:hAnsi="宋体" w:hint="eastAsia"/>
        </w:rPr>
        <w:t>咨询专家。</w:t>
      </w:r>
    </w:p>
    <w:p>
      <w:pPr>
        <w:pStyle w:val="Heading1"/>
        <w:rPr>
          <w:rFonts w:hint="eastAsia"/>
          <w:b w:val="0"/>
          <w:sz w:val="24"/>
          <w:szCs w:val="24"/>
        </w:rPr>
      </w:pPr>
      <w:bookmarkStart w:id="25" w:name="_Toc50787381"/>
      <w:r>
        <w:rPr>
          <w:rFonts w:hint="eastAsia"/>
          <w:b w:val="0"/>
          <w:sz w:val="24"/>
          <w:szCs w:val="24"/>
        </w:rPr>
        <w:t>七、劳动安全卫生与消防</w:t>
      </w:r>
      <w:bookmarkEnd w:id="25"/>
    </w:p>
    <w:p>
      <w:pPr>
        <w:pStyle w:val="BodyTextIndent"/>
        <w:spacing w:line="360" w:lineRule="auto"/>
        <w:ind w:firstLine="410"/>
        <w:rPr>
          <w:rFonts w:hint="eastAsia"/>
          <w:sz w:val="24"/>
        </w:rPr>
      </w:pPr>
      <w:r>
        <w:rPr>
          <w:rFonts w:hint="eastAsia"/>
          <w:sz w:val="24"/>
        </w:rPr>
        <w:t>拟建</w:t>
      </w:r>
      <w:r>
        <w:rPr>
          <w:rFonts w:hint="eastAsia"/>
          <w:sz w:val="24"/>
          <w:lang w:eastAsia="zh-CN"/>
        </w:rPr>
        <w:t>相关项目</w:t>
      </w:r>
      <w:r>
        <w:rPr>
          <w:rFonts w:hint="eastAsia"/>
          <w:sz w:val="24"/>
        </w:rPr>
        <w:t>劳动安全卫生与消防的研究是在已确定的技术</w:t>
      </w:r>
      <w:r>
        <w:rPr>
          <w:rFonts w:hint="eastAsia"/>
          <w:sz w:val="24"/>
          <w:lang w:eastAsia="zh-CN"/>
        </w:rPr>
        <w:t>合适的方案</w:t>
      </w:r>
      <w:r>
        <w:rPr>
          <w:rFonts w:hint="eastAsia"/>
          <w:sz w:val="24"/>
        </w:rPr>
        <w:t>和工程</w:t>
      </w:r>
      <w:r>
        <w:rPr>
          <w:rFonts w:hint="eastAsia"/>
          <w:sz w:val="24"/>
          <w:lang w:eastAsia="zh-CN"/>
        </w:rPr>
        <w:t>合适的方案</w:t>
      </w:r>
      <w:r>
        <w:rPr>
          <w:rFonts w:hint="eastAsia"/>
          <w:sz w:val="24"/>
        </w:rPr>
        <w:t>的基础上，分析论证在建设和生产过程中存在的对劳动者和财产可能产生的不安全因素，并提出相应的防范措施。</w:t>
      </w:r>
    </w:p>
    <w:p>
      <w:pPr>
        <w:pStyle w:val="Normal0"/>
        <w:spacing w:line="360" w:lineRule="auto"/>
        <w:rPr>
          <w:rFonts w:eastAsia="宋体" w:hint="eastAsia"/>
        </w:rPr>
      </w:pPr>
      <w:r>
        <w:rPr>
          <w:rFonts w:eastAsia="宋体" w:hint="eastAsia"/>
        </w:rPr>
        <w:t>一．劳动安全卫生</w:t>
      </w:r>
    </w:p>
    <w:p>
      <w:pPr>
        <w:pStyle w:val="Normal0"/>
        <w:spacing w:line="360" w:lineRule="auto"/>
        <w:rPr>
          <w:rFonts w:ascii="宋体" w:eastAsia="宋体" w:hAnsi="宋体" w:hint="eastAsia"/>
        </w:rPr>
      </w:pPr>
      <w:r>
        <w:rPr>
          <w:rFonts w:ascii="宋体" w:eastAsia="宋体" w:hAnsi="宋体" w:hint="eastAsia"/>
        </w:rPr>
        <w:t>1．危害因素和危害程度分析</w:t>
      </w:r>
    </w:p>
    <w:p>
      <w:pPr>
        <w:pStyle w:val="BodyTextIndent3"/>
        <w:ind w:left="480"/>
        <w:rPr>
          <w:rFonts w:eastAsia="宋体" w:hint="eastAsia"/>
          <w:sz w:val="24"/>
          <w:szCs w:val="24"/>
        </w:rPr>
      </w:pPr>
      <w:r>
        <w:rPr>
          <w:rFonts w:eastAsia="宋体" w:hint="eastAsia"/>
          <w:sz w:val="24"/>
          <w:szCs w:val="24"/>
        </w:rPr>
        <w:t>分析在生产或作用过程中可能对劳动者身体健康和生产安全造成危害的物品、部位、场所，以及危害范围和程度。</w:t>
      </w:r>
    </w:p>
    <w:p>
      <w:pPr>
        <w:pStyle w:val="Normal0"/>
        <w:spacing w:line="360" w:lineRule="auto"/>
        <w:ind w:firstLine="480" w:firstLineChars="200"/>
        <w:rPr>
          <w:rFonts w:ascii="宋体" w:eastAsia="宋体" w:hAnsi="宋体" w:hint="eastAsia"/>
        </w:rPr>
      </w:pPr>
      <w:r>
        <w:rPr>
          <w:rFonts w:ascii="宋体" w:eastAsia="宋体" w:hAnsi="宋体" w:hint="eastAsia"/>
        </w:rPr>
        <w:t>1)有毒有害物品的危害。分析生产和使用带有危险性的原料、材料和产品，包括爆炸品类，易燃、易爆、有毒气体类，易燃液体类，易燃固体类，氧化剂和过氧化物类，毒害品类，腐蚀品类，辐射物质类，以及工业粉尘类等。分析有毒有害物品的物理化学性质，引起火灾爆炸危险的条件，对人体健康的危害程度以及造成职业性疾病的可能性</w:t>
      </w:r>
    </w:p>
    <w:p>
      <w:pPr>
        <w:pStyle w:val="Normal0"/>
        <w:spacing w:line="360" w:lineRule="auto"/>
        <w:ind w:firstLine="480" w:firstLineChars="200"/>
        <w:rPr>
          <w:rFonts w:ascii="宋体" w:eastAsia="宋体" w:hAnsi="宋体" w:hint="eastAsia"/>
        </w:rPr>
      </w:pPr>
      <w:r>
        <w:rPr>
          <w:rFonts w:ascii="宋体" w:eastAsia="宋体" w:hAnsi="宋体" w:hint="eastAsia"/>
        </w:rPr>
        <w:t>2)危险性作业危害。分析高空、高湿、高压作业，井下作业，辐射、振动、噪音等危险性作业场所，可能造成对人身的危害。</w:t>
      </w:r>
    </w:p>
    <w:p>
      <w:pPr>
        <w:pStyle w:val="Normal0"/>
        <w:spacing w:line="360" w:lineRule="auto"/>
        <w:rPr>
          <w:rFonts w:ascii="宋体" w:eastAsia="宋体" w:hAnsi="宋体" w:hint="eastAsia"/>
          <w:lang w:eastAsia="zh-CN"/>
        </w:rPr>
      </w:pPr>
      <w:r>
        <w:rPr>
          <w:rFonts w:ascii="宋体" w:eastAsia="宋体" w:hAnsi="宋体" w:hint="eastAsia"/>
        </w:rPr>
        <w:t>2．安全措施</w:t>
      </w:r>
      <w:r>
        <w:rPr>
          <w:rFonts w:ascii="宋体" w:eastAsia="宋体" w:hAnsi="宋体" w:hint="eastAsia"/>
          <w:lang w:eastAsia="zh-CN"/>
        </w:rPr>
        <w:t>合适的方案</w:t>
      </w:r>
    </w:p>
    <w:p>
      <w:pPr>
        <w:pStyle w:val="BodyTextIndent2"/>
        <w:ind w:firstLine="461"/>
        <w:rPr>
          <w:rFonts w:hint="eastAsia"/>
          <w:sz w:val="24"/>
        </w:rPr>
      </w:pPr>
      <w:r>
        <w:rPr>
          <w:rFonts w:hint="eastAsia"/>
          <w:sz w:val="24"/>
        </w:rPr>
        <w:t>针对不同危害和危险性因素的场所、范围以及危害程度，研究提出相应的安全措施</w:t>
      </w:r>
      <w:r>
        <w:rPr>
          <w:rFonts w:hint="eastAsia"/>
          <w:sz w:val="24"/>
          <w:lang w:eastAsia="zh-CN"/>
        </w:rPr>
        <w:t>合适的方案</w:t>
      </w:r>
      <w:r>
        <w:rPr>
          <w:rFonts w:hint="eastAsia"/>
          <w:sz w:val="24"/>
        </w:rPr>
        <w:t>，主要有：</w:t>
      </w:r>
    </w:p>
    <w:p>
      <w:pPr>
        <w:pStyle w:val="Normal0"/>
        <w:spacing w:line="360" w:lineRule="auto"/>
        <w:ind w:firstLine="420" w:firstLineChars="175"/>
        <w:rPr>
          <w:rFonts w:ascii="宋体" w:eastAsia="宋体" w:hAnsi="宋体" w:hint="eastAsia"/>
        </w:rPr>
        <w:sectPr>
          <w:headerReference w:type="default" r:id="rId55"/>
          <w:footerReference w:type="default" r:id="rId56"/>
          <w:type w:val="nextPage"/>
          <w:pgSz w:w="11906" w:h="16838"/>
          <w:pgMar w:top="539" w:right="926" w:bottom="1440" w:left="1800" w:header="495" w:footer="992" w:gutter="0"/>
          <w:pgNumType w:start="25"/>
          <w:cols w:num="1" w:space="425"/>
          <w:titlePg w:val="0"/>
          <w:docGrid w:type="lines" w:linePitch="360" w:charSpace="0"/>
        </w:sectPr>
      </w:pPr>
      <w:r>
        <w:rPr>
          <w:rFonts w:ascii="宋体" w:eastAsia="宋体" w:hAnsi="宋体" w:hint="eastAsia"/>
        </w:rPr>
        <w:t>1)在选择工艺技术</w:t>
      </w:r>
      <w:r>
        <w:rPr>
          <w:rFonts w:ascii="宋体" w:eastAsia="宋体" w:hAnsi="宋体" w:hint="eastAsia"/>
          <w:lang w:eastAsia="zh-CN"/>
        </w:rPr>
        <w:t>合适的方案</w:t>
      </w:r>
    </w:p>
    <w:p>
      <w:pPr>
        <w:pStyle w:val="Normal0"/>
        <w:spacing w:line="360" w:lineRule="auto"/>
        <w:ind w:firstLine="420" w:firstLineChars="175"/>
        <w:rPr>
          <w:rFonts w:ascii="宋体" w:eastAsia="宋体" w:hAnsi="宋体" w:hint="eastAsia"/>
        </w:rPr>
      </w:pPr>
      <w:r>
        <w:rPr>
          <w:rFonts w:ascii="宋体" w:eastAsia="宋体" w:hAnsi="宋体" w:hint="eastAsia"/>
        </w:rPr>
        <w:t>时，应尽可能选用安全生产和无危害的生产工艺和设备。</w:t>
      </w:r>
    </w:p>
    <w:p>
      <w:pPr>
        <w:pStyle w:val="Normal0"/>
        <w:spacing w:line="360" w:lineRule="auto"/>
        <w:ind w:firstLine="420" w:firstLineChars="175"/>
        <w:rPr>
          <w:rFonts w:ascii="宋体" w:eastAsia="宋体" w:hAnsi="宋体" w:hint="eastAsia"/>
        </w:rPr>
      </w:pPr>
      <w:r>
        <w:rPr>
          <w:rFonts w:ascii="宋体" w:eastAsia="宋体" w:hAnsi="宋体" w:hint="eastAsia"/>
        </w:rPr>
        <w:t>2)对危险部位和危险作业应提出安全防护措施</w:t>
      </w:r>
      <w:r>
        <w:rPr>
          <w:rFonts w:ascii="宋体" w:eastAsia="宋体" w:hAnsi="宋体" w:hint="eastAsia"/>
          <w:lang w:eastAsia="zh-CN"/>
        </w:rPr>
        <w:t>合适的方案</w:t>
      </w:r>
      <w:r>
        <w:rPr>
          <w:rFonts w:ascii="宋体" w:eastAsia="宋体" w:hAnsi="宋体" w:hint="eastAsia"/>
        </w:rPr>
        <w:t>。</w:t>
      </w:r>
    </w:p>
    <w:p>
      <w:pPr>
        <w:pStyle w:val="Normal0"/>
        <w:spacing w:line="360" w:lineRule="auto"/>
        <w:ind w:firstLine="420" w:firstLineChars="175"/>
        <w:rPr>
          <w:rFonts w:ascii="宋体" w:eastAsia="宋体" w:hAnsi="宋体" w:hint="eastAsia"/>
        </w:rPr>
      </w:pPr>
      <w:r>
        <w:rPr>
          <w:rFonts w:ascii="宋体" w:eastAsia="宋体" w:hAnsi="宋体" w:hint="eastAsia"/>
        </w:rPr>
        <w:t>3)对危险场所，按劳动安全规范提出合理的生产工艺</w:t>
      </w:r>
      <w:r>
        <w:rPr>
          <w:rFonts w:ascii="宋体" w:eastAsia="宋体" w:hAnsi="宋体" w:hint="eastAsia"/>
          <w:lang w:eastAsia="zh-CN"/>
        </w:rPr>
        <w:t>合适的方案</w:t>
      </w:r>
      <w:r>
        <w:rPr>
          <w:rFonts w:ascii="宋体" w:eastAsia="宋体" w:hAnsi="宋体" w:hint="eastAsia"/>
        </w:rPr>
        <w:t>和设置安全间距。煤炭、冶金等矿井开采</w:t>
      </w:r>
      <w:r>
        <w:rPr>
          <w:rFonts w:ascii="宋体" w:eastAsia="宋体" w:hAnsi="宋体" w:hint="eastAsia"/>
          <w:lang w:eastAsia="zh-CN"/>
        </w:rPr>
        <w:t>相关项目</w:t>
      </w:r>
      <w:r>
        <w:rPr>
          <w:rFonts w:ascii="宋体" w:eastAsia="宋体" w:hAnsi="宋体" w:hint="eastAsia"/>
        </w:rPr>
        <w:t>，应提出防止瓦斯爆炸、矿井涌水、塌方冒顶等技术和安全措施</w:t>
      </w:r>
      <w:r>
        <w:rPr>
          <w:rFonts w:ascii="宋体" w:eastAsia="宋体" w:hAnsi="宋体" w:hint="eastAsia"/>
          <w:lang w:eastAsia="zh-CN"/>
        </w:rPr>
        <w:t>合适的方案</w:t>
      </w:r>
      <w:r>
        <w:rPr>
          <w:rFonts w:ascii="宋体" w:eastAsia="宋体" w:hAnsi="宋体" w:hint="eastAsia"/>
        </w:rPr>
        <w:t>。</w:t>
      </w:r>
    </w:p>
    <w:p>
      <w:pPr>
        <w:pStyle w:val="Normal0"/>
        <w:spacing w:line="360" w:lineRule="auto"/>
        <w:ind w:firstLine="420" w:firstLineChars="175"/>
        <w:rPr>
          <w:rFonts w:ascii="宋体" w:eastAsia="宋体" w:hAnsi="宋体" w:hint="eastAsia"/>
        </w:rPr>
      </w:pPr>
      <w:r>
        <w:rPr>
          <w:rFonts w:ascii="宋体" w:eastAsia="宋体" w:hAnsi="宋体" w:hint="eastAsia"/>
        </w:rPr>
        <w:t>4)对易产生职业病的场所，应提出防护和卫生保健措施</w:t>
      </w:r>
      <w:r>
        <w:rPr>
          <w:rFonts w:ascii="宋体" w:eastAsia="宋体" w:hAnsi="宋体" w:hint="eastAsia"/>
          <w:lang w:eastAsia="zh-CN"/>
        </w:rPr>
        <w:t>合适的方案</w:t>
      </w:r>
      <w:r>
        <w:rPr>
          <w:rFonts w:ascii="宋体" w:eastAsia="宋体" w:hAnsi="宋体" w:hint="eastAsia"/>
        </w:rPr>
        <w:t>。</w:t>
      </w:r>
    </w:p>
    <w:p>
      <w:pPr>
        <w:pStyle w:val="Normal0"/>
        <w:spacing w:line="360" w:lineRule="auto"/>
        <w:rPr>
          <w:rFonts w:ascii="宋体" w:eastAsia="宋体" w:hAnsi="宋体" w:hint="eastAsia"/>
        </w:rPr>
      </w:pPr>
      <w:r>
        <w:rPr>
          <w:rFonts w:ascii="宋体" w:eastAsia="宋体" w:hAnsi="宋体" w:hint="eastAsia"/>
        </w:rPr>
        <w:t>二．消防设施</w:t>
      </w:r>
    </w:p>
    <w:p>
      <w:pPr>
        <w:pStyle w:val="BodyTextIndent3"/>
        <w:ind w:left="480"/>
        <w:rPr>
          <w:rFonts w:eastAsia="宋体" w:hint="eastAsia"/>
          <w:sz w:val="24"/>
          <w:szCs w:val="24"/>
        </w:rPr>
      </w:pPr>
      <w:r>
        <w:rPr>
          <w:rFonts w:eastAsia="宋体" w:hint="eastAsia"/>
          <w:sz w:val="24"/>
          <w:szCs w:val="24"/>
        </w:rPr>
        <w:t>消防设施研究，主要是分析</w:t>
      </w:r>
      <w:r>
        <w:rPr>
          <w:rFonts w:eastAsia="宋体" w:hint="eastAsia"/>
          <w:sz w:val="24"/>
          <w:szCs w:val="24"/>
          <w:lang w:eastAsia="zh-CN"/>
        </w:rPr>
        <w:t>相关项目</w:t>
      </w:r>
      <w:r>
        <w:rPr>
          <w:rFonts w:eastAsia="宋体" w:hint="eastAsia"/>
          <w:sz w:val="24"/>
          <w:szCs w:val="24"/>
        </w:rPr>
        <w:t>在生产经营过程中可能存在的火灾隐患和重点消防部位，根据消防安全规范确定消防等级，并结合当地公安消防设施状况，提出消防监控报警系统和消防设施配置</w:t>
      </w:r>
      <w:r>
        <w:rPr>
          <w:rFonts w:eastAsia="宋体" w:hint="eastAsia"/>
          <w:sz w:val="24"/>
          <w:szCs w:val="24"/>
          <w:lang w:eastAsia="zh-CN"/>
        </w:rPr>
        <w:t>合适的方案</w:t>
      </w:r>
      <w:r>
        <w:rPr>
          <w:rFonts w:eastAsia="宋体" w:hint="eastAsia"/>
          <w:sz w:val="24"/>
          <w:szCs w:val="24"/>
        </w:rPr>
        <w:t>。</w:t>
      </w:r>
    </w:p>
    <w:p>
      <w:pPr>
        <w:pStyle w:val="Normal0"/>
        <w:spacing w:line="360" w:lineRule="auto"/>
        <w:rPr>
          <w:rFonts w:ascii="宋体" w:eastAsia="宋体" w:hAnsi="宋体" w:hint="eastAsia"/>
        </w:rPr>
      </w:pPr>
      <w:r>
        <w:rPr>
          <w:rFonts w:ascii="宋体" w:eastAsia="宋体" w:hAnsi="宋体" w:hint="eastAsia"/>
        </w:rPr>
        <w:t>1．火灾危险性分析</w:t>
      </w:r>
    </w:p>
    <w:p>
      <w:pPr>
        <w:pStyle w:val="BodyTextIndent3"/>
        <w:ind w:left="480"/>
        <w:rPr>
          <w:rFonts w:eastAsia="宋体" w:hint="eastAsia"/>
          <w:sz w:val="24"/>
          <w:szCs w:val="24"/>
        </w:rPr>
      </w:pPr>
      <w:r>
        <w:rPr>
          <w:rFonts w:eastAsia="宋体" w:hint="eastAsia"/>
          <w:sz w:val="24"/>
          <w:szCs w:val="24"/>
        </w:rPr>
        <w:t>分析生产过程中使用的原材料、中间产品、成品的火灾危险性，包括储存物品的火灾危险性，生产过程中易燃、易爆产生的部位及火灾危险性，运输过程中的火灾危险性等。</w:t>
      </w:r>
    </w:p>
    <w:p>
      <w:pPr>
        <w:pStyle w:val="Normal0"/>
        <w:spacing w:line="360" w:lineRule="auto"/>
        <w:rPr>
          <w:rFonts w:ascii="宋体" w:eastAsia="宋体" w:hAnsi="宋体" w:hint="eastAsia"/>
        </w:rPr>
      </w:pPr>
      <w:r>
        <w:rPr>
          <w:rFonts w:ascii="宋体" w:eastAsia="宋体" w:hAnsi="宋体" w:hint="eastAsia"/>
        </w:rPr>
        <w:t>2．调查</w:t>
      </w:r>
      <w:r>
        <w:rPr>
          <w:rFonts w:ascii="宋体" w:eastAsia="宋体" w:hAnsi="宋体" w:hint="eastAsia"/>
          <w:lang w:eastAsia="zh-CN"/>
        </w:rPr>
        <w:t>相关项目</w:t>
      </w:r>
      <w:r>
        <w:rPr>
          <w:rFonts w:ascii="宋体" w:eastAsia="宋体" w:hAnsi="宋体" w:hint="eastAsia"/>
        </w:rPr>
        <w:t>场址周围消防设施状况</w:t>
      </w:r>
    </w:p>
    <w:p>
      <w:pPr>
        <w:pStyle w:val="BodyTextIndent3"/>
        <w:ind w:left="480"/>
        <w:rPr>
          <w:rFonts w:eastAsia="宋体" w:hint="eastAsia"/>
          <w:sz w:val="24"/>
          <w:szCs w:val="24"/>
        </w:rPr>
      </w:pPr>
      <w:r>
        <w:rPr>
          <w:rFonts w:eastAsia="宋体" w:hint="eastAsia"/>
          <w:sz w:val="24"/>
          <w:szCs w:val="24"/>
        </w:rPr>
        <w:t>调查场址周边公安消防机构的规模、装备，所在地公安消防队与场址的距离等，确定</w:t>
      </w:r>
      <w:r>
        <w:rPr>
          <w:rFonts w:eastAsia="宋体" w:hint="eastAsia"/>
          <w:sz w:val="24"/>
          <w:szCs w:val="24"/>
          <w:lang w:eastAsia="zh-CN"/>
        </w:rPr>
        <w:t>相关项目</w:t>
      </w:r>
      <w:r>
        <w:rPr>
          <w:rFonts w:eastAsia="宋体" w:hint="eastAsia"/>
          <w:sz w:val="24"/>
          <w:szCs w:val="24"/>
        </w:rPr>
        <w:t>对公安消防机构的依托程度。</w:t>
      </w:r>
    </w:p>
    <w:p>
      <w:pPr>
        <w:pStyle w:val="Normal0"/>
        <w:spacing w:line="360" w:lineRule="auto"/>
        <w:rPr>
          <w:rFonts w:ascii="宋体" w:eastAsia="宋体" w:hAnsi="宋体" w:hint="eastAsia"/>
        </w:rPr>
      </w:pPr>
      <w:r>
        <w:rPr>
          <w:rFonts w:ascii="宋体" w:eastAsia="宋体" w:hAnsi="宋体" w:hint="eastAsia"/>
        </w:rPr>
        <w:t>3．消防措施和设施</w:t>
      </w:r>
    </w:p>
    <w:p>
      <w:pPr>
        <w:pStyle w:val="BodyTextIndent3"/>
        <w:ind w:left="480"/>
        <w:rPr>
          <w:rFonts w:eastAsia="宋体" w:hint="eastAsia"/>
          <w:sz w:val="24"/>
          <w:szCs w:val="24"/>
        </w:rPr>
      </w:pPr>
      <w:r>
        <w:rPr>
          <w:rFonts w:eastAsia="宋体" w:hint="eastAsia"/>
          <w:sz w:val="24"/>
          <w:szCs w:val="24"/>
        </w:rPr>
        <w:t>根据</w:t>
      </w:r>
      <w:r>
        <w:rPr>
          <w:rFonts w:eastAsia="宋体" w:hint="eastAsia"/>
          <w:sz w:val="24"/>
          <w:szCs w:val="24"/>
          <w:lang w:eastAsia="zh-CN"/>
        </w:rPr>
        <w:t>相关项目</w:t>
      </w:r>
      <w:r>
        <w:rPr>
          <w:rFonts w:eastAsia="宋体" w:hint="eastAsia"/>
          <w:sz w:val="24"/>
          <w:szCs w:val="24"/>
        </w:rPr>
        <w:t>在生产经营过程中存在火灾隐患的部位、火灾危险类别以及可能波及的范围，确定应采用的消防等级，并结合</w:t>
      </w:r>
      <w:r>
        <w:rPr>
          <w:rFonts w:eastAsia="宋体" w:hint="eastAsia"/>
          <w:sz w:val="24"/>
          <w:szCs w:val="24"/>
          <w:lang w:eastAsia="zh-CN"/>
        </w:rPr>
        <w:t>相关项目</w:t>
      </w:r>
      <w:r>
        <w:rPr>
          <w:rFonts w:eastAsia="宋体" w:hint="eastAsia"/>
          <w:sz w:val="24"/>
          <w:szCs w:val="24"/>
        </w:rPr>
        <w:t>场址周围消防设施状况，提出消防监控报警系统和消防设施配置</w:t>
      </w:r>
      <w:r>
        <w:rPr>
          <w:rFonts w:eastAsia="宋体" w:hint="eastAsia"/>
          <w:sz w:val="24"/>
          <w:szCs w:val="24"/>
          <w:lang w:eastAsia="zh-CN"/>
        </w:rPr>
        <w:t>合适的方案</w:t>
      </w:r>
      <w:r>
        <w:rPr>
          <w:rFonts w:eastAsia="宋体" w:hint="eastAsia"/>
          <w:sz w:val="24"/>
          <w:szCs w:val="24"/>
        </w:rPr>
        <w:t>。</w:t>
      </w:r>
    </w:p>
    <w:p>
      <w:pPr>
        <w:pStyle w:val="Heading1"/>
        <w:rPr>
          <w:b w:val="0"/>
          <w:sz w:val="24"/>
          <w:szCs w:val="24"/>
        </w:rPr>
      </w:pPr>
      <w:bookmarkStart w:id="26" w:name="_Toc50787382"/>
      <w:r>
        <w:rPr>
          <w:rFonts w:hint="eastAsia"/>
          <w:b w:val="0"/>
          <w:sz w:val="24"/>
          <w:szCs w:val="24"/>
        </w:rPr>
        <w:t>八、组织机构与人力资源配置</w:t>
      </w:r>
      <w:bookmarkEnd w:id="26"/>
    </w:p>
    <w:p>
      <w:pPr>
        <w:pStyle w:val="BodyTextIndent3"/>
        <w:ind w:left="480"/>
        <w:rPr>
          <w:rFonts w:eastAsia="宋体" w:hint="eastAsia"/>
          <w:sz w:val="24"/>
          <w:szCs w:val="24"/>
        </w:rPr>
      </w:pPr>
      <w:r>
        <w:rPr>
          <w:rFonts w:eastAsia="宋体" w:hint="eastAsia"/>
          <w:sz w:val="24"/>
          <w:szCs w:val="24"/>
        </w:rPr>
        <w:t>合理、科学地制定</w:t>
      </w:r>
      <w:r>
        <w:rPr>
          <w:rFonts w:eastAsia="宋体" w:hint="eastAsia"/>
          <w:sz w:val="24"/>
          <w:szCs w:val="24"/>
          <w:lang w:eastAsia="zh-CN"/>
        </w:rPr>
        <w:t>管理管控合适的方案</w:t>
      </w:r>
      <w:r>
        <w:rPr>
          <w:rFonts w:eastAsia="宋体" w:hint="eastAsia"/>
          <w:sz w:val="24"/>
          <w:szCs w:val="24"/>
        </w:rPr>
        <w:t>，确定</w:t>
      </w:r>
      <w:r>
        <w:rPr>
          <w:rFonts w:eastAsia="宋体" w:hint="eastAsia"/>
          <w:sz w:val="24"/>
          <w:szCs w:val="24"/>
          <w:lang w:eastAsia="zh-CN"/>
        </w:rPr>
        <w:t>相关项目</w:t>
      </w:r>
      <w:r>
        <w:rPr>
          <w:rFonts w:eastAsia="宋体" w:hint="eastAsia"/>
          <w:sz w:val="24"/>
          <w:szCs w:val="24"/>
        </w:rPr>
        <w:t>的组织机构和配置人力资源是保证</w:t>
      </w:r>
      <w:r>
        <w:rPr>
          <w:rFonts w:eastAsia="宋体" w:hint="eastAsia"/>
          <w:sz w:val="24"/>
          <w:szCs w:val="24"/>
          <w:lang w:eastAsia="zh-CN"/>
        </w:rPr>
        <w:t>相关项目</w:t>
      </w:r>
      <w:r>
        <w:rPr>
          <w:rFonts w:eastAsia="宋体" w:hint="eastAsia"/>
          <w:sz w:val="24"/>
          <w:szCs w:val="24"/>
        </w:rPr>
        <w:t>建设和生产经营顺利进行、提高劳动率的重要条件。在制定</w:t>
      </w:r>
      <w:r>
        <w:rPr>
          <w:rFonts w:eastAsia="宋体" w:hint="eastAsia"/>
          <w:sz w:val="24"/>
          <w:szCs w:val="24"/>
          <w:lang w:eastAsia="zh-CN"/>
        </w:rPr>
        <w:t>管理管控合适的方案</w:t>
      </w:r>
      <w:r>
        <w:rPr>
          <w:rFonts w:eastAsia="宋体" w:hint="eastAsia"/>
          <w:sz w:val="24"/>
          <w:szCs w:val="24"/>
        </w:rPr>
        <w:t>时，我们对</w:t>
      </w:r>
      <w:r>
        <w:rPr>
          <w:rFonts w:eastAsia="宋体" w:hint="eastAsia"/>
          <w:sz w:val="24"/>
          <w:szCs w:val="24"/>
          <w:lang w:eastAsia="zh-CN"/>
        </w:rPr>
        <w:t>相关项目</w:t>
      </w:r>
      <w:r>
        <w:rPr>
          <w:rFonts w:eastAsia="宋体" w:hint="eastAsia"/>
          <w:sz w:val="24"/>
          <w:szCs w:val="24"/>
        </w:rPr>
        <w:t>的组织机构设置及人力资源及员工培训等</w:t>
      </w:r>
      <w:r>
        <w:rPr>
          <w:rFonts w:eastAsia="宋体" w:hint="eastAsia"/>
          <w:sz w:val="24"/>
          <w:szCs w:val="24"/>
          <w:lang w:eastAsia="zh-CN"/>
        </w:rPr>
        <w:t>合适的内容</w:t>
      </w:r>
      <w:r>
        <w:rPr>
          <w:rFonts w:eastAsia="宋体" w:hint="eastAsia"/>
          <w:sz w:val="24"/>
          <w:szCs w:val="24"/>
        </w:rPr>
        <w:t>进行了研究，比选优化</w:t>
      </w:r>
      <w:r>
        <w:rPr>
          <w:rFonts w:eastAsia="宋体" w:hint="eastAsia"/>
          <w:sz w:val="24"/>
          <w:szCs w:val="24"/>
          <w:lang w:eastAsia="zh-CN"/>
        </w:rPr>
        <w:t>合适的方案</w:t>
      </w:r>
      <w:r>
        <w:rPr>
          <w:rFonts w:eastAsia="宋体" w:hint="eastAsia"/>
          <w:sz w:val="24"/>
          <w:szCs w:val="24"/>
        </w:rPr>
        <w:t>。</w:t>
      </w:r>
    </w:p>
    <w:p>
      <w:pPr>
        <w:pStyle w:val="Normal0"/>
        <w:spacing w:line="360" w:lineRule="auto"/>
        <w:rPr>
          <w:rFonts w:eastAsia="宋体" w:hint="eastAsia"/>
          <w:bCs/>
        </w:rPr>
        <w:sectPr>
          <w:headerReference w:type="default" r:id="rId57"/>
          <w:footerReference w:type="default" r:id="rId58"/>
          <w:type w:val="nextPage"/>
          <w:pgSz w:w="11906" w:h="16838"/>
          <w:pgMar w:top="539" w:right="926" w:bottom="1440" w:left="1800" w:header="495" w:footer="992" w:gutter="0"/>
          <w:pgNumType w:start="26"/>
          <w:cols w:num="1" w:space="425"/>
          <w:titlePg w:val="0"/>
          <w:docGrid w:type="lines" w:linePitch="360" w:charSpace="0"/>
        </w:sectPr>
      </w:pPr>
      <w:r>
        <w:rPr>
          <w:rFonts w:ascii="黑体" w:eastAsia="宋体" w:hAnsi="Arial" w:cs="Arial" w:hint="eastAsia"/>
          <w:bCs/>
        </w:rPr>
        <w:t>一．组织机构设置</w:t>
      </w:r>
    </w:p>
    <w:p>
      <w:pPr>
        <w:pStyle w:val="Normal0"/>
        <w:spacing w:line="360" w:lineRule="auto"/>
        <w:ind w:firstLine="480" w:firstLineChars="200"/>
        <w:rPr>
          <w:rFonts w:ascii="宋体" w:eastAsia="宋体" w:hAnsi="宋体" w:hint="eastAsia"/>
        </w:rPr>
      </w:pPr>
      <w:r>
        <w:rPr>
          <w:rFonts w:ascii="宋体" w:eastAsia="宋体" w:hAnsi="宋体" w:hint="eastAsia"/>
        </w:rPr>
        <w:t>本公司是股份有限制公司</w:t>
      </w:r>
      <w:r>
        <w:rPr>
          <w:rFonts w:ascii="宋体" w:eastAsia="宋体" w:hAnsi="宋体"/>
        </w:rPr>
        <w:t>,</w:t>
      </w:r>
      <w:r>
        <w:rPr>
          <w:rFonts w:ascii="宋体" w:eastAsia="宋体" w:hAnsi="宋体" w:hint="eastAsia"/>
        </w:rPr>
        <w:t>分为权力机构</w:t>
      </w:r>
      <w:r>
        <w:rPr>
          <w:rFonts w:ascii="宋体" w:eastAsia="宋体" w:hAnsi="宋体"/>
        </w:rPr>
        <w:t>,</w:t>
      </w:r>
      <w:r>
        <w:rPr>
          <w:rFonts w:ascii="宋体" w:eastAsia="宋体" w:hAnsi="宋体" w:hint="eastAsia"/>
        </w:rPr>
        <w:t>经营</w:t>
      </w:r>
      <w:r>
        <w:rPr>
          <w:rFonts w:ascii="宋体" w:eastAsia="宋体" w:hAnsi="宋体" w:hint="eastAsia"/>
          <w:lang w:eastAsia="zh-CN"/>
        </w:rPr>
        <w:t>管理管控</w:t>
      </w:r>
      <w:r>
        <w:rPr>
          <w:rFonts w:ascii="宋体" w:eastAsia="宋体" w:hAnsi="宋体" w:hint="eastAsia"/>
        </w:rPr>
        <w:t>机构和监督机构</w:t>
      </w:r>
      <w:r>
        <w:rPr>
          <w:rFonts w:ascii="宋体" w:eastAsia="宋体" w:hAnsi="宋体"/>
        </w:rPr>
        <w:t>.</w:t>
      </w:r>
      <w:r>
        <w:rPr>
          <w:rFonts w:ascii="宋体" w:eastAsia="宋体" w:hAnsi="宋体" w:hint="eastAsia"/>
        </w:rPr>
        <w:t>最高权力机构是董事会</w:t>
      </w:r>
      <w:r>
        <w:rPr>
          <w:rFonts w:ascii="宋体" w:eastAsia="宋体" w:hAnsi="宋体"/>
        </w:rPr>
        <w:t>,</w:t>
      </w:r>
      <w:r>
        <w:rPr>
          <w:rFonts w:ascii="宋体" w:eastAsia="宋体" w:hAnsi="宋体" w:hint="eastAsia"/>
        </w:rPr>
        <w:t>实行董事会领导下的总经理负责制</w:t>
      </w:r>
      <w:r>
        <w:rPr>
          <w:rFonts w:ascii="宋体" w:eastAsia="宋体" w:hAnsi="宋体"/>
        </w:rPr>
        <w:t>,</w:t>
      </w:r>
      <w:r>
        <w:rPr>
          <w:rFonts w:ascii="宋体" w:eastAsia="宋体" w:hAnsi="宋体" w:hint="eastAsia"/>
        </w:rPr>
        <w:t>董事会由</w:t>
      </w:r>
      <w:r>
        <w:rPr>
          <w:rFonts w:ascii="宋体" w:eastAsia="宋体" w:hAnsi="宋体"/>
        </w:rPr>
        <w:t>8</w:t>
      </w:r>
      <w:r>
        <w:rPr>
          <w:rFonts w:ascii="宋体" w:eastAsia="宋体" w:hAnsi="宋体" w:hint="eastAsia"/>
        </w:rPr>
        <w:t>人组成</w:t>
      </w:r>
      <w:r>
        <w:rPr>
          <w:rFonts w:ascii="宋体" w:eastAsia="宋体" w:hAnsi="宋体"/>
        </w:rPr>
        <w:t>,</w:t>
      </w:r>
      <w:r>
        <w:rPr>
          <w:rFonts w:ascii="宋体" w:eastAsia="宋体" w:hAnsi="宋体" w:hint="eastAsia"/>
        </w:rPr>
        <w:t>董事长</w:t>
      </w:r>
      <w:r>
        <w:rPr>
          <w:rFonts w:ascii="宋体" w:eastAsia="宋体" w:hAnsi="宋体"/>
        </w:rPr>
        <w:t>1</w:t>
      </w:r>
      <w:r>
        <w:rPr>
          <w:rFonts w:ascii="宋体" w:eastAsia="宋体" w:hAnsi="宋体" w:hint="eastAsia"/>
        </w:rPr>
        <w:t>人</w:t>
      </w:r>
      <w:r>
        <w:rPr>
          <w:rFonts w:ascii="宋体" w:eastAsia="宋体" w:hAnsi="宋体"/>
        </w:rPr>
        <w:t>,</w:t>
      </w:r>
      <w:r>
        <w:rPr>
          <w:rFonts w:ascii="宋体" w:eastAsia="宋体" w:hAnsi="宋体" w:hint="eastAsia"/>
        </w:rPr>
        <w:t>副董事长</w:t>
      </w:r>
      <w:r>
        <w:rPr>
          <w:rFonts w:ascii="宋体" w:eastAsia="宋体" w:hAnsi="宋体"/>
        </w:rPr>
        <w:t>2</w:t>
      </w:r>
      <w:r>
        <w:rPr>
          <w:rFonts w:ascii="宋体" w:eastAsia="宋体" w:hAnsi="宋体" w:hint="eastAsia"/>
        </w:rPr>
        <w:t>人</w:t>
      </w:r>
      <w:r>
        <w:rPr>
          <w:rFonts w:ascii="宋体" w:eastAsia="宋体" w:hAnsi="宋体"/>
        </w:rPr>
        <w:t>,</w:t>
      </w:r>
      <w:r>
        <w:rPr>
          <w:rFonts w:ascii="宋体" w:eastAsia="宋体" w:hAnsi="宋体" w:hint="eastAsia"/>
        </w:rPr>
        <w:t>对股东大会负责</w:t>
      </w:r>
      <w:r>
        <w:rPr>
          <w:rFonts w:ascii="宋体" w:eastAsia="宋体" w:hAnsi="宋体"/>
        </w:rPr>
        <w:t>.</w:t>
      </w:r>
      <w:r>
        <w:rPr>
          <w:rFonts w:ascii="宋体" w:eastAsia="宋体" w:hAnsi="宋体" w:hint="eastAsia"/>
        </w:rPr>
        <w:t>总经理受董事会任聘</w:t>
      </w:r>
      <w:r>
        <w:rPr>
          <w:rFonts w:ascii="宋体" w:eastAsia="宋体" w:hAnsi="宋体"/>
        </w:rPr>
        <w:t xml:space="preserve">,. </w:t>
      </w:r>
      <w:r>
        <w:rPr>
          <w:rFonts w:ascii="宋体" w:eastAsia="宋体" w:hAnsi="宋体" w:hint="eastAsia"/>
        </w:rPr>
        <w:t>各部门</w:t>
      </w:r>
      <w:r>
        <w:rPr>
          <w:rFonts w:ascii="宋体" w:eastAsia="宋体" w:hAnsi="宋体"/>
        </w:rPr>
        <w:t xml:space="preserve"> </w:t>
      </w:r>
      <w:r>
        <w:rPr>
          <w:rFonts w:ascii="宋体" w:eastAsia="宋体" w:hAnsi="宋体" w:hint="eastAsia"/>
        </w:rPr>
        <w:t>分设经理</w:t>
      </w:r>
      <w:r>
        <w:rPr>
          <w:rFonts w:ascii="宋体" w:eastAsia="宋体" w:hAnsi="宋体"/>
        </w:rPr>
        <w:t xml:space="preserve">, </w:t>
      </w:r>
      <w:r>
        <w:rPr>
          <w:rFonts w:ascii="宋体" w:eastAsia="宋体" w:hAnsi="宋体" w:hint="eastAsia"/>
        </w:rPr>
        <w:t>负责组织公司的经营</w:t>
      </w:r>
      <w:r>
        <w:rPr>
          <w:rFonts w:ascii="宋体" w:eastAsia="宋体" w:hAnsi="宋体" w:hint="eastAsia"/>
          <w:lang w:eastAsia="zh-CN"/>
        </w:rPr>
        <w:t>管理管控</w:t>
      </w:r>
      <w:r>
        <w:rPr>
          <w:rFonts w:ascii="宋体" w:eastAsia="宋体" w:hAnsi="宋体" w:hint="eastAsia"/>
        </w:rPr>
        <w:t>活动</w:t>
      </w:r>
      <w:r>
        <w:rPr>
          <w:rFonts w:ascii="宋体" w:eastAsia="宋体" w:hAnsi="宋体"/>
        </w:rPr>
        <w:t>.</w:t>
      </w:r>
      <w:r>
        <w:rPr>
          <w:rFonts w:ascii="宋体" w:eastAsia="宋体" w:hAnsi="宋体" w:hint="eastAsia"/>
        </w:rPr>
        <w:t>高级职员由董事会商议任聘</w:t>
      </w:r>
      <w:r>
        <w:rPr>
          <w:rFonts w:ascii="宋体" w:eastAsia="宋体" w:hAnsi="宋体"/>
        </w:rPr>
        <w:t>.</w:t>
      </w:r>
      <w:r>
        <w:rPr>
          <w:rFonts w:ascii="宋体" w:eastAsia="宋体" w:hAnsi="宋体" w:hint="eastAsia"/>
        </w:rPr>
        <w:t>监理会由股东代表</w:t>
      </w:r>
      <w:r>
        <w:rPr>
          <w:rFonts w:ascii="宋体" w:eastAsia="宋体" w:hAnsi="宋体"/>
        </w:rPr>
        <w:t>2</w:t>
      </w:r>
      <w:r>
        <w:rPr>
          <w:rFonts w:ascii="宋体" w:eastAsia="宋体" w:hAnsi="宋体" w:hint="eastAsia"/>
        </w:rPr>
        <w:t>人和职工代表</w:t>
      </w:r>
      <w:r>
        <w:rPr>
          <w:rFonts w:ascii="宋体" w:eastAsia="宋体" w:hAnsi="宋体"/>
        </w:rPr>
        <w:t>8</w:t>
      </w:r>
      <w:r>
        <w:rPr>
          <w:rFonts w:ascii="宋体" w:eastAsia="宋体" w:hAnsi="宋体" w:hint="eastAsia"/>
        </w:rPr>
        <w:t>人组成</w:t>
      </w:r>
      <w:r>
        <w:rPr>
          <w:rFonts w:ascii="宋体" w:eastAsia="宋体" w:hAnsi="宋体"/>
        </w:rPr>
        <w:t>.</w:t>
      </w:r>
      <w:r>
        <w:rPr>
          <w:rFonts w:ascii="宋体" w:eastAsia="宋体" w:hAnsi="宋体" w:hint="eastAsia"/>
        </w:rPr>
        <w:t>对公司的财务和职权予以监督。</w:t>
      </w:r>
    </w:p>
    <w:p>
      <w:pPr>
        <w:pStyle w:val="Normal0"/>
        <w:spacing w:line="360" w:lineRule="auto"/>
        <w:ind w:firstLine="480" w:firstLineChars="200"/>
        <w:rPr>
          <w:rFonts w:ascii="宋体" w:eastAsia="宋体" w:hAnsi="宋体" w:hint="eastAsia"/>
        </w:rPr>
      </w:pPr>
    </w:p>
    <w:p>
      <w:pPr>
        <w:pStyle w:val="Normal0"/>
        <w:spacing w:line="360" w:lineRule="auto"/>
        <w:ind w:firstLine="435"/>
        <w:rPr>
          <w:rFonts w:eastAsia="宋体" w:hint="eastAsia"/>
          <w:bCs/>
        </w:rPr>
      </w:pPr>
      <w:r>
        <w:rPr>
          <w:rFonts w:eastAsia="宋体" w:hint="eastAsia"/>
          <w:bCs/>
        </w:rPr>
        <w:t>组织机构图：</w:t>
      </w:r>
    </w:p>
    <w:p>
      <w:pPr>
        <w:pStyle w:val="Normal0"/>
        <w:tabs>
          <w:tab w:val="left" w:pos="3285"/>
        </w:tabs>
        <w:ind w:firstLine="900"/>
        <w:rPr>
          <w:rFonts w:eastAsia="宋体" w:hint="eastAsia"/>
        </w:rPr>
      </w:pPr>
      <w:r>
        <w:rPr>
          <w:rFonts w:eastAsia="宋体"/>
        </w:rPr>
        <w:pict>
          <v:line id="_x0000_s1026" o:spid="_x0000_s1026" style="flip:y;mso-height-relative:page;mso-width-relative:page;position:absolute;z-index:251661312" from="198pt,0" to="198pt,15.6pt" coordsize="21600,21600"/>
        </w:pict>
      </w:r>
      <w:r>
        <w:rPr>
          <w:rFonts w:eastAsia="宋体"/>
        </w:rPr>
        <w:pict>
          <v:line id="_x0000_s1027" o:spid="_x0000_s1027" style="mso-height-relative:page;mso-width-relative:page;position:absolute;z-index:251660288" from="162pt,0" to="198pt,0" coordsize="21600,21600"/>
        </w:pict>
      </w:r>
      <w:r>
        <w:rPr>
          <w:rFonts w:eastAsia="宋体"/>
        </w:rPr>
        <w:pict>
          <v:line id="_x0000_s1028" o:spid="_x0000_s1028" style="mso-height-relative:page;mso-width-relative:page;position:absolute;z-index:251658240" from="162pt,0" to="162pt,15.6pt" coordsize="21600,21600"/>
        </w:pict>
      </w:r>
      <w:r>
        <w:rPr>
          <w:rFonts w:eastAsia="宋体"/>
        </w:rPr>
        <w:tab/>
      </w:r>
      <w:r>
        <w:rPr>
          <w:rFonts w:eastAsia="宋体" w:hint="eastAsia"/>
        </w:rPr>
        <w:t>董事会</w:t>
      </w:r>
    </w:p>
    <w:p>
      <w:pPr>
        <w:pStyle w:val="Normal0"/>
        <w:tabs>
          <w:tab w:val="left" w:pos="2865"/>
        </w:tabs>
        <w:ind w:firstLine="5429" w:firstLineChars="2262"/>
        <w:rPr>
          <w:rFonts w:eastAsia="宋体" w:hint="eastAsia"/>
        </w:rPr>
      </w:pPr>
      <w:r>
        <w:rPr>
          <w:rFonts w:eastAsia="宋体"/>
        </w:rPr>
        <w:pict>
          <v:line id="_x0000_s1029" o:spid="_x0000_s1029" style="mso-height-relative:page;mso-width-relative:page;position:absolute;z-index:251699200" from="180pt,0" to="180pt,31.2pt" coordsize="21600,21600"/>
        </w:pict>
      </w:r>
      <w:r>
        <w:rPr>
          <w:rFonts w:eastAsia="宋体"/>
        </w:rPr>
        <w:pict>
          <v:line id="_x0000_s1030" o:spid="_x0000_s1030" style="mso-height-relative:page;mso-width-relative:page;position:absolute;z-index:251700224" from="180pt,7.8pt" to="225pt,7.8pt" coordsize="21600,21600"/>
        </w:pict>
      </w:r>
      <w:r>
        <w:rPr>
          <w:rFonts w:eastAsia="宋体"/>
        </w:rPr>
        <w:pict>
          <v:line id="_x0000_s1031" o:spid="_x0000_s1031" style="mso-height-relative:page;mso-width-relative:page;position:absolute;z-index:251697152" from="261pt,0" to="261pt,15.6pt" coordsize="21600,21600"/>
        </w:pict>
      </w:r>
      <w:r>
        <w:rPr>
          <w:rFonts w:eastAsia="宋体"/>
        </w:rPr>
        <w:pict>
          <v:line id="_x0000_s1032" o:spid="_x0000_s1032" style="mso-height-relative:page;mso-width-relative:page;position:absolute;z-index:251696128" from="225pt,0" to="261pt,0" coordsize="21600,21600"/>
        </w:pict>
      </w:r>
      <w:r>
        <w:rPr>
          <w:rFonts w:eastAsia="宋体"/>
        </w:rPr>
        <w:pict>
          <v:line id="_x0000_s1033" o:spid="_x0000_s1033" style="mso-height-relative:page;mso-width-relative:page;position:absolute;z-index:251695104" from="225pt,0" to="225pt,15.6pt" coordsize="21600,21600"/>
        </w:pict>
      </w:r>
      <w:r>
        <w:rPr>
          <w:rFonts w:eastAsia="宋体"/>
        </w:rPr>
        <w:pict>
          <v:line id="_x0000_s1034" o:spid="_x0000_s1034" style="mso-height-relative:page;mso-width-relative:page;position:absolute;z-index:251659264" from="162pt,0" to="198pt,0" coordsize="21600,21600"/>
        </w:pict>
      </w:r>
      <w:r>
        <w:rPr>
          <w:rFonts w:eastAsia="宋体" w:hint="eastAsia"/>
        </w:rPr>
        <w:t>监理会</w:t>
      </w:r>
    </w:p>
    <w:p>
      <w:pPr>
        <w:pStyle w:val="Normal0"/>
        <w:tabs>
          <w:tab w:val="left" w:pos="2865"/>
        </w:tabs>
        <w:ind w:firstLine="435"/>
        <w:rPr>
          <w:rFonts w:eastAsia="宋体" w:hint="eastAsia"/>
        </w:rPr>
      </w:pPr>
      <w:r>
        <w:rPr>
          <w:rFonts w:eastAsia="宋体"/>
        </w:rPr>
        <w:pict>
          <v:line id="_x0000_s1035" o:spid="_x0000_s1035" style="mso-height-relative:page;mso-width-relative:page;position:absolute;z-index:251698176" from="225pt,0" to="261pt,0" coordsize="21600,21600"/>
        </w:pict>
      </w:r>
      <w:r>
        <w:rPr>
          <w:rFonts w:eastAsia="宋体"/>
        </w:rPr>
        <w:tab/>
      </w:r>
    </w:p>
    <w:p>
      <w:pPr>
        <w:pStyle w:val="Normal0"/>
        <w:tabs>
          <w:tab w:val="left" w:pos="3705"/>
          <w:tab w:val="left" w:pos="4575"/>
        </w:tabs>
        <w:ind w:firstLine="4092" w:firstLineChars="1705"/>
        <w:rPr>
          <w:rFonts w:eastAsia="宋体" w:hint="eastAsia"/>
        </w:rPr>
      </w:pPr>
      <w:r>
        <w:rPr>
          <w:rFonts w:eastAsia="宋体"/>
        </w:rPr>
        <w:pict>
          <v:line id="_x0000_s1036" o:spid="_x0000_s1036" style="mso-height-relative:page;mso-width-relative:page;position:absolute;z-index:251701248" from="207pt,7.8pt" to="225pt,7.8pt" coordsize="21600,21600"/>
        </w:pict>
      </w:r>
      <w:r>
        <w:rPr>
          <w:rFonts w:eastAsia="宋体"/>
        </w:rPr>
        <w:pict>
          <v:line id="_x0000_s1037" o:spid="_x0000_s1037" style="mso-height-relative:page;mso-width-relative:page;position:absolute;z-index:251693056" from="4in,0" to="4in,15.6pt" coordsize="21600,21600"/>
        </w:pict>
      </w:r>
      <w:r>
        <w:rPr>
          <w:rFonts w:eastAsia="宋体"/>
        </w:rPr>
        <w:pict>
          <v:line id="_x0000_s1038" o:spid="_x0000_s1038" style="mso-height-relative:page;mso-width-relative:page;position:absolute;z-index:251692032" from="225pt,0" to="4in,0" coordsize="21600,21600"/>
        </w:pict>
      </w:r>
      <w:r>
        <w:rPr>
          <w:rFonts w:eastAsia="宋体"/>
        </w:rPr>
        <w:pict>
          <v:line id="_x0000_s1039" o:spid="_x0000_s1039" style="mso-height-relative:page;mso-width-relative:page;position:absolute;z-index:251691008" from="225pt,0" to="225pt,15.6pt" coordsize="21600,21600"/>
        </w:pict>
      </w:r>
      <w:r>
        <w:rPr>
          <w:rFonts w:eastAsia="宋体"/>
        </w:rPr>
        <w:pict>
          <v:line id="_x0000_s1040" o:spid="_x0000_s1040" style="mso-height-relative:page;mso-width-relative:page;position:absolute;z-index:251688960" from="207pt,0" to="207pt,15.6pt" coordsize="21600,21600"/>
        </w:pict>
      </w:r>
      <w:r>
        <w:rPr>
          <w:rFonts w:eastAsia="宋体"/>
        </w:rPr>
        <w:pict>
          <v:line id="_x0000_s1041" o:spid="_x0000_s1041" style="mso-height-relative:page;mso-width-relative:page;position:absolute;z-index:251687936" from="162pt,0" to="207pt,0" coordsize="21600,21600"/>
        </w:pict>
      </w:r>
      <w:r>
        <w:rPr>
          <w:rFonts w:eastAsia="宋体"/>
        </w:rPr>
        <w:pict>
          <v:line id="_x0000_s1042" o:spid="_x0000_s1042" style="mso-height-relative:page;mso-width-relative:page;position:absolute;z-index:251686912" from="162pt,0" to="162pt,15.6pt" coordsize="21600,21600"/>
        </w:pict>
      </w:r>
      <w:r>
        <w:rPr>
          <w:rFonts w:eastAsia="宋体" w:hint="eastAsia"/>
        </w:rPr>
        <w:t>总经理</w:t>
      </w:r>
      <w:r>
        <w:rPr>
          <w:rFonts w:eastAsia="宋体"/>
        </w:rPr>
        <w:tab/>
      </w:r>
      <w:r>
        <w:rPr>
          <w:rFonts w:eastAsia="宋体" w:hint="eastAsia"/>
        </w:rPr>
        <w:t>专家委员会</w:t>
      </w:r>
    </w:p>
    <w:p>
      <w:pPr>
        <w:pStyle w:val="Normal0"/>
        <w:ind w:firstLine="435"/>
        <w:rPr>
          <w:rFonts w:eastAsia="宋体" w:hint="eastAsia"/>
        </w:rPr>
      </w:pPr>
      <w:r>
        <w:rPr>
          <w:rFonts w:eastAsia="宋体"/>
        </w:rPr>
        <w:pict>
          <v:line id="_x0000_s1043" o:spid="_x0000_s1043" style="mso-height-relative:page;mso-width-relative:page;position:absolute;z-index:251706368" from="99pt,7.8pt" to="99pt,15.6pt" coordsize="21600,21600"/>
        </w:pict>
      </w:r>
      <w:r>
        <w:rPr>
          <w:rFonts w:eastAsia="宋体"/>
        </w:rPr>
        <w:pict>
          <v:line id="_x0000_s1044" o:spid="_x0000_s1044" style="mso-height-relative:page;mso-width-relative:page;position:absolute;z-index:251705344" from="261pt,7.8pt" to="261pt,15.6pt" coordsize="21600,21600"/>
        </w:pict>
      </w:r>
      <w:r>
        <w:rPr>
          <w:rFonts w:eastAsia="宋体"/>
        </w:rPr>
        <w:pict>
          <v:line id="_x0000_s1045" o:spid="_x0000_s1045" style="flip:x;mso-height-relative:page;mso-width-relative:page;position:absolute;z-index:251704320" from="99pt,7.8pt" to="180pt,7.8pt" coordsize="21600,21600"/>
        </w:pict>
      </w:r>
      <w:r>
        <w:rPr>
          <w:rFonts w:eastAsia="宋体"/>
        </w:rPr>
        <w:pict>
          <v:line id="_x0000_s1046" o:spid="_x0000_s1046" style="mso-height-relative:page;mso-width-relative:page;position:absolute;z-index:251703296" from="180pt,7.8pt" to="261pt,7.8pt" coordsize="21600,21600"/>
        </w:pict>
      </w:r>
      <w:r>
        <w:rPr>
          <w:rFonts w:eastAsia="宋体"/>
        </w:rPr>
        <w:pict>
          <v:line id="_x0000_s1047" o:spid="_x0000_s1047" style="mso-height-relative:page;mso-width-relative:page;position:absolute;z-index:251702272" from="180pt,0" to="180pt,15.6pt" coordsize="21600,21600"/>
        </w:pict>
      </w:r>
      <w:r>
        <w:rPr>
          <w:rFonts w:eastAsia="宋体"/>
        </w:rPr>
        <w:pict>
          <v:line id="_x0000_s1048" o:spid="_x0000_s1048" style="mso-height-relative:page;mso-width-relative:page;position:absolute;z-index:251694080" from="225pt,0" to="4in,0" coordsize="21600,21600"/>
        </w:pict>
      </w:r>
      <w:r>
        <w:rPr>
          <w:rFonts w:eastAsia="宋体"/>
        </w:rPr>
        <w:pict>
          <v:line id="_x0000_s1049" o:spid="_x0000_s1049" style="mso-height-relative:page;mso-width-relative:page;position:absolute;z-index:251689984" from="162pt,0" to="207pt,0" coordsize="21600,21600"/>
        </w:pict>
      </w:r>
    </w:p>
    <w:p>
      <w:pPr>
        <w:pStyle w:val="Normal0"/>
        <w:tabs>
          <w:tab w:val="left" w:pos="1590"/>
        </w:tabs>
        <w:ind w:firstLine="435"/>
        <w:rPr>
          <w:rFonts w:eastAsia="宋体" w:hint="eastAsia"/>
        </w:rPr>
      </w:pPr>
      <w:r>
        <w:rPr>
          <w:rFonts w:eastAsia="宋体"/>
        </w:rPr>
        <w:pict>
          <v:line id="_x0000_s1050" o:spid="_x0000_s1050" style="mso-height-relative:page;mso-width-relative:page;position:absolute;z-index:251684864" from="4in,0" to="4in,15.6pt" coordsize="21600,21600"/>
        </w:pict>
      </w:r>
      <w:r>
        <w:rPr>
          <w:rFonts w:eastAsia="宋体"/>
        </w:rPr>
        <w:pict>
          <v:line id="_x0000_s1051" o:spid="_x0000_s1051" style="mso-height-relative:page;mso-width-relative:page;position:absolute;z-index:251683840" from="234pt,0" to="4in,0" coordsize="21600,21600"/>
        </w:pict>
      </w:r>
      <w:r>
        <w:rPr>
          <w:rFonts w:eastAsia="宋体"/>
        </w:rPr>
        <w:pict>
          <v:line id="_x0000_s1052" o:spid="_x0000_s1052" style="mso-height-relative:page;mso-width-relative:page;position:absolute;z-index:251682816" from="234pt,0" to="234pt,15.6pt" coordsize="21600,21600"/>
        </w:pict>
      </w:r>
      <w:r>
        <w:rPr>
          <w:rFonts w:eastAsia="宋体"/>
        </w:rPr>
        <w:pict>
          <v:line id="_x0000_s1053" o:spid="_x0000_s1053" style="mso-height-relative:page;mso-width-relative:page;position:absolute;z-index:251680768" from="207pt,0" to="207pt,15.6pt" coordsize="21600,21600"/>
        </w:pict>
      </w:r>
      <w:r>
        <w:rPr>
          <w:rFonts w:eastAsia="宋体"/>
        </w:rPr>
        <w:pict>
          <v:line id="_x0000_s1054" o:spid="_x0000_s1054" style="mso-height-relative:page;mso-width-relative:page;position:absolute;z-index:251679744" from="162pt,0" to="207pt,0" coordsize="21600,21600"/>
        </w:pict>
      </w:r>
      <w:r>
        <w:rPr>
          <w:rFonts w:eastAsia="宋体"/>
        </w:rPr>
        <w:pict>
          <v:line id="_x0000_s1055" o:spid="_x0000_s1055" style="mso-height-relative:page;mso-width-relative:page;position:absolute;z-index:251678720" from="162pt,0" to="162pt,15.6pt" coordsize="21600,21600"/>
        </w:pict>
      </w:r>
      <w:r>
        <w:rPr>
          <w:rFonts w:eastAsia="宋体"/>
        </w:rPr>
        <w:pict>
          <v:line id="_x0000_s1056" o:spid="_x0000_s1056" style="mso-height-relative:page;mso-width-relative:page;position:absolute;z-index:251677696" from="126pt,0" to="126pt,15.6pt" coordsize="21600,21600"/>
        </w:pict>
      </w:r>
      <w:r>
        <w:rPr>
          <w:rFonts w:eastAsia="宋体"/>
        </w:rPr>
        <w:pict>
          <v:line id="_x0000_s1057" o:spid="_x0000_s1057" style="mso-height-relative:page;mso-width-relative:page;position:absolute;z-index:251676672" from="1in,0" to="125.95pt,0" coordsize="21600,21600"/>
        </w:pict>
      </w:r>
      <w:r>
        <w:rPr>
          <w:rFonts w:eastAsia="宋体"/>
        </w:rPr>
        <w:pict>
          <v:line id="_x0000_s1058" o:spid="_x0000_s1058" style="mso-height-relative:page;mso-width-relative:page;position:absolute;z-index:251674624" from="1in,0" to="1in,15.6pt" coordsize="21600,21600"/>
        </w:pict>
      </w:r>
      <w:r>
        <w:rPr>
          <w:rFonts w:eastAsia="宋体"/>
        </w:rPr>
        <w:tab/>
      </w:r>
      <w:r>
        <w:rPr>
          <w:rFonts w:eastAsia="宋体" w:hint="eastAsia"/>
        </w:rPr>
        <w:t>行政副总        运营副总       销售副总</w:t>
      </w:r>
    </w:p>
    <w:p>
      <w:pPr>
        <w:pStyle w:val="Normal0"/>
        <w:tabs>
          <w:tab w:val="left" w:pos="1410"/>
        </w:tabs>
        <w:ind w:firstLine="435"/>
        <w:rPr>
          <w:rFonts w:eastAsia="宋体" w:hint="eastAsia"/>
        </w:rPr>
      </w:pPr>
      <w:r>
        <w:rPr>
          <w:rFonts w:eastAsia="宋体"/>
        </w:rPr>
        <w:pict>
          <v:line id="_x0000_s1059" o:spid="_x0000_s1059" style="mso-height-relative:page;mso-width-relative:page;position:absolute;z-index:251743232" from="297pt,7.8pt" to="297pt,15.6pt" coordsize="21600,21600"/>
        </w:pict>
      </w:r>
      <w:r>
        <w:rPr>
          <w:rFonts w:eastAsia="宋体"/>
        </w:rPr>
        <w:pict>
          <v:line id="_x0000_s1060" o:spid="_x0000_s1060" style="mso-height-relative:page;mso-width-relative:page;position:absolute;z-index:251742208" from="243pt,7.8pt" to="243pt,15.6pt" coordsize="21600,21600"/>
        </w:pict>
      </w:r>
      <w:r>
        <w:rPr>
          <w:rFonts w:eastAsia="宋体"/>
        </w:rPr>
        <w:pict>
          <v:line id="_x0000_s1061" o:spid="_x0000_s1061" style="mso-height-relative:page;mso-width-relative:page;position:absolute;z-index:251741184" from="270pt,0" to="270pt,15.6pt" coordsize="21600,21600"/>
        </w:pict>
      </w:r>
      <w:r>
        <w:rPr>
          <w:rFonts w:eastAsia="宋体"/>
        </w:rPr>
        <w:pict>
          <v:line id="_x0000_s1062" o:spid="_x0000_s1062" style="mso-height-relative:page;mso-width-relative:page;position:absolute;z-index:251740160" from="243pt,7.8pt" to="297pt,7.8pt" coordsize="21600,21600"/>
        </w:pict>
      </w:r>
      <w:r>
        <w:rPr>
          <w:rFonts w:eastAsia="宋体"/>
        </w:rPr>
        <w:pict>
          <v:line id="_x0000_s1063" o:spid="_x0000_s1063" style="mso-height-relative:page;mso-width-relative:page;position:absolute;z-index:251726848" from="3in,7.8pt" to="3in,15.6pt" coordsize="21600,21600"/>
        </w:pict>
      </w:r>
      <w:r>
        <w:rPr>
          <w:rFonts w:eastAsia="宋体"/>
        </w:rPr>
        <w:pict>
          <v:line id="_x0000_s1064" o:spid="_x0000_s1064" style="mso-height-relative:page;mso-width-relative:page;position:absolute;z-index:251725824" from="162pt,7.8pt" to="162pt,15.6pt" coordsize="21600,21600"/>
        </w:pict>
      </w:r>
      <w:r>
        <w:rPr>
          <w:rFonts w:eastAsia="宋体"/>
        </w:rPr>
        <w:pict>
          <v:line id="_x0000_s1065" o:spid="_x0000_s1065" style="mso-height-relative:page;mso-width-relative:page;position:absolute;z-index:251724800" from="189pt,0" to="189pt,15.6pt" coordsize="21600,21600"/>
        </w:pict>
      </w:r>
      <w:r>
        <w:rPr>
          <w:rFonts w:eastAsia="宋体"/>
        </w:rPr>
        <w:pict>
          <v:line id="_x0000_s1066" o:spid="_x0000_s1066" style="mso-height-relative:page;mso-width-relative:page;position:absolute;z-index:251723776" from="162pt,7.8pt" to="3in,7.8pt" coordsize="21600,21600"/>
        </w:pict>
      </w:r>
      <w:r>
        <w:rPr>
          <w:rFonts w:eastAsia="宋体"/>
        </w:rPr>
        <w:pict>
          <v:line id="_x0000_s1067" o:spid="_x0000_s1067" style="mso-height-relative:page;mso-width-relative:page;position:absolute;z-index:251710464" from="1in,7.8pt" to="1in,15.6pt" coordsize="21600,21600"/>
        </w:pict>
      </w:r>
      <w:r>
        <w:rPr>
          <w:rFonts w:eastAsia="宋体"/>
        </w:rPr>
        <w:pict>
          <v:line id="_x0000_s1068" o:spid="_x0000_s1068" style="mso-height-relative:page;mso-width-relative:page;position:absolute;z-index:251709440" from="126pt,7.8pt" to="126pt,15.6pt" coordsize="21600,21600"/>
        </w:pict>
      </w:r>
      <w:r>
        <w:rPr>
          <w:rFonts w:eastAsia="宋体"/>
        </w:rPr>
        <w:pict>
          <v:line id="_x0000_s1069" o:spid="_x0000_s1069" style="mso-height-relative:page;mso-width-relative:page;position:absolute;z-index:251708416" from="1in,7.8pt" to="125.95pt,7.8pt" coordsize="21600,21600"/>
        </w:pict>
      </w:r>
      <w:r>
        <w:rPr>
          <w:rFonts w:eastAsia="宋体"/>
        </w:rPr>
        <w:pict>
          <v:line id="_x0000_s1070" o:spid="_x0000_s1070" style="mso-height-relative:page;mso-width-relative:page;position:absolute;z-index:251707392" from="99pt,0" to="99pt,15.6pt" coordsize="21600,21600"/>
        </w:pict>
      </w:r>
      <w:r>
        <w:rPr>
          <w:rFonts w:eastAsia="宋体"/>
        </w:rPr>
        <w:pict>
          <v:line id="_x0000_s1071" o:spid="_x0000_s1071" style="mso-height-relative:page;mso-width-relative:page;position:absolute;z-index:251685888" from="234pt,0" to="4in,0" coordsize="21600,21600"/>
        </w:pict>
      </w:r>
      <w:r>
        <w:rPr>
          <w:rFonts w:eastAsia="宋体"/>
        </w:rPr>
        <w:pict>
          <v:line id="_x0000_s1072" o:spid="_x0000_s1072" style="mso-height-relative:page;mso-width-relative:page;position:absolute;z-index:251681792" from="162pt,0" to="207pt,0" coordsize="21600,21600"/>
        </w:pict>
      </w:r>
      <w:r>
        <w:rPr>
          <w:rFonts w:eastAsia="宋体"/>
        </w:rPr>
        <w:pict>
          <v:line id="_x0000_s1073" o:spid="_x0000_s1073" style="mso-height-relative:page;mso-width-relative:page;position:absolute;z-index:251675648" from="1in,0" to="125.95pt,0" coordsize="21600,21600"/>
        </w:pict>
      </w:r>
      <w:r>
        <w:rPr>
          <w:rFonts w:eastAsia="宋体"/>
        </w:rPr>
        <w:tab/>
      </w:r>
    </w:p>
    <w:p>
      <w:pPr>
        <w:pStyle w:val="Normal0"/>
        <w:tabs>
          <w:tab w:val="left" w:pos="1410"/>
        </w:tabs>
        <w:ind w:firstLine="1644" w:firstLineChars="685"/>
        <w:rPr>
          <w:rFonts w:eastAsia="宋体" w:hint="eastAsia"/>
        </w:rPr>
      </w:pPr>
      <w:r>
        <w:rPr>
          <w:rFonts w:eastAsia="宋体"/>
        </w:rPr>
        <w:pict>
          <v:line id="_x0000_s1074" o:spid="_x0000_s1074" style="mso-height-relative:page;mso-width-relative:page;position:absolute;z-index:251739136" from="306pt,0" to="306pt,78pt" coordsize="21600,21600"/>
        </w:pict>
      </w:r>
      <w:r>
        <w:rPr>
          <w:rFonts w:eastAsia="宋体"/>
        </w:rPr>
        <w:pict>
          <v:line id="_x0000_s1075" o:spid="_x0000_s1075" style="mso-height-relative:page;mso-width-relative:page;position:absolute;z-index:251737088" from="4in,0" to="305.95pt,0" coordsize="21600,21600"/>
        </w:pict>
      </w:r>
      <w:r>
        <w:rPr>
          <w:rFonts w:eastAsia="宋体"/>
        </w:rPr>
        <w:pict>
          <v:line id="_x0000_s1076" o:spid="_x0000_s1076" style="mso-height-relative:page;mso-width-relative:page;position:absolute;z-index:251736064" from="4in,0" to="4in,78pt" coordsize="21600,21600"/>
        </w:pict>
      </w:r>
      <w:r>
        <w:rPr>
          <w:rFonts w:eastAsia="宋体"/>
        </w:rPr>
        <w:pict>
          <v:line id="_x0000_s1077" o:spid="_x0000_s1077" style="mso-height-relative:page;mso-width-relative:page;position:absolute;z-index:251734016" from="261pt,0" to="279pt,0" coordsize="21600,21600"/>
        </w:pict>
      </w:r>
      <w:r>
        <w:rPr>
          <w:rFonts w:eastAsia="宋体"/>
        </w:rPr>
        <w:pict>
          <v:line id="_x0000_s1078" o:spid="_x0000_s1078" style="mso-height-relative:page;mso-width-relative:page;position:absolute;z-index:251732992" from="279pt,0" to="279pt,78pt" coordsize="21600,21600"/>
        </w:pict>
      </w:r>
      <w:r>
        <w:rPr>
          <w:rFonts w:eastAsia="宋体"/>
        </w:rPr>
        <w:pict>
          <v:line id="_x0000_s1079" o:spid="_x0000_s1079" style="mso-height-relative:page;mso-width-relative:page;position:absolute;z-index:251731968" from="261pt,0" to="261pt,78pt" coordsize="21600,21600"/>
        </w:pict>
      </w:r>
      <w:r>
        <w:rPr>
          <w:rFonts w:eastAsia="宋体"/>
        </w:rPr>
        <w:pict>
          <v:line id="_x0000_s1080" o:spid="_x0000_s1080" style="mso-height-relative:page;mso-width-relative:page;position:absolute;z-index:251729920" from="252pt,0" to="252pt,78pt" coordsize="21600,21600"/>
        </w:pict>
      </w:r>
      <w:r>
        <w:rPr>
          <w:rFonts w:eastAsia="宋体"/>
        </w:rPr>
        <w:pict>
          <v:line id="_x0000_s1081" o:spid="_x0000_s1081" style="mso-height-relative:page;mso-width-relative:page;position:absolute;z-index:251728896" from="234pt,0" to="252pt,0" coordsize="21600,21600"/>
        </w:pict>
      </w:r>
      <w:r>
        <w:rPr>
          <w:rFonts w:eastAsia="宋体"/>
        </w:rPr>
        <w:pict>
          <v:line id="_x0000_s1082" o:spid="_x0000_s1082" style="mso-height-relative:page;mso-width-relative:page;position:absolute;z-index:251727872" from="234pt,0" to="234pt,78pt" coordsize="21600,21600"/>
        </w:pict>
      </w:r>
      <w:r>
        <w:rPr>
          <w:rFonts w:eastAsia="宋体"/>
        </w:rPr>
        <w:pict>
          <v:line id="_x0000_s1083" o:spid="_x0000_s1083" style="mso-height-relative:page;mso-width-relative:page;position:absolute;z-index:251721728" from="225pt,0" to="225pt,46.8pt" coordsize="21600,21600"/>
        </w:pict>
      </w:r>
      <w:r>
        <w:rPr>
          <w:rFonts w:eastAsia="宋体"/>
        </w:rPr>
        <w:pict>
          <v:line id="_x0000_s1084" o:spid="_x0000_s1084" style="mso-height-relative:page;mso-width-relative:page;position:absolute;z-index:251720704" from="207pt,0" to="225pt,0" coordsize="21600,21600"/>
        </w:pict>
      </w:r>
      <w:r>
        <w:rPr>
          <w:rFonts w:eastAsia="宋体"/>
        </w:rPr>
        <w:pict>
          <v:line id="_x0000_s1085" o:spid="_x0000_s1085" style="mso-height-relative:page;mso-width-relative:page;position:absolute;z-index:251719680" from="207pt,0" to="207pt,46.8pt" coordsize="21600,21600"/>
        </w:pict>
      </w:r>
      <w:r>
        <w:rPr>
          <w:rFonts w:eastAsia="宋体"/>
        </w:rPr>
        <w:pict>
          <v:line id="_x0000_s1086" o:spid="_x0000_s1086" style="mso-height-relative:page;mso-width-relative:page;position:absolute;z-index:251717632" from="180pt,0" to="198pt,0" coordsize="21600,21600"/>
        </w:pict>
      </w:r>
      <w:r>
        <w:rPr>
          <w:rFonts w:eastAsia="宋体"/>
        </w:rPr>
        <w:pict>
          <v:line id="_x0000_s1087" o:spid="_x0000_s1087" style="mso-height-relative:page;mso-width-relative:page;position:absolute;z-index:251716608" from="198pt,0" to="198pt,46.8pt" coordsize="21600,21600"/>
        </w:pict>
      </w:r>
      <w:r>
        <w:rPr>
          <w:rFonts w:eastAsia="宋体"/>
        </w:rPr>
        <w:pict>
          <v:line id="_x0000_s1088" o:spid="_x0000_s1088" style="mso-height-relative:page;mso-width-relative:page;position:absolute;z-index:251715584" from="180pt,0" to="180pt,46.8pt" coordsize="21600,21600"/>
        </w:pict>
      </w:r>
      <w:r>
        <w:rPr>
          <w:rFonts w:eastAsia="宋体"/>
        </w:rPr>
        <w:pict>
          <v:line id="_x0000_s1089" o:spid="_x0000_s1089" style="mso-height-relative:page;mso-width-relative:page;position:absolute;z-index:251713536" from="171pt,0" to="171pt,46.8pt" coordsize="21600,21600"/>
        </w:pict>
      </w:r>
      <w:r>
        <w:rPr>
          <w:rFonts w:eastAsia="宋体"/>
        </w:rPr>
        <w:pict>
          <v:line id="_x0000_s1090" o:spid="_x0000_s1090" style="mso-height-relative:page;mso-width-relative:page;position:absolute;z-index:251712512" from="153pt,0" to="171pt,0" coordsize="21600,21600"/>
        </w:pict>
      </w:r>
      <w:r>
        <w:rPr>
          <w:rFonts w:eastAsia="宋体"/>
        </w:rPr>
        <w:pict>
          <v:line id="_x0000_s1091" o:spid="_x0000_s1091" style="mso-height-relative:page;mso-width-relative:page;position:absolute;z-index:251711488" from="153pt,0" to="153pt,46.8pt" coordsize="21600,21600"/>
        </w:pict>
      </w:r>
      <w:r>
        <w:rPr>
          <w:rFonts w:eastAsia="宋体"/>
        </w:rPr>
        <w:pict>
          <v:line id="_x0000_s1092" o:spid="_x0000_s1092" style="mso-height-relative:page;mso-width-relative:page;position:absolute;z-index:251672576" from="135pt,0" to="135pt,46.8pt" coordsize="21600,21600"/>
        </w:pict>
      </w:r>
      <w:r>
        <w:rPr>
          <w:rFonts w:eastAsia="宋体"/>
        </w:rPr>
        <w:pict>
          <v:line id="_x0000_s1093" o:spid="_x0000_s1093" style="mso-height-relative:page;mso-width-relative:page;position:absolute;z-index:251671552" from="117pt,0" to="135pt,0" coordsize="21600,21600"/>
        </w:pict>
      </w:r>
      <w:r>
        <w:rPr>
          <w:rFonts w:eastAsia="宋体"/>
        </w:rPr>
        <w:pict>
          <v:line id="_x0000_s1094" o:spid="_x0000_s1094" style="mso-height-relative:page;mso-width-relative:page;position:absolute;z-index:251670528" from="117pt,0" to="117pt,46.8pt" coordsize="21600,21600"/>
        </w:pict>
      </w:r>
      <w:r>
        <w:rPr>
          <w:rFonts w:eastAsia="宋体"/>
        </w:rPr>
        <w:pict>
          <v:line id="_x0000_s1095" o:spid="_x0000_s1095" style="mso-height-relative:page;mso-width-relative:page;position:absolute;z-index:251669504" from="108pt,0" to="108pt,46.8pt" coordsize="21600,21600"/>
        </w:pict>
      </w:r>
      <w:r>
        <w:rPr>
          <w:rFonts w:eastAsia="宋体"/>
        </w:rPr>
        <w:pict>
          <v:line id="_x0000_s1096" o:spid="_x0000_s1096" style="mso-height-relative:page;mso-width-relative:page;position:absolute;z-index:251667456" from="90pt,0" to="108pt,0" coordsize="21600,21600"/>
        </w:pict>
      </w:r>
      <w:r>
        <w:rPr>
          <w:rFonts w:eastAsia="宋体"/>
        </w:rPr>
        <w:pict>
          <v:line id="_x0000_s1097" o:spid="_x0000_s1097" style="mso-height-relative:page;mso-width-relative:page;position:absolute;z-index:251666432" from="90pt,0" to="90pt,46.8pt" coordsize="21600,21600"/>
        </w:pict>
      </w:r>
      <w:r>
        <w:rPr>
          <w:rFonts w:eastAsia="宋体"/>
        </w:rPr>
        <w:pict>
          <v:line id="_x0000_s1098" o:spid="_x0000_s1098" style="flip:y;mso-height-relative:page;mso-width-relative:page;position:absolute;z-index:251665408" from="81pt,0" to="81pt,46.8pt" coordsize="21600,21600"/>
        </w:pict>
      </w:r>
      <w:r>
        <w:rPr>
          <w:rFonts w:eastAsia="宋体"/>
        </w:rPr>
        <w:pict>
          <v:line id="_x0000_s1099" o:spid="_x0000_s1099" style="mso-height-relative:page;mso-width-relative:page;position:absolute;z-index:251664384" from="63pt,0" to="81pt,0" coordsize="21600,21600"/>
        </w:pict>
      </w:r>
      <w:r>
        <w:rPr>
          <w:rFonts w:eastAsia="宋体"/>
        </w:rPr>
        <w:pict>
          <v:line id="_x0000_s1100" o:spid="_x0000_s1100" style="mso-height-relative:page;mso-width-relative:page;position:absolute;z-index:251662336" from="63pt,0" to="63pt,46.8pt" coordsize="21600,21600"/>
        </w:pict>
      </w:r>
      <w:r>
        <w:rPr>
          <w:rFonts w:eastAsia="宋体" w:hint="eastAsia"/>
        </w:rPr>
        <w:t>办   人   财     保   采   工   营    售   物</w:t>
      </w:r>
    </w:p>
    <w:p>
      <w:pPr>
        <w:pStyle w:val="Normal0"/>
        <w:ind w:firstLine="435"/>
        <w:rPr>
          <w:rFonts w:eastAsia="宋体" w:hint="eastAsia"/>
        </w:rPr>
      </w:pPr>
      <w:r>
        <w:rPr>
          <w:rFonts w:eastAsia="宋体" w:hint="eastAsia"/>
        </w:rPr>
        <w:t xml:space="preserve">         公   事   务     安   购   程         后   业</w:t>
      </w:r>
    </w:p>
    <w:p>
      <w:pPr>
        <w:pStyle w:val="Normal0"/>
        <w:ind w:firstLine="1217" w:firstLineChars="507"/>
        <w:rPr>
          <w:rFonts w:eastAsia="宋体" w:hint="eastAsia"/>
        </w:rPr>
      </w:pPr>
      <w:r>
        <w:rPr>
          <w:rFonts w:eastAsia="宋体"/>
        </w:rPr>
        <w:t>　</w:t>
      </w:r>
      <w:r>
        <w:rPr>
          <w:rFonts w:eastAsia="宋体" w:hint="eastAsia"/>
        </w:rPr>
        <w:t xml:space="preserve"> 室   部   部     部   部   部   销    服   管</w:t>
      </w:r>
    </w:p>
    <w:p>
      <w:pPr>
        <w:pStyle w:val="Normal0"/>
        <w:ind w:left="6313" w:hanging="5479" w:leftChars="397" w:hangingChars="2283"/>
        <w:rPr>
          <w:rFonts w:eastAsia="宋体" w:hint="eastAsia"/>
        </w:rPr>
      </w:pPr>
      <w:r>
        <w:rPr>
          <w:rFonts w:eastAsia="宋体"/>
        </w:rPr>
        <w:pict>
          <v:line id="_x0000_s1101" o:spid="_x0000_s1101" style="mso-height-relative:page;mso-width-relative:page;position:absolute;z-index:251722752" from="207pt,0" to="225pt,0" coordsize="21600,21600"/>
        </w:pict>
      </w:r>
      <w:r>
        <w:rPr>
          <w:rFonts w:eastAsia="宋体"/>
        </w:rPr>
        <w:pict>
          <v:line id="_x0000_s1102" o:spid="_x0000_s1102" style="mso-height-relative:page;mso-width-relative:page;position:absolute;z-index:251718656" from="180pt,0" to="198pt,0" coordsize="21600,21600"/>
        </w:pict>
      </w:r>
      <w:r>
        <w:rPr>
          <w:rFonts w:eastAsia="宋体"/>
        </w:rPr>
        <w:pict>
          <v:line id="_x0000_s1103" o:spid="_x0000_s1103" style="mso-height-relative:page;mso-width-relative:page;position:absolute;z-index:251714560" from="153pt,0" to="171pt,0" coordsize="21600,21600"/>
        </w:pict>
      </w:r>
      <w:r>
        <w:rPr>
          <w:rFonts w:eastAsia="宋体"/>
        </w:rPr>
        <w:pict>
          <v:line id="_x0000_s1104" o:spid="_x0000_s1104" style="mso-height-relative:page;mso-width-relative:page;position:absolute;z-index:251673600" from="117pt,0" to="135pt,0" coordsize="21600,21600"/>
        </w:pict>
      </w:r>
      <w:r>
        <w:rPr>
          <w:rFonts w:eastAsia="宋体"/>
        </w:rPr>
        <w:pict>
          <v:line id="_x0000_s1105" o:spid="_x0000_s1105" style="mso-height-relative:page;mso-width-relative:page;position:absolute;z-index:251668480" from="90pt,0" to="108pt,0" coordsize="21600,21600"/>
        </w:pict>
      </w:r>
      <w:r>
        <w:rPr>
          <w:rFonts w:eastAsia="宋体"/>
        </w:rPr>
        <w:pict>
          <v:line id="_x0000_s1106" o:spid="_x0000_s1106" style="mso-height-relative:page;mso-width-relative:page;position:absolute;z-index:251663360" from="63pt,0" to="81pt,0" coordsize="21600,21600"/>
        </w:pict>
      </w:r>
      <w:r>
        <w:rPr>
          <w:rFonts w:eastAsia="宋体" w:hint="eastAsia"/>
        </w:rPr>
        <w:t xml:space="preserve">                                           务   理</w:t>
      </w:r>
    </w:p>
    <w:p>
      <w:pPr>
        <w:pStyle w:val="Normal0"/>
        <w:ind w:firstLine="1217" w:firstLineChars="507"/>
        <w:rPr>
          <w:rFonts w:eastAsia="宋体" w:hint="eastAsia"/>
        </w:rPr>
      </w:pPr>
      <w:r>
        <w:rPr>
          <w:rFonts w:eastAsia="宋体" w:hint="eastAsia"/>
        </w:rPr>
        <w:t xml:space="preserve">                                   部    部   部 </w:t>
      </w:r>
    </w:p>
    <w:p>
      <w:pPr>
        <w:pStyle w:val="Normal0"/>
        <w:spacing w:line="360" w:lineRule="auto"/>
        <w:ind w:firstLine="1217" w:firstLineChars="507"/>
        <w:rPr>
          <w:rFonts w:eastAsia="宋体" w:hint="eastAsia"/>
        </w:rPr>
      </w:pPr>
      <w:r>
        <w:rPr>
          <w:rFonts w:eastAsia="宋体"/>
        </w:rPr>
        <w:pict>
          <v:line id="_x0000_s1107" o:spid="_x0000_s1107" style="mso-height-relative:page;mso-width-relative:page;position:absolute;z-index:251738112" from="4in,0" to="305.95pt,0" coordsize="21600,21600"/>
        </w:pict>
      </w:r>
      <w:r>
        <w:rPr>
          <w:rFonts w:eastAsia="宋体"/>
        </w:rPr>
        <w:pict>
          <v:line id="_x0000_s1108" o:spid="_x0000_s1108" style="mso-height-relative:page;mso-width-relative:page;position:absolute;z-index:251735040" from="261pt,0" to="279pt,0" coordsize="21600,21600"/>
        </w:pict>
      </w:r>
      <w:r>
        <w:rPr>
          <w:rFonts w:eastAsia="宋体"/>
        </w:rPr>
        <w:pict>
          <v:line id="_x0000_s1109" o:spid="_x0000_s1109" style="mso-height-relative:page;mso-width-relative:page;position:absolute;z-index:251730944" from="234pt,0" to="252pt,0" coordsize="21600,21600"/>
        </w:pict>
      </w:r>
      <w:r>
        <w:rPr>
          <w:rFonts w:eastAsia="宋体" w:hint="eastAsia"/>
        </w:rPr>
        <w:t xml:space="preserve">              </w:t>
      </w:r>
    </w:p>
    <w:p>
      <w:pPr>
        <w:pStyle w:val="Normal0"/>
        <w:spacing w:line="360" w:lineRule="auto"/>
        <w:ind w:left="943" w:hanging="943" w:hangingChars="393"/>
        <w:rPr>
          <w:rFonts w:ascii="宋体" w:eastAsia="宋体" w:hAnsi="宋体" w:hint="eastAsia"/>
        </w:rPr>
      </w:pPr>
      <w:r>
        <w:rPr>
          <w:rFonts w:eastAsia="宋体"/>
          <w:bCs/>
        </w:rPr>
        <w:t>办公室</w:t>
      </w:r>
      <w:r>
        <w:rPr>
          <w:rFonts w:eastAsia="宋体" w:hint="eastAsia"/>
        </w:rPr>
        <w:t>：</w:t>
      </w:r>
      <w:r>
        <w:rPr>
          <w:rFonts w:ascii="宋体" w:eastAsia="宋体" w:hAnsi="宋体"/>
          <w:bCs/>
        </w:rPr>
        <w:t>1</w:t>
      </w:r>
      <w:r>
        <w:rPr>
          <w:rFonts w:ascii="宋体" w:eastAsia="宋体" w:hAnsi="宋体" w:hint="eastAsia"/>
          <w:bCs/>
        </w:rPr>
        <w:t>、</w:t>
      </w:r>
      <w:r>
        <w:rPr>
          <w:rFonts w:ascii="宋体" w:eastAsia="宋体" w:hAnsi="宋体" w:hint="eastAsia"/>
        </w:rPr>
        <w:t>负责</w:t>
      </w:r>
      <w:r>
        <w:rPr>
          <w:rFonts w:ascii="宋体" w:eastAsia="宋体" w:hAnsi="宋体"/>
        </w:rPr>
        <w:t>公司文档</w:t>
      </w:r>
      <w:r>
        <w:rPr>
          <w:rFonts w:ascii="宋体" w:eastAsia="宋体" w:hAnsi="宋体" w:hint="eastAsia"/>
          <w:lang w:eastAsia="zh-CN"/>
        </w:rPr>
        <w:t>管理管控</w:t>
      </w:r>
      <w:r>
        <w:rPr>
          <w:rFonts w:ascii="宋体" w:eastAsia="宋体" w:hAnsi="宋体" w:hint="eastAsia"/>
        </w:rPr>
        <w:t>:</w:t>
      </w:r>
      <w:r>
        <w:rPr>
          <w:rFonts w:ascii="宋体" w:eastAsia="宋体" w:hAnsi="宋体"/>
        </w:rPr>
        <w:t>可对公司的文档进行分类</w:t>
      </w:r>
      <w:r>
        <w:rPr>
          <w:rFonts w:ascii="宋体" w:eastAsia="宋体" w:hAnsi="宋体" w:hint="eastAsia"/>
          <w:lang w:eastAsia="zh-CN"/>
        </w:rPr>
        <w:t>管理管控</w:t>
      </w:r>
      <w:r>
        <w:rPr>
          <w:rFonts w:ascii="宋体" w:eastAsia="宋体" w:hAnsi="宋体" w:hint="eastAsia"/>
        </w:rPr>
        <w:t>。</w:t>
      </w:r>
    </w:p>
    <w:p>
      <w:pPr>
        <w:pStyle w:val="Normal0"/>
        <w:spacing w:line="360" w:lineRule="auto"/>
        <w:ind w:left="945" w:leftChars="450"/>
        <w:rPr>
          <w:rFonts w:ascii="宋体" w:eastAsia="宋体" w:hAnsi="宋体" w:hint="eastAsia"/>
        </w:rPr>
      </w:pPr>
      <w:r>
        <w:rPr>
          <w:rFonts w:ascii="宋体" w:eastAsia="宋体" w:hAnsi="宋体"/>
          <w:bCs/>
        </w:rPr>
        <w:t>2</w:t>
      </w:r>
      <w:r>
        <w:rPr>
          <w:rFonts w:ascii="宋体" w:eastAsia="宋体" w:hAnsi="宋体" w:hint="eastAsia"/>
          <w:bCs/>
        </w:rPr>
        <w:t>、</w:t>
      </w:r>
      <w:r>
        <w:rPr>
          <w:rFonts w:ascii="宋体" w:eastAsia="宋体" w:hAnsi="宋体" w:hint="eastAsia"/>
        </w:rPr>
        <w:t>负责</w:t>
      </w:r>
      <w:r>
        <w:rPr>
          <w:rFonts w:ascii="宋体" w:eastAsia="宋体" w:hAnsi="宋体"/>
        </w:rPr>
        <w:t>内部员工</w:t>
      </w:r>
      <w:r>
        <w:rPr>
          <w:rFonts w:ascii="宋体" w:eastAsia="宋体" w:hAnsi="宋体" w:hint="eastAsia"/>
          <w:lang w:eastAsia="zh-CN"/>
        </w:rPr>
        <w:t>管理管控</w:t>
      </w:r>
      <w:r>
        <w:rPr>
          <w:rFonts w:ascii="宋体" w:eastAsia="宋体" w:hAnsi="宋体"/>
        </w:rPr>
        <w:t>:对公司的内部职员的个人资料进行</w:t>
      </w:r>
      <w:r>
        <w:rPr>
          <w:rFonts w:ascii="宋体" w:eastAsia="宋体" w:hAnsi="宋体" w:hint="eastAsia"/>
          <w:lang w:eastAsia="zh-CN"/>
        </w:rPr>
        <w:t>管理管控</w:t>
      </w:r>
      <w:r>
        <w:rPr>
          <w:rFonts w:ascii="宋体" w:eastAsia="宋体" w:hAnsi="宋体" w:hint="eastAsia"/>
        </w:rPr>
        <w:t>。</w:t>
      </w:r>
    </w:p>
    <w:p>
      <w:pPr>
        <w:pStyle w:val="Normal0"/>
        <w:spacing w:line="360" w:lineRule="auto"/>
        <w:rPr>
          <w:rFonts w:eastAsia="宋体" w:hint="eastAsia"/>
        </w:rPr>
      </w:pPr>
      <w:r>
        <w:rPr>
          <w:rFonts w:eastAsia="宋体" w:hint="eastAsia"/>
          <w:bCs/>
        </w:rPr>
        <w:t>人事部</w:t>
      </w:r>
      <w:r>
        <w:rPr>
          <w:rFonts w:eastAsia="宋体" w:hint="eastAsia"/>
        </w:rPr>
        <w:t>：负责人力的招聘和录用、调配和使用、人事的考核，晋升与奖惩，教育和培训工作。</w:t>
      </w:r>
    </w:p>
    <w:p>
      <w:pPr>
        <w:pStyle w:val="Normal0"/>
        <w:spacing w:line="360" w:lineRule="auto"/>
        <w:rPr>
          <w:rFonts w:eastAsia="宋体" w:hint="eastAsia"/>
        </w:rPr>
      </w:pPr>
      <w:r>
        <w:rPr>
          <w:rFonts w:eastAsia="宋体" w:hint="eastAsia"/>
          <w:bCs/>
        </w:rPr>
        <w:t>财务部</w:t>
      </w:r>
      <w:r>
        <w:rPr>
          <w:rFonts w:eastAsia="宋体" w:hint="eastAsia"/>
        </w:rPr>
        <w:t>：负责资金的筹集和</w:t>
      </w:r>
      <w:r>
        <w:rPr>
          <w:rFonts w:eastAsia="宋体" w:hint="eastAsia"/>
          <w:lang w:eastAsia="zh-CN"/>
        </w:rPr>
        <w:t>管理管控</w:t>
      </w:r>
      <w:r>
        <w:rPr>
          <w:rFonts w:eastAsia="宋体" w:hint="eastAsia"/>
        </w:rPr>
        <w:t>；财务的核算和监督以及资金的拨款和</w:t>
      </w:r>
      <w:r>
        <w:rPr>
          <w:rFonts w:eastAsia="宋体" w:hint="eastAsia"/>
          <w:lang w:eastAsia="zh-CN"/>
        </w:rPr>
        <w:t>管理管控</w:t>
      </w:r>
      <w:r>
        <w:rPr>
          <w:rFonts w:eastAsia="宋体" w:hint="eastAsia"/>
        </w:rPr>
        <w:t>；交纳各种税务和上级</w:t>
      </w:r>
      <w:r>
        <w:rPr>
          <w:rFonts w:eastAsia="宋体" w:hint="eastAsia"/>
          <w:lang w:eastAsia="zh-CN"/>
        </w:rPr>
        <w:t>管理管控</w:t>
      </w:r>
      <w:r>
        <w:rPr>
          <w:rFonts w:eastAsia="宋体" w:hint="eastAsia"/>
        </w:rPr>
        <w:t>费等，保证工程进度和各项资金使用</w:t>
      </w:r>
      <w:r>
        <w:rPr>
          <w:rFonts w:eastAsia="宋体" w:hint="eastAsia"/>
          <w:lang w:eastAsia="zh-CN"/>
        </w:rPr>
        <w:t>相关计划</w:t>
      </w:r>
      <w:r>
        <w:rPr>
          <w:rFonts w:eastAsia="宋体" w:hint="eastAsia"/>
        </w:rPr>
        <w:t>。</w:t>
      </w:r>
    </w:p>
    <w:p>
      <w:pPr>
        <w:pStyle w:val="Normal0"/>
        <w:spacing w:line="360" w:lineRule="auto"/>
        <w:rPr>
          <w:rFonts w:eastAsia="宋体" w:hint="eastAsia"/>
        </w:rPr>
      </w:pPr>
      <w:r>
        <w:rPr>
          <w:rFonts w:eastAsia="宋体"/>
          <w:bCs/>
        </w:rPr>
        <w:t>保安部</w:t>
      </w:r>
      <w:r>
        <w:rPr>
          <w:rFonts w:eastAsia="宋体" w:hint="eastAsia"/>
        </w:rPr>
        <w:t>：负责</w:t>
      </w:r>
      <w:r>
        <w:rPr>
          <w:rFonts w:eastAsia="宋体"/>
        </w:rPr>
        <w:t>巡</w:t>
      </w:r>
      <w:r>
        <w:rPr>
          <w:rFonts w:eastAsia="宋体" w:hint="eastAsia"/>
        </w:rPr>
        <w:t>察</w:t>
      </w:r>
      <w:r>
        <w:rPr>
          <w:rFonts w:eastAsia="宋体"/>
        </w:rPr>
        <w:t>报告</w:t>
      </w:r>
      <w:r>
        <w:rPr>
          <w:rFonts w:eastAsia="宋体" w:hint="eastAsia"/>
        </w:rPr>
        <w:t>、物资保护、</w:t>
      </w:r>
      <w:r>
        <w:rPr>
          <w:rFonts w:eastAsia="宋体"/>
        </w:rPr>
        <w:t>停车场</w:t>
      </w:r>
      <w:r>
        <w:rPr>
          <w:rFonts w:eastAsia="宋体" w:hint="eastAsia"/>
          <w:lang w:eastAsia="zh-CN"/>
        </w:rPr>
        <w:t>管理管控</w:t>
      </w:r>
      <w:r>
        <w:rPr>
          <w:rFonts w:eastAsia="宋体" w:hint="eastAsia"/>
        </w:rPr>
        <w:t>工作。</w:t>
      </w:r>
    </w:p>
    <w:p>
      <w:pPr>
        <w:pStyle w:val="Normal0"/>
        <w:spacing w:line="360" w:lineRule="auto"/>
        <w:rPr>
          <w:rFonts w:eastAsia="宋体" w:hint="eastAsia"/>
        </w:rPr>
      </w:pPr>
      <w:r>
        <w:rPr>
          <w:rFonts w:eastAsia="宋体" w:hint="eastAsia"/>
          <w:bCs/>
        </w:rPr>
        <w:t>采购部</w:t>
      </w:r>
      <w:r>
        <w:rPr>
          <w:rFonts w:eastAsia="宋体" w:hint="eastAsia"/>
        </w:rPr>
        <w:t>：负责做好材料、购配件、设备等物资的采购工作。</w:t>
      </w:r>
    </w:p>
    <w:p>
      <w:pPr>
        <w:pStyle w:val="Normal0"/>
        <w:spacing w:line="360" w:lineRule="auto"/>
        <w:rPr>
          <w:rFonts w:eastAsia="宋体" w:hint="eastAsia"/>
        </w:rPr>
      </w:pPr>
      <w:r>
        <w:rPr>
          <w:rFonts w:eastAsia="宋体" w:hint="eastAsia"/>
          <w:bCs/>
        </w:rPr>
        <w:t>工程部</w:t>
      </w:r>
      <w:r>
        <w:rPr>
          <w:rFonts w:eastAsia="宋体" w:hint="eastAsia"/>
        </w:rPr>
        <w:t>：</w:t>
      </w:r>
      <w:r>
        <w:rPr>
          <w:rFonts w:eastAsia="宋体" w:hint="eastAsia"/>
        </w:rPr>
        <w:br/>
      </w:r>
      <w:r>
        <w:rPr>
          <w:rFonts w:eastAsia="宋体" w:hint="eastAsia"/>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9" w:history="1">
        <w:r>
          <w:rPr>
            <w:rFonts w:ascii="SimSun" w:eastAsia="SimSun" w:hAnsi="SimSun" w:cs="SimSun"/>
            <w:b/>
            <w:bCs/>
            <w:color w:val="0000EE"/>
            <w:kern w:val="0"/>
            <w:sz w:val="30"/>
            <w:szCs w:val="30"/>
            <w:u w:val="single" w:color="0000EE"/>
          </w:rPr>
          <w:t>https://d.book118.com/368037125000006045</w:t>
        </w:r>
      </w:hyperlink>
    </w:p>
    <w:p>
      <w:pPr>
        <w:pStyle w:val="Normal0"/>
        <w:spacing w:line="360" w:lineRule="auto"/>
        <w:rPr>
          <w:rFonts w:eastAsia="宋体" w:hint="eastAsia"/>
        </w:rPr>
      </w:pPr>
    </w:p>
    <w:sectPr>
      <w:headerReference w:type="default" r:id="rId60"/>
      <w:footerReference w:type="default" r:id="rId61"/>
      <w:type w:val="nextPage"/>
      <w:pgSz w:w="11906" w:h="16838"/>
      <w:pgMar w:top="539" w:right="926" w:bottom="1440" w:left="1800" w:header="495" w:footer="992" w:gutter="0"/>
      <w:pgNumType w:start="27"/>
      <w:cols w:num="1" w:space="425"/>
      <w:titlePg w:val="0"/>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PMingLiU-ExtB"/>
    <w:panose1 w:val="02020300000000000000"/>
    <w:charset w:val="88"/>
    <w:family w:val="roman"/>
    <w:pitch w:val="default"/>
    <w:sig w:usb0="00000000" w:usb1="00000000" w:usb2="00000016" w:usb3="00000000" w:csb0="00100001"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10" w:usb3="00000000" w:csb0="00040000" w:csb1="00000000"/>
  </w:font>
  <w:font w:name="Arial Unicode MS">
    <w:panose1 w:val="020B0604020202020204"/>
    <w:charset w:val="86"/>
    <w:family w:val="roman"/>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0" type="#_x0000_t202" style="width:2in;height:2in;margin-top:0;margin-left:0;mso-height-relative:page;mso-position-horizontal:right;mso-position-horizontal-relative:margin;mso-width-relative:page;mso-wrap-style:none;position:absolute;z-index:25165824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8" type="#_x0000_t202" style="width:2in;height:2in;margin-top:0;margin-left:0;mso-height-relative:page;mso-position-horizontal:right;mso-position-horizontal-relative:margin;mso-width-relative:page;mso-wrap-style:none;position:absolute;z-index:25166745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70" type="#_x0000_t202" style="width:2in;height:2in;margin-top:0;margin-left:0;mso-height-relative:page;mso-position-horizontal:right;mso-position-horizontal-relative:margin;mso-width-relative:page;mso-wrap-style:none;position:absolute;z-index:25166848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72" type="#_x0000_t202" style="width:2in;height:2in;margin-top:0;margin-left:0;mso-height-relative:page;mso-position-horizontal:right;mso-position-horizontal-relative:margin;mso-width-relative:page;mso-wrap-style:none;position:absolute;z-index:25166950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74" type="#_x0000_t202" style="width:2in;height:2in;margin-top:0;margin-left:0;mso-height-relative:page;mso-position-horizontal:right;mso-position-horizontal-relative:margin;mso-width-relative:page;mso-wrap-style:none;position:absolute;z-index:25167052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76" type="#_x0000_t202" style="width:2in;height:2in;margin-top:0;margin-left:0;mso-height-relative:page;mso-position-horizontal:right;mso-position-horizontal-relative:margin;mso-width-relative:page;mso-wrap-style:none;position:absolute;z-index:25167155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78" type="#_x0000_t202" style="width:2in;height:2in;margin-top:0;margin-left:0;mso-height-relative:page;mso-position-horizontal:right;mso-position-horizontal-relative:margin;mso-width-relative:page;mso-wrap-style:none;position:absolute;z-index:25167257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80" type="#_x0000_t202" style="width:2in;height:2in;margin-top:0;margin-left:0;mso-height-relative:page;mso-position-horizontal:right;mso-position-horizontal-relative:margin;mso-width-relative:page;mso-wrap-style:none;position:absolute;z-index:25167360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16</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82" type="#_x0000_t202" style="width:2in;height:2in;margin-top:0;margin-left:0;mso-height-relative:page;mso-position-horizontal:right;mso-position-horizontal-relative:margin;mso-width-relative:page;mso-wrap-style:none;position:absolute;z-index:25167462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84" type="#_x0000_t202" style="width:2in;height:2in;margin-top:0;margin-left:0;mso-height-relative:page;mso-position-horizontal:right;mso-position-horizontal-relative:margin;mso-width-relative:page;mso-wrap-style:none;position:absolute;z-index:25167564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86" type="#_x0000_t202" style="width:2in;height:2in;margin-top:0;margin-left:0;mso-height-relative:page;mso-position-horizontal:right;mso-position-horizontal-relative:margin;mso-width-relative:page;mso-wrap-style:none;position:absolute;z-index:25167667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19</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2" type="#_x0000_t202" style="width:2in;height:2in;margin-top:0;margin-left:0;mso-height-relative:page;mso-position-horizontal:right;mso-position-horizontal-relative:margin;mso-width-relative:page;mso-wrap-style:none;position:absolute;z-index:25165926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88" type="#_x0000_t202" style="width:2in;height:2in;margin-top:0;margin-left:0;mso-height-relative:page;mso-position-horizontal:right;mso-position-horizontal-relative:margin;mso-width-relative:page;mso-wrap-style:none;position:absolute;z-index:25167769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20</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90" type="#_x0000_t202" style="width:2in;height:2in;margin-top:0;margin-left:0;mso-height-relative:page;mso-position-horizontal:right;mso-position-horizontal-relative:margin;mso-width-relative:page;mso-wrap-style:none;position:absolute;z-index:25167872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92" type="#_x0000_t202" style="width:2in;height:2in;margin-top:0;margin-left:0;mso-height-relative:page;mso-position-horizontal:right;mso-position-horizontal-relative:margin;mso-width-relative:page;mso-wrap-style:none;position:absolute;z-index:25167974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94" type="#_x0000_t202" style="width:2in;height:2in;margin-top:0;margin-left:0;mso-height-relative:page;mso-position-horizontal:right;mso-position-horizontal-relative:margin;mso-width-relative:page;mso-wrap-style:none;position:absolute;z-index:25168076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96" type="#_x0000_t202" style="width:2in;height:2in;margin-top:0;margin-left:0;mso-height-relative:page;mso-position-horizontal:right;mso-position-horizontal-relative:margin;mso-width-relative:page;mso-wrap-style:none;position:absolute;z-index:25168179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98" type="#_x0000_t202" style="width:2in;height:2in;margin-top:0;margin-left:0;mso-height-relative:page;mso-position-horizontal:right;mso-position-horizontal-relative:margin;mso-width-relative:page;mso-wrap-style:none;position:absolute;z-index:25168281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100" type="#_x0000_t202" style="width:2in;height:2in;margin-top:0;margin-left:0;mso-height-relative:page;mso-position-horizontal:right;mso-position-horizontal-relative:margin;mso-width-relative:page;mso-wrap-style:none;position:absolute;z-index:25168384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26</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102" type="#_x0000_t202" style="width:2in;height:2in;margin-top:0;margin-left:0;mso-height-relative:page;mso-position-horizontal:right;mso-position-horizontal-relative:margin;mso-width-relative:page;mso-wrap-style:none;position:absolute;z-index:25168486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4" type="#_x0000_t202" style="width:2in;height:2in;margin-top:0;margin-left:0;mso-height-relative:page;mso-position-horizontal:right;mso-position-horizontal-relative:margin;mso-width-relative:page;mso-wrap-style:none;position:absolute;z-index:25166028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6" type="#_x0000_t202" style="width:2in;height:2in;margin-top:0;margin-left:0;mso-height-relative:page;mso-position-horizontal:right;mso-position-horizontal-relative:margin;mso-width-relative:page;mso-wrap-style:none;position:absolute;z-index:25166131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8" type="#_x0000_t202" style="width:2in;height:2in;margin-top:0;margin-left:0;mso-height-relative:page;mso-position-horizontal:right;mso-position-horizontal-relative:margin;mso-width-relative:page;mso-wrap-style:none;position:absolute;z-index:25166233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0" type="#_x0000_t202" style="width:2in;height:2in;margin-top:0;margin-left:0;mso-height-relative:page;mso-position-horizontal:right;mso-position-horizontal-relative:margin;mso-width-relative:page;mso-wrap-style:none;position:absolute;z-index:25166336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2" type="#_x0000_t202" style="width:2in;height:2in;margin-top:0;margin-left:0;mso-height-relative:page;mso-position-horizontal:right;mso-position-horizontal-relative:margin;mso-width-relative:page;mso-wrap-style:none;position:absolute;z-index:25166438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4" type="#_x0000_t202" style="width:2in;height:2in;margin-top:0;margin-left:0;mso-height-relative:page;mso-position-horizontal:right;mso-position-horizontal-relative:margin;mso-width-relative:page;mso-wrap-style:none;position:absolute;z-index:25166540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6" type="#_x0000_t202" style="width:2in;height:2in;margin-top:0;margin-left:0;mso-height-relative:page;mso-position-horizontal:right;mso-position-horizontal-relative:margin;mso-width-relative:page;mso-wrap-style:none;position:absolute;z-index:25166643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32</w:t>
                </w:r>
                <w:r>
                  <w:fldChar w:fldCharType="end"/>
                </w:r>
                <w:r>
                  <w:rPr>
                    <w:rFonts w:hint="eastAsia"/>
                  </w:rPr>
                  <w:t xml:space="preserve"> 页</w:t>
                </w:r>
              </w:p>
            </w:txbxContent>
          </v:textbox>
          <w10:wrap anchorx="margin"/>
        </v:shape>
      </w:pic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4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824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11</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902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11</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800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12</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697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13</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595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14</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492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15</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390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16</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288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18</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8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185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18</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8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083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19</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8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980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721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20</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8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878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21</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8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776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23</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9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673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23</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9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571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24</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9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468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25</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9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366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26</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9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264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27</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10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161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619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516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5</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414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6</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312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7</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209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9</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107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10</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004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775F20"/>
    <w:rsid w:val="00004FDC"/>
    <w:rsid w:val="00252B25"/>
    <w:rsid w:val="006B07C9"/>
    <w:rsid w:val="007D1BB9"/>
    <w:rsid w:val="009C4965"/>
    <w:rsid w:val="00C1729B"/>
    <w:rsid w:val="00C3480A"/>
    <w:rsid w:val="00D16826"/>
    <w:rsid w:val="00E73211"/>
    <w:rsid w:val="00EF34AA"/>
    <w:rsid w:val="00FC25C7"/>
    <w:rsid w:val="1B775F20"/>
    <w:rsid w:val="49B755B6"/>
    <w:rsid w:val="53D629E8"/>
    <w:rsid w:val="5E280D51"/>
    <w:rsid w:val="6F5A3C93"/>
    <w:rsid w:val="77546B9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uiPriority="0" w:unhideWhenUsed="0" w:qFormat="1"/>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qFormat="1"/>
    <w:lsdException w:name="Body Text Indent 3" w:semiHidden="0" w:uiPriority="0" w:unhideWhenUsed="0" w:qFormat="1"/>
    <w:lsdException w:name="Block Text" w:semiHidden="0" w:uiPriority="0" w:unhideWhenUsed="0"/>
    <w:lsdException w:name="Hyperlink" w:semiHidden="0" w:uiPriority="0" w:unhideWhenUsed="0" w:qFormat="1"/>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eastAsia="宋体" w:asciiTheme="minorHAnsi" w:hAnsiTheme="minorHAnsi" w:cstheme="minorBidi"/>
      <w:kern w:val="2"/>
      <w:sz w:val="21"/>
      <w:szCs w:val="22"/>
      <w:lang w:val="en-US" w:eastAsia="zh-CN" w:bidi="ar-SA"/>
    </w:rPr>
  </w:style>
  <w:style w:type="paragraph" w:styleId="Heading1">
    <w:name w:val="heading 1"/>
    <w:basedOn w:val="Normal"/>
    <w:next w:val="Normal0"/>
    <w:qFormat/>
    <w:pPr>
      <w:keepNext/>
      <w:keepLines/>
      <w:spacing w:before="340" w:after="330" w:line="578" w:lineRule="auto"/>
      <w:outlineLvl w:val="0"/>
    </w:pPr>
    <w:rPr>
      <w:rFonts w:ascii="Times New Roman" w:hAnsi="Times New Roman"/>
      <w:b/>
      <w:bCs/>
      <w:kern w:val="44"/>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customStyle="1" w:styleId="Normal0">
    <w:name w:val="Normal_0"/>
    <w:qFormat/>
    <w:pPr>
      <w:widowControl w:val="0"/>
    </w:pPr>
    <w:rPr>
      <w:rFonts w:ascii="Times New Roman" w:eastAsia="PMingLiU" w:hAnsi="Times New Roman" w:cstheme="minorBidi"/>
      <w:kern w:val="2"/>
      <w:sz w:val="24"/>
      <w:szCs w:val="24"/>
      <w:lang w:val="en-US" w:eastAsia="zh-TW" w:bidi="ar-SA"/>
    </w:rPr>
  </w:style>
  <w:style w:type="paragraph" w:styleId="BodyTextIndent">
    <w:name w:val="Body Text Indent"/>
    <w:basedOn w:val="Normal"/>
    <w:pPr>
      <w:ind w:firstLine="359" w:firstLineChars="171"/>
    </w:pPr>
    <w:rPr>
      <w:rFonts w:ascii="Times New Roman" w:hAnsi="Times New Roman"/>
      <w:szCs w:val="24"/>
    </w:rPr>
  </w:style>
  <w:style w:type="paragraph" w:styleId="BodyTextIndent2">
    <w:name w:val="Body Text Indent 2"/>
    <w:basedOn w:val="Normal"/>
    <w:autoRedefine/>
    <w:qFormat/>
    <w:pPr>
      <w:ind w:firstLine="538" w:firstLineChars="192"/>
    </w:pPr>
    <w:rPr>
      <w:rFonts w:ascii="宋体" w:hAnsi="宋体"/>
      <w:sz w:val="28"/>
      <w:szCs w:val="24"/>
    </w:rPr>
  </w:style>
  <w:style w:type="paragraph" w:styleId="Footer">
    <w:name w:val="footer"/>
    <w:basedOn w:val="Normal"/>
    <w:autoRedefine/>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Normal"/>
    <w:next w:val="Normal0"/>
    <w:autoRedefine/>
    <w:semiHidden/>
    <w:qFormat/>
    <w:pPr>
      <w:spacing w:before="120" w:after="120"/>
      <w:jc w:val="left"/>
    </w:pPr>
    <w:rPr>
      <w:rFonts w:ascii="Times New Roman" w:hAnsi="Times New Roman"/>
      <w:b/>
      <w:bCs/>
      <w:caps/>
      <w:szCs w:val="24"/>
    </w:rPr>
  </w:style>
  <w:style w:type="paragraph" w:styleId="BodyTextIndent3">
    <w:name w:val="Body Text Indent 3"/>
    <w:basedOn w:val="Normal"/>
    <w:autoRedefine/>
    <w:qFormat/>
    <w:pPr>
      <w:spacing w:after="120"/>
      <w:ind w:left="420" w:leftChars="200"/>
      <w:jc w:val="left"/>
    </w:pPr>
    <w:rPr>
      <w:rFonts w:ascii="Times New Roman" w:eastAsia="PMingLiU" w:hAnsi="Times New Roman"/>
      <w:sz w:val="16"/>
      <w:szCs w:val="16"/>
      <w:lang w:eastAsia="zh-TW"/>
    </w:rPr>
  </w:style>
  <w:style w:type="character" w:styleId="PageNumber">
    <w:name w:val="page number"/>
    <w:basedOn w:val="DefaultParagraphFont"/>
  </w:style>
  <w:style w:type="character" w:styleId="Hyperlink">
    <w:name w:val="Hyperlink"/>
    <w:basedOn w:val="DefaultParagraphFont"/>
    <w:autoRedefine/>
    <w:qFormat/>
    <w:rPr>
      <w:color w:val="0000FF"/>
      <w:u w:val="single"/>
    </w:rPr>
  </w:style>
  <w:style w:type="character" w:customStyle="1" w:styleId="bold1">
    <w:name w:val="bold1"/>
    <w:basedOn w:val="DefaultParagraphFon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image" Target="media/image1.jpeg" /><Relationship Id="rId18" Type="http://schemas.openxmlformats.org/officeDocument/2006/relationships/image" Target="http://exponent.fdc.com.cn/show/200204_hshan.jpg" TargetMode="External" /><Relationship Id="rId19" Type="http://schemas.openxmlformats.org/officeDocument/2006/relationships/header" Target="header7.xml" /><Relationship Id="rId2" Type="http://schemas.openxmlformats.org/officeDocument/2006/relationships/webSettings" Target="webSettings.xml" /><Relationship Id="rId20" Type="http://schemas.openxmlformats.org/officeDocument/2006/relationships/footer" Target="footer7.xml" /><Relationship Id="rId21" Type="http://schemas.openxmlformats.org/officeDocument/2006/relationships/header" Target="header8.xml" /><Relationship Id="rId22" Type="http://schemas.openxmlformats.org/officeDocument/2006/relationships/footer" Target="footer8.xml" /><Relationship Id="rId23" Type="http://schemas.openxmlformats.org/officeDocument/2006/relationships/header" Target="header9.xml" /><Relationship Id="rId24" Type="http://schemas.openxmlformats.org/officeDocument/2006/relationships/footer" Target="footer9.xml" /><Relationship Id="rId25" Type="http://schemas.openxmlformats.org/officeDocument/2006/relationships/header" Target="header10.xml" /><Relationship Id="rId26" Type="http://schemas.openxmlformats.org/officeDocument/2006/relationships/footer" Target="footer10.xml" /><Relationship Id="rId27" Type="http://schemas.openxmlformats.org/officeDocument/2006/relationships/header" Target="header11.xml" /><Relationship Id="rId28" Type="http://schemas.openxmlformats.org/officeDocument/2006/relationships/footer" Target="footer11.xml" /><Relationship Id="rId29" Type="http://schemas.openxmlformats.org/officeDocument/2006/relationships/header" Target="header12.xml" /><Relationship Id="rId3" Type="http://schemas.openxmlformats.org/officeDocument/2006/relationships/fontTable" Target="fontTable.xml" /><Relationship Id="rId30" Type="http://schemas.openxmlformats.org/officeDocument/2006/relationships/footer" Target="footer12.xml" /><Relationship Id="rId31" Type="http://schemas.openxmlformats.org/officeDocument/2006/relationships/header" Target="header13.xml" /><Relationship Id="rId32" Type="http://schemas.openxmlformats.org/officeDocument/2006/relationships/footer" Target="footer13.xml" /><Relationship Id="rId33" Type="http://schemas.openxmlformats.org/officeDocument/2006/relationships/header" Target="header14.xml" /><Relationship Id="rId34" Type="http://schemas.openxmlformats.org/officeDocument/2006/relationships/footer" Target="footer14.xml" /><Relationship Id="rId35" Type="http://schemas.openxmlformats.org/officeDocument/2006/relationships/header" Target="header15.xml" /><Relationship Id="rId36" Type="http://schemas.openxmlformats.org/officeDocument/2006/relationships/footer" Target="footer15.xml" /><Relationship Id="rId37" Type="http://schemas.openxmlformats.org/officeDocument/2006/relationships/header" Target="header16.xml" /><Relationship Id="rId38" Type="http://schemas.openxmlformats.org/officeDocument/2006/relationships/footer" Target="footer16.xml" /><Relationship Id="rId39" Type="http://schemas.openxmlformats.org/officeDocument/2006/relationships/header" Target="header17.xml" /><Relationship Id="rId4" Type="http://schemas.openxmlformats.org/officeDocument/2006/relationships/customXml" Target="../customXml/item1.xml" /><Relationship Id="rId40" Type="http://schemas.openxmlformats.org/officeDocument/2006/relationships/footer" Target="footer17.xml" /><Relationship Id="rId41" Type="http://schemas.openxmlformats.org/officeDocument/2006/relationships/header" Target="header18.xml" /><Relationship Id="rId42" Type="http://schemas.openxmlformats.org/officeDocument/2006/relationships/footer" Target="footer18.xml" /><Relationship Id="rId43" Type="http://schemas.openxmlformats.org/officeDocument/2006/relationships/header" Target="header19.xml" /><Relationship Id="rId44" Type="http://schemas.openxmlformats.org/officeDocument/2006/relationships/footer" Target="footer19.xml" /><Relationship Id="rId45" Type="http://schemas.openxmlformats.org/officeDocument/2006/relationships/header" Target="header20.xml" /><Relationship Id="rId46" Type="http://schemas.openxmlformats.org/officeDocument/2006/relationships/footer" Target="footer20.xml" /><Relationship Id="rId47" Type="http://schemas.openxmlformats.org/officeDocument/2006/relationships/header" Target="header21.xml" /><Relationship Id="rId48" Type="http://schemas.openxmlformats.org/officeDocument/2006/relationships/footer" Target="footer21.xml" /><Relationship Id="rId49" Type="http://schemas.openxmlformats.org/officeDocument/2006/relationships/header" Target="header22.xml" /><Relationship Id="rId5" Type="http://schemas.openxmlformats.org/officeDocument/2006/relationships/header" Target="header1.xml" /><Relationship Id="rId50" Type="http://schemas.openxmlformats.org/officeDocument/2006/relationships/footer" Target="footer22.xml" /><Relationship Id="rId51" Type="http://schemas.openxmlformats.org/officeDocument/2006/relationships/header" Target="header23.xml" /><Relationship Id="rId52" Type="http://schemas.openxmlformats.org/officeDocument/2006/relationships/footer" Target="footer23.xml" /><Relationship Id="rId53" Type="http://schemas.openxmlformats.org/officeDocument/2006/relationships/header" Target="header24.xml" /><Relationship Id="rId54" Type="http://schemas.openxmlformats.org/officeDocument/2006/relationships/footer" Target="footer24.xml" /><Relationship Id="rId55" Type="http://schemas.openxmlformats.org/officeDocument/2006/relationships/header" Target="header25.xml" /><Relationship Id="rId56" Type="http://schemas.openxmlformats.org/officeDocument/2006/relationships/footer" Target="footer25.xml" /><Relationship Id="rId57" Type="http://schemas.openxmlformats.org/officeDocument/2006/relationships/header" Target="header26.xml" /><Relationship Id="rId58" Type="http://schemas.openxmlformats.org/officeDocument/2006/relationships/footer" Target="footer26.xml" /><Relationship Id="rId59" Type="http://schemas.openxmlformats.org/officeDocument/2006/relationships/hyperlink" Target="https://d.book118.com/368037125000006045" TargetMode="External" /><Relationship Id="rId6" Type="http://schemas.openxmlformats.org/officeDocument/2006/relationships/footer" Target="footer1.xml" /><Relationship Id="rId60" Type="http://schemas.openxmlformats.org/officeDocument/2006/relationships/header" Target="header27.xml" /><Relationship Id="rId61" Type="http://schemas.openxmlformats.org/officeDocument/2006/relationships/footer" Target="footer27.xml" /><Relationship Id="rId62" Type="http://schemas.openxmlformats.org/officeDocument/2006/relationships/theme" Target="theme/theme1.xml" /><Relationship Id="rId63" Type="http://schemas.openxmlformats.org/officeDocument/2006/relationships/styles" Target="styles.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0"/>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086"/>
    <customShpInfo spid="_x0000_s1087"/>
    <customShpInfo spid="_x0000_s1088"/>
    <customShpInfo spid="_x0000_s1089"/>
    <customShpInfo spid="_x0000_s1090"/>
    <customShpInfo spid="_x0000_s1091"/>
    <customShpInfo spid="_x0000_s1092"/>
    <customShpInfo spid="_x0000_s1093"/>
    <customShpInfo spid="_x0000_s1094"/>
    <customShpInfo spid="_x0000_s1095"/>
    <customShpInfo spid="_x0000_s1096"/>
    <customShpInfo spid="_x0000_s1097"/>
    <customShpInfo spid="_x0000_s1098"/>
    <customShpInfo spid="_x0000_s1099"/>
    <customShpInfo spid="_x0000_s1100"/>
    <customShpInfo spid="_x0000_s1101"/>
    <customShpInfo spid="_x0000_s1102"/>
    <customShpInfo spid="_x0000_s1103"/>
    <customShpInfo spid="_x0000_s1104"/>
    <customShpInfo spid="_x0000_s1105"/>
    <customShpInfo spid="_x0000_s1106"/>
    <customShpInfo spid="_x0000_s1107"/>
    <customShpInfo spid="_x0000_s1108"/>
    <customShpInfo spid="_x0000_s110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32</Pages>
  <Words>0</Words>
  <Characters>0</Characters>
  <Application>Microsoft Office Word</Application>
  <DocSecurity>0</DocSecurity>
  <Lines>1</Lines>
  <Paragraphs>1</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高永</cp:lastModifiedBy>
  <cp:revision>5</cp:revision>
  <dcterms:created xsi:type="dcterms:W3CDTF">2015-12-21T08:03:00Z</dcterms:created>
  <dcterms:modified xsi:type="dcterms:W3CDTF">2024-03-11T18:38:59Z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2EB8F3A16C504C30B2B69D2A7064F7FC_12</vt:lpwstr>
  </property>
  <property fmtid="{D5CDD505-2E9C-101B-9397-08002B2CF9AE}" pid="3" name="KSOProductBuildVer">
    <vt:lpwstr>2052-12.1.0.16388</vt:lpwstr>
  </property>
</Properties>
</file>