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81176" w:rsidP="00381176" w14:paraId="15D2EA1B" w14:textId="77777777">
      <w:pPr>
        <w:spacing w:before="48" w:beforeLines="20" w:after="360" w:afterLines="150" w:line="360" w:lineRule="auto"/>
        <w:jc w:val="center"/>
        <w:rPr>
          <w:rFonts w:ascii="华文中宋" w:eastAsia="华文中宋" w:hAnsi="华文中宋"/>
          <w:b/>
          <w:sz w:val="30"/>
        </w:rPr>
      </w:pPr>
      <w:r w:rsidRPr="00381176">
        <w:rPr>
          <w:rFonts w:ascii="华文中宋" w:eastAsia="华文中宋" w:hAnsi="华文中宋"/>
          <w:b/>
          <w:sz w:val="30"/>
        </w:rPr>
        <w:t>2023</w:t>
      </w:r>
      <w:r w:rsidRPr="00381176">
        <w:rPr>
          <w:rFonts w:ascii="华文中宋" w:eastAsia="华文中宋" w:hAnsi="华文中宋"/>
          <w:b/>
          <w:sz w:val="30"/>
        </w:rPr>
        <w:t>山东青岛海明城市发展有限公司全资子公司第二批招聘人员进行笔试模拟试题及答案解析</w:t>
      </w:r>
    </w:p>
    <w:p w:rsidR="00A77B3E" w14:paraId="576BCF8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E05069E" w14:textId="77777777">
      <w:pPr>
        <w:spacing w:after="260" w:line="360" w:lineRule="auto"/>
      </w:pPr>
      <w:r>
        <w:rPr>
          <w:rFonts w:ascii="微软雅黑" w:eastAsia="微软雅黑" w:cs="微软雅黑"/>
        </w:rPr>
        <w:t>一、选择题</w:t>
      </w:r>
    </w:p>
    <w:p w:rsidR="00AD1216" w14:paraId="01DBCB6C" w14:textId="77777777">
      <w:pPr>
        <w:pStyle w:val="NormalWeb"/>
        <w:widowControl/>
        <w:spacing w:beforeAutospacing="0" w:after="260" w:afterAutospacing="0" w:line="360" w:lineRule="auto"/>
      </w:pPr>
      <w:r w:rsidRPr="00AD1216">
        <w:rPr>
          <w:rFonts w:ascii="微软雅黑" w:eastAsia="微软雅黑" w:cs="微软雅黑"/>
          <w:color w:val="0000FF"/>
          <w:szCs w:val="14"/>
        </w:rPr>
        <w:t>1</w:t>
      </w:r>
      <w:r w:rsidRPr="00AD1216">
        <w:rPr>
          <w:rFonts w:ascii="微软雅黑" w:eastAsia="微软雅黑" w:cs="微软雅黑"/>
          <w:color w:val="0000FF"/>
          <w:szCs w:val="14"/>
        </w:rPr>
        <w:t>．</w:t>
      </w:r>
      <w:r w:rsidRPr="00AD1216">
        <w:rPr>
          <w:rFonts w:ascii="微软雅黑" w:eastAsia="微软雅黑" w:cs="微软雅黑"/>
          <w:szCs w:val="14"/>
        </w:rPr>
        <w:t>《党政机关公文处理工作条例》规定，公文办理包括</w:t>
      </w:r>
      <w:r w:rsidRPr="00AD1216">
        <w:rPr>
          <w:rFonts w:ascii="微软雅黑" w:eastAsia="微软雅黑" w:cs="微软雅黑"/>
          <w:szCs w:val="14"/>
        </w:rPr>
        <w:t>()</w:t>
      </w:r>
      <w:r w:rsidRPr="00AD1216">
        <w:rPr>
          <w:rFonts w:ascii="微软雅黑" w:eastAsia="微软雅黑" w:cs="微软雅黑"/>
          <w:szCs w:val="14"/>
        </w:rPr>
        <w:t>。</w:t>
      </w:r>
    </w:p>
    <w:p w:rsidR="00AD1216" w14:paraId="6817908D"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、发文办理、收文办理、整理归档</w:t>
      </w:r>
    </w:p>
    <w:p w:rsidR="00AD1216" w14:paraId="6B115268"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、起草、审核、签发</w:t>
      </w:r>
    </w:p>
    <w:p w:rsidR="00AD1216" w14:paraId="129340D1"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、交拟、拟议、签发</w:t>
      </w:r>
    </w:p>
    <w:p w:rsidR="00AD1216" w14:paraId="362A4E18"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、登记、承办、分发</w:t>
      </w:r>
    </w:p>
    <w:p w:rsidR="00AD1216" w14:paraId="1002C317"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55031110"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公文办理包括收文办理、发文办理和整理归档。故选</w:t>
      </w:r>
      <w:r w:rsidRPr="00AD1216">
        <w:rPr>
          <w:rFonts w:ascii="微软雅黑" w:eastAsia="微软雅黑" w:cs="微软雅黑"/>
          <w:szCs w:val="14"/>
        </w:rPr>
        <w:t>A</w:t>
      </w:r>
      <w:r w:rsidRPr="00AD1216">
        <w:rPr>
          <w:rFonts w:ascii="微软雅黑" w:eastAsia="微软雅黑" w:cs="微软雅黑"/>
          <w:szCs w:val="14"/>
        </w:rPr>
        <w:t>。</w:t>
      </w:r>
    </w:p>
    <w:p w:rsidR="00AD1216" w14:paraId="71B26621" w14:textId="77777777">
      <w:pPr>
        <w:pStyle w:val="NormalWeb"/>
        <w:widowControl/>
        <w:spacing w:beforeAutospacing="0" w:after="260" w:afterAutospacing="0" w:line="360" w:lineRule="auto"/>
      </w:pPr>
      <w:r w:rsidRPr="00AD1216">
        <w:rPr>
          <w:rFonts w:ascii="微软雅黑" w:eastAsia="微软雅黑" w:cs="微软雅黑"/>
          <w:color w:val="0000FF"/>
          <w:szCs w:val="14"/>
        </w:rPr>
        <w:t>2</w:t>
      </w:r>
      <w:r w:rsidRPr="00AD1216">
        <w:rPr>
          <w:rFonts w:ascii="微软雅黑" w:eastAsia="微软雅黑" w:cs="微软雅黑"/>
          <w:color w:val="0000FF"/>
          <w:szCs w:val="14"/>
        </w:rPr>
        <w:t>．</w:t>
      </w:r>
      <w:r w:rsidRPr="00AD1216">
        <w:rPr>
          <w:rFonts w:ascii="微软雅黑" w:eastAsia="微软雅黑" w:cs="微软雅黑"/>
          <w:szCs w:val="14"/>
        </w:rPr>
        <w:t>一切影响沟通的消极、负面、阻碍因素，在管理学中称为</w:t>
      </w:r>
      <w:r w:rsidRPr="00AD1216">
        <w:rPr>
          <w:rFonts w:ascii="微软雅黑" w:eastAsia="微软雅黑" w:cs="微软雅黑"/>
          <w:szCs w:val="14"/>
        </w:rPr>
        <w:t>()</w:t>
      </w:r>
      <w:r w:rsidRPr="00AD1216">
        <w:rPr>
          <w:rFonts w:ascii="微软雅黑" w:eastAsia="微软雅黑" w:cs="微软雅黑"/>
          <w:szCs w:val="14"/>
        </w:rPr>
        <w:t>。</w:t>
      </w:r>
    </w:p>
    <w:p w:rsidR="00AD1216" w14:paraId="6404FF97"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、沟通失真</w:t>
      </w:r>
    </w:p>
    <w:p w:rsidR="00AD1216" w14:paraId="2ECE2A95"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、沟通损耗</w:t>
      </w:r>
    </w:p>
    <w:p w:rsidR="00AD1216" w14:paraId="36447118"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、沟通噪音</w:t>
      </w:r>
    </w:p>
    <w:p w:rsidR="00AD1216" w14:paraId="7AB36CD3"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AD1216">
        <w:rPr>
          <w:rFonts w:ascii="微软雅黑" w:eastAsia="微软雅黑" w:cs="微软雅黑"/>
          <w:szCs w:val="14"/>
        </w:rPr>
        <w:t>D</w:t>
      </w:r>
      <w:r w:rsidRPr="00AD1216">
        <w:rPr>
          <w:rFonts w:ascii="微软雅黑" w:eastAsia="微软雅黑" w:cs="微软雅黑"/>
          <w:szCs w:val="14"/>
        </w:rPr>
        <w:t>、背景噪音</w:t>
      </w:r>
    </w:p>
    <w:p w:rsidR="00AD1216" w14:paraId="5062C2F4"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C</w:t>
      </w:r>
    </w:p>
    <w:p w:rsidR="00AD1216" w14:paraId="77DDDE7B"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噪音是影响沟通的一切消极、负面因素。通常可以把沟通噪音定义为妨碍资讯沟通的任何因素。它存在于沟通过程的各个环节，并有可能造成资讯损耗或失真。典型的噪音主要包括发送噪音、传输噪音、接受噪音、系统噪音、环境噪音和背景噪音及数量噪音七大噪音。故选</w:t>
      </w:r>
      <w:r w:rsidRPr="00AD1216">
        <w:rPr>
          <w:rFonts w:ascii="微软雅黑" w:eastAsia="微软雅黑" w:cs="微软雅黑"/>
          <w:szCs w:val="14"/>
        </w:rPr>
        <w:t>C</w:t>
      </w:r>
      <w:r w:rsidRPr="00AD1216">
        <w:rPr>
          <w:rFonts w:ascii="微软雅黑" w:eastAsia="微软雅黑" w:cs="微软雅黑"/>
          <w:szCs w:val="14"/>
        </w:rPr>
        <w:t>。</w:t>
      </w:r>
    </w:p>
    <w:p w:rsidR="00AD1216" w14:paraId="15AD1EB4" w14:textId="77777777">
      <w:pPr>
        <w:pStyle w:val="NormalWeb"/>
        <w:widowControl/>
        <w:spacing w:beforeAutospacing="0" w:after="260" w:afterAutospacing="0" w:line="360" w:lineRule="auto"/>
      </w:pPr>
      <w:r w:rsidRPr="00AD1216">
        <w:rPr>
          <w:rFonts w:ascii="微软雅黑" w:eastAsia="微软雅黑" w:cs="微软雅黑"/>
          <w:color w:val="0000FF"/>
          <w:szCs w:val="14"/>
        </w:rPr>
        <w:t>3</w:t>
      </w:r>
      <w:r w:rsidRPr="00AD1216">
        <w:rPr>
          <w:rFonts w:ascii="微软雅黑" w:eastAsia="微软雅黑" w:cs="微软雅黑"/>
          <w:color w:val="0000FF"/>
          <w:szCs w:val="14"/>
        </w:rPr>
        <w:t>．</w:t>
      </w:r>
      <w:r w:rsidRPr="00AD1216">
        <w:rPr>
          <w:rFonts w:ascii="微软雅黑" w:eastAsia="微软雅黑" w:cs="微软雅黑"/>
          <w:szCs w:val="14"/>
        </w:rPr>
        <w:t>我国现行立法采取的是</w:t>
      </w:r>
      <w:r w:rsidRPr="00AD1216">
        <w:rPr>
          <w:rFonts w:ascii="微软雅黑" w:eastAsia="微软雅黑" w:cs="微软雅黑"/>
          <w:szCs w:val="14"/>
        </w:rPr>
        <w:t>()</w:t>
      </w:r>
      <w:r w:rsidRPr="00AD1216">
        <w:rPr>
          <w:rFonts w:ascii="微软雅黑" w:eastAsia="微软雅黑" w:cs="微软雅黑"/>
          <w:szCs w:val="14"/>
        </w:rPr>
        <w:t>立法观点。</w:t>
      </w:r>
    </w:p>
    <w:p w:rsidR="00AD1216" w14:paraId="2D7FA959"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、民商分立</w:t>
      </w:r>
    </w:p>
    <w:p w:rsidR="00AD1216" w14:paraId="15907987"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、民商合一</w:t>
      </w:r>
    </w:p>
    <w:p w:rsidR="00AD1216" w14:paraId="6292DA60"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、民法优先</w:t>
      </w:r>
    </w:p>
    <w:p w:rsidR="00AD1216" w14:paraId="36D086C4"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、商事优先</w:t>
      </w:r>
    </w:p>
    <w:p w:rsidR="00AD1216" w14:paraId="78CEEAA3"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350C5C76"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AD1216">
        <w:rPr>
          <w:rFonts w:ascii="微软雅黑" w:eastAsia="微软雅黑" w:cs="微软雅黑"/>
          <w:color w:val="228B22"/>
          <w:szCs w:val="14"/>
        </w:rPr>
        <w:t>解析：</w:t>
      </w:r>
      <w:r w:rsidRPr="00AD1216">
        <w:rPr>
          <w:rFonts w:ascii="微软雅黑" w:eastAsia="微软雅黑" w:cs="微软雅黑"/>
          <w:szCs w:val="14"/>
        </w:rPr>
        <w:t>A</w:t>
      </w:r>
      <w:r w:rsidRPr="00AD1216">
        <w:rPr>
          <w:rFonts w:ascii="微软雅黑" w:eastAsia="微软雅黑" w:cs="微软雅黑"/>
          <w:szCs w:val="14"/>
        </w:rPr>
        <w:t>项错误，民商分立是指在民法典之外，另行制定商法典，民法典与商法典并存。采用民商分立的国家主要有法国、德国、日本以及以它们为模板的许多大陆法系国家。我国并未采取民商分立的立法观点。</w:t>
      </w:r>
      <w:r w:rsidRPr="00AD1216">
        <w:rPr>
          <w:rFonts w:ascii="微软雅黑" w:eastAsia="微软雅黑" w:cs="微软雅黑"/>
          <w:szCs w:val="14"/>
        </w:rPr>
        <w:t>B</w:t>
      </w:r>
      <w:r w:rsidRPr="00AD1216">
        <w:rPr>
          <w:rFonts w:ascii="微软雅黑" w:eastAsia="微软雅黑" w:cs="微软雅黑"/>
          <w:szCs w:val="14"/>
        </w:rPr>
        <w:t>项正确，民商合一是指民事和商事统一立法，将商事方面的内容编入民法典中，或以单行法规的形式出现。我国采取</w:t>
      </w:r>
      <w:r w:rsidRPr="00AD1216">
        <w:rPr>
          <w:rFonts w:ascii="微软雅黑" w:eastAsia="微软雅黑" w:cs="微软雅黑"/>
          <w:szCs w:val="14"/>
        </w:rPr>
        <w:t>“</w:t>
      </w:r>
      <w:r w:rsidRPr="00AD1216">
        <w:rPr>
          <w:rFonts w:ascii="微软雅黑" w:eastAsia="微软雅黑" w:cs="微软雅黑"/>
          <w:szCs w:val="14"/>
        </w:rPr>
        <w:t>民商合一</w:t>
      </w:r>
      <w:r w:rsidRPr="00AD1216">
        <w:rPr>
          <w:rFonts w:ascii="微软雅黑" w:eastAsia="微软雅黑" w:cs="微软雅黑"/>
          <w:szCs w:val="14"/>
        </w:rPr>
        <w:t>”</w:t>
      </w:r>
      <w:r w:rsidRPr="00AD1216">
        <w:rPr>
          <w:rFonts w:ascii="微软雅黑" w:eastAsia="微软雅黑" w:cs="微软雅黑"/>
          <w:szCs w:val="14"/>
        </w:rPr>
        <w:t>的立法形式，其理由在于：</w:t>
      </w:r>
      <w:r w:rsidRPr="00AD1216">
        <w:rPr>
          <w:rFonts w:ascii="微软雅黑" w:eastAsia="微软雅黑" w:cs="微软雅黑"/>
          <w:szCs w:val="14"/>
        </w:rPr>
        <w:t>1.</w:t>
      </w:r>
      <w:r w:rsidRPr="00AD1216">
        <w:rPr>
          <w:rFonts w:ascii="微软雅黑" w:eastAsia="微软雅黑" w:cs="微软雅黑"/>
          <w:szCs w:val="14"/>
        </w:rPr>
        <w:t>由于民法的商事化和商法的民事化，已经使得民商法的关系愈加密切</w:t>
      </w:r>
      <w:r w:rsidRPr="00AD1216">
        <w:rPr>
          <w:rFonts w:ascii="微软雅黑" w:eastAsia="微软雅黑" w:cs="微软雅黑"/>
          <w:szCs w:val="14"/>
        </w:rPr>
        <w:t>;2.</w:t>
      </w:r>
      <w:r w:rsidRPr="00AD1216">
        <w:rPr>
          <w:rFonts w:ascii="微软雅黑" w:eastAsia="微软雅黑" w:cs="微软雅黑"/>
          <w:szCs w:val="14"/>
        </w:rPr>
        <w:t>世界和中国的立法实践证明民商合一是可行的</w:t>
      </w:r>
      <w:r w:rsidRPr="00AD1216">
        <w:rPr>
          <w:rFonts w:ascii="微软雅黑" w:eastAsia="微软雅黑" w:cs="微软雅黑"/>
          <w:szCs w:val="14"/>
        </w:rPr>
        <w:t>;3.</w:t>
      </w:r>
      <w:r w:rsidRPr="00AD1216">
        <w:rPr>
          <w:rFonts w:ascii="微软雅黑" w:eastAsia="微软雅黑" w:cs="微软雅黑"/>
          <w:szCs w:val="14"/>
        </w:rPr>
        <w:t>建立社会主义市场经济法律体系的需要。</w:t>
      </w:r>
      <w:r w:rsidRPr="00AD1216">
        <w:rPr>
          <w:rFonts w:ascii="微软雅黑" w:eastAsia="微软雅黑" w:cs="微软雅黑"/>
          <w:szCs w:val="14"/>
        </w:rPr>
        <w:t>C</w:t>
      </w:r>
      <w:r w:rsidRPr="00AD1216">
        <w:rPr>
          <w:rFonts w:ascii="微软雅黑" w:eastAsia="微软雅黑" w:cs="微软雅黑"/>
          <w:szCs w:val="14"/>
        </w:rPr>
        <w:t>项、</w:t>
      </w:r>
      <w:r w:rsidRPr="00AD1216">
        <w:rPr>
          <w:rFonts w:ascii="微软雅黑" w:eastAsia="微软雅黑" w:cs="微软雅黑"/>
          <w:szCs w:val="14"/>
        </w:rPr>
        <w:t>D</w:t>
      </w:r>
      <w:r w:rsidRPr="00AD1216">
        <w:rPr>
          <w:rFonts w:ascii="微软雅黑" w:eastAsia="微软雅黑" w:cs="微软雅黑"/>
          <w:szCs w:val="14"/>
        </w:rPr>
        <w:t>项错误，一般法系中都不存在民法优先和商事优先观点。目前的主流观点为民商分立和民商合一两种。故选</w:t>
      </w:r>
      <w:r w:rsidRPr="00AD1216">
        <w:rPr>
          <w:rFonts w:ascii="微软雅黑" w:eastAsia="微软雅黑" w:cs="微软雅黑"/>
          <w:szCs w:val="14"/>
        </w:rPr>
        <w:t>B</w:t>
      </w:r>
      <w:r w:rsidRPr="00AD1216">
        <w:rPr>
          <w:rFonts w:ascii="微软雅黑" w:eastAsia="微软雅黑" w:cs="微软雅黑"/>
          <w:szCs w:val="14"/>
        </w:rPr>
        <w:t>。</w:t>
      </w:r>
    </w:p>
    <w:p w:rsidR="00AD1216" w14:paraId="3643EE6A" w14:textId="77777777">
      <w:pPr>
        <w:pStyle w:val="NormalWeb"/>
        <w:widowControl/>
        <w:spacing w:beforeAutospacing="0" w:after="260" w:afterAutospacing="0" w:line="360" w:lineRule="auto"/>
      </w:pPr>
      <w:r w:rsidRPr="00AD1216">
        <w:rPr>
          <w:rFonts w:ascii="微软雅黑" w:eastAsia="微软雅黑" w:cs="微软雅黑"/>
          <w:color w:val="0000FF"/>
          <w:szCs w:val="14"/>
        </w:rPr>
        <w:t>4</w:t>
      </w:r>
      <w:r w:rsidRPr="00AD1216">
        <w:rPr>
          <w:rFonts w:ascii="微软雅黑" w:eastAsia="微软雅黑" w:cs="微软雅黑"/>
          <w:color w:val="0000FF"/>
          <w:szCs w:val="14"/>
        </w:rPr>
        <w:t>．</w:t>
      </w:r>
      <w:r w:rsidRPr="00AD1216">
        <w:rPr>
          <w:rFonts w:ascii="微软雅黑" w:eastAsia="微软雅黑" w:cs="微软雅黑"/>
          <w:szCs w:val="14"/>
        </w:rPr>
        <w:t>在我国，十六周岁以上的未成年人以自己的劳动收入为主要生活来源的，应视为</w:t>
      </w:r>
      <w:r w:rsidRPr="00AD1216">
        <w:rPr>
          <w:rFonts w:ascii="微软雅黑" w:eastAsia="微软雅黑" w:cs="微软雅黑"/>
          <w:szCs w:val="14"/>
        </w:rPr>
        <w:t>()</w:t>
      </w:r>
      <w:r w:rsidRPr="00AD1216">
        <w:rPr>
          <w:rFonts w:ascii="微软雅黑" w:eastAsia="微软雅黑" w:cs="微软雅黑"/>
          <w:szCs w:val="14"/>
        </w:rPr>
        <w:t>。</w:t>
      </w:r>
    </w:p>
    <w:p w:rsidR="00AD1216" w14:paraId="671E2049"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、限制行为能力人</w:t>
      </w:r>
    </w:p>
    <w:p w:rsidR="00AD1216" w14:paraId="09C9912D"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、无行为能力人</w:t>
      </w:r>
    </w:p>
    <w:p w:rsidR="00AD1216" w14:paraId="14D31A1B"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、完全行为能力人</w:t>
      </w:r>
    </w:p>
    <w:p w:rsidR="00AD1216" w14:paraId="019D3E7A"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、部分限制行为能力人</w:t>
      </w:r>
    </w:p>
    <w:p w:rsidR="00AD1216" w14:paraId="0872786F"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C</w:t>
      </w:r>
    </w:p>
    <w:p w:rsidR="00AD1216" w14:paraId="2A82F0F3"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《民法典》第十八条第二款规定：十六周岁以上的未成年人，以自己的劳动收入为主要生活来源的，视为完全民事行为能力人。故选</w:t>
      </w:r>
      <w:r w:rsidRPr="00AD1216">
        <w:rPr>
          <w:rFonts w:ascii="微软雅黑" w:eastAsia="微软雅黑" w:cs="微软雅黑"/>
          <w:szCs w:val="14"/>
        </w:rPr>
        <w:t>C</w:t>
      </w:r>
      <w:r w:rsidRPr="00AD1216">
        <w:rPr>
          <w:rFonts w:ascii="微软雅黑" w:eastAsia="微软雅黑" w:cs="微软雅黑"/>
          <w:szCs w:val="14"/>
        </w:rPr>
        <w:t>。</w:t>
      </w:r>
    </w:p>
    <w:p w:rsidR="00AD1216" w14:paraId="7C626936" w14:textId="77777777">
      <w:pPr>
        <w:pStyle w:val="NormalWeb"/>
        <w:widowControl/>
        <w:spacing w:beforeAutospacing="0" w:after="260" w:afterAutospacing="0" w:line="360" w:lineRule="auto"/>
      </w:pPr>
      <w:r w:rsidRPr="00AD1216">
        <w:rPr>
          <w:rFonts w:ascii="微软雅黑" w:eastAsia="微软雅黑" w:cs="微软雅黑"/>
          <w:color w:val="0000FF"/>
          <w:szCs w:val="14"/>
        </w:rPr>
        <w:t>5</w:t>
      </w:r>
      <w:r w:rsidRPr="00AD1216">
        <w:rPr>
          <w:rFonts w:ascii="微软雅黑" w:eastAsia="微软雅黑" w:cs="微软雅黑"/>
          <w:color w:val="0000FF"/>
          <w:szCs w:val="14"/>
        </w:rPr>
        <w:t>．</w:t>
      </w:r>
      <w:r w:rsidRPr="00AD1216">
        <w:rPr>
          <w:rFonts w:ascii="微软雅黑" w:eastAsia="微软雅黑" w:cs="微软雅黑"/>
          <w:szCs w:val="14"/>
        </w:rPr>
        <w:t>王芳将自己所有的一套房子卖给陆七，但王芳由于孩子上学还想再住一段时间，遂又与陆七达成协议，暂时租住两个月，陆七表示应允，陆七取得该房子所有权的交付方法为</w:t>
      </w:r>
      <w:r w:rsidRPr="00AD1216">
        <w:rPr>
          <w:rFonts w:ascii="微软雅黑" w:eastAsia="微软雅黑" w:cs="微软雅黑"/>
          <w:szCs w:val="14"/>
        </w:rPr>
        <w:t>()</w:t>
      </w:r>
      <w:r w:rsidRPr="00AD1216">
        <w:rPr>
          <w:rFonts w:ascii="微软雅黑" w:eastAsia="微软雅黑" w:cs="微软雅黑"/>
          <w:szCs w:val="14"/>
        </w:rPr>
        <w:t>。</w:t>
      </w:r>
    </w:p>
    <w:p w:rsidR="00AD1216" w14:paraId="666B3763"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、简易交付</w:t>
      </w:r>
    </w:p>
    <w:p w:rsidR="00AD1216" w14:paraId="3A38AF73"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、指示交付</w:t>
      </w:r>
    </w:p>
    <w:p w:rsidR="00AD1216" w14:paraId="2BAFAA7E"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、占有改定</w:t>
      </w:r>
    </w:p>
    <w:p w:rsidR="00AD1216" w14:paraId="0D2C63D7"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、拟制交付</w:t>
      </w:r>
    </w:p>
    <w:p w:rsidR="00AD1216" w14:paraId="7AFEEE31"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C</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https://d.book118.com/368050074053006034</w:t>
        </w:r>
      </w:hyperlink>
    </w:p>
    <w:p w:rsidR="00AD1216">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rsidP="00AA6F0C" w14:paraId="4FACF75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1176" w14:paraId="153F8F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rsidP="00AA6F0C" w14:paraId="3998C9CC" w14:textId="31AAF6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81176" w14:paraId="5D1D77F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paraId="02D7EEE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rsidP="00AA6F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117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rsidP="00AA6F0C" w14:textId="31AAF6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8117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rsidP="00AA6F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117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rsidP="00AA6F0C" w14:textId="31AAF6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8117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paraId="4CD226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paraId="4FAE566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paraId="05F7CE2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17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81176"/>
    <w:rsid w:val="00A77B3E"/>
    <w:rsid w:val="00AA6F0C"/>
    <w:rsid w:val="00AD1216"/>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8D90826"/>
  <w15:docId w15:val="{73CB1867-1689-4D75-89C9-6D329E74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AD1216"/>
    <w:pPr>
      <w:widowControl w:val="0"/>
      <w:jc w:val="both"/>
    </w:pPr>
    <w:rPr>
      <w:rFonts w:ascii="等线" w:eastAsia="等线" w:hAnsi="等线"/>
      <w:kern w:val="2"/>
      <w:sz w:val="21"/>
      <w:szCs w:val="22"/>
    </w:rPr>
  </w:style>
  <w:style w:type="paragraph" w:styleId="NormalWeb">
    <w:name w:val="Normal (Web)"/>
    <w:basedOn w:val="1"/>
    <w:qFormat/>
    <w:rsid w:val="00AD1216"/>
    <w:pPr>
      <w:spacing w:beforeAutospacing="1" w:afterAutospacing="1"/>
      <w:jc w:val="left"/>
    </w:pPr>
    <w:rPr>
      <w:kern w:val="0"/>
      <w:sz w:val="24"/>
      <w:szCs w:val="24"/>
    </w:rPr>
  </w:style>
  <w:style w:type="paragraph" w:styleId="Header">
    <w:name w:val="header"/>
    <w:basedOn w:val="Normal"/>
    <w:link w:val="a"/>
    <w:rsid w:val="0038117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81176"/>
    <w:rPr>
      <w:sz w:val="18"/>
      <w:szCs w:val="18"/>
    </w:rPr>
  </w:style>
  <w:style w:type="paragraph" w:styleId="Footer">
    <w:name w:val="footer"/>
    <w:basedOn w:val="Normal"/>
    <w:link w:val="a0"/>
    <w:rsid w:val="00381176"/>
    <w:pPr>
      <w:tabs>
        <w:tab w:val="center" w:pos="4153"/>
        <w:tab w:val="right" w:pos="8306"/>
      </w:tabs>
      <w:snapToGrid w:val="0"/>
    </w:pPr>
    <w:rPr>
      <w:sz w:val="18"/>
      <w:szCs w:val="18"/>
    </w:rPr>
  </w:style>
  <w:style w:type="character" w:customStyle="1" w:styleId="a0">
    <w:name w:val="页脚 字符"/>
    <w:basedOn w:val="DefaultParagraphFont"/>
    <w:link w:val="Footer"/>
    <w:rsid w:val="00381176"/>
    <w:rPr>
      <w:sz w:val="18"/>
      <w:szCs w:val="18"/>
    </w:rPr>
  </w:style>
  <w:style w:type="character" w:styleId="PageNumber">
    <w:name w:val="page number"/>
    <w:basedOn w:val="DefaultParagraphFont"/>
    <w:rsid w:val="00381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68050074053006034"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3370</Words>
  <Characters>19215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2024-02-06T13:53:00Z</dcterms:created>
  <dcterms:modified xsi:type="dcterms:W3CDTF">2024-02-06T13:53:00Z</dcterms:modified>
</cp:coreProperties>
</file>