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洗浴服务项目可行性建设方案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0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8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_Toc24087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_Toc9484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_Toc12061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_Toc10637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_Toc4098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_Toc15431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53" w:history="1">
        <w:r>
          <w:rPr>
            <w:rFonts w:ascii="仿宋" w:eastAsia="仿宋" w:hAnsi="仿宋" w:cs="仿宋" w:hint="eastAsia"/>
            <w:lang w:eastAsia="zh-CN"/>
          </w:rPr>
          <w:t>二、建设风险评估分析</w:t>
        </w:r>
        <w:r>
          <w:tab/>
        </w:r>
        <w:r>
          <w:fldChar w:fldCharType="begin"/>
        </w:r>
        <w:r>
          <w:instrText xml:space="preserve"> PAGEREF _Toc13753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_Toc14101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_Toc28828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_Toc14120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_Toc17998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_Toc31720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_Toc20392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_Toc23983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_Toc8944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_Toc9119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57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_Toc5357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_Toc30944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_Toc12192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_Toc1284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_Toc29599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3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_Toc2153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_Toc24934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5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_Toc9425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_Toc29212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_Toc31621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0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_Toc9120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_Toc21947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_Toc6617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60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_Toc28960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7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_Toc10137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_Toc6575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_Toc25499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12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_Toc17212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_Toc21085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_Toc10332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_Toc13290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9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_Toc24979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_Toc15564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_Toc16113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68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_Toc31682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_Toc16254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14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_Toc31214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4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_Toc7464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7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_Toc20877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_Toc22805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_Toc6022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79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_Toc21379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0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_Toc5710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_Toc5016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06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_Toc3306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_Toc18133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_Toc31519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14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_Toc32014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_Toc3089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_Toc3333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_Toc31453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_Toc12075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_Toc26862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_Toc1807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2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_Toc7202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3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_Toc22903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_Toc2812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_Toc23627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55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_Toc3955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_Toc13997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_Toc7451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_Toc15090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_Toc32187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25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_Toc29025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_Toc28570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_Toc478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04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_Toc6904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4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_Toc15334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_Toc16533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25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_Toc14225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_Toc20789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_Toc8047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93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_Toc24193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_Toc29305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_Toc6072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36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_Toc18036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_Toc22789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_Toc5747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0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08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48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洗浴服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06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洗浴服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洗浴服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洗浴服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63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09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在洗浴服务项目启动前，将进行一系列深入的地质调查，包括钻探和土壤取样，以深入了解项目区域的地层结构和土壤组成。特别是对于土壤的承载能力和地下水位的深度进行详细评估。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完成初始的地质风险评估后，洗浴服务项目将安装长期地质监测设备，如倾斜仪、裂缝计和地下水位计，以持续监测地质条件的变化。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543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洗浴服务项目将通过这些措施来适应和尊重特殊环境条件，确保项目的可持续发展，同时减少对环境的负面影响。这不仅有助于保护自然和文化遗产，还能提升项目在社会责任方面的表现和形象。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3753"/>
      <w:r>
        <w:rPr>
          <w:rFonts w:ascii="仿宋" w:eastAsia="仿宋" w:hAnsi="仿宋" w:cs="仿宋" w:hint="eastAsia"/>
          <w:sz w:val="28"/>
          <w:lang w:eastAsia="zh-CN"/>
        </w:rPr>
        <w:t>二、建设风险评估分析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4101"/>
      <w:r>
        <w:rPr>
          <w:rFonts w:ascii="仿宋" w:eastAsia="仿宋" w:hAnsi="仿宋" w:cs="仿宋" w:hint="eastAsia"/>
          <w:lang w:eastAsia="zh-CN"/>
        </w:rPr>
        <w:t>(一)、政策风险分析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在管理层面，政策风险是一个需要认真管理和规避的关键因素。项目管理团队将采取以下措施来有效管理政策风险：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政策监测与分析：建立政策监测机制，密切关注所在地区和国际层面的政策变化。定期进行政策风险分析，评估潜在政策对项目的影响，以便及时调整策略。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政府关系建设：积极与政府部门建立密切的关系，参与政策制定和决策过程。与政府建立战略伙伴关系，争取政府的政策支持和税收优惠。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法律合规性：建立严格的法律合规性程序，确保项目的运营和管理始终符合当地和国家的法规要求。与法律专家合作，定期审查和更新法律合规性政策。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风险缓解与应对策略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https://d.book118.com/368065073010006026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洗浴服务项目可行性建设方案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485600"/>
    <w:rsid w:val="644856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6806507301000602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2023-12-23T06:36:00Z</dcterms:created>
  <dcterms:modified xsi:type="dcterms:W3CDTF">2023-12-23T06:37:00Z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AEA59A1E2D644775A8FAA9910E52986C_11</vt:lpwstr>
  </property>
  <property fmtid="{D5CDD505-2E9C-101B-9397-08002B2CF9AE}" pid="3" name="KSOProductBuildVer">
    <vt:lpwstr>2052-12.1.0.16120</vt:lpwstr>
  </property>
</Properties>
</file>