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before="123" w:line="254" w:lineRule="auto"/>
        <w:ind w:right="3406" w:firstLine="691"/>
      </w:pPr>
      <w:r>
        <w:rPr>
          <w:w w:val="95"/>
        </w:rPr>
        <w:t>吸收塔脚手架搭设及拆除专项施工方</w:t>
      </w:r>
      <w:r>
        <w:t>案</w:t>
      </w:r>
    </w:p>
    <w:p>
      <w:pPr>
        <w:pStyle w:val="BodyText"/>
        <w:rPr>
          <w:b/>
          <w:sz w:val="68"/>
        </w:rPr>
      </w:pPr>
    </w:p>
    <w:p>
      <w:pPr>
        <w:pStyle w:val="BodyText"/>
        <w:rPr>
          <w:b/>
          <w:sz w:val="68"/>
        </w:rPr>
      </w:pPr>
    </w:p>
    <w:p>
      <w:pPr>
        <w:pStyle w:val="BodyText"/>
        <w:rPr>
          <w:b/>
          <w:sz w:val="68"/>
        </w:rPr>
      </w:pPr>
    </w:p>
    <w:p>
      <w:pPr>
        <w:spacing w:before="514"/>
        <w:ind w:left="280" w:right="0" w:firstLine="0"/>
        <w:jc w:val="left"/>
        <w:rPr>
          <w:sz w:val="48"/>
        </w:rPr>
      </w:pPr>
      <w:r>
        <w:rPr>
          <w:w w:val="95"/>
          <w:sz w:val="48"/>
        </w:rPr>
        <w:t>编制：</w:t>
      </w:r>
    </w:p>
    <w:p>
      <w:pPr>
        <w:pStyle w:val="BodyText"/>
        <w:rPr>
          <w:sz w:val="48"/>
        </w:rPr>
      </w:pPr>
    </w:p>
    <w:p>
      <w:pPr>
        <w:pStyle w:val="BodyText"/>
        <w:spacing w:before="1"/>
        <w:rPr>
          <w:sz w:val="50"/>
        </w:rPr>
      </w:pPr>
    </w:p>
    <w:p>
      <w:pPr>
        <w:spacing w:before="0"/>
        <w:ind w:left="280" w:right="0" w:firstLine="0"/>
        <w:jc w:val="left"/>
        <w:rPr>
          <w:sz w:val="48"/>
        </w:rPr>
      </w:pPr>
      <w:r>
        <w:rPr>
          <w:w w:val="95"/>
          <w:sz w:val="48"/>
        </w:rPr>
        <w:t>审核：</w:t>
      </w:r>
    </w:p>
    <w:p>
      <w:pPr>
        <w:pStyle w:val="BodyText"/>
        <w:rPr>
          <w:sz w:val="48"/>
        </w:rPr>
      </w:pPr>
    </w:p>
    <w:p>
      <w:pPr>
        <w:pStyle w:val="BodyText"/>
        <w:spacing w:before="2"/>
        <w:rPr>
          <w:sz w:val="50"/>
        </w:rPr>
      </w:pPr>
    </w:p>
    <w:p>
      <w:pPr>
        <w:spacing w:before="0"/>
        <w:ind w:left="280" w:right="0" w:firstLine="0"/>
        <w:jc w:val="left"/>
        <w:rPr>
          <w:sz w:val="48"/>
        </w:rPr>
      </w:pPr>
      <w:r>
        <w:rPr>
          <w:w w:val="95"/>
          <w:sz w:val="48"/>
        </w:rPr>
        <w:t>批准：</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4"/>
        <w:rPr>
          <w:sz w:val="55"/>
        </w:rPr>
      </w:pPr>
    </w:p>
    <w:p>
      <w:pPr>
        <w:spacing w:before="0"/>
        <w:ind w:left="6257" w:right="6742" w:firstLine="0"/>
        <w:jc w:val="center"/>
        <w:rPr>
          <w:sz w:val="48"/>
        </w:rPr>
      </w:pPr>
      <w:r>
        <w:rPr>
          <w:sz w:val="48"/>
        </w:rPr>
        <w:t>2015-12-09</w:t>
      </w:r>
    </w:p>
    <w:p>
      <w:pPr>
        <w:spacing w:after="0"/>
        <w:jc w:val="center"/>
        <w:rPr>
          <w:sz w:val="48"/>
        </w:rPr>
        <w:sectPr>
          <w:type w:val="continuous"/>
          <w:pgSz w:w="17860" w:h="25260"/>
          <w:pgMar w:top="2420" w:right="0" w:bottom="280" w:left="2420" w:header="708" w:footer="70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8"/>
        </w:rPr>
      </w:pPr>
    </w:p>
    <w:p>
      <w:pPr>
        <w:tabs>
          <w:tab w:val="left" w:pos="1331"/>
        </w:tabs>
        <w:spacing w:before="42"/>
        <w:ind w:left="280" w:right="0" w:firstLine="0"/>
        <w:jc w:val="left"/>
        <w:rPr>
          <w:sz w:val="42"/>
        </w:rPr>
      </w:pPr>
      <w:r>
        <w:rPr>
          <w:sz w:val="42"/>
        </w:rPr>
        <w:t>目</w:t>
        <w:tab/>
        <w:t>录</w:t>
      </w:r>
    </w:p>
    <w:p>
      <w:pPr>
        <w:pStyle w:val="ListParagraph"/>
        <w:numPr>
          <w:ilvl w:val="0"/>
          <w:numId w:val="14"/>
        </w:numPr>
        <w:tabs>
          <w:tab w:val="left" w:pos="915"/>
          <w:tab w:val="right" w:leader="dot" w:pos="12700"/>
        </w:tabs>
        <w:spacing w:before="398" w:after="0" w:line="240" w:lineRule="auto"/>
        <w:ind w:left="914" w:right="0" w:hanging="635"/>
        <w:jc w:val="left"/>
        <w:rPr>
          <w:sz w:val="42"/>
        </w:rPr>
      </w:pPr>
      <w:r>
        <w:rPr>
          <w:sz w:val="42"/>
        </w:rPr>
        <w:t>施工概况</w:t>
        <w:tab/>
        <w:t>1</w:t>
      </w:r>
    </w:p>
    <w:p>
      <w:pPr>
        <w:pStyle w:val="ListParagraph"/>
        <w:numPr>
          <w:ilvl w:val="0"/>
          <w:numId w:val="14"/>
        </w:numPr>
        <w:tabs>
          <w:tab w:val="left" w:pos="915"/>
          <w:tab w:val="right" w:leader="dot" w:pos="12694"/>
        </w:tabs>
        <w:spacing w:before="398" w:after="0" w:line="240" w:lineRule="auto"/>
        <w:ind w:left="914" w:right="0" w:hanging="635"/>
        <w:jc w:val="left"/>
        <w:rPr>
          <w:sz w:val="42"/>
        </w:rPr>
      </w:pPr>
      <w:r>
        <w:rPr>
          <w:sz w:val="42"/>
        </w:rPr>
        <w:t>依据的图纸、文件及标准</w:t>
        <w:tab/>
        <w:t>1</w:t>
      </w:r>
    </w:p>
    <w:p>
      <w:pPr>
        <w:pStyle w:val="ListParagraph"/>
        <w:numPr>
          <w:ilvl w:val="0"/>
          <w:numId w:val="14"/>
        </w:numPr>
        <w:tabs>
          <w:tab w:val="left" w:pos="915"/>
          <w:tab w:val="right" w:leader="dot" w:pos="12700"/>
        </w:tabs>
        <w:spacing w:before="398" w:after="0" w:line="240" w:lineRule="auto"/>
        <w:ind w:left="914" w:right="0" w:hanging="635"/>
        <w:jc w:val="left"/>
        <w:rPr>
          <w:sz w:val="42"/>
        </w:rPr>
      </w:pPr>
      <w:r>
        <w:rPr>
          <w:sz w:val="42"/>
        </w:rPr>
        <w:t>脚手架构造</w:t>
        <w:tab/>
        <w:t>1</w:t>
      </w:r>
    </w:p>
    <w:p>
      <w:pPr>
        <w:pStyle w:val="ListParagraph"/>
        <w:numPr>
          <w:ilvl w:val="0"/>
          <w:numId w:val="14"/>
        </w:numPr>
        <w:tabs>
          <w:tab w:val="left" w:pos="915"/>
          <w:tab w:val="right" w:leader="dot" w:pos="12700"/>
        </w:tabs>
        <w:spacing w:before="398" w:after="0" w:line="240" w:lineRule="auto"/>
        <w:ind w:left="914" w:right="0" w:hanging="635"/>
        <w:jc w:val="left"/>
        <w:rPr>
          <w:sz w:val="42"/>
        </w:rPr>
      </w:pPr>
      <w:r>
        <w:rPr>
          <w:sz w:val="42"/>
        </w:rPr>
        <w:t>施工准备</w:t>
        <w:tab/>
        <w:t>2</w:t>
      </w:r>
    </w:p>
    <w:p>
      <w:pPr>
        <w:pStyle w:val="ListParagraph"/>
        <w:numPr>
          <w:ilvl w:val="0"/>
          <w:numId w:val="14"/>
        </w:numPr>
        <w:tabs>
          <w:tab w:val="left" w:pos="915"/>
          <w:tab w:val="right" w:leader="dot" w:pos="12697"/>
        </w:tabs>
        <w:spacing w:before="398" w:after="0" w:line="240" w:lineRule="auto"/>
        <w:ind w:left="914" w:right="0" w:hanging="635"/>
        <w:jc w:val="left"/>
        <w:rPr>
          <w:sz w:val="42"/>
        </w:rPr>
      </w:pPr>
      <w:r>
        <w:rPr>
          <w:sz w:val="42"/>
        </w:rPr>
        <w:t>主要搭设程序</w:t>
        <w:tab/>
        <w:t>2</w:t>
      </w:r>
    </w:p>
    <w:p>
      <w:pPr>
        <w:pStyle w:val="ListParagraph"/>
        <w:numPr>
          <w:ilvl w:val="0"/>
          <w:numId w:val="14"/>
        </w:numPr>
        <w:tabs>
          <w:tab w:val="left" w:pos="915"/>
          <w:tab w:val="right" w:leader="dot" w:pos="12700"/>
        </w:tabs>
        <w:spacing w:before="398" w:after="0" w:line="240" w:lineRule="auto"/>
        <w:ind w:left="914" w:right="0" w:hanging="635"/>
        <w:jc w:val="left"/>
        <w:rPr>
          <w:sz w:val="42"/>
        </w:rPr>
      </w:pPr>
      <w:r>
        <w:rPr>
          <w:sz w:val="42"/>
        </w:rPr>
        <w:t>脚手架拆除</w:t>
        <w:tab/>
        <w:t>4</w:t>
      </w:r>
    </w:p>
    <w:p>
      <w:pPr>
        <w:pStyle w:val="ListParagraph"/>
        <w:numPr>
          <w:ilvl w:val="0"/>
          <w:numId w:val="14"/>
        </w:numPr>
        <w:tabs>
          <w:tab w:val="left" w:pos="1122"/>
          <w:tab w:val="left" w:pos="1123"/>
        </w:tabs>
        <w:spacing w:before="398" w:after="0" w:line="240" w:lineRule="auto"/>
        <w:ind w:left="1123" w:right="0" w:hanging="843"/>
        <w:jc w:val="left"/>
        <w:rPr>
          <w:sz w:val="42"/>
        </w:rPr>
      </w:pPr>
      <w:r>
        <w:rPr>
          <w:sz w:val="42"/>
        </w:rPr>
        <w:t>注意事</w:t>
      </w:r>
    </w:p>
    <w:p>
      <w:pPr>
        <w:tabs>
          <w:tab w:val="right" w:leader="dot" w:pos="10810"/>
        </w:tabs>
        <w:spacing w:before="398"/>
        <w:ind w:left="280" w:right="0" w:firstLine="0"/>
        <w:jc w:val="left"/>
        <w:rPr>
          <w:sz w:val="42"/>
        </w:rPr>
      </w:pPr>
      <w:r>
        <w:rPr>
          <w:sz w:val="42"/>
        </w:rPr>
        <w:t>项</w:t>
        <w:tab/>
        <w:t>4</w:t>
      </w:r>
    </w:p>
    <w:p>
      <w:pPr>
        <w:pStyle w:val="ListParagraph"/>
        <w:numPr>
          <w:ilvl w:val="0"/>
          <w:numId w:val="14"/>
        </w:numPr>
        <w:tabs>
          <w:tab w:val="left" w:pos="1122"/>
          <w:tab w:val="left" w:pos="1123"/>
        </w:tabs>
        <w:spacing w:before="398" w:after="0" w:line="240" w:lineRule="auto"/>
        <w:ind w:left="1123" w:right="0" w:hanging="843"/>
        <w:jc w:val="left"/>
        <w:rPr>
          <w:sz w:val="42"/>
        </w:rPr>
      </w:pPr>
      <w:r>
        <w:rPr>
          <w:sz w:val="42"/>
        </w:rPr>
        <w:t>安全措</w:t>
      </w:r>
    </w:p>
    <w:p>
      <w:pPr>
        <w:tabs>
          <w:tab w:val="right" w:leader="dot" w:pos="10810"/>
        </w:tabs>
        <w:spacing w:before="398"/>
        <w:ind w:left="280" w:right="0" w:firstLine="0"/>
        <w:jc w:val="left"/>
        <w:rPr>
          <w:sz w:val="42"/>
        </w:rPr>
      </w:pPr>
      <w:r>
        <w:rPr>
          <w:sz w:val="42"/>
        </w:rPr>
        <w:t>施</w:t>
        <w:tab/>
        <w:t>4</w:t>
      </w:r>
    </w:p>
    <w:p>
      <w:pPr>
        <w:spacing w:before="398"/>
        <w:ind w:left="280" w:right="0" w:firstLine="0"/>
        <w:jc w:val="left"/>
        <w:rPr>
          <w:sz w:val="42"/>
        </w:rPr>
      </w:pPr>
      <w:r>
        <w:rPr>
          <w:sz w:val="42"/>
        </w:rPr>
        <w:t>脚手架安全承载力计</w:t>
      </w:r>
    </w:p>
    <w:p>
      <w:pPr>
        <w:tabs>
          <w:tab w:val="right" w:leader="dot" w:pos="9125"/>
        </w:tabs>
        <w:spacing w:before="398"/>
        <w:ind w:left="280" w:right="0" w:firstLine="0"/>
        <w:jc w:val="left"/>
        <w:rPr>
          <w:sz w:val="42"/>
        </w:rPr>
      </w:pPr>
      <w:r>
        <w:rPr>
          <w:sz w:val="42"/>
        </w:rPr>
        <w:t>算</w:t>
        <w:tab/>
        <w:t>6</w:t>
      </w:r>
    </w:p>
    <w:p>
      <w:pPr>
        <w:spacing w:before="398" w:line="417" w:lineRule="auto"/>
        <w:ind w:left="280" w:right="4551" w:firstLine="0"/>
        <w:jc w:val="left"/>
        <w:rPr>
          <w:sz w:val="42"/>
        </w:rPr>
      </w:pPr>
      <w:r>
        <w:rPr>
          <w:sz w:val="42"/>
        </w:rPr>
        <w:t xml:space="preserve">附表 </w:t>
      </w:r>
      <w:r>
        <w:rPr>
          <w:rFonts w:ascii="Times New Roman" w:eastAsia="Times New Roman"/>
          <w:sz w:val="42"/>
        </w:rPr>
        <w:t xml:space="preserve">1 </w:t>
      </w:r>
      <w:r>
        <w:rPr>
          <w:sz w:val="42"/>
        </w:rPr>
        <w:t xml:space="preserve">脱硫设备烟道安装工程强制性条文执行情况检查表附表 </w:t>
      </w:r>
      <w:r>
        <w:rPr>
          <w:rFonts w:ascii="Times New Roman" w:eastAsia="Times New Roman"/>
          <w:sz w:val="42"/>
        </w:rPr>
        <w:t>2</w:t>
      </w:r>
      <w:r>
        <w:rPr>
          <w:sz w:val="42"/>
        </w:rPr>
        <w:t>：绿色施工实施计划表</w:t>
      </w:r>
    </w:p>
    <w:p>
      <w:pPr>
        <w:spacing w:before="0" w:line="417" w:lineRule="auto"/>
        <w:ind w:left="280" w:right="10102" w:firstLine="0"/>
        <w:jc w:val="left"/>
        <w:rPr>
          <w:sz w:val="42"/>
        </w:rPr>
      </w:pPr>
      <w:r>
        <w:rPr>
          <w:sz w:val="42"/>
        </w:rPr>
        <w:t>工作危险源识别</w:t>
      </w:r>
      <w:r>
        <w:rPr>
          <w:spacing w:val="-3"/>
          <w:sz w:val="42"/>
        </w:rPr>
        <w:t>（</w:t>
      </w:r>
      <w:r>
        <w:rPr>
          <w:rFonts w:ascii="Times New Roman" w:eastAsia="Times New Roman"/>
          <w:spacing w:val="-3"/>
          <w:sz w:val="42"/>
        </w:rPr>
        <w:t>JHA</w:t>
      </w:r>
      <w:r>
        <w:rPr>
          <w:spacing w:val="-3"/>
          <w:sz w:val="42"/>
        </w:rPr>
        <w:t xml:space="preserve">） </w:t>
      </w:r>
      <w:r>
        <w:rPr>
          <w:sz w:val="42"/>
        </w:rPr>
        <w:t xml:space="preserve">重大风险作业及控制措施 </w:t>
      </w:r>
      <w:r>
        <w:rPr>
          <w:spacing w:val="-2"/>
          <w:sz w:val="42"/>
        </w:rPr>
        <w:t>重要环境因素及控制措施表</w:t>
      </w:r>
    </w:p>
    <w:p>
      <w:pPr>
        <w:spacing w:before="0"/>
        <w:ind w:left="280" w:right="0" w:firstLine="0"/>
        <w:jc w:val="left"/>
        <w:rPr>
          <w:sz w:val="42"/>
        </w:rPr>
      </w:pPr>
      <w:r>
        <w:rPr>
          <w:sz w:val="42"/>
        </w:rPr>
        <w:t>重大风险作业危险控制措施验证表</w:t>
      </w:r>
    </w:p>
    <w:p>
      <w:pPr>
        <w:spacing w:after="0"/>
        <w:jc w:val="left"/>
        <w:rPr>
          <w:sz w:val="42"/>
        </w:rPr>
        <w:sectPr>
          <w:pgSz w:w="17860" w:h="25260"/>
          <w:pgMar w:top="2420" w:right="0" w:bottom="280" w:left="2420" w:header="708" w:footer="708"/>
          <w:pgNumType w:start="2"/>
          <w:cols w:space="708"/>
        </w:sect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4"/>
        <w:ind w:left="280" w:right="0" w:firstLine="0"/>
        <w:jc w:val="both"/>
        <w:rPr>
          <w:sz w:val="69"/>
        </w:rPr>
      </w:pPr>
      <w:r>
        <w:rPr>
          <w:sz w:val="69"/>
        </w:rPr>
        <w:t>#4 吸收塔脚手架搭设及拆除</w:t>
      </w:r>
    </w:p>
    <w:p>
      <w:pPr>
        <w:pStyle w:val="ListParagraph"/>
        <w:numPr>
          <w:ilvl w:val="0"/>
          <w:numId w:val="13"/>
        </w:numPr>
        <w:tabs>
          <w:tab w:val="left" w:pos="821"/>
        </w:tabs>
        <w:spacing w:before="314" w:after="0" w:line="240" w:lineRule="auto"/>
        <w:ind w:left="820" w:right="0" w:hanging="541"/>
        <w:jc w:val="both"/>
        <w:rPr>
          <w:sz w:val="36"/>
        </w:rPr>
      </w:pPr>
      <w:r>
        <w:rPr>
          <w:sz w:val="36"/>
        </w:rPr>
        <w:t>施工概况</w:t>
      </w:r>
    </w:p>
    <w:p>
      <w:pPr>
        <w:pStyle w:val="BodyText"/>
        <w:spacing w:before="7" w:line="242" w:lineRule="auto"/>
        <w:ind w:left="280" w:right="2696"/>
        <w:jc w:val="both"/>
      </w:pPr>
      <w:r>
        <w:rPr>
          <w:spacing w:val="-11"/>
        </w:rPr>
        <w:t>热电生产中心取消旁路烟道改造项目，新建</w:t>
      </w:r>
      <w:r>
        <w:rPr>
          <w:rFonts w:ascii="Arial" w:eastAsia="Arial" w:hAnsi="Arial"/>
        </w:rPr>
        <w:t xml:space="preserve">#4 </w:t>
      </w:r>
      <w:r>
        <w:rPr>
          <w:spacing w:val="-18"/>
        </w:rPr>
        <w:t>吸收塔，吸收塔上部直径</w:t>
      </w:r>
      <w:r>
        <w:t>φ</w:t>
      </w:r>
      <w:r>
        <w:rPr>
          <w:rFonts w:ascii="Arial" w:eastAsia="Arial" w:hAnsi="Arial"/>
        </w:rPr>
        <w:t>3.8m</w:t>
      </w:r>
      <w:r>
        <w:rPr>
          <w:spacing w:val="-12"/>
        </w:rPr>
        <w:t>、</w:t>
      </w:r>
      <w:r>
        <w:t>下部直径φ</w:t>
      </w:r>
      <w:r>
        <w:rPr>
          <w:rFonts w:ascii="Arial" w:eastAsia="Arial" w:hAnsi="Arial"/>
        </w:rPr>
        <w:t>8.6m</w:t>
      </w:r>
      <w:r>
        <w:rPr>
          <w:spacing w:val="-12"/>
        </w:rPr>
        <w:t xml:space="preserve">，吸收塔顶标高 </w:t>
      </w:r>
      <w:r>
        <w:rPr>
          <w:rFonts w:ascii="Arial" w:eastAsia="Arial" w:hAnsi="Arial"/>
        </w:rPr>
        <w:t>40m</w:t>
      </w:r>
      <w:r>
        <w:t>。现阶段吸收塔需要搭设的脚手架有：吸收塔原烟道入口组合安装用脚手架搭设、吸收塔内部施工脚手架搭设。</w:t>
      </w:r>
    </w:p>
    <w:p>
      <w:pPr>
        <w:pStyle w:val="ListParagraph"/>
        <w:numPr>
          <w:ilvl w:val="0"/>
          <w:numId w:val="13"/>
        </w:numPr>
        <w:tabs>
          <w:tab w:val="left" w:pos="821"/>
        </w:tabs>
        <w:spacing w:before="6" w:after="0" w:line="459" w:lineRule="exact"/>
        <w:ind w:left="820" w:right="0" w:hanging="541"/>
        <w:jc w:val="left"/>
        <w:rPr>
          <w:sz w:val="36"/>
        </w:rPr>
      </w:pPr>
      <w:r>
        <w:rPr>
          <w:sz w:val="36"/>
        </w:rPr>
        <w:t>依据的图纸、文件及标准</w:t>
      </w:r>
    </w:p>
    <w:p>
      <w:pPr>
        <w:pStyle w:val="ListParagraph"/>
        <w:numPr>
          <w:ilvl w:val="1"/>
          <w:numId w:val="13"/>
        </w:numPr>
        <w:tabs>
          <w:tab w:val="left" w:pos="821"/>
        </w:tabs>
        <w:spacing w:before="0" w:after="0" w:line="459" w:lineRule="exact"/>
        <w:ind w:left="820" w:right="0" w:hanging="541"/>
        <w:jc w:val="left"/>
        <w:rPr>
          <w:sz w:val="36"/>
        </w:rPr>
      </w:pPr>
      <w:r>
        <w:rPr>
          <w:sz w:val="36"/>
        </w:rPr>
        <w:t>工程建设标准强制性条文《电力工程部分》</w:t>
      </w:r>
      <w:r>
        <w:rPr>
          <w:rFonts w:ascii="Times New Roman" w:eastAsia="Times New Roman"/>
          <w:sz w:val="36"/>
        </w:rPr>
        <w:t>2011</w:t>
      </w:r>
      <w:r>
        <w:rPr>
          <w:rFonts w:ascii="Times New Roman" w:eastAsia="Times New Roman"/>
          <w:spacing w:val="-15"/>
          <w:sz w:val="36"/>
        </w:rPr>
        <w:t xml:space="preserve"> </w:t>
      </w:r>
      <w:r>
        <w:rPr>
          <w:sz w:val="36"/>
        </w:rPr>
        <w:t>版</w:t>
      </w:r>
    </w:p>
    <w:p>
      <w:pPr>
        <w:pStyle w:val="BodyText"/>
        <w:spacing w:before="8"/>
        <w:ind w:left="280"/>
        <w:rPr>
          <w:rFonts w:ascii="Times New Roman" w:eastAsia="Times New Roman"/>
        </w:rPr>
      </w:pPr>
      <w:r>
        <w:rPr>
          <w:rFonts w:ascii="Times New Roman" w:eastAsia="Times New Roman"/>
        </w:rPr>
        <w:t xml:space="preserve">2.2 </w:t>
      </w:r>
      <w:r>
        <w:t xml:space="preserve">电力建设安全工作规程 </w:t>
      </w:r>
      <w:r>
        <w:rPr>
          <w:rFonts w:ascii="Times New Roman" w:eastAsia="Times New Roman"/>
        </w:rPr>
        <w:t>DL5009.1</w:t>
      </w:r>
      <w:r>
        <w:rPr>
          <w:rFonts w:ascii="Arial" w:eastAsia="Arial"/>
        </w:rPr>
        <w:t>---</w:t>
      </w:r>
      <w:r>
        <w:rPr>
          <w:rFonts w:ascii="Times New Roman" w:eastAsia="Times New Roman"/>
        </w:rPr>
        <w:t>2002</w:t>
      </w:r>
    </w:p>
    <w:p>
      <w:pPr>
        <w:pStyle w:val="ListParagraph"/>
        <w:numPr>
          <w:ilvl w:val="1"/>
          <w:numId w:val="12"/>
        </w:numPr>
        <w:tabs>
          <w:tab w:val="left" w:pos="821"/>
        </w:tabs>
        <w:spacing w:before="7" w:after="0" w:line="240" w:lineRule="auto"/>
        <w:ind w:left="820" w:right="0" w:hanging="541"/>
        <w:jc w:val="left"/>
        <w:rPr>
          <w:rFonts w:ascii="Times New Roman" w:eastAsia="Times New Roman"/>
          <w:sz w:val="36"/>
        </w:rPr>
      </w:pPr>
      <w:r>
        <w:rPr>
          <w:spacing w:val="-5"/>
          <w:sz w:val="36"/>
        </w:rPr>
        <w:t xml:space="preserve">电力建设安全健康与环境管理工作规定 </w:t>
      </w:r>
      <w:r>
        <w:rPr>
          <w:rFonts w:ascii="Times New Roman" w:eastAsia="Times New Roman"/>
          <w:sz w:val="36"/>
        </w:rPr>
        <w:t>2002</w:t>
      </w:r>
      <w:r>
        <w:rPr>
          <w:rFonts w:ascii="Arial" w:eastAsia="Arial"/>
          <w:sz w:val="36"/>
        </w:rPr>
        <w:t>-</w:t>
      </w:r>
      <w:r>
        <w:rPr>
          <w:rFonts w:ascii="Times New Roman" w:eastAsia="Times New Roman"/>
          <w:sz w:val="36"/>
        </w:rPr>
        <w:t>01</w:t>
      </w:r>
      <w:r>
        <w:rPr>
          <w:rFonts w:ascii="Arial" w:eastAsia="Arial"/>
          <w:sz w:val="36"/>
        </w:rPr>
        <w:t>-</w:t>
      </w:r>
      <w:r>
        <w:rPr>
          <w:rFonts w:ascii="Times New Roman" w:eastAsia="Times New Roman"/>
          <w:sz w:val="36"/>
        </w:rPr>
        <w:t>21</w:t>
      </w:r>
    </w:p>
    <w:p>
      <w:pPr>
        <w:pStyle w:val="ListParagraph"/>
        <w:numPr>
          <w:ilvl w:val="1"/>
          <w:numId w:val="12"/>
        </w:numPr>
        <w:tabs>
          <w:tab w:val="left" w:pos="821"/>
        </w:tabs>
        <w:spacing w:before="6" w:after="0" w:line="240" w:lineRule="auto"/>
        <w:ind w:left="820" w:right="0" w:hanging="541"/>
        <w:jc w:val="left"/>
        <w:rPr>
          <w:rFonts w:ascii="Times New Roman" w:eastAsia="Times New Roman"/>
          <w:sz w:val="36"/>
        </w:rPr>
      </w:pPr>
      <w:r>
        <w:rPr>
          <w:spacing w:val="-5"/>
          <w:sz w:val="36"/>
        </w:rPr>
        <w:t xml:space="preserve">建筑施工扣件式钢管脚手架安全技术规范 </w:t>
      </w:r>
      <w:r>
        <w:rPr>
          <w:rFonts w:ascii="Times New Roman" w:eastAsia="Times New Roman"/>
          <w:sz w:val="36"/>
        </w:rPr>
        <w:t>JGJ130</w:t>
      </w:r>
      <w:r>
        <w:rPr>
          <w:rFonts w:ascii="Arial" w:eastAsia="Arial"/>
          <w:sz w:val="36"/>
        </w:rPr>
        <w:t>-</w:t>
      </w:r>
      <w:r>
        <w:rPr>
          <w:rFonts w:ascii="Times New Roman" w:eastAsia="Times New Roman"/>
          <w:sz w:val="36"/>
        </w:rPr>
        <w:t>2011</w:t>
      </w:r>
    </w:p>
    <w:p>
      <w:pPr>
        <w:pStyle w:val="ListParagraph"/>
        <w:numPr>
          <w:ilvl w:val="1"/>
          <w:numId w:val="12"/>
        </w:numPr>
        <w:tabs>
          <w:tab w:val="left" w:pos="821"/>
        </w:tabs>
        <w:spacing w:before="7" w:after="0" w:line="240" w:lineRule="auto"/>
        <w:ind w:left="820" w:right="0" w:hanging="541"/>
        <w:jc w:val="left"/>
        <w:rPr>
          <w:rFonts w:ascii="Times New Roman" w:eastAsia="Times New Roman"/>
          <w:sz w:val="36"/>
        </w:rPr>
      </w:pPr>
      <w:r>
        <w:rPr>
          <w:spacing w:val="-7"/>
          <w:sz w:val="36"/>
        </w:rPr>
        <w:t xml:space="preserve">建筑施工特种人员管理规定 </w:t>
      </w:r>
      <w:r>
        <w:rPr>
          <w:rFonts w:ascii="Times New Roman" w:eastAsia="Times New Roman"/>
          <w:sz w:val="36"/>
        </w:rPr>
        <w:t>2008</w:t>
      </w:r>
    </w:p>
    <w:p>
      <w:pPr>
        <w:pStyle w:val="ListParagraph"/>
        <w:numPr>
          <w:ilvl w:val="1"/>
          <w:numId w:val="12"/>
        </w:numPr>
        <w:tabs>
          <w:tab w:val="left" w:pos="732"/>
        </w:tabs>
        <w:spacing w:before="7" w:after="0" w:line="240" w:lineRule="auto"/>
        <w:ind w:left="731" w:right="0" w:hanging="452"/>
        <w:jc w:val="left"/>
        <w:rPr>
          <w:sz w:val="36"/>
        </w:rPr>
      </w:pPr>
      <w:r>
        <w:rPr>
          <w:spacing w:val="-9"/>
          <w:sz w:val="36"/>
        </w:rPr>
        <w:t>《火电厂烟气脱硫工程施工质量验收及评定规程》</w:t>
      </w:r>
      <w:r>
        <w:rPr>
          <w:sz w:val="36"/>
        </w:rPr>
        <w:t>（</w:t>
      </w:r>
      <w:r>
        <w:rPr>
          <w:rFonts w:ascii="Times New Roman" w:eastAsia="Times New Roman"/>
          <w:sz w:val="36"/>
        </w:rPr>
        <w:t>DLT</w:t>
      </w:r>
      <w:r>
        <w:rPr>
          <w:rFonts w:ascii="Times New Roman" w:eastAsia="Times New Roman"/>
          <w:spacing w:val="-1"/>
          <w:sz w:val="36"/>
        </w:rPr>
        <w:t xml:space="preserve"> </w:t>
      </w:r>
      <w:r>
        <w:rPr>
          <w:rFonts w:ascii="Times New Roman" w:eastAsia="Times New Roman"/>
          <w:spacing w:val="-4"/>
          <w:sz w:val="36"/>
        </w:rPr>
        <w:t>5417</w:t>
      </w:r>
      <w:r>
        <w:rPr>
          <w:rFonts w:ascii="Arial" w:eastAsia="Arial"/>
          <w:spacing w:val="-4"/>
          <w:sz w:val="36"/>
        </w:rPr>
        <w:t>-</w:t>
      </w:r>
      <w:r>
        <w:rPr>
          <w:rFonts w:ascii="Times New Roman" w:eastAsia="Times New Roman"/>
          <w:spacing w:val="-4"/>
          <w:sz w:val="36"/>
        </w:rPr>
        <w:t>2009</w:t>
      </w:r>
      <w:r>
        <w:rPr>
          <w:spacing w:val="-4"/>
          <w:sz w:val="36"/>
        </w:rPr>
        <w:t>）</w:t>
      </w:r>
    </w:p>
    <w:p>
      <w:pPr>
        <w:pStyle w:val="ListParagraph"/>
        <w:numPr>
          <w:ilvl w:val="1"/>
          <w:numId w:val="12"/>
        </w:numPr>
        <w:tabs>
          <w:tab w:val="left" w:pos="732"/>
        </w:tabs>
        <w:spacing w:before="7" w:after="0" w:line="240" w:lineRule="auto"/>
        <w:ind w:left="731" w:right="0" w:hanging="452"/>
        <w:jc w:val="left"/>
        <w:rPr>
          <w:sz w:val="36"/>
        </w:rPr>
      </w:pPr>
      <w:r>
        <w:rPr>
          <w:sz w:val="36"/>
        </w:rPr>
        <w:t>《建设工程安全生产管理条例》</w:t>
      </w:r>
      <w:r>
        <w:rPr>
          <w:rFonts w:ascii="Times New Roman" w:eastAsia="Times New Roman"/>
          <w:sz w:val="36"/>
        </w:rPr>
        <w:t xml:space="preserve">2000 </w:t>
      </w:r>
      <w:r>
        <w:rPr>
          <w:spacing w:val="-45"/>
          <w:sz w:val="36"/>
        </w:rPr>
        <w:t xml:space="preserve">年 </w:t>
      </w:r>
      <w:r>
        <w:rPr>
          <w:rFonts w:ascii="Times New Roman" w:eastAsia="Times New Roman"/>
          <w:sz w:val="36"/>
        </w:rPr>
        <w:t xml:space="preserve">1 </w:t>
      </w:r>
      <w:r>
        <w:rPr>
          <w:spacing w:val="-45"/>
          <w:sz w:val="36"/>
        </w:rPr>
        <w:t xml:space="preserve">月 </w:t>
      </w:r>
      <w:r>
        <w:rPr>
          <w:rFonts w:ascii="Times New Roman" w:eastAsia="Times New Roman"/>
          <w:sz w:val="36"/>
        </w:rPr>
        <w:t>30</w:t>
      </w:r>
      <w:r>
        <w:rPr>
          <w:rFonts w:ascii="Times New Roman" w:eastAsia="Times New Roman"/>
          <w:spacing w:val="-1"/>
          <w:sz w:val="36"/>
        </w:rPr>
        <w:t xml:space="preserve"> </w:t>
      </w:r>
      <w:r>
        <w:rPr>
          <w:sz w:val="36"/>
        </w:rPr>
        <w:t>日发布并实施</w:t>
      </w:r>
    </w:p>
    <w:p>
      <w:pPr>
        <w:pStyle w:val="ListParagraph"/>
        <w:numPr>
          <w:ilvl w:val="1"/>
          <w:numId w:val="12"/>
        </w:numPr>
        <w:tabs>
          <w:tab w:val="left" w:pos="821"/>
        </w:tabs>
        <w:spacing w:before="6" w:after="0" w:line="240" w:lineRule="auto"/>
        <w:ind w:left="820" w:right="0" w:hanging="541"/>
        <w:jc w:val="left"/>
        <w:rPr>
          <w:rFonts w:ascii="Times New Roman" w:eastAsia="Times New Roman"/>
          <w:sz w:val="36"/>
        </w:rPr>
      </w:pPr>
      <w:r>
        <w:rPr>
          <w:spacing w:val="-5"/>
          <w:sz w:val="36"/>
        </w:rPr>
        <w:t xml:space="preserve">火力发电建设工程启动试运及验收规范 </w:t>
      </w:r>
      <w:r>
        <w:rPr>
          <w:rFonts w:ascii="Times New Roman" w:eastAsia="Times New Roman"/>
          <w:sz w:val="36"/>
        </w:rPr>
        <w:t>DL/T5437</w:t>
      </w:r>
      <w:r>
        <w:rPr>
          <w:rFonts w:ascii="Arial" w:eastAsia="Arial"/>
          <w:sz w:val="36"/>
        </w:rPr>
        <w:t>-</w:t>
      </w:r>
      <w:r>
        <w:rPr>
          <w:rFonts w:ascii="Times New Roman" w:eastAsia="Times New Roman"/>
          <w:sz w:val="36"/>
        </w:rPr>
        <w:t>2009</w:t>
      </w:r>
    </w:p>
    <w:p>
      <w:pPr>
        <w:pStyle w:val="ListParagraph"/>
        <w:numPr>
          <w:ilvl w:val="1"/>
          <w:numId w:val="12"/>
        </w:numPr>
        <w:tabs>
          <w:tab w:val="left" w:pos="821"/>
        </w:tabs>
        <w:spacing w:before="7" w:after="0" w:line="240" w:lineRule="auto"/>
        <w:ind w:left="820" w:right="0" w:hanging="541"/>
        <w:jc w:val="left"/>
        <w:rPr>
          <w:sz w:val="36"/>
        </w:rPr>
      </w:pPr>
      <w:r>
        <w:rPr>
          <w:sz w:val="36"/>
        </w:rPr>
        <w:t>总平面图、吸收塔安装图纸</w:t>
      </w:r>
    </w:p>
    <w:p>
      <w:pPr>
        <w:pStyle w:val="ListParagraph"/>
        <w:numPr>
          <w:ilvl w:val="0"/>
          <w:numId w:val="13"/>
        </w:numPr>
        <w:tabs>
          <w:tab w:val="left" w:pos="821"/>
        </w:tabs>
        <w:spacing w:before="18" w:after="0" w:line="459" w:lineRule="exact"/>
        <w:ind w:left="820" w:right="0" w:hanging="541"/>
        <w:jc w:val="left"/>
        <w:rPr>
          <w:sz w:val="36"/>
        </w:rPr>
      </w:pPr>
      <w:r>
        <w:rPr>
          <w:sz w:val="36"/>
        </w:rPr>
        <w:t>脚手架构造</w:t>
      </w:r>
    </w:p>
    <w:p>
      <w:pPr>
        <w:pStyle w:val="ListParagraph"/>
        <w:numPr>
          <w:ilvl w:val="1"/>
          <w:numId w:val="13"/>
        </w:numPr>
        <w:tabs>
          <w:tab w:val="left" w:pos="821"/>
          <w:tab w:val="left" w:pos="5501"/>
        </w:tabs>
        <w:spacing w:before="0" w:after="0" w:line="244" w:lineRule="auto"/>
        <w:ind w:left="280" w:right="2574" w:firstLine="0"/>
        <w:jc w:val="left"/>
        <w:rPr>
          <w:sz w:val="36"/>
        </w:rPr>
      </w:pPr>
      <w:r>
        <w:rPr>
          <w:sz w:val="36"/>
        </w:rPr>
        <w:t>吸收塔内部施工脚手架搭设</w:t>
        <w:tab/>
        <w:t>①在吸收塔内部中心搭设井字架，高度至塔内顶部以下</w:t>
      </w:r>
      <w:r>
        <w:rPr>
          <w:spacing w:val="-91"/>
          <w:sz w:val="36"/>
        </w:rPr>
        <w:t xml:space="preserve"> </w:t>
      </w:r>
      <w:r>
        <w:rPr>
          <w:rFonts w:ascii="Times New Roman" w:eastAsia="Times New Roman" w:hAnsi="Times New Roman"/>
          <w:sz w:val="36"/>
        </w:rPr>
        <w:t xml:space="preserve">1m </w:t>
      </w:r>
      <w:r>
        <w:rPr>
          <w:sz w:val="36"/>
        </w:rPr>
        <w:t>处</w:t>
      </w:r>
      <w:r>
        <w:rPr>
          <w:spacing w:val="-54"/>
          <w:sz w:val="36"/>
        </w:rPr>
        <w:t>；</w:t>
      </w:r>
      <w:r>
        <w:rPr>
          <w:sz w:val="36"/>
        </w:rPr>
        <w:t>井字架横向纵向均设置</w:t>
      </w:r>
      <w:r>
        <w:rPr>
          <w:spacing w:val="-89"/>
          <w:sz w:val="36"/>
        </w:rPr>
        <w:t xml:space="preserve"> </w:t>
      </w:r>
      <w:r>
        <w:rPr>
          <w:rFonts w:ascii="Times New Roman" w:eastAsia="Times New Roman" w:hAnsi="Times New Roman"/>
          <w:sz w:val="36"/>
        </w:rPr>
        <w:t>6</w:t>
      </w:r>
      <w:r>
        <w:rPr>
          <w:rFonts w:ascii="Times New Roman" w:eastAsia="Times New Roman" w:hAnsi="Times New Roman"/>
          <w:spacing w:val="1"/>
          <w:sz w:val="36"/>
        </w:rPr>
        <w:t xml:space="preserve"> </w:t>
      </w:r>
      <w:r>
        <w:rPr>
          <w:sz w:val="36"/>
        </w:rPr>
        <w:t>排立杆</w:t>
      </w:r>
      <w:r>
        <w:rPr>
          <w:spacing w:val="-54"/>
          <w:sz w:val="36"/>
        </w:rPr>
        <w:t>，</w:t>
      </w:r>
      <w:r>
        <w:rPr>
          <w:sz w:val="36"/>
        </w:rPr>
        <w:t>立杆间距均为</w:t>
      </w:r>
      <w:r>
        <w:rPr>
          <w:spacing w:val="-90"/>
          <w:sz w:val="36"/>
        </w:rPr>
        <w:t xml:space="preserve"> </w:t>
      </w:r>
      <w:r>
        <w:rPr>
          <w:rFonts w:ascii="Times New Roman" w:eastAsia="Times New Roman" w:hAnsi="Times New Roman"/>
          <w:spacing w:val="-11"/>
          <w:sz w:val="36"/>
        </w:rPr>
        <w:t>1.4m</w:t>
      </w:r>
      <w:r>
        <w:rPr>
          <w:spacing w:val="-11"/>
          <w:sz w:val="36"/>
        </w:rPr>
        <w:t>，</w:t>
      </w:r>
      <w:r>
        <w:rPr>
          <w:sz w:val="36"/>
        </w:rPr>
        <w:t>井字架立面设置剪刀撑。②沿吸收塔内壁整圈搭设环形双排脚手架，高度至塔顶以下</w:t>
      </w:r>
      <w:r>
        <w:rPr>
          <w:rFonts w:ascii="Times New Roman" w:eastAsia="Times New Roman" w:hAnsi="Times New Roman"/>
          <w:sz w:val="36"/>
        </w:rPr>
        <w:t xml:space="preserve">1m </w:t>
      </w:r>
      <w:r>
        <w:rPr>
          <w:sz w:val="36"/>
        </w:rPr>
        <w:t>处；双排脚手架宽度</w:t>
      </w:r>
      <w:r>
        <w:rPr>
          <w:spacing w:val="-90"/>
          <w:sz w:val="36"/>
        </w:rPr>
        <w:t xml:space="preserve"> </w:t>
      </w:r>
      <w:r>
        <w:rPr>
          <w:rFonts w:ascii="Times New Roman" w:eastAsia="Times New Roman" w:hAnsi="Times New Roman"/>
          <w:sz w:val="36"/>
        </w:rPr>
        <w:t>1.2m</w:t>
      </w:r>
      <w:r>
        <w:rPr>
          <w:sz w:val="36"/>
        </w:rPr>
        <w:t>，靠近筒壁立杆间距</w:t>
      </w:r>
      <w:r>
        <w:rPr>
          <w:spacing w:val="-90"/>
          <w:sz w:val="36"/>
        </w:rPr>
        <w:t xml:space="preserve"> </w:t>
      </w:r>
      <w:r>
        <w:rPr>
          <w:rFonts w:ascii="Times New Roman" w:eastAsia="Times New Roman" w:hAnsi="Times New Roman"/>
          <w:sz w:val="36"/>
        </w:rPr>
        <w:t>0.5m</w:t>
      </w:r>
      <w:r>
        <w:rPr>
          <w:spacing w:val="-180"/>
          <w:sz w:val="36"/>
        </w:rPr>
        <w:t>，</w:t>
      </w:r>
      <w:r>
        <w:rPr>
          <w:sz w:val="36"/>
        </w:rPr>
        <w:t>，脚手架每层高度不超过</w:t>
      </w:r>
      <w:r>
        <w:rPr>
          <w:spacing w:val="-91"/>
          <w:sz w:val="36"/>
        </w:rPr>
        <w:t xml:space="preserve"> </w:t>
      </w:r>
      <w:r>
        <w:rPr>
          <w:rFonts w:ascii="Times New Roman" w:eastAsia="Times New Roman" w:hAnsi="Times New Roman"/>
          <w:sz w:val="36"/>
        </w:rPr>
        <w:t>1.8m</w:t>
      </w:r>
      <w:r>
        <w:rPr>
          <w:sz w:val="36"/>
        </w:rPr>
        <w:t>，环形脚手架与塔中心的井字脚手架相连，使之更牢固稳定，注意小横杆要与塔壁留有至少</w:t>
      </w:r>
      <w:r>
        <w:rPr>
          <w:spacing w:val="-91"/>
          <w:sz w:val="36"/>
        </w:rPr>
        <w:t xml:space="preserve"> </w:t>
      </w:r>
      <w:r>
        <w:rPr>
          <w:rFonts w:ascii="Times New Roman" w:eastAsia="Times New Roman" w:hAnsi="Times New Roman"/>
          <w:sz w:val="36"/>
        </w:rPr>
        <w:t>150mm</w:t>
      </w:r>
      <w:r>
        <w:rPr>
          <w:rFonts w:ascii="Arial" w:eastAsia="Arial" w:hAnsi="Arial"/>
          <w:sz w:val="36"/>
        </w:rPr>
        <w:t>-</w:t>
      </w:r>
      <w:r>
        <w:rPr>
          <w:rFonts w:ascii="Times New Roman" w:eastAsia="Times New Roman" w:hAnsi="Times New Roman"/>
          <w:sz w:val="36"/>
        </w:rPr>
        <w:t>200mm</w:t>
      </w:r>
      <w:r>
        <w:rPr>
          <w:rFonts w:ascii="Times New Roman" w:eastAsia="Times New Roman" w:hAnsi="Times New Roman"/>
          <w:spacing w:val="1"/>
          <w:sz w:val="36"/>
        </w:rPr>
        <w:t xml:space="preserve"> </w:t>
      </w:r>
      <w:r>
        <w:rPr>
          <w:sz w:val="36"/>
        </w:rPr>
        <w:t>的间隙，每层脚手架上铺设双跳板并绑扎</w:t>
      </w:r>
      <w:r>
        <w:rPr>
          <w:spacing w:val="-15"/>
          <w:sz w:val="36"/>
        </w:rPr>
        <w:t>。</w:t>
      </w:r>
    </w:p>
    <w:p>
      <w:pPr>
        <w:pStyle w:val="BodyText"/>
        <w:spacing w:line="242" w:lineRule="auto"/>
        <w:ind w:left="280" w:right="2543"/>
      </w:pPr>
      <w:r>
        <w:t>③每层人孔门处设置为进出吸收塔内的通道，施工人员进入吸收塔从塔外楼梯攀登至作业层高度进出吸收塔作业。（人孔门处设置警示牌）④在吸收塔内标高</w:t>
      </w:r>
      <w:r>
        <w:rPr>
          <w:rFonts w:ascii="Times New Roman" w:eastAsia="Times New Roman" w:hAnsi="Times New Roman"/>
        </w:rPr>
        <w:t>4.4m</w:t>
      </w:r>
      <w:r>
        <w:t>、</w:t>
      </w:r>
      <w:r>
        <w:rPr>
          <w:rFonts w:ascii="Times New Roman" w:eastAsia="Times New Roman" w:hAnsi="Times New Roman"/>
        </w:rPr>
        <w:t>18.3</w:t>
      </w:r>
      <w:r>
        <w:rPr>
          <w:rFonts w:ascii="Arial" w:eastAsia="Arial" w:hAnsi="Arial"/>
        </w:rPr>
        <w:t>-</w:t>
      </w:r>
      <w:r>
        <w:rPr>
          <w:rFonts w:ascii="Times New Roman" w:eastAsia="Times New Roman" w:hAnsi="Times New Roman"/>
        </w:rPr>
        <w:t>22.3m</w:t>
      </w:r>
      <w:r>
        <w:t>、</w:t>
      </w:r>
      <w:r>
        <w:rPr>
          <w:rFonts w:ascii="Times New Roman" w:eastAsia="Times New Roman" w:hAnsi="Times New Roman"/>
        </w:rPr>
        <w:t xml:space="preserve">26m </w:t>
      </w:r>
      <w:r>
        <w:t>高的空间层搭设满堂架，满铺跳板为安装氧化空气管、喷淋层、除雾器服务。</w:t>
      </w:r>
    </w:p>
    <w:p>
      <w:pPr>
        <w:pStyle w:val="ListParagraph"/>
        <w:numPr>
          <w:ilvl w:val="1"/>
          <w:numId w:val="13"/>
        </w:numPr>
        <w:tabs>
          <w:tab w:val="left" w:pos="821"/>
          <w:tab w:val="left" w:pos="9548"/>
        </w:tabs>
        <w:spacing w:before="0" w:after="0" w:line="247" w:lineRule="auto"/>
        <w:ind w:left="280" w:right="2696" w:firstLine="0"/>
        <w:jc w:val="both"/>
        <w:rPr>
          <w:sz w:val="36"/>
        </w:rPr>
      </w:pPr>
      <w:r>
        <w:drawing>
          <wp:anchor distT="0" distB="0" distL="0" distR="0" simplePos="0" relativeHeight="251659264" behindDoc="1" locked="0" layoutInCell="1" allowOverlap="1">
            <wp:simplePos x="0" y="0"/>
            <wp:positionH relativeFrom="page">
              <wp:posOffset>2043429</wp:posOffset>
            </wp:positionH>
            <wp:positionV relativeFrom="paragraph">
              <wp:posOffset>841375</wp:posOffset>
            </wp:positionV>
            <wp:extent cx="40767" cy="4076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40767" cy="40766"/>
                    </a:xfrm>
                    <a:prstGeom prst="rect">
                      <a:avLst/>
                    </a:prstGeom>
                  </pic:spPr>
                </pic:pic>
              </a:graphicData>
            </a:graphic>
          </wp:anchor>
        </w:drawing>
      </w:r>
      <w:r>
        <w:rPr>
          <w:sz w:val="36"/>
        </w:rPr>
        <w:t>主要工程量及材料：烟气入口脚手架、吸收塔内部施工脚手架合计用料</w:t>
      </w:r>
      <w:r>
        <w:rPr>
          <w:spacing w:val="42"/>
          <w:sz w:val="36"/>
        </w:rPr>
        <w:t>约</w:t>
      </w:r>
      <w:r>
        <w:rPr>
          <w:rFonts w:ascii="Times New Roman" w:eastAsia="Times New Roman"/>
          <w:spacing w:val="-9"/>
          <w:sz w:val="36"/>
        </w:rPr>
        <w:t xml:space="preserve">35 </w:t>
      </w:r>
      <w:r>
        <w:rPr>
          <w:sz w:val="36"/>
        </w:rPr>
        <w:t>吨</w:t>
      </w:r>
      <w:r>
        <w:rPr>
          <w:spacing w:val="-47"/>
          <w:sz w:val="36"/>
        </w:rPr>
        <w:t>，</w:t>
      </w:r>
      <w:r>
        <w:rPr>
          <w:sz w:val="36"/>
        </w:rPr>
        <w:t>主要用料见下表：</w:t>
        <w:tab/>
        <w:t>注</w:t>
      </w:r>
      <w:r>
        <w:rPr>
          <w:spacing w:val="-47"/>
          <w:sz w:val="36"/>
        </w:rPr>
        <w:t>：</w:t>
      </w:r>
      <w:r>
        <w:rPr>
          <w:sz w:val="36"/>
        </w:rPr>
        <w:t>本表材料仅供</w:t>
      </w:r>
      <w:r>
        <w:rPr>
          <w:spacing w:val="-18"/>
          <w:sz w:val="36"/>
        </w:rPr>
        <w:t>参</w:t>
      </w:r>
      <w:r>
        <w:rPr>
          <w:sz w:val="36"/>
        </w:rPr>
        <w:t>考</w:t>
      </w:r>
    </w:p>
    <w:p>
      <w:pPr>
        <w:pStyle w:val="BodyText"/>
        <w:spacing w:before="3"/>
        <w:rPr>
          <w:sz w:val="35"/>
        </w:rPr>
      </w:pPr>
    </w:p>
    <w:p>
      <w:pPr>
        <w:pStyle w:val="BodyText"/>
        <w:ind w:left="280"/>
      </w:pPr>
      <w:r>
        <w:t>序号 名称 规格型号 单位 数量 备注</w:t>
      </w:r>
    </w:p>
    <w:p>
      <w:pPr>
        <w:pStyle w:val="BodyText"/>
        <w:tabs>
          <w:tab w:val="left" w:pos="5051"/>
        </w:tabs>
        <w:spacing w:before="10" w:line="237" w:lineRule="auto"/>
        <w:ind w:left="460" w:right="6515" w:hanging="180"/>
        <w:rPr>
          <w:rFonts w:ascii="Times New Roman" w:eastAsia="Times New Roman" w:hAnsi="Times New Roman"/>
        </w:rPr>
      </w:pPr>
      <w:r>
        <w:t>随工程进度到场</w:t>
      </w:r>
      <w:r>
        <w:rPr>
          <w:spacing w:val="-91"/>
        </w:rPr>
        <w:t xml:space="preserve"> </w:t>
      </w:r>
      <w:r>
        <w:t>3.5×6000</w:t>
        <w:tab/>
        <w:t>根×</w:t>
      </w:r>
      <w:r>
        <w:rPr>
          <w:rFonts w:ascii="Times New Roman" w:eastAsia="Times New Roman" w:hAnsi="Times New Roman"/>
        </w:rPr>
        <w:t>4</w:t>
      </w:r>
      <w:r>
        <w:rPr>
          <w:rFonts w:ascii="Times New Roman" w:eastAsia="Times New Roman" w:hAnsi="Times New Roman"/>
          <w:spacing w:val="1"/>
        </w:rPr>
        <w:t xml:space="preserve"> </w:t>
      </w:r>
      <w:r>
        <w:t>脚手架管φ8</w:t>
      </w:r>
      <w:r>
        <w:rPr>
          <w:rFonts w:ascii="Times New Roman" w:eastAsia="Times New Roman" w:hAnsi="Times New Roman"/>
        </w:rPr>
        <w:t xml:space="preserve">1 </w:t>
      </w:r>
      <w:r>
        <w:rPr>
          <w:rFonts w:ascii="Times New Roman" w:eastAsia="Times New Roman" w:hAnsi="Times New Roman"/>
          <w:spacing w:val="-6"/>
        </w:rPr>
        <w:t xml:space="preserve">200 </w:t>
      </w:r>
      <w:r>
        <w:t>φ</w:t>
      </w:r>
      <w:r>
        <w:rPr>
          <w:spacing w:val="-1"/>
        </w:rPr>
        <w:t xml:space="preserve"> </w:t>
      </w:r>
      <w:r>
        <w:t>× 脚手架管</w:t>
      </w:r>
      <w:r>
        <w:rPr>
          <w:spacing w:val="-90"/>
        </w:rPr>
        <w:t xml:space="preserve"> </w:t>
      </w:r>
      <w:r>
        <w:t>3.5×</w:t>
      </w:r>
      <w:r>
        <w:rPr>
          <w:rFonts w:ascii="Times New Roman" w:eastAsia="Times New Roman" w:hAnsi="Times New Roman"/>
        </w:rPr>
        <w:t>4</w:t>
      </w:r>
      <w:r>
        <w:t>84000</w:t>
      </w:r>
      <w:r>
        <w:rPr>
          <w:spacing w:val="-90"/>
        </w:rPr>
        <w:t xml:space="preserve"> </w:t>
      </w:r>
      <w:r>
        <w:t>根 随工程进度到场</w:t>
      </w:r>
      <w:r>
        <w:rPr>
          <w:spacing w:val="-90"/>
        </w:rPr>
        <w:t xml:space="preserve"> </w:t>
      </w:r>
      <w:r>
        <w:rPr>
          <w:rFonts w:ascii="Times New Roman" w:eastAsia="Times New Roman" w:hAnsi="Times New Roman"/>
        </w:rPr>
        <w:t>2</w:t>
      </w:r>
    </w:p>
    <w:p>
      <w:pPr>
        <w:pStyle w:val="BodyText"/>
        <w:spacing w:before="35"/>
        <w:ind w:left="280"/>
        <w:rPr>
          <w:rFonts w:ascii="Times New Roman"/>
        </w:rPr>
      </w:pPr>
      <w:r>
        <w:drawing>
          <wp:anchor distT="0" distB="0" distL="0" distR="0" simplePos="0" relativeHeight="251658240" behindDoc="0" locked="0" layoutInCell="1" allowOverlap="1">
            <wp:simplePos x="0" y="0"/>
            <wp:positionH relativeFrom="page">
              <wp:posOffset>2043429</wp:posOffset>
            </wp:positionH>
            <wp:positionV relativeFrom="paragraph">
              <wp:posOffset>251265</wp:posOffset>
            </wp:positionV>
            <wp:extent cx="40767" cy="40766"/>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40767" cy="40766"/>
                    </a:xfrm>
                    <a:prstGeom prst="rect">
                      <a:avLst/>
                    </a:prstGeom>
                  </pic:spPr>
                </pic:pic>
              </a:graphicData>
            </a:graphic>
          </wp:anchor>
        </w:drawing>
      </w:r>
      <w:r>
        <w:rPr>
          <w:rFonts w:ascii="Times New Roman"/>
        </w:rPr>
        <w:t>80</w:t>
      </w:r>
    </w:p>
    <w:p>
      <w:pPr>
        <w:pStyle w:val="BodyText"/>
        <w:rPr>
          <w:rFonts w:ascii="Times New Roman"/>
          <w:sz w:val="43"/>
        </w:rPr>
      </w:pPr>
    </w:p>
    <w:p>
      <w:pPr>
        <w:pStyle w:val="BodyText"/>
        <w:ind w:left="820"/>
        <w:rPr>
          <w:rFonts w:ascii="Times New Roman" w:eastAsia="Times New Roman" w:hAnsi="Times New Roman"/>
        </w:rPr>
      </w:pPr>
      <w:r>
        <w:t xml:space="preserve">随工程进度到场根φ脚手架管 </w:t>
      </w:r>
      <w:r>
        <w:rPr>
          <w:rFonts w:ascii="Times New Roman" w:eastAsia="Times New Roman" w:hAnsi="Times New Roman"/>
        </w:rPr>
        <w:t>4</w:t>
      </w:r>
      <w:r>
        <w:t>8×3.5×3500</w:t>
      </w:r>
      <w:r>
        <w:rPr>
          <w:rFonts w:ascii="Times New Roman" w:eastAsia="Times New Roman" w:hAnsi="Times New Roman"/>
        </w:rPr>
        <w:t>3 100</w:t>
      </w:r>
    </w:p>
    <w:p>
      <w:pPr>
        <w:pStyle w:val="BodyText"/>
        <w:spacing w:before="7" w:line="242" w:lineRule="auto"/>
        <w:ind w:left="640" w:right="6515"/>
        <w:rPr>
          <w:rFonts w:ascii="Times New Roman" w:eastAsia="Times New Roman" w:hAnsi="Times New Roman"/>
        </w:rPr>
      </w:pPr>
      <w:r>
        <w:t>2500 随工程进度到场根φ</w:t>
      </w:r>
      <w:r>
        <w:rPr>
          <w:rFonts w:ascii="Times New Roman" w:eastAsia="Times New Roman" w:hAnsi="Times New Roman"/>
        </w:rPr>
        <w:t>4</w:t>
      </w:r>
      <w:r>
        <w:rPr>
          <w:rFonts w:ascii="Times New Roman" w:eastAsia="Times New Roman" w:hAnsi="Times New Roman"/>
          <w:spacing w:val="1"/>
        </w:rPr>
        <w:t xml:space="preserve"> </w:t>
      </w:r>
      <w:r>
        <w:t>脚手架管 8×3.5×</w:t>
      </w:r>
      <w:r>
        <w:rPr>
          <w:rFonts w:ascii="Times New Roman" w:eastAsia="Times New Roman" w:hAnsi="Times New Roman"/>
        </w:rPr>
        <w:t xml:space="preserve">4 </w:t>
      </w:r>
      <w:r>
        <w:rPr>
          <w:rFonts w:ascii="Times New Roman" w:eastAsia="Times New Roman" w:hAnsi="Times New Roman"/>
          <w:spacing w:val="-6"/>
        </w:rPr>
        <w:t xml:space="preserve">100 </w:t>
      </w:r>
      <w:r>
        <w:rPr>
          <w:spacing w:val="-6"/>
        </w:rPr>
        <w:t xml:space="preserve">扣件 随工程进度到场十字 个 </w:t>
      </w:r>
      <w:r>
        <w:rPr>
          <w:rFonts w:ascii="Times New Roman" w:eastAsia="Times New Roman" w:hAnsi="Times New Roman"/>
        </w:rPr>
        <w:t>5 600</w:t>
      </w:r>
    </w:p>
    <w:p>
      <w:pPr>
        <w:pStyle w:val="BodyText"/>
        <w:spacing w:before="4"/>
        <w:ind w:left="820"/>
        <w:rPr>
          <w:rFonts w:ascii="Times New Roman" w:eastAsia="Times New Roman"/>
        </w:rPr>
      </w:pPr>
      <w:r>
        <w:rPr>
          <w:spacing w:val="-7"/>
        </w:rPr>
        <w:t xml:space="preserve">扣件接头 随工程进度到场个 </w:t>
      </w:r>
      <w:r>
        <w:rPr>
          <w:rFonts w:ascii="Times New Roman" w:eastAsia="Times New Roman"/>
        </w:rPr>
        <w:t>6 600</w:t>
      </w:r>
    </w:p>
    <w:p>
      <w:pPr>
        <w:spacing w:after="0"/>
        <w:rPr>
          <w:rFonts w:ascii="Times New Roman" w:eastAsia="Times New Roman"/>
        </w:rPr>
        <w:sectPr>
          <w:pgSz w:w="17860" w:h="25260"/>
          <w:pgMar w:top="2420" w:right="0" w:bottom="280" w:left="2420" w:header="708" w:footer="708"/>
          <w:pgNumType w:start="3"/>
          <w:cols w:space="708"/>
        </w:sectPr>
      </w:pPr>
    </w:p>
    <w:p>
      <w:pPr>
        <w:pStyle w:val="BodyText"/>
        <w:tabs>
          <w:tab w:val="left" w:pos="4061"/>
        </w:tabs>
        <w:spacing w:before="36"/>
        <w:ind w:left="280"/>
        <w:rPr>
          <w:rFonts w:ascii="Times New Roman" w:eastAsia="Times New Roman"/>
        </w:rPr>
      </w:pPr>
      <w:r>
        <w:t>随工程进度到场</w:t>
      </w:r>
      <w:r>
        <w:rPr>
          <w:spacing w:val="-1"/>
        </w:rPr>
        <w:t xml:space="preserve"> </w:t>
      </w:r>
      <w:r>
        <w:t>扣件</w:t>
        <w:tab/>
        <w:t>转向 个</w:t>
      </w:r>
      <w:r>
        <w:rPr>
          <w:spacing w:val="-90"/>
        </w:rPr>
        <w:t xml:space="preserve"> </w:t>
      </w:r>
      <w:r>
        <w:rPr>
          <w:rFonts w:ascii="Times New Roman" w:eastAsia="Times New Roman"/>
        </w:rPr>
        <w:t>7 100</w:t>
      </w:r>
    </w:p>
    <w:p>
      <w:pPr>
        <w:pStyle w:val="BodyText"/>
        <w:tabs>
          <w:tab w:val="left" w:pos="3160"/>
        </w:tabs>
        <w:spacing w:before="8"/>
        <w:ind w:left="280"/>
        <w:rPr>
          <w:rFonts w:ascii="Times New Roman" w:eastAsia="Times New Roman" w:hAnsi="Times New Roman"/>
        </w:rPr>
      </w:pPr>
      <w:r>
        <w:t>随工程进度到场</w:t>
        <w:tab/>
        <w:t>跳板块</w:t>
      </w:r>
      <w:r>
        <w:rPr>
          <w:spacing w:val="1"/>
        </w:rPr>
        <w:t xml:space="preserve"> </w:t>
      </w:r>
      <w:r>
        <w:t>×</w:t>
      </w:r>
      <w:r>
        <w:rPr>
          <w:rFonts w:ascii="Times New Roman" w:eastAsia="Times New Roman" w:hAnsi="Times New Roman"/>
        </w:rPr>
        <w:t>5</w:t>
      </w:r>
      <w:r>
        <w:t>0250×2000</w:t>
      </w:r>
      <w:r>
        <w:rPr>
          <w:spacing w:val="-90"/>
        </w:rPr>
        <w:t xml:space="preserve"> </w:t>
      </w:r>
      <w:r>
        <w:rPr>
          <w:rFonts w:ascii="Times New Roman" w:eastAsia="Times New Roman" w:hAnsi="Times New Roman"/>
        </w:rPr>
        <w:t>8 400</w:t>
      </w:r>
    </w:p>
    <w:p>
      <w:pPr>
        <w:pStyle w:val="BodyText"/>
        <w:spacing w:before="7"/>
        <w:ind w:left="280"/>
        <w:rPr>
          <w:rFonts w:ascii="Times New Roman" w:eastAsia="Times New Roman"/>
        </w:rPr>
      </w:pPr>
      <w:r>
        <w:t xml:space="preserve">随工程进度到场 铁丝 </w:t>
      </w:r>
      <w:r>
        <w:rPr>
          <w:rFonts w:ascii="Times New Roman" w:eastAsia="Times New Roman"/>
        </w:rPr>
        <w:t>9</w:t>
      </w:r>
    </w:p>
    <w:p>
      <w:pPr>
        <w:pStyle w:val="BodyText"/>
        <w:spacing w:before="22"/>
        <w:ind w:left="280"/>
        <w:rPr>
          <w:rFonts w:ascii="Times New Roman"/>
        </w:rPr>
      </w:pPr>
      <w:r>
        <w:rPr>
          <w:rFonts w:ascii="Times New Roman"/>
        </w:rPr>
        <w:t>200</w:t>
      </w:r>
    </w:p>
    <w:p>
      <w:pPr>
        <w:pStyle w:val="BodyText"/>
        <w:spacing w:before="54"/>
        <w:ind w:left="460"/>
        <w:rPr>
          <w:rFonts w:ascii="Times New Roman"/>
        </w:rPr>
      </w:pPr>
      <w:r>
        <w:rPr>
          <w:rFonts w:ascii="Times New Roman"/>
        </w:rPr>
        <w:t>12#~8#</w:t>
      </w:r>
    </w:p>
    <w:p>
      <w:pPr>
        <w:pStyle w:val="BodyText"/>
        <w:spacing w:before="54"/>
        <w:ind w:left="280"/>
        <w:rPr>
          <w:rFonts w:ascii="Times New Roman"/>
        </w:rPr>
      </w:pPr>
      <w:r>
        <w:rPr>
          <w:rFonts w:ascii="Times New Roman"/>
        </w:rPr>
        <w:t>m</w:t>
      </w:r>
    </w:p>
    <w:p>
      <w:pPr>
        <w:pStyle w:val="BodyText"/>
        <w:rPr>
          <w:rFonts w:ascii="Times New Roman"/>
          <w:sz w:val="44"/>
        </w:rPr>
      </w:pPr>
    </w:p>
    <w:p>
      <w:pPr>
        <w:pStyle w:val="BodyText"/>
        <w:ind w:left="280"/>
        <w:rPr>
          <w:rFonts w:ascii="Times New Roman" w:eastAsia="Times New Roman"/>
        </w:rPr>
      </w:pPr>
      <w:r>
        <w:t xml:space="preserve">阻燃型密随工程进度到 </w:t>
      </w:r>
      <w:r>
        <w:rPr>
          <w:rFonts w:ascii="Times New Roman" w:eastAsia="Times New Roman"/>
        </w:rPr>
        <w:t>80010</w:t>
      </w:r>
    </w:p>
    <w:p>
      <w:pPr>
        <w:spacing w:before="190" w:line="297" w:lineRule="exact"/>
        <w:ind w:left="280" w:right="0" w:firstLine="0"/>
        <w:jc w:val="left"/>
        <w:rPr>
          <w:sz w:val="24"/>
        </w:rPr>
      </w:pPr>
      <w:r>
        <w:rPr>
          <w:sz w:val="24"/>
        </w:rPr>
        <w:t>塔内敷层随作业层高度调</w:t>
      </w:r>
    </w:p>
    <w:p>
      <w:pPr>
        <w:spacing w:before="0" w:line="517" w:lineRule="exact"/>
        <w:ind w:left="280" w:right="0" w:firstLine="0"/>
        <w:jc w:val="left"/>
        <w:rPr>
          <w:rFonts w:ascii="Times New Roman" w:eastAsia="Times New Roman"/>
          <w:sz w:val="36"/>
        </w:rPr>
      </w:pPr>
      <w:r>
        <w:rPr>
          <w:sz w:val="36"/>
        </w:rPr>
        <w:t xml:space="preserve">水平安全 </w:t>
      </w:r>
      <w:r>
        <w:rPr>
          <w:rFonts w:ascii="Times New Roman" w:eastAsia="Times New Roman"/>
          <w:sz w:val="36"/>
        </w:rPr>
        <w:t xml:space="preserve">11600 </w:t>
      </w:r>
      <w:r>
        <w:rPr>
          <w:position w:val="-9"/>
          <w:sz w:val="24"/>
        </w:rPr>
        <w:t>塔外作业层下敷</w:t>
      </w:r>
      <w:r>
        <w:rPr>
          <w:sz w:val="36"/>
        </w:rPr>
        <w:t xml:space="preserve">消防器根据现场需 </w:t>
      </w:r>
      <w:r>
        <w:rPr>
          <w:rFonts w:ascii="Times New Roman" w:eastAsia="Times New Roman"/>
          <w:sz w:val="36"/>
        </w:rPr>
        <w:t>12</w:t>
      </w:r>
    </w:p>
    <w:p>
      <w:pPr>
        <w:pStyle w:val="Heading3"/>
        <w:numPr>
          <w:ilvl w:val="0"/>
          <w:numId w:val="13"/>
        </w:numPr>
        <w:tabs>
          <w:tab w:val="left" w:pos="821"/>
        </w:tabs>
        <w:spacing w:before="408" w:after="0" w:line="459" w:lineRule="exact"/>
        <w:ind w:left="820" w:right="0" w:hanging="541"/>
        <w:jc w:val="left"/>
      </w:pPr>
      <w:r>
        <w:t>施工准备</w:t>
      </w:r>
    </w:p>
    <w:p>
      <w:pPr>
        <w:pStyle w:val="BodyText"/>
        <w:spacing w:line="459" w:lineRule="exact"/>
        <w:ind w:left="280"/>
      </w:pPr>
      <w:r>
        <w:rPr>
          <w:rFonts w:ascii="Times New Roman" w:eastAsia="Times New Roman"/>
        </w:rPr>
        <w:t>4.1.</w:t>
      </w:r>
      <w:r>
        <w:rPr>
          <w:rFonts w:ascii="Times New Roman" w:eastAsia="Times New Roman"/>
          <w:spacing w:val="88"/>
        </w:rPr>
        <w:t xml:space="preserve"> </w:t>
      </w:r>
      <w:r>
        <w:rPr>
          <w:spacing w:val="-4"/>
        </w:rPr>
        <w:t xml:space="preserve">施工人员持证上岗，经体检、培训合格；需架子工 </w:t>
      </w:r>
      <w:r>
        <w:rPr>
          <w:rFonts w:ascii="Arial" w:eastAsia="Arial"/>
        </w:rPr>
        <w:t xml:space="preserve">10 </w:t>
      </w:r>
      <w:r>
        <w:rPr>
          <w:spacing w:val="-16"/>
        </w:rPr>
        <w:t xml:space="preserve">名，辅助工 </w:t>
      </w:r>
      <w:r>
        <w:rPr>
          <w:rFonts w:ascii="Arial" w:eastAsia="Arial"/>
        </w:rPr>
        <w:t xml:space="preserve">5 </w:t>
      </w:r>
      <w:r>
        <w:t>名。</w:t>
      </w:r>
    </w:p>
    <w:p>
      <w:pPr>
        <w:pStyle w:val="ListParagraph"/>
        <w:numPr>
          <w:ilvl w:val="1"/>
          <w:numId w:val="11"/>
        </w:numPr>
        <w:tabs>
          <w:tab w:val="left" w:pos="821"/>
        </w:tabs>
        <w:spacing w:before="7" w:after="0" w:line="249" w:lineRule="auto"/>
        <w:ind w:left="280" w:right="2738" w:firstLine="0"/>
        <w:jc w:val="left"/>
        <w:rPr>
          <w:sz w:val="36"/>
        </w:rPr>
      </w:pPr>
      <w:r>
        <w:rPr>
          <w:spacing w:val="-1"/>
          <w:sz w:val="36"/>
        </w:rPr>
        <w:t>施工方案经项目总工审批合格，报相关单位审批确认后，由技术负责人对作</w:t>
      </w:r>
      <w:r>
        <w:rPr>
          <w:sz w:val="36"/>
        </w:rPr>
        <w:t>业人员技术、质量、安全交底并签字。</w:t>
      </w:r>
    </w:p>
    <w:p>
      <w:pPr>
        <w:pStyle w:val="ListParagraph"/>
        <w:numPr>
          <w:ilvl w:val="1"/>
          <w:numId w:val="11"/>
        </w:numPr>
        <w:tabs>
          <w:tab w:val="left" w:pos="821"/>
        </w:tabs>
        <w:spacing w:before="0" w:after="0" w:line="438" w:lineRule="exact"/>
        <w:ind w:left="820" w:right="0" w:hanging="541"/>
        <w:jc w:val="left"/>
        <w:rPr>
          <w:sz w:val="36"/>
        </w:rPr>
      </w:pPr>
      <w:r>
        <w:rPr>
          <w:sz w:val="36"/>
        </w:rPr>
        <w:t>施工现场道路畅通，吸收塔内部照明良好，现场材料堆放整齐。</w:t>
      </w:r>
    </w:p>
    <w:p>
      <w:pPr>
        <w:pStyle w:val="ListParagraph"/>
        <w:numPr>
          <w:ilvl w:val="1"/>
          <w:numId w:val="11"/>
        </w:numPr>
        <w:tabs>
          <w:tab w:val="left" w:pos="821"/>
        </w:tabs>
        <w:spacing w:before="7" w:after="0" w:line="240" w:lineRule="auto"/>
        <w:ind w:left="820" w:right="0" w:hanging="541"/>
        <w:jc w:val="left"/>
        <w:rPr>
          <w:sz w:val="36"/>
        </w:rPr>
      </w:pPr>
      <w:r>
        <w:rPr>
          <w:sz w:val="36"/>
        </w:rPr>
        <w:t>所有搭设材料随工程进度提前到场满足用量需求。</w:t>
      </w:r>
    </w:p>
    <w:p>
      <w:pPr>
        <w:pStyle w:val="Heading3"/>
        <w:numPr>
          <w:ilvl w:val="0"/>
          <w:numId w:val="13"/>
        </w:numPr>
        <w:tabs>
          <w:tab w:val="left" w:pos="821"/>
        </w:tabs>
        <w:spacing w:before="18" w:after="0" w:line="459" w:lineRule="exact"/>
        <w:ind w:left="820" w:right="0" w:hanging="541"/>
        <w:jc w:val="left"/>
      </w:pPr>
      <w:r>
        <w:t>主要搭设程序</w:t>
      </w:r>
    </w:p>
    <w:p>
      <w:pPr>
        <w:pStyle w:val="ListParagraph"/>
        <w:numPr>
          <w:ilvl w:val="1"/>
          <w:numId w:val="10"/>
        </w:numPr>
        <w:tabs>
          <w:tab w:val="left" w:pos="1001"/>
          <w:tab w:val="left" w:pos="2440"/>
          <w:tab w:val="left" w:pos="5861"/>
          <w:tab w:val="left" w:pos="9461"/>
          <w:tab w:val="left" w:pos="10181"/>
        </w:tabs>
        <w:spacing w:before="0" w:after="0" w:line="249" w:lineRule="auto"/>
        <w:ind w:left="280" w:right="2735" w:firstLine="0"/>
        <w:jc w:val="left"/>
        <w:rPr>
          <w:sz w:val="36"/>
        </w:rPr>
      </w:pPr>
      <w:r>
        <w:rPr>
          <w:sz w:val="36"/>
        </w:rPr>
        <w:t>搭设流程为：架杆、跳板、扣件等领料、检查</w:t>
        <w:tab/>
        <w:t>搭设位置检查、定</w:t>
      </w:r>
      <w:r>
        <w:rPr>
          <w:spacing w:val="-17"/>
          <w:sz w:val="36"/>
        </w:rPr>
        <w:t>位</w:t>
      </w:r>
      <w:r>
        <w:rPr>
          <w:sz w:val="36"/>
        </w:rPr>
        <w:t>铺设垫木</w:t>
        <w:tab/>
        <w:t>竖底层里外立杆</w:t>
        <w:tab/>
        <w:t>搭设扫地杆水平横杆</w:t>
        <w:tab/>
        <w:tab/>
        <w:t>铺脚手板</w:t>
      </w:r>
    </w:p>
    <w:p>
      <w:pPr>
        <w:pStyle w:val="BodyText"/>
        <w:tabs>
          <w:tab w:val="left" w:pos="3881"/>
          <w:tab w:val="left" w:pos="6761"/>
          <w:tab w:val="left" w:pos="9461"/>
        </w:tabs>
        <w:spacing w:line="449" w:lineRule="exact"/>
        <w:ind w:left="280"/>
      </w:pPr>
      <w:r>
        <w:t>绑扎护栏、爬梯</w:t>
        <w:tab/>
        <w:t>加装连杆件</w:t>
        <w:tab/>
        <w:t>张挂密目网</w:t>
        <w:tab/>
        <w:t>接第二层里外立杆</w:t>
      </w:r>
    </w:p>
    <w:p>
      <w:pPr>
        <w:pStyle w:val="BodyText"/>
        <w:spacing w:before="4" w:line="459" w:lineRule="exact"/>
        <w:ind w:left="280"/>
      </w:pPr>
      <w:r>
        <w:t>重复上述过程直至搭设完毕</w:t>
      </w:r>
    </w:p>
    <w:p>
      <w:pPr>
        <w:pStyle w:val="ListParagraph"/>
        <w:numPr>
          <w:ilvl w:val="1"/>
          <w:numId w:val="10"/>
        </w:numPr>
        <w:tabs>
          <w:tab w:val="left" w:pos="1001"/>
        </w:tabs>
        <w:spacing w:before="0" w:after="0" w:line="244" w:lineRule="auto"/>
        <w:ind w:left="280" w:right="2556" w:firstLine="0"/>
        <w:jc w:val="left"/>
        <w:rPr>
          <w:sz w:val="36"/>
        </w:rPr>
      </w:pPr>
      <w:r>
        <w:rPr>
          <w:spacing w:val="-12"/>
          <w:sz w:val="36"/>
        </w:rPr>
        <w:t>根据安装要求，计算脚手架搭设材料用量，在脚手架搭设前领料，领料时检</w:t>
      </w:r>
      <w:r>
        <w:rPr>
          <w:spacing w:val="-17"/>
          <w:sz w:val="36"/>
        </w:rPr>
        <w:t>查架管外观是否有裂纹、扭曲、损伤及腐蚀严重等不良现象，并抽查其规格是否符合要求；扣件检查无裂纹、无少螺栓、脱扣等缺陷，转动灵活；脚手板使用时</w:t>
      </w:r>
      <w:r>
        <w:rPr>
          <w:spacing w:val="-1"/>
          <w:sz w:val="36"/>
        </w:rPr>
        <w:t>无破裂、虫蛀等缺陷，厚度应符合要求；未用完的脚手架、板、网、扣件等按规</w:t>
      </w:r>
      <w:r>
        <w:rPr>
          <w:sz w:val="36"/>
        </w:rPr>
        <w:t>格分类码放，并加设垫木，环境应干燥，防止雨淋、水泡，造成严重腐蚀。</w:t>
      </w:r>
    </w:p>
    <w:p>
      <w:pPr>
        <w:pStyle w:val="ListParagraph"/>
        <w:numPr>
          <w:ilvl w:val="1"/>
          <w:numId w:val="10"/>
        </w:numPr>
        <w:tabs>
          <w:tab w:val="left" w:pos="1001"/>
        </w:tabs>
        <w:spacing w:before="0" w:after="0" w:line="449" w:lineRule="exact"/>
        <w:ind w:left="1000" w:right="0" w:hanging="721"/>
        <w:jc w:val="left"/>
        <w:rPr>
          <w:sz w:val="36"/>
        </w:rPr>
      </w:pPr>
      <w:r>
        <w:rPr>
          <w:spacing w:val="-11"/>
          <w:sz w:val="36"/>
        </w:rPr>
        <w:t>立杆搭设时，在每根立杆的底部应垫好木板，应选用质地密实的木板</w:t>
      </w:r>
      <w:r>
        <w:rPr>
          <w:sz w:val="36"/>
        </w:rPr>
        <w:t>（如模</w:t>
      </w:r>
    </w:p>
    <w:p>
      <w:pPr>
        <w:pStyle w:val="BodyText"/>
        <w:spacing w:before="16" w:line="242" w:lineRule="auto"/>
        <w:ind w:left="280" w:right="2695"/>
        <w:jc w:val="both"/>
      </w:pPr>
      <w:r>
        <w:t>板</w:t>
      </w:r>
      <w:r>
        <w:rPr>
          <w:spacing w:val="-180"/>
        </w:rPr>
        <w:t>）</w:t>
      </w:r>
      <w:r>
        <w:rPr>
          <w:spacing w:val="-10"/>
        </w:rPr>
        <w:t xml:space="preserve">。在搭设第一层以 </w:t>
      </w:r>
      <w:r>
        <w:t>6m</w:t>
      </w:r>
      <w:r>
        <w:rPr>
          <w:spacing w:val="-60"/>
        </w:rPr>
        <w:t xml:space="preserve"> 与 </w:t>
      </w:r>
      <w:r>
        <w:t>4m</w:t>
      </w:r>
      <w:r>
        <w:rPr>
          <w:spacing w:val="-10"/>
        </w:rPr>
        <w:t xml:space="preserve"> 管交错搭设，先里后外，以免相邻立柱的对接扣</w:t>
      </w:r>
      <w:r>
        <w:rPr>
          <w:spacing w:val="-13"/>
        </w:rPr>
        <w:t>件在同一高度开始搭设立柱时，以立柱最底部,</w:t>
      </w:r>
      <w:r>
        <w:rPr>
          <w:spacing w:val="-12"/>
        </w:rPr>
        <w:t>）500mm（</w:t>
      </w:r>
      <w:r>
        <w:rPr>
          <w:spacing w:val="-2"/>
        </w:rPr>
        <w:t>相邻立柱的对接扣件错</w:t>
      </w:r>
      <w:r>
        <w:t>开距离不小于内，</w:t>
      </w:r>
    </w:p>
    <w:p>
      <w:pPr>
        <w:pStyle w:val="BodyText"/>
        <w:spacing w:before="6" w:line="459" w:lineRule="exact"/>
        <w:ind w:left="280"/>
      </w:pPr>
      <w:r>
        <w:t>紧贴地面搭设扫地杆。</w:t>
      </w:r>
    </w:p>
    <w:p>
      <w:pPr>
        <w:pStyle w:val="ListParagraph"/>
        <w:numPr>
          <w:ilvl w:val="1"/>
          <w:numId w:val="10"/>
        </w:numPr>
        <w:tabs>
          <w:tab w:val="left" w:pos="1001"/>
        </w:tabs>
        <w:spacing w:before="0" w:after="0" w:line="244" w:lineRule="auto"/>
        <w:ind w:left="280" w:right="2511" w:firstLine="0"/>
        <w:jc w:val="left"/>
        <w:rPr>
          <w:sz w:val="36"/>
        </w:rPr>
      </w:pPr>
      <w:r>
        <w:rPr>
          <w:sz w:val="36"/>
        </w:rPr>
        <w:t xml:space="preserve">大小横杆的搭设：在同一步中，大横杆应四周交圆，相邻两横杆相互交错， </w:t>
      </w:r>
      <w:r>
        <w:rPr>
          <w:spacing w:val="-16"/>
          <w:sz w:val="36"/>
        </w:rPr>
        <w:t xml:space="preserve">横杆的步距 </w:t>
      </w:r>
      <w:r>
        <w:rPr>
          <w:rFonts w:ascii="Arial" w:eastAsia="Arial"/>
          <w:spacing w:val="-1"/>
          <w:sz w:val="36"/>
        </w:rPr>
        <w:t>1.8</w:t>
      </w:r>
      <w:r>
        <w:rPr>
          <w:rFonts w:ascii="Arial" w:eastAsia="Arial"/>
          <w:spacing w:val="2"/>
          <w:sz w:val="36"/>
        </w:rPr>
        <w:t>m</w:t>
      </w:r>
      <w:r>
        <w:rPr>
          <w:spacing w:val="-23"/>
          <w:sz w:val="36"/>
        </w:rPr>
        <w:t xml:space="preserve">，大横杆一般置于立杆里侧，横杆搭设时离壳体不大于 </w:t>
      </w:r>
      <w:r>
        <w:rPr>
          <w:rFonts w:ascii="Arial" w:eastAsia="Arial"/>
          <w:spacing w:val="-1"/>
          <w:sz w:val="36"/>
        </w:rPr>
        <w:t>300m</w:t>
      </w:r>
      <w:r>
        <w:rPr>
          <w:rFonts w:ascii="Arial" w:eastAsia="Arial"/>
          <w:spacing w:val="2"/>
          <w:sz w:val="36"/>
        </w:rPr>
        <w:t>m</w:t>
      </w:r>
      <w:r>
        <w:rPr>
          <w:sz w:val="36"/>
        </w:rPr>
        <w:t>，</w:t>
      </w:r>
      <w:r>
        <w:rPr>
          <w:spacing w:val="-10"/>
          <w:sz w:val="36"/>
        </w:rPr>
        <w:t xml:space="preserve">小横杆应贴近立杆布置，任何情况下均不得拆除贴近立杆的小横杆，小横杆布置在双立杆之间与大横杆相连接，小横杆可根据脚手板的长度、宽度做相应调整， </w:t>
      </w:r>
      <w:r>
        <w:rPr>
          <w:spacing w:val="-28"/>
          <w:sz w:val="36"/>
        </w:rPr>
        <w:t>斜撑的搭设应随立杆、横杆等同步搭设，由于吸收塔内部脚手架</w:t>
      </w:r>
      <w:r>
        <w:rPr>
          <w:sz w:val="36"/>
        </w:rPr>
        <w:t xml:space="preserve">（靠近筒壁部位） </w:t>
      </w:r>
      <w:r>
        <w:rPr>
          <w:spacing w:val="-9"/>
          <w:sz w:val="36"/>
        </w:rPr>
        <w:t>为多边形封闭式双排脚手架，除中间井字架设置剪刀撑外，其他部位无法设置剪刀撑，故应设置水平斜撑。</w:t>
      </w:r>
    </w:p>
    <w:p>
      <w:pPr>
        <w:pStyle w:val="ListParagraph"/>
        <w:numPr>
          <w:ilvl w:val="1"/>
          <w:numId w:val="10"/>
        </w:numPr>
        <w:tabs>
          <w:tab w:val="left" w:pos="1001"/>
        </w:tabs>
        <w:spacing w:before="0" w:after="0" w:line="445" w:lineRule="exact"/>
        <w:ind w:left="1000" w:right="0" w:hanging="721"/>
        <w:jc w:val="left"/>
        <w:rPr>
          <w:sz w:val="36"/>
        </w:rPr>
      </w:pPr>
      <w:r>
        <w:rPr>
          <w:spacing w:val="-7"/>
          <w:sz w:val="36"/>
        </w:rPr>
        <w:t>扣件安装时应注意使用前检查是否少螺母及脱丝、裂纹等现象，要拧紧时扭</w:t>
      </w:r>
    </w:p>
    <w:p>
      <w:pPr>
        <w:pStyle w:val="BodyText"/>
        <w:spacing w:before="16" w:line="242" w:lineRule="auto"/>
        <w:ind w:left="280" w:right="2686"/>
        <w:jc w:val="both"/>
      </w:pPr>
      <w:r>
        <w:rPr>
          <w:spacing w:val="-10"/>
        </w:rPr>
        <w:t xml:space="preserve">力不宜过大，控制在 </w:t>
      </w:r>
      <w:r>
        <w:rPr>
          <w:rFonts w:ascii="Arial" w:eastAsia="Arial"/>
        </w:rPr>
        <w:t xml:space="preserve">4~5kN.m </w:t>
      </w:r>
      <w:r>
        <w:rPr>
          <w:spacing w:val="-12"/>
        </w:rPr>
        <w:t xml:space="preserve">为宜，最大不超过 </w:t>
      </w:r>
      <w:r>
        <w:rPr>
          <w:rFonts w:ascii="Arial" w:eastAsia="Arial"/>
        </w:rPr>
        <w:t>6kN.m</w:t>
      </w:r>
      <w:r>
        <w:t>，现场应做扣件拧紧抽</w:t>
      </w:r>
      <w:r>
        <w:rPr>
          <w:spacing w:val="-14"/>
        </w:rPr>
        <w:t xml:space="preserve">样检查，见表 </w:t>
      </w:r>
      <w:r>
        <w:rPr>
          <w:rFonts w:ascii="Arial" w:eastAsia="Arial"/>
        </w:rPr>
        <w:t>8.2.5</w:t>
      </w:r>
      <w:r>
        <w:t xml:space="preserve">。扣件安装时注意开口朝向合理，对接的扣件开口朝内侧， </w:t>
      </w:r>
      <w:r>
        <w:rPr>
          <w:spacing w:val="-4"/>
        </w:rPr>
        <w:t xml:space="preserve">避免向上雨水进入，杆件的端头伸出扣件的长度应不小于 </w:t>
      </w:r>
      <w:r>
        <w:rPr>
          <w:rFonts w:ascii="Arial" w:eastAsia="Arial"/>
        </w:rPr>
        <w:t>100mm</w:t>
      </w:r>
      <w:r>
        <w:t>，个别地方需打双扣件限位。</w:t>
      </w:r>
    </w:p>
    <w:p>
      <w:pPr>
        <w:spacing w:after="0" w:line="242" w:lineRule="auto"/>
        <w:jc w:val="both"/>
        <w:sectPr>
          <w:pgSz w:w="17860" w:h="25260"/>
          <w:pgMar w:top="1800" w:right="0" w:bottom="280" w:left="2420" w:header="708" w:footer="708"/>
          <w:pgNumType w:start="4"/>
          <w:cols w:space="708"/>
        </w:sectPr>
      </w:pPr>
    </w:p>
    <w:p>
      <w:pPr>
        <w:pStyle w:val="BodyText"/>
        <w:ind w:left="100"/>
        <w:rPr>
          <w:sz w:val="20"/>
        </w:rPr>
      </w:pPr>
      <w:r>
        <w:rPr>
          <w:sz w:val="20"/>
        </w:rPr>
        <w:pict>
          <v:group id="_x0000_i1025" style="width:556pt;height:1031.9pt;mso-position-horizontal-relative:char;mso-position-vertical-relative:line" coordorigin="0,0" coordsize="11120,20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120;height:20160;position:absolute;top:477" stroked="f">
              <v:imagedata r:id="rId5" o:title=""/>
            </v:shape>
            <v:shapetype id="_x0000_t202" coordsize="21600,21600" o:spt="202" path="m,l,21600r21600,l21600,xe">
              <v:stroke joinstyle="miter"/>
              <v:path gradientshapeok="t" o:connecttype="rect"/>
            </v:shapetype>
            <v:shape id="_x0000_s1027" type="#_x0000_t202" style="width:10357;height:438;left:180;position:absolute" filled="f" stroked="f">
              <v:textbox inset="0,0,0,0">
                <w:txbxContent>
                  <w:p>
                    <w:pPr>
                      <w:spacing w:before="0" w:line="438" w:lineRule="exact"/>
                      <w:ind w:left="0" w:right="0" w:firstLine="0"/>
                      <w:jc w:val="left"/>
                      <w:rPr>
                        <w:sz w:val="36"/>
                      </w:rPr>
                    </w:pPr>
                    <w:r>
                      <w:rPr>
                        <w:rFonts w:ascii="Times New Roman" w:eastAsia="Times New Roman"/>
                        <w:sz w:val="36"/>
                      </w:rPr>
                      <w:t>(JGJ130</w:t>
                    </w:r>
                    <w:r>
                      <w:rPr>
                        <w:rFonts w:ascii="Arial" w:eastAsia="Arial"/>
                        <w:sz w:val="36"/>
                      </w:rPr>
                      <w:t>-</w:t>
                    </w:r>
                    <w:r>
                      <w:rPr>
                        <w:rFonts w:ascii="Times New Roman" w:eastAsia="Times New Roman"/>
                        <w:sz w:val="36"/>
                      </w:rPr>
                      <w:t xml:space="preserve">2011 </w:t>
                    </w:r>
                    <w:r>
                      <w:rPr>
                        <w:sz w:val="36"/>
                      </w:rPr>
                      <w:t>规范</w:t>
                    </w:r>
                    <w:r>
                      <w:rPr>
                        <w:rFonts w:ascii="Times New Roman" w:eastAsia="Times New Roman"/>
                        <w:sz w:val="36"/>
                      </w:rPr>
                      <w:t>)</w:t>
                    </w:r>
                    <w:r>
                      <w:rPr>
                        <w:spacing w:val="-45"/>
                        <w:sz w:val="36"/>
                      </w:rPr>
                      <w:t xml:space="preserve">表 </w:t>
                    </w:r>
                    <w:r>
                      <w:rPr>
                        <w:rFonts w:ascii="幼圆" w:eastAsia="幼圆" w:hint="eastAsia"/>
                        <w:spacing w:val="-18"/>
                        <w:sz w:val="36"/>
                      </w:rPr>
                      <w:t>8.2.5</w:t>
                    </w:r>
                    <w:r>
                      <w:rPr>
                        <w:sz w:val="36"/>
                      </w:rPr>
                      <w:t>扣件拧紧抽样检查数目及质量判定标准</w:t>
                    </w:r>
                  </w:p>
                </w:txbxContent>
              </v:textbox>
            </v:shape>
            <v:shape id="_x0000_s1028" type="#_x0000_t202" style="width:917;height:20053;left:180;position:absolute;top:533" filled="f" stroked="f">
              <v:textbox inset="0,0,0,0">
                <w:txbxContent>
                  <w:p>
                    <w:pPr>
                      <w:spacing w:before="0" w:line="411" w:lineRule="exact"/>
                      <w:ind w:left="180" w:right="0" w:firstLine="0"/>
                      <w:jc w:val="left"/>
                      <w:rPr>
                        <w:sz w:val="36"/>
                      </w:rPr>
                    </w:pPr>
                    <w:r>
                      <w:rPr>
                        <w:sz w:val="36"/>
                      </w:rPr>
                      <w:t>项</w:t>
                    </w:r>
                  </w:p>
                  <w:p>
                    <w:pPr>
                      <w:spacing w:before="18" w:line="292" w:lineRule="auto"/>
                      <w:ind w:left="0" w:right="155" w:firstLine="0"/>
                      <w:jc w:val="left"/>
                      <w:rPr>
                        <w:sz w:val="30"/>
                      </w:rPr>
                    </w:pPr>
                    <w:r>
                      <w:rPr>
                        <w:sz w:val="36"/>
                      </w:rPr>
                      <w:t xml:space="preserve">次 </w:t>
                    </w:r>
                    <w:r>
                      <w:rPr>
                        <w:spacing w:val="-52"/>
                        <w:sz w:val="30"/>
                      </w:rPr>
                      <w:t>形，损</w:t>
                    </w:r>
                    <w:r>
                      <w:rPr>
                        <w:sz w:val="30"/>
                      </w:rPr>
                      <w:t>坏或脱落等显</w:t>
                    </w:r>
                    <w:r>
                      <w:rPr>
                        <w:spacing w:val="-52"/>
                        <w:sz w:val="30"/>
                      </w:rPr>
                      <w:t>现，应</w:t>
                    </w:r>
                    <w:r>
                      <w:rPr>
                        <w:sz w:val="30"/>
                      </w:rPr>
                      <w:t>立即修理</w:t>
                    </w:r>
                  </w:p>
                  <w:p>
                    <w:pPr>
                      <w:spacing w:before="0" w:line="374" w:lineRule="exact"/>
                      <w:ind w:left="0" w:right="0" w:firstLine="0"/>
                      <w:jc w:val="left"/>
                      <w:rPr>
                        <w:sz w:val="30"/>
                      </w:rPr>
                    </w:pPr>
                    <w:r>
                      <w:rPr>
                        <w:sz w:val="30"/>
                      </w:rPr>
                      <w:t>完善。</w:t>
                    </w:r>
                  </w:p>
                  <w:p>
                    <w:pPr>
                      <w:spacing w:before="94"/>
                      <w:ind w:left="0" w:right="0" w:firstLine="0"/>
                      <w:jc w:val="left"/>
                      <w:rPr>
                        <w:rFonts w:ascii="Times New Roman"/>
                        <w:sz w:val="30"/>
                      </w:rPr>
                    </w:pPr>
                    <w:r>
                      <w:rPr>
                        <w:rFonts w:ascii="Times New Roman"/>
                        <w:sz w:val="30"/>
                      </w:rPr>
                      <w:t>3 4</w:t>
                    </w:r>
                  </w:p>
                  <w:p>
                    <w:pPr>
                      <w:spacing w:before="124"/>
                      <w:ind w:left="0" w:right="0" w:firstLine="0"/>
                      <w:jc w:val="left"/>
                      <w:rPr>
                        <w:rFonts w:ascii="Times New Roman"/>
                        <w:sz w:val="30"/>
                      </w:rPr>
                    </w:pPr>
                    <w:r>
                      <w:rPr>
                        <w:rFonts w:ascii="Times New Roman"/>
                        <w:w w:val="99"/>
                        <w:sz w:val="30"/>
                      </w:rPr>
                      <w:t>5</w:t>
                    </w:r>
                  </w:p>
                  <w:p>
                    <w:pPr>
                      <w:spacing w:before="113" w:line="292" w:lineRule="auto"/>
                      <w:ind w:left="0" w:right="18" w:firstLine="0"/>
                      <w:jc w:val="left"/>
                      <w:rPr>
                        <w:sz w:val="30"/>
                      </w:rPr>
                    </w:pPr>
                    <w:r>
                      <w:rPr>
                        <w:sz w:val="30"/>
                      </w:rPr>
                      <w:t>梯 脚底 部应 坚</w:t>
                    </w:r>
                    <w:r>
                      <w:rPr>
                        <w:spacing w:val="-46"/>
                        <w:sz w:val="30"/>
                      </w:rPr>
                      <w:t>实，不</w:t>
                    </w:r>
                    <w:r>
                      <w:rPr>
                        <w:spacing w:val="-39"/>
                        <w:sz w:val="30"/>
                      </w:rPr>
                      <w:t>得 垫高</w:t>
                    </w:r>
                    <w:r>
                      <w:rPr>
                        <w:spacing w:val="3"/>
                        <w:sz w:val="30"/>
                      </w:rPr>
                      <w:t xml:space="preserve"> </w:t>
                    </w:r>
                    <w:r>
                      <w:rPr>
                        <w:spacing w:val="-57"/>
                        <w:sz w:val="30"/>
                      </w:rPr>
                      <w:t xml:space="preserve">使用。梯子 的 上端 应 </w:t>
                    </w:r>
                    <w:r>
                      <w:rPr>
                        <w:spacing w:val="-40"/>
                        <w:sz w:val="30"/>
                      </w:rPr>
                      <w:t xml:space="preserve">有固 </w:t>
                    </w:r>
                    <w:r>
                      <w:rPr>
                        <w:spacing w:val="-28"/>
                        <w:sz w:val="30"/>
                      </w:rPr>
                      <w:t>定措施</w:t>
                    </w:r>
                    <w:r>
                      <w:rPr>
                        <w:spacing w:val="-14"/>
                        <w:sz w:val="30"/>
                      </w:rPr>
                      <w:t xml:space="preserve">。立 梯不 得有 </w:t>
                    </w:r>
                    <w:r>
                      <w:rPr>
                        <w:spacing w:val="-4"/>
                        <w:sz w:val="30"/>
                      </w:rPr>
                      <w:t>缺档。</w:t>
                    </w:r>
                    <w:r>
                      <w:rPr>
                        <w:rFonts w:ascii="Times New Roman" w:eastAsia="Times New Roman"/>
                        <w:sz w:val="30"/>
                      </w:rPr>
                      <w:t xml:space="preserve">6 </w:t>
                    </w:r>
                    <w:r>
                      <w:rPr>
                        <w:sz w:val="30"/>
                      </w:rPr>
                      <w:t xml:space="preserve">作 业人 员应 从规 定的 通道 </w:t>
                    </w:r>
                    <w:r>
                      <w:rPr>
                        <w:spacing w:val="-31"/>
                        <w:sz w:val="30"/>
                      </w:rPr>
                      <w:t>上下，不得 任</w:t>
                    </w:r>
                    <w:r>
                      <w:rPr>
                        <w:spacing w:val="-34"/>
                        <w:sz w:val="30"/>
                      </w:rPr>
                      <w:t>意 利用</w:t>
                    </w:r>
                    <w:r>
                      <w:rPr>
                        <w:spacing w:val="-13"/>
                        <w:sz w:val="30"/>
                      </w:rPr>
                      <w:t xml:space="preserve"> </w:t>
                    </w:r>
                    <w:r>
                      <w:rPr>
                        <w:spacing w:val="-38"/>
                        <w:sz w:val="30"/>
                      </w:rPr>
                      <w:t>吊车 臂</w:t>
                    </w:r>
                    <w:r>
                      <w:rPr>
                        <w:spacing w:val="-37"/>
                        <w:sz w:val="30"/>
                      </w:rPr>
                      <w:t>架 等施</w:t>
                    </w:r>
                    <w:r>
                      <w:rPr>
                        <w:spacing w:val="-13"/>
                        <w:sz w:val="30"/>
                      </w:rPr>
                      <w:t xml:space="preserve"> </w:t>
                    </w:r>
                    <w:r>
                      <w:rPr>
                        <w:spacing w:val="-46"/>
                        <w:sz w:val="30"/>
                      </w:rPr>
                      <w:t>工设施</w:t>
                    </w:r>
                  </w:p>
                  <w:p>
                    <w:pPr>
                      <w:spacing w:before="0" w:line="315" w:lineRule="exact"/>
                      <w:ind w:left="0" w:right="0" w:firstLine="0"/>
                      <w:jc w:val="left"/>
                      <w:rPr>
                        <w:sz w:val="30"/>
                      </w:rPr>
                    </w:pPr>
                    <w:r>
                      <w:rPr>
                        <w:w w:val="95"/>
                        <w:sz w:val="30"/>
                      </w:rPr>
                      <w:t>进行</w:t>
                    </w:r>
                  </w:p>
                </w:txbxContent>
              </v:textbox>
            </v:shape>
            <v:shape id="_x0000_s1029" type="#_x0000_t202" style="width:1813;height:7404;left:1267;position:absolute;top:545" filled="f" stroked="f">
              <v:textbox inset="0,0,0,0">
                <w:txbxContent>
                  <w:p>
                    <w:pPr>
                      <w:spacing w:before="0" w:line="444" w:lineRule="exact"/>
                      <w:ind w:left="0" w:right="0" w:firstLine="0"/>
                      <w:jc w:val="left"/>
                      <w:rPr>
                        <w:sz w:val="30"/>
                      </w:rPr>
                    </w:pPr>
                    <w:r>
                      <w:rPr>
                        <w:w w:val="95"/>
                        <w:sz w:val="36"/>
                      </w:rPr>
                      <w:t>检查项目</w:t>
                    </w:r>
                    <w:r>
                      <w:rPr>
                        <w:w w:val="95"/>
                        <w:position w:val="-4"/>
                        <w:sz w:val="30"/>
                      </w:rPr>
                      <w:t>对</w:t>
                    </w:r>
                  </w:p>
                  <w:p>
                    <w:pPr>
                      <w:spacing w:before="64" w:line="292" w:lineRule="auto"/>
                      <w:ind w:left="0" w:right="18" w:firstLine="0"/>
                      <w:jc w:val="left"/>
                      <w:rPr>
                        <w:sz w:val="30"/>
                      </w:rPr>
                    </w:pPr>
                    <w:r>
                      <w:rPr>
                        <w:sz w:val="30"/>
                      </w:rPr>
                      <w:t>临边高处作</w:t>
                    </w:r>
                    <w:r>
                      <w:rPr>
                        <w:spacing w:val="-4"/>
                        <w:sz w:val="30"/>
                      </w:rPr>
                      <w:t>业，必须设置防护措施，并符合下列规横向水平杆的构造应符合下列规定：主节点</w:t>
                    </w:r>
                    <w:r>
                      <w:rPr>
                        <w:sz w:val="30"/>
                      </w:rPr>
                      <w:t>处必须设两</w:t>
                    </w:r>
                    <w:r>
                      <w:rPr>
                        <w:spacing w:val="-4"/>
                        <w:sz w:val="30"/>
                      </w:rPr>
                      <w:t>步，如高差大于两步，应增</w:t>
                    </w:r>
                    <w:r>
                      <w:rPr>
                        <w:sz w:val="30"/>
                      </w:rPr>
                      <w:t>设连墙件加</w:t>
                    </w:r>
                    <w:r>
                      <w:rPr>
                        <w:spacing w:val="-4"/>
                        <w:sz w:val="30"/>
                      </w:rPr>
                      <w:t>固。圾存放， 办公区设封闭</w:t>
                    </w:r>
                    <w:r>
                      <w:rPr>
                        <w:spacing w:val="-4"/>
                        <w:w w:val="95"/>
                        <w:sz w:val="30"/>
                      </w:rPr>
                      <w:t>垃圾桶，专人</w:t>
                    </w:r>
                  </w:p>
                  <w:p>
                    <w:pPr>
                      <w:spacing w:before="0" w:line="330" w:lineRule="exact"/>
                      <w:ind w:left="0" w:right="0" w:firstLine="0"/>
                      <w:jc w:val="left"/>
                      <w:rPr>
                        <w:sz w:val="30"/>
                      </w:rPr>
                    </w:pPr>
                    <w:r>
                      <w:rPr>
                        <w:sz w:val="30"/>
                      </w:rPr>
                      <w:t>负责清理。</w:t>
                    </w:r>
                  </w:p>
                </w:txbxContent>
              </v:textbox>
            </v:shape>
            <v:shape id="_x0000_s1030" type="#_x0000_t202" style="width:1820;height:360;left:3439;position:absolute;top:545" filled="f" stroked="f">
              <v:textbox inset="0,0,0,0">
                <w:txbxContent>
                  <w:p>
                    <w:pPr>
                      <w:spacing w:before="0" w:line="360" w:lineRule="exact"/>
                      <w:ind w:left="0" w:right="0" w:firstLine="0"/>
                      <w:jc w:val="left"/>
                      <w:rPr>
                        <w:sz w:val="36"/>
                      </w:rPr>
                    </w:pPr>
                    <w:r>
                      <w:rPr>
                        <w:sz w:val="36"/>
                      </w:rPr>
                      <w:t>安装扣件数</w:t>
                    </w:r>
                  </w:p>
                </w:txbxContent>
              </v:textbox>
            </v:shape>
            <v:shape id="_x0000_s1031" type="#_x0000_t202" style="width:740;height:828;left:6975;position:absolute;top:545" filled="f" stroked="f">
              <v:textbox inset="0,0,0,0">
                <w:txbxContent>
                  <w:p>
                    <w:pPr>
                      <w:spacing w:before="0" w:line="411" w:lineRule="exact"/>
                      <w:ind w:left="0" w:right="0" w:firstLine="0"/>
                      <w:jc w:val="left"/>
                      <w:rPr>
                        <w:sz w:val="36"/>
                      </w:rPr>
                    </w:pPr>
                    <w:r>
                      <w:rPr>
                        <w:sz w:val="36"/>
                      </w:rPr>
                      <w:t>抽检</w:t>
                    </w:r>
                  </w:p>
                  <w:p>
                    <w:pPr>
                      <w:spacing w:before="6" w:line="411" w:lineRule="exact"/>
                      <w:ind w:left="0" w:right="0" w:firstLine="0"/>
                      <w:jc w:val="left"/>
                      <w:rPr>
                        <w:sz w:val="36"/>
                      </w:rPr>
                    </w:pPr>
                    <w:r>
                      <w:rPr>
                        <w:sz w:val="36"/>
                      </w:rPr>
                      <w:t>数量</w:t>
                    </w:r>
                  </w:p>
                </w:txbxContent>
              </v:textbox>
            </v:shape>
            <v:shape id="_x0000_s1032" type="#_x0000_t202" style="width:1460;height:828;left:8321;position:absolute;top:545" filled="f" stroked="f">
              <v:textbox inset="0,0,0,0">
                <w:txbxContent>
                  <w:p>
                    <w:pPr>
                      <w:spacing w:before="0" w:line="411" w:lineRule="exact"/>
                      <w:ind w:left="0" w:right="0" w:firstLine="0"/>
                      <w:jc w:val="left"/>
                      <w:rPr>
                        <w:sz w:val="36"/>
                      </w:rPr>
                    </w:pPr>
                    <w:r>
                      <w:rPr>
                        <w:sz w:val="36"/>
                      </w:rPr>
                      <w:t>允许不合</w:t>
                    </w:r>
                  </w:p>
                  <w:p>
                    <w:pPr>
                      <w:spacing w:before="6" w:line="411" w:lineRule="exact"/>
                      <w:ind w:left="0" w:right="0" w:firstLine="0"/>
                      <w:jc w:val="left"/>
                      <w:rPr>
                        <w:sz w:val="36"/>
                      </w:rPr>
                    </w:pPr>
                    <w:r>
                      <w:rPr>
                        <w:sz w:val="36"/>
                      </w:rPr>
                      <w:t>格数</w:t>
                    </w:r>
                  </w:p>
                </w:txbxContent>
              </v:textbox>
            </v:shape>
            <w10:wrap type="none"/>
          </v:group>
        </w:pict>
      </w:r>
    </w:p>
    <w:p>
      <w:pPr>
        <w:spacing w:after="0"/>
        <w:rPr>
          <w:sz w:val="20"/>
        </w:rPr>
        <w:sectPr>
          <w:pgSz w:w="17860" w:h="25260"/>
          <w:pgMar w:top="1820" w:right="0" w:bottom="280" w:left="2420" w:header="708" w:footer="708"/>
          <w:pgNumType w:start="5"/>
          <w:cols w:space="708"/>
        </w:sectPr>
      </w:pPr>
    </w:p>
    <w:p>
      <w:pPr>
        <w:spacing w:before="122" w:line="295" w:lineRule="auto"/>
        <w:ind w:left="280" w:right="14411" w:firstLine="0"/>
        <w:jc w:val="left"/>
        <w:rPr>
          <w:rFonts w:ascii="Times New Roman" w:eastAsia="Times New Roman"/>
          <w:sz w:val="30"/>
        </w:rPr>
      </w:pPr>
      <w:r>
        <w:drawing>
          <wp:anchor distT="0" distB="0" distL="0" distR="0" simplePos="0" relativeHeight="251660288" behindDoc="1" locked="0" layoutInCell="1" allowOverlap="1">
            <wp:simplePos x="0" y="0"/>
            <wp:positionH relativeFrom="page">
              <wp:posOffset>1600200</wp:posOffset>
            </wp:positionH>
            <wp:positionV relativeFrom="paragraph">
              <wp:posOffset>4572</wp:posOffset>
            </wp:positionV>
            <wp:extent cx="7061200" cy="13106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7061200" cy="13106400"/>
                    </a:xfrm>
                    <a:prstGeom prst="rect">
                      <a:avLst/>
                    </a:prstGeom>
                  </pic:spPr>
                </pic:pic>
              </a:graphicData>
            </a:graphic>
          </wp:anchor>
        </w:drawing>
      </w:r>
      <w:r>
        <w:rPr>
          <w:sz w:val="30"/>
        </w:rPr>
        <w:t xml:space="preserve">攀  </w:t>
      </w:r>
      <w:r>
        <w:rPr>
          <w:spacing w:val="-57"/>
          <w:sz w:val="30"/>
        </w:rPr>
        <w:t xml:space="preserve">登。． </w:t>
      </w:r>
      <w:r>
        <w:rPr>
          <w:rFonts w:ascii="Times New Roman" w:eastAsia="Times New Roman"/>
          <w:sz w:val="30"/>
        </w:rPr>
        <w:t>12</w:t>
      </w:r>
      <w:r>
        <w:rPr>
          <w:rFonts w:ascii="Times New Roman" w:eastAsia="Times New Roman"/>
          <w:spacing w:val="-3"/>
          <w:sz w:val="30"/>
        </w:rPr>
        <w:t xml:space="preserve"> </w:t>
      </w:r>
      <w:r>
        <w:rPr>
          <w:rFonts w:ascii="Times New Roman" w:eastAsia="Times New Roman"/>
          <w:sz w:val="30"/>
        </w:rPr>
        <w:t>13</w:t>
      </w:r>
    </w:p>
    <w:p>
      <w:pPr>
        <w:spacing w:before="45"/>
        <w:ind w:left="280" w:right="0" w:firstLine="0"/>
        <w:jc w:val="left"/>
        <w:rPr>
          <w:rFonts w:ascii="Times New Roman"/>
          <w:sz w:val="30"/>
        </w:rPr>
      </w:pPr>
      <w:r>
        <w:rPr>
          <w:rFonts w:ascii="Times New Roman"/>
          <w:sz w:val="30"/>
        </w:rPr>
        <w:t>14</w:t>
      </w:r>
      <w:r>
        <w:rPr>
          <w:rFonts w:ascii="Times New Roman"/>
          <w:spacing w:val="-4"/>
          <w:sz w:val="30"/>
        </w:rPr>
        <w:t xml:space="preserve"> </w:t>
      </w:r>
      <w:r>
        <w:rPr>
          <w:rFonts w:ascii="Times New Roman"/>
          <w:sz w:val="30"/>
        </w:rPr>
        <w:t>15</w:t>
      </w:r>
    </w:p>
    <w:p>
      <w:pPr>
        <w:spacing w:before="123"/>
        <w:ind w:left="280" w:right="0" w:firstLine="0"/>
        <w:jc w:val="left"/>
        <w:rPr>
          <w:rFonts w:ascii="Times New Roman"/>
          <w:sz w:val="30"/>
        </w:rPr>
      </w:pPr>
      <w:r>
        <w:rPr>
          <w:rFonts w:ascii="Times New Roman"/>
          <w:sz w:val="30"/>
        </w:rPr>
        <w:t>16</w:t>
      </w:r>
    </w:p>
    <w:p>
      <w:pPr>
        <w:spacing w:before="123"/>
        <w:ind w:left="280" w:right="0" w:firstLine="0"/>
        <w:jc w:val="left"/>
        <w:rPr>
          <w:rFonts w:ascii="Times New Roman"/>
          <w:sz w:val="30"/>
        </w:rPr>
      </w:pPr>
      <w:r>
        <w:rPr>
          <w:rFonts w:ascii="Times New Roman"/>
          <w:sz w:val="30"/>
        </w:rPr>
        <w:t>17</w:t>
      </w:r>
    </w:p>
    <w:p>
      <w:pPr>
        <w:spacing w:before="103" w:line="292" w:lineRule="auto"/>
        <w:ind w:left="280" w:right="14397" w:firstLine="151"/>
        <w:jc w:val="left"/>
        <w:rPr>
          <w:rFonts w:ascii="Times New Roman" w:eastAsia="Times New Roman"/>
          <w:sz w:val="30"/>
        </w:rPr>
      </w:pPr>
      <w:r>
        <w:rPr>
          <w:sz w:val="30"/>
        </w:rPr>
        <w:t>连墙件的构建应符合下列规</w:t>
      </w:r>
      <w:r>
        <w:rPr>
          <w:spacing w:val="-52"/>
          <w:sz w:val="30"/>
        </w:rPr>
        <w:t>定：连</w:t>
      </w:r>
      <w:r>
        <w:rPr>
          <w:sz w:val="30"/>
        </w:rPr>
        <w:t>墙件必须采用可承受拉力和压力的构造。</w:t>
      </w:r>
      <w:r>
        <w:rPr>
          <w:rFonts w:ascii="Times New Roman" w:eastAsia="Times New Roman"/>
          <w:sz w:val="30"/>
        </w:rPr>
        <w:t>18</w:t>
      </w:r>
    </w:p>
    <w:p>
      <w:pPr>
        <w:spacing w:before="43" w:line="295" w:lineRule="auto"/>
        <w:ind w:left="280" w:right="14260" w:firstLine="0"/>
        <w:jc w:val="left"/>
        <w:rPr>
          <w:sz w:val="30"/>
        </w:rPr>
      </w:pPr>
      <w:r>
        <w:rPr>
          <w:sz w:val="30"/>
        </w:rPr>
        <w:t xml:space="preserve">以 下 的 剪 刀 墙 的 设 置 应 符 合 下 列 </w:t>
      </w:r>
      <w:r>
        <w:rPr>
          <w:spacing w:val="-6"/>
          <w:sz w:val="30"/>
        </w:rPr>
        <w:t xml:space="preserve">规定： </w:t>
      </w:r>
      <w:r>
        <w:rPr>
          <w:sz w:val="30"/>
        </w:rPr>
        <w:t xml:space="preserve">高 度 在 </w:t>
      </w:r>
      <w:r>
        <w:rPr>
          <w:rFonts w:ascii="Times New Roman" w:eastAsia="Times New Roman"/>
          <w:sz w:val="30"/>
        </w:rPr>
        <w:t xml:space="preserve">2 24m </w:t>
      </w:r>
      <w:r>
        <w:rPr>
          <w:spacing w:val="-46"/>
          <w:sz w:val="30"/>
        </w:rPr>
        <w:t xml:space="preserve">单，双排 脚 </w:t>
      </w:r>
      <w:r>
        <w:rPr>
          <w:spacing w:val="-37"/>
          <w:sz w:val="30"/>
        </w:rPr>
        <w:t xml:space="preserve">手架， </w:t>
      </w:r>
      <w:r>
        <w:rPr>
          <w:sz w:val="30"/>
        </w:rPr>
        <w:t>均 必 须在</w:t>
      </w:r>
    </w:p>
    <w:p>
      <w:pPr>
        <w:spacing w:before="0" w:line="358" w:lineRule="exact"/>
        <w:ind w:left="280" w:right="0" w:firstLine="0"/>
        <w:jc w:val="left"/>
        <w:rPr>
          <w:sz w:val="30"/>
        </w:rPr>
      </w:pPr>
      <w:r>
        <w:rPr>
          <w:w w:val="95"/>
          <w:sz w:val="30"/>
        </w:rPr>
        <w:t>外侧</w:t>
      </w:r>
    </w:p>
    <w:p>
      <w:pPr>
        <w:spacing w:before="83" w:line="292" w:lineRule="auto"/>
        <w:ind w:left="280" w:right="14559" w:firstLine="0"/>
        <w:jc w:val="both"/>
        <w:rPr>
          <w:sz w:val="30"/>
        </w:rPr>
      </w:pPr>
      <w:r>
        <w:rPr>
          <w:spacing w:val="-9"/>
          <w:sz w:val="30"/>
        </w:rPr>
        <w:t>立面的两端各</w:t>
      </w:r>
      <w:r>
        <w:rPr>
          <w:spacing w:val="-9"/>
          <w:w w:val="95"/>
          <w:sz w:val="30"/>
        </w:rPr>
        <w:t>设置</w:t>
      </w:r>
    </w:p>
    <w:p>
      <w:pPr>
        <w:spacing w:after="0" w:line="292" w:lineRule="auto"/>
        <w:jc w:val="both"/>
        <w:rPr>
          <w:sz w:val="30"/>
        </w:rPr>
        <w:sectPr>
          <w:pgSz w:w="17860" w:h="25260"/>
          <w:pgMar w:top="1820" w:right="0" w:bottom="280" w:left="2420" w:header="708" w:footer="708"/>
          <w:pgNumType w:start="6"/>
          <w:cols w:space="708"/>
        </w:sectPr>
      </w:pPr>
    </w:p>
    <w:p>
      <w:pPr>
        <w:spacing w:before="122" w:line="300" w:lineRule="auto"/>
        <w:ind w:left="280" w:right="0" w:firstLine="0"/>
        <w:jc w:val="left"/>
        <w:rPr>
          <w:rFonts w:ascii="Times New Roman" w:eastAsia="Times New Roman"/>
          <w:sz w:val="30"/>
        </w:rPr>
      </w:pPr>
      <w:r>
        <w:drawing>
          <wp:anchor distT="0" distB="0" distL="0" distR="0" simplePos="0" relativeHeight="251661312" behindDoc="1" locked="0" layoutInCell="1" allowOverlap="1">
            <wp:simplePos x="0" y="0"/>
            <wp:positionH relativeFrom="page">
              <wp:posOffset>1600200</wp:posOffset>
            </wp:positionH>
            <wp:positionV relativeFrom="paragraph">
              <wp:posOffset>4572</wp:posOffset>
            </wp:positionV>
            <wp:extent cx="7061200" cy="131191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7061200" cy="13119100"/>
                    </a:xfrm>
                    <a:prstGeom prst="rect">
                      <a:avLst/>
                    </a:prstGeom>
                  </pic:spPr>
                </pic:pic>
              </a:graphicData>
            </a:graphic>
          </wp:anchor>
        </w:drawing>
      </w:r>
      <w:r>
        <w:rPr>
          <w:spacing w:val="-72"/>
          <w:w w:val="99"/>
          <w:sz w:val="30"/>
        </w:rPr>
        <w:t>一．</w:t>
      </w:r>
      <w:r>
        <w:rPr>
          <w:rFonts w:ascii="Times New Roman" w:eastAsia="Times New Roman"/>
          <w:spacing w:val="-6"/>
          <w:w w:val="99"/>
          <w:sz w:val="30"/>
        </w:rPr>
        <w:t>24</w:t>
      </w:r>
      <w:r>
        <w:rPr>
          <w:rFonts w:ascii="Times New Roman" w:eastAsia="Times New Roman"/>
          <w:w w:val="99"/>
          <w:sz w:val="30"/>
        </w:rPr>
        <w:t xml:space="preserve"> </w:t>
      </w:r>
      <w:r>
        <w:rPr>
          <w:rFonts w:ascii="Times New Roman" w:eastAsia="Times New Roman"/>
          <w:sz w:val="30"/>
        </w:rPr>
        <w:t>25</w:t>
      </w:r>
      <w:r>
        <w:rPr>
          <w:rFonts w:ascii="Times New Roman" w:eastAsia="Times New Roman"/>
          <w:spacing w:val="-3"/>
          <w:sz w:val="30"/>
        </w:rPr>
        <w:t xml:space="preserve"> </w:t>
      </w:r>
      <w:r>
        <w:rPr>
          <w:rFonts w:ascii="Times New Roman" w:eastAsia="Times New Roman"/>
          <w:sz w:val="30"/>
        </w:rPr>
        <w:t>26</w:t>
      </w:r>
    </w:p>
    <w:p>
      <w:pPr>
        <w:spacing w:before="35"/>
        <w:ind w:left="280" w:right="0" w:firstLine="0"/>
        <w:jc w:val="left"/>
        <w:rPr>
          <w:rFonts w:ascii="Times New Roman"/>
          <w:sz w:val="30"/>
        </w:rPr>
      </w:pPr>
      <w:r>
        <w:rPr>
          <w:rFonts w:ascii="Times New Roman"/>
          <w:sz w:val="30"/>
        </w:rPr>
        <w:t>27</w:t>
      </w:r>
      <w:r>
        <w:rPr>
          <w:rFonts w:ascii="Times New Roman"/>
          <w:spacing w:val="-4"/>
          <w:sz w:val="30"/>
        </w:rPr>
        <w:t xml:space="preserve"> </w:t>
      </w:r>
      <w:r>
        <w:rPr>
          <w:rFonts w:ascii="Times New Roman"/>
          <w:sz w:val="30"/>
        </w:rPr>
        <w:t>28</w:t>
      </w:r>
    </w:p>
    <w:p>
      <w:pPr>
        <w:spacing w:before="113" w:line="292" w:lineRule="auto"/>
        <w:ind w:left="280" w:right="0" w:firstLine="0"/>
        <w:jc w:val="left"/>
        <w:rPr>
          <w:rFonts w:ascii="Times New Roman" w:eastAsia="Times New Roman"/>
          <w:sz w:val="30"/>
        </w:rPr>
      </w:pPr>
      <w:r>
        <w:rPr>
          <w:sz w:val="30"/>
        </w:rPr>
        <w:t>有害气体排噪声污染控光污染控制施工固体废弃物控制职业健康作业</w:t>
      </w:r>
      <w:r>
        <w:rPr>
          <w:spacing w:val="-51"/>
          <w:w w:val="99"/>
          <w:sz w:val="30"/>
        </w:rPr>
        <w:t>时，，</w:t>
      </w:r>
      <w:r>
        <w:rPr>
          <w:spacing w:val="-51"/>
          <w:sz w:val="30"/>
        </w:rPr>
        <w:t>操作人员应带耳塞进行听力</w:t>
      </w:r>
      <w:r>
        <w:rPr>
          <w:spacing w:val="-41"/>
          <w:sz w:val="30"/>
        </w:rPr>
        <w:t>保护。</w:t>
      </w:r>
      <w:r>
        <w:rPr>
          <w:sz w:val="30"/>
        </w:rPr>
        <w:t>高温作业</w:t>
      </w:r>
      <w:r>
        <w:rPr>
          <w:spacing w:val="-46"/>
          <w:sz w:val="30"/>
        </w:rPr>
        <w:t>时，施工现场应配备防暑降温</w:t>
      </w:r>
      <w:r>
        <w:rPr>
          <w:spacing w:val="-38"/>
          <w:sz w:val="30"/>
        </w:rPr>
        <w:t xml:space="preserve">用品， </w:t>
      </w:r>
      <w:r>
        <w:rPr>
          <w:sz w:val="30"/>
        </w:rPr>
        <w:t>合理安排作息</w:t>
      </w:r>
      <w:r>
        <w:rPr>
          <w:spacing w:val="-7"/>
          <w:sz w:val="30"/>
        </w:rPr>
        <w:t>时间。</w:t>
      </w:r>
      <w:r>
        <w:rPr>
          <w:rFonts w:ascii="Times New Roman" w:eastAsia="Times New Roman"/>
          <w:sz w:val="30"/>
        </w:rPr>
        <w:t>4.</w:t>
      </w:r>
    </w:p>
    <w:p>
      <w:pPr>
        <w:pStyle w:val="BodyText"/>
        <w:rPr>
          <w:rFonts w:ascii="Times New Roman"/>
          <w:sz w:val="30"/>
        </w:rPr>
      </w:pPr>
      <w:r>
        <w:br w:type="column"/>
      </w: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spacing w:before="231" w:line="292" w:lineRule="auto"/>
        <w:ind w:left="150" w:right="17" w:firstLine="0"/>
        <w:jc w:val="left"/>
        <w:rPr>
          <w:sz w:val="30"/>
        </w:rPr>
      </w:pPr>
      <w:r>
        <w:rPr>
          <w:sz w:val="30"/>
        </w:rPr>
        <w:t>定：各种垂直运输接料平台，除两侧设防护栏杆外，</w:t>
      </w:r>
    </w:p>
    <w:p>
      <w:pPr>
        <w:pStyle w:val="BodyText"/>
      </w:pPr>
      <w:r>
        <w:br w:type="column"/>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07"/>
        <w:ind w:left="280"/>
      </w:pPr>
      <w:r>
        <w:t>量（个）</w:t>
      </w:r>
    </w:p>
    <w:p>
      <w:pPr>
        <w:pStyle w:val="BodyText"/>
      </w:pPr>
      <w:r>
        <w:br w:type="column"/>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5"/>
        </w:rPr>
      </w:pPr>
    </w:p>
    <w:p>
      <w:pPr>
        <w:pStyle w:val="BodyText"/>
        <w:ind w:left="280"/>
      </w:pPr>
      <w:r>
        <w:t>（个）</w:t>
      </w:r>
    </w:p>
    <w:p>
      <w:pPr>
        <w:spacing w:after="0"/>
        <w:sectPr>
          <w:pgSz w:w="17860" w:h="25260"/>
          <w:pgMar w:top="1820" w:right="0" w:bottom="280" w:left="2420" w:header="708" w:footer="708"/>
          <w:pgNumType w:start="7"/>
          <w:cols w:num="4" w:space="708" w:equalWidth="0">
            <w:col w:w="1178" w:space="40"/>
            <w:col w:w="1984" w:space="237"/>
            <w:col w:w="1761" w:space="1594"/>
            <w:col w:w="8646" w:space="0"/>
          </w:cols>
        </w:sectPr>
      </w:pPr>
    </w:p>
    <w:p>
      <w:pPr>
        <w:pStyle w:val="BodyText"/>
        <w:ind w:left="100"/>
        <w:rPr>
          <w:sz w:val="20"/>
        </w:rPr>
      </w:pPr>
      <w:r>
        <w:rPr>
          <w:sz w:val="20"/>
        </w:rPr>
        <w:pict>
          <v:group id="_x0000_i1033" style="width:556pt;height:729pt;mso-position-horizontal-relative:char;mso-position-vertical-relative:line" coordorigin="0,0" coordsize="11120,14580">
            <v:shape id="_x0000_s1034" type="#_x0000_t75" style="width:11120;height:14580;position:absolute" stroked="f">
              <v:imagedata r:id="rId8" o:title=""/>
            </v:shape>
            <v:shape id="_x0000_s1035" type="#_x0000_t202" style="width:1892;height:6853;left:1267;position:absolute;top:158" filled="f" stroked="f">
              <v:textbox inset="0,0,0,0">
                <w:txbxContent>
                  <w:p>
                    <w:pPr>
                      <w:spacing w:before="0" w:line="341" w:lineRule="exact"/>
                      <w:ind w:left="0" w:right="0" w:firstLine="0"/>
                      <w:jc w:val="left"/>
                      <w:rPr>
                        <w:sz w:val="30"/>
                      </w:rPr>
                    </w:pPr>
                    <w:r>
                      <w:rPr>
                        <w:w w:val="95"/>
                        <w:sz w:val="30"/>
                      </w:rPr>
                      <w:t>置一根横向水</w:t>
                    </w:r>
                  </w:p>
                  <w:p>
                    <w:pPr>
                      <w:spacing w:before="84" w:line="292" w:lineRule="auto"/>
                      <w:ind w:left="0" w:right="97" w:firstLine="0"/>
                      <w:jc w:val="both"/>
                      <w:rPr>
                        <w:sz w:val="30"/>
                      </w:rPr>
                    </w:pPr>
                    <w:r>
                      <w:rPr>
                        <w:spacing w:val="-4"/>
                        <w:sz w:val="30"/>
                      </w:rPr>
                      <w:t>平杆，用直角扣件接且严禁拆除。卸料时应符合下列规定：施工现场存放的油料和化学溶剂等物品设有专门的</w:t>
                    </w:r>
                    <w:r>
                      <w:rPr>
                        <w:spacing w:val="-4"/>
                        <w:w w:val="95"/>
                        <w:sz w:val="30"/>
                      </w:rPr>
                      <w:t>危险品库房，</w:t>
                    </w:r>
                  </w:p>
                  <w:p>
                    <w:pPr>
                      <w:spacing w:before="0" w:line="366" w:lineRule="exact"/>
                      <w:ind w:left="0" w:right="0" w:firstLine="0"/>
                      <w:jc w:val="both"/>
                      <w:rPr>
                        <w:sz w:val="30"/>
                      </w:rPr>
                    </w:pPr>
                    <w:r>
                      <w:rPr>
                        <w:rFonts w:ascii="Times New Roman" w:eastAsia="Times New Roman"/>
                        <w:sz w:val="30"/>
                      </w:rPr>
                      <w:t>1.</w:t>
                    </w:r>
                    <w:r>
                      <w:rPr>
                        <w:rFonts w:ascii="Times New Roman" w:eastAsia="Times New Roman"/>
                        <w:spacing w:val="71"/>
                        <w:sz w:val="30"/>
                      </w:rPr>
                      <w:t xml:space="preserve"> </w:t>
                    </w:r>
                    <w:r>
                      <w:rPr>
                        <w:sz w:val="30"/>
                      </w:rPr>
                      <w:t>漏。废弃的</w:t>
                    </w:r>
                  </w:p>
                  <w:p>
                    <w:pPr>
                      <w:spacing w:before="93" w:line="292" w:lineRule="auto"/>
                      <w:ind w:left="0" w:right="97" w:firstLine="0"/>
                      <w:jc w:val="both"/>
                      <w:rPr>
                        <w:sz w:val="30"/>
                      </w:rPr>
                    </w:pPr>
                    <w:r>
                      <w:rPr>
                        <w:spacing w:val="-4"/>
                        <w:sz w:val="30"/>
                      </w:rPr>
                      <w:t xml:space="preserve">油料和化学溶剂集中处理， </w:t>
                    </w:r>
                    <w:r>
                      <w:rPr>
                        <w:sz w:val="30"/>
                      </w:rPr>
                      <w:t>不得随意倾</w:t>
                    </w:r>
                  </w:p>
                  <w:p>
                    <w:pPr>
                      <w:spacing w:before="0" w:line="340" w:lineRule="exact"/>
                      <w:ind w:left="0" w:right="0" w:firstLine="0"/>
                      <w:jc w:val="left"/>
                      <w:rPr>
                        <w:sz w:val="30"/>
                      </w:rPr>
                    </w:pPr>
                    <w:r>
                      <w:rPr>
                        <w:sz w:val="30"/>
                      </w:rPr>
                      <w:t>倒。</w:t>
                    </w:r>
                  </w:p>
                </w:txbxContent>
              </v:textbox>
            </v:shape>
            <v:shape id="_x0000_s1036" type="#_x0000_t202" style="width:618;height:767;left:180;position:absolute;top:7193" filled="f" stroked="f">
              <v:textbox inset="0,0,0,0">
                <w:txbxContent>
                  <w:p>
                    <w:pPr>
                      <w:spacing w:before="0" w:line="341" w:lineRule="exact"/>
                      <w:ind w:left="0" w:right="0" w:firstLine="0"/>
                      <w:jc w:val="left"/>
                      <w:rPr>
                        <w:sz w:val="30"/>
                      </w:rPr>
                    </w:pPr>
                    <w:r>
                      <w:rPr>
                        <w:sz w:val="30"/>
                      </w:rPr>
                      <w:t>放控</w:t>
                    </w:r>
                  </w:p>
                  <w:p>
                    <w:pPr>
                      <w:spacing w:before="83" w:line="342" w:lineRule="exact"/>
                      <w:ind w:left="0" w:right="0" w:firstLine="0"/>
                      <w:jc w:val="left"/>
                      <w:rPr>
                        <w:sz w:val="30"/>
                      </w:rPr>
                    </w:pPr>
                    <w:r>
                      <w:rPr>
                        <w:w w:val="99"/>
                        <w:sz w:val="30"/>
                      </w:rPr>
                      <w:t>制</w:t>
                    </w:r>
                  </w:p>
                </w:txbxContent>
              </v:textbox>
            </v:shape>
            <v:shape id="_x0000_s1037" type="#_x0000_t202" style="width:1180;height:290;left:1267;position:absolute;top:7170" filled="f" stroked="f">
              <v:textbox inset="0,0,0,0">
                <w:txbxContent>
                  <w:p>
                    <w:pPr>
                      <w:spacing w:before="0" w:line="290" w:lineRule="exact"/>
                      <w:ind w:left="0" w:right="0" w:firstLine="0"/>
                      <w:jc w:val="left"/>
                      <w:rPr>
                        <w:sz w:val="29"/>
                      </w:rPr>
                    </w:pPr>
                    <w:r>
                      <w:rPr>
                        <w:sz w:val="29"/>
                      </w:rPr>
                      <w:t>连接立杆</w:t>
                    </w:r>
                  </w:p>
                </w:txbxContent>
              </v:textbox>
            </v:shape>
            <v:shape id="_x0000_s1038" type="#_x0000_t202" style="width:319;height:299;left:2707;position:absolute;top:7215" filled="f" stroked="f">
              <v:textbox inset="0,0,0,0">
                <w:txbxContent>
                  <w:p>
                    <w:pPr>
                      <w:spacing w:before="0" w:line="299" w:lineRule="exact"/>
                      <w:ind w:left="0" w:right="0" w:firstLine="0"/>
                      <w:jc w:val="left"/>
                      <w:rPr>
                        <w:sz w:val="30"/>
                      </w:rPr>
                    </w:pPr>
                    <w:r>
                      <w:rPr>
                        <w:w w:val="99"/>
                        <w:sz w:val="30"/>
                      </w:rPr>
                      <w:t>平</w:t>
                    </w:r>
                  </w:p>
                </w:txbxContent>
              </v:textbox>
            </v:shape>
            <v:shape id="_x0000_s1039" type="#_x0000_t202" style="width:1813;height:6852;left:1267;position:absolute;top:7661" filled="f" stroked="f">
              <v:textbox inset="0,0,0,0">
                <w:txbxContent>
                  <w:p>
                    <w:pPr>
                      <w:spacing w:before="0" w:line="341" w:lineRule="exact"/>
                      <w:ind w:left="0" w:right="0" w:firstLine="0"/>
                      <w:jc w:val="left"/>
                      <w:rPr>
                        <w:sz w:val="30"/>
                      </w:rPr>
                    </w:pPr>
                    <w:r>
                      <w:rPr>
                        <w:w w:val="95"/>
                        <w:sz w:val="30"/>
                      </w:rPr>
                      <w:t>台口还应设置</w:t>
                    </w:r>
                  </w:p>
                  <w:p>
                    <w:pPr>
                      <w:spacing w:before="83" w:line="292" w:lineRule="auto"/>
                      <w:ind w:left="0" w:right="18" w:firstLine="0"/>
                      <w:jc w:val="left"/>
                      <w:rPr>
                        <w:sz w:val="30"/>
                      </w:rPr>
                    </w:pPr>
                    <w:r>
                      <w:rPr>
                        <w:spacing w:val="-4"/>
                        <w:sz w:val="30"/>
                      </w:rPr>
                      <w:t>安全门或活动防护栏杆。脚手架必须设置纵，横向扫地杆。纵向扫地杆应采用直角扣件固定在距底座上皮不大于各构配件严</w:t>
                    </w:r>
                    <w:r>
                      <w:rPr>
                        <w:sz w:val="30"/>
                      </w:rPr>
                      <w:t>禁抛掷至地</w:t>
                    </w:r>
                    <w:r>
                      <w:rPr>
                        <w:spacing w:val="-1"/>
                        <w:sz w:val="30"/>
                      </w:rPr>
                      <w:t xml:space="preserve">面。 </w:t>
                    </w:r>
                    <w:r>
                      <w:rPr>
                        <w:rFonts w:ascii="Times New Roman" w:eastAsia="Times New Roman"/>
                        <w:sz w:val="30"/>
                      </w:rPr>
                      <w:t xml:space="preserve">2. </w:t>
                    </w:r>
                    <w:r>
                      <w:rPr>
                        <w:sz w:val="30"/>
                      </w:rPr>
                      <w:t>施工</w:t>
                    </w:r>
                    <w:r>
                      <w:rPr>
                        <w:spacing w:val="-4"/>
                        <w:sz w:val="30"/>
                      </w:rPr>
                      <w:t>现场设置的临</w:t>
                    </w:r>
                    <w:r>
                      <w:rPr>
                        <w:spacing w:val="-4"/>
                        <w:w w:val="95"/>
                        <w:sz w:val="30"/>
                      </w:rPr>
                      <w:t>时厕所化粪池</w:t>
                    </w:r>
                  </w:p>
                  <w:p>
                    <w:pPr>
                      <w:spacing w:before="0" w:line="330" w:lineRule="exact"/>
                      <w:ind w:left="0" w:right="0" w:firstLine="0"/>
                      <w:jc w:val="left"/>
                      <w:rPr>
                        <w:sz w:val="30"/>
                      </w:rPr>
                    </w:pPr>
                    <w:r>
                      <w:rPr>
                        <w:w w:val="95"/>
                        <w:sz w:val="30"/>
                      </w:rPr>
                      <w:t>做抗渗处理。</w:t>
                    </w:r>
                  </w:p>
                </w:txbxContent>
              </v:textbox>
            </v:shape>
            <v:shape id="_x0000_s1040" type="#_x0000_t202" style="width:934;height:1258;left:6975;position:absolute;top:7184" filled="f" stroked="f">
              <v:textbox inset="0,0,0,0">
                <w:txbxContent>
                  <w:p>
                    <w:pPr>
                      <w:spacing w:before="0" w:line="341" w:lineRule="exact"/>
                      <w:ind w:left="151" w:right="0" w:firstLine="0"/>
                      <w:jc w:val="left"/>
                      <w:rPr>
                        <w:sz w:val="30"/>
                      </w:rPr>
                    </w:pPr>
                    <w:r>
                      <w:rPr>
                        <w:sz w:val="30"/>
                      </w:rPr>
                      <w:t>处的</w:t>
                    </w:r>
                  </w:p>
                  <w:p>
                    <w:pPr>
                      <w:spacing w:before="93"/>
                      <w:ind w:left="0" w:right="0" w:firstLine="0"/>
                      <w:jc w:val="left"/>
                      <w:rPr>
                        <w:sz w:val="30"/>
                      </w:rPr>
                    </w:pPr>
                    <w:r>
                      <w:rPr>
                        <w:sz w:val="30"/>
                      </w:rPr>
                      <w:t>立杆</w:t>
                    </w:r>
                  </w:p>
                  <w:p>
                    <w:pPr>
                      <w:spacing w:before="94" w:line="345" w:lineRule="exact"/>
                      <w:ind w:left="0" w:right="0" w:firstLine="0"/>
                      <w:jc w:val="left"/>
                      <w:rPr>
                        <w:rFonts w:ascii="Times New Roman"/>
                        <w:sz w:val="30"/>
                      </w:rPr>
                    </w:pPr>
                    <w:r>
                      <w:rPr>
                        <w:rFonts w:ascii="Times New Roman"/>
                        <w:sz w:val="30"/>
                      </w:rPr>
                      <w:t>200mm</w:t>
                    </w:r>
                  </w:p>
                </w:txbxContent>
              </v:textbox>
            </v:shape>
            <w10:wrap type="none"/>
          </v:group>
        </w:pict>
      </w:r>
    </w:p>
    <w:p>
      <w:pPr>
        <w:spacing w:after="0"/>
        <w:rPr>
          <w:sz w:val="20"/>
        </w:rPr>
        <w:sectPr>
          <w:pgSz w:w="17860" w:h="25260"/>
          <w:pgMar w:top="1820" w:right="0" w:bottom="280" w:left="2420" w:header="708" w:footer="708"/>
          <w:pgNumType w:start="8"/>
          <w:cols w:space="708"/>
        </w:sectPr>
      </w:pPr>
    </w:p>
    <w:p>
      <w:pPr>
        <w:pStyle w:val="BodyText"/>
        <w:spacing w:before="31"/>
        <w:ind w:left="280"/>
        <w:rPr>
          <w:rFonts w:ascii="Times New Roman" w:eastAsia="Times New Roman"/>
        </w:rPr>
      </w:pPr>
      <w:r>
        <w:drawing>
          <wp:anchor distT="0" distB="0" distL="0" distR="0" simplePos="0" relativeHeight="251662336" behindDoc="1" locked="0" layoutInCell="1" allowOverlap="1">
            <wp:simplePos x="0" y="0"/>
            <wp:positionH relativeFrom="page">
              <wp:posOffset>1600200</wp:posOffset>
            </wp:positionH>
            <wp:positionV relativeFrom="paragraph">
              <wp:posOffset>4571</wp:posOffset>
            </wp:positionV>
            <wp:extent cx="7061200" cy="1221740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9" cstate="print"/>
                    <a:stretch>
                      <a:fillRect/>
                    </a:stretch>
                  </pic:blipFill>
                  <pic:spPr>
                    <a:xfrm>
                      <a:off x="0" y="0"/>
                      <a:ext cx="7061200" cy="12217400"/>
                    </a:xfrm>
                    <a:prstGeom prst="rect">
                      <a:avLst/>
                    </a:prstGeom>
                  </pic:spPr>
                </pic:pic>
              </a:graphicData>
            </a:graphic>
          </wp:anchor>
        </w:drawing>
      </w:r>
      <w:r>
        <w:t xml:space="preserve">向水（横）与纵平杆或剪刀撑的扣件；接长立 </w:t>
      </w:r>
      <w:r>
        <w:rPr>
          <w:rFonts w:ascii="Times New Roman" w:eastAsia="Times New Roman"/>
        </w:rPr>
        <w:t>1 5</w:t>
      </w:r>
    </w:p>
    <w:p>
      <w:pPr>
        <w:pStyle w:val="BodyText"/>
        <w:spacing w:before="23"/>
        <w:ind w:left="280"/>
        <w:rPr>
          <w:rFonts w:ascii="Times New Roman"/>
        </w:rPr>
      </w:pPr>
      <w:r>
        <w:rPr>
          <w:rFonts w:ascii="Times New Roman"/>
        </w:rPr>
        <w:t>50</w:t>
      </w:r>
    </w:p>
    <w:p>
      <w:pPr>
        <w:pStyle w:val="BodyText"/>
        <w:spacing w:before="54"/>
        <w:ind w:left="280"/>
        <w:rPr>
          <w:rFonts w:ascii="Times New Roman"/>
        </w:rPr>
      </w:pPr>
      <w:r>
        <w:rPr>
          <w:rFonts w:ascii="Times New Roman"/>
        </w:rPr>
        <w:t>1201~3200</w:t>
      </w:r>
    </w:p>
    <w:p>
      <w:pPr>
        <w:pStyle w:val="BodyText"/>
        <w:spacing w:before="38"/>
        <w:ind w:left="280"/>
        <w:rPr>
          <w:rFonts w:ascii="Times New Roman" w:eastAsia="Times New Roman"/>
        </w:rPr>
      </w:pPr>
      <w:r>
        <w:t xml:space="preserve">纵向水平杆杆、或剪刀撑的扣 件连接横向水平杆与纵向 </w:t>
      </w:r>
      <w:r>
        <w:rPr>
          <w:rFonts w:ascii="Times New Roman" w:eastAsia="Times New Roman"/>
        </w:rPr>
        <w:t>10</w:t>
      </w:r>
    </w:p>
    <w:p>
      <w:pPr>
        <w:pStyle w:val="BodyText"/>
        <w:spacing w:before="23"/>
        <w:ind w:left="280"/>
        <w:rPr>
          <w:rFonts w:ascii="Times New Roman"/>
        </w:rPr>
      </w:pPr>
      <w:r>
        <w:rPr>
          <w:rFonts w:ascii="Times New Roman"/>
        </w:rPr>
        <w:t>50</w:t>
      </w:r>
    </w:p>
    <w:p>
      <w:pPr>
        <w:pStyle w:val="BodyText"/>
        <w:spacing w:before="54"/>
        <w:ind w:left="280"/>
        <w:rPr>
          <w:rFonts w:ascii="Times New Roman"/>
        </w:rPr>
      </w:pPr>
      <w:r>
        <w:rPr>
          <w:rFonts w:ascii="Times New Roman"/>
        </w:rPr>
        <w:t>2</w:t>
      </w:r>
    </w:p>
    <w:p>
      <w:pPr>
        <w:pStyle w:val="BodyText"/>
        <w:spacing w:before="54"/>
        <w:ind w:left="280"/>
        <w:rPr>
          <w:rFonts w:ascii="Times New Roman"/>
        </w:rPr>
      </w:pPr>
      <w:r>
        <w:rPr>
          <w:rFonts w:ascii="Times New Roman"/>
        </w:rPr>
        <w:t>1201~3200</w:t>
      </w:r>
    </w:p>
    <w:p>
      <w:pPr>
        <w:spacing w:before="41" w:line="288" w:lineRule="auto"/>
        <w:ind w:left="280" w:right="4363" w:firstLine="0"/>
        <w:jc w:val="left"/>
        <w:rPr>
          <w:sz w:val="30"/>
        </w:rPr>
      </w:pPr>
      <w:r>
        <w:rPr>
          <w:position w:val="5"/>
          <w:sz w:val="36"/>
        </w:rPr>
        <w:t xml:space="preserve">水平杆的扣件 （非主节点处） </w:t>
      </w:r>
      <w:r>
        <w:rPr>
          <w:sz w:val="30"/>
        </w:rPr>
        <w:t xml:space="preserve">搭设临边防护栏杆时，必须符合下列要求： 一、防护栏杆应由上，下两道横杆及栏杆柱组成，二、上杆 ，下杆离地高度为离地高度为 </w:t>
      </w:r>
      <w:r>
        <w:rPr>
          <w:rFonts w:ascii="Times New Roman" w:eastAsia="Times New Roman"/>
          <w:sz w:val="30"/>
        </w:rPr>
        <w:t>1.0</w:t>
      </w:r>
      <w:r>
        <w:rPr>
          <w:sz w:val="30"/>
        </w:rPr>
        <w:t>～</w:t>
      </w:r>
      <w:r>
        <w:rPr>
          <w:rFonts w:ascii="Times New Roman" w:eastAsia="Times New Roman"/>
          <w:sz w:val="30"/>
        </w:rPr>
        <w:t>1.2m0.5</w:t>
      </w:r>
      <w:r>
        <w:rPr>
          <w:sz w:val="30"/>
        </w:rPr>
        <w:t>。～</w:t>
      </w:r>
      <w:r>
        <w:rPr>
          <w:rFonts w:ascii="Times New Roman" w:eastAsia="Times New Roman"/>
          <w:sz w:val="30"/>
        </w:rPr>
        <w:t xml:space="preserve">0.6m </w:t>
      </w:r>
      <w:r>
        <w:rPr>
          <w:sz w:val="30"/>
        </w:rPr>
        <w:t>三、栏杆柱的固定及其与横杆的连接，其整体构造应使防护栏杆在上杆任何处，能经受任何方向的 外力。</w:t>
      </w:r>
      <w:r>
        <w:rPr>
          <w:rFonts w:ascii="Times New Roman" w:eastAsia="Times New Roman"/>
          <w:sz w:val="30"/>
        </w:rPr>
        <w:t xml:space="preserve">100N </w:t>
      </w:r>
      <w:r>
        <w:rPr>
          <w:sz w:val="30"/>
        </w:rPr>
        <w:t>四、防护栏杆必须自上而下用安全网封闭，或在栏</w:t>
      </w:r>
    </w:p>
    <w:p>
      <w:pPr>
        <w:tabs>
          <w:tab w:val="left" w:pos="1479"/>
          <w:tab w:val="left" w:pos="3131"/>
          <w:tab w:val="left" w:pos="3578"/>
          <w:tab w:val="left" w:pos="7489"/>
          <w:tab w:val="left" w:pos="8238"/>
        </w:tabs>
        <w:spacing w:before="0" w:line="292" w:lineRule="auto"/>
        <w:ind w:left="280" w:right="4287" w:firstLine="0"/>
        <w:jc w:val="left"/>
        <w:rPr>
          <w:rFonts w:ascii="Times New Roman" w:eastAsia="Times New Roman"/>
          <w:sz w:val="30"/>
        </w:rPr>
      </w:pPr>
      <w:r>
        <w:rPr>
          <w:sz w:val="30"/>
        </w:rPr>
        <w:t>的挡脚板杆下边设置严密固定的高度不低于</w:t>
      </w:r>
      <w:r>
        <w:rPr>
          <w:spacing w:val="-66"/>
          <w:sz w:val="30"/>
        </w:rPr>
        <w:t xml:space="preserve"> </w:t>
      </w:r>
      <w:r>
        <w:rPr>
          <w:rFonts w:ascii="Times New Roman" w:eastAsia="Times New Roman"/>
          <w:sz w:val="30"/>
        </w:rPr>
        <w:t>180mm</w:t>
      </w:r>
      <w:r>
        <w:rPr>
          <w:rFonts w:ascii="Times New Roman" w:eastAsia="Times New Roman"/>
          <w:spacing w:val="-3"/>
          <w:sz w:val="30"/>
        </w:rPr>
        <w:t xml:space="preserve"> </w:t>
      </w:r>
      <w:r>
        <w:rPr>
          <w:sz w:val="30"/>
        </w:rPr>
        <w:t>的挡脚笆。挡脚板与挡脚笆上如有孔眼，</w:t>
      </w:r>
      <w:r>
        <w:rPr>
          <w:spacing w:val="43"/>
          <w:sz w:val="30"/>
        </w:rPr>
        <w:t>或</w:t>
      </w:r>
      <w:r>
        <w:rPr>
          <w:rFonts w:ascii="Times New Roman" w:eastAsia="Times New Roman"/>
          <w:sz w:val="30"/>
        </w:rPr>
        <w:t>400mm</w:t>
      </w:r>
      <w:r>
        <w:rPr>
          <w:sz w:val="30"/>
        </w:rPr>
        <w:t>。板与笆下边距离底面的空隙不大于不应大于</w:t>
      </w:r>
      <w:r>
        <w:rPr>
          <w:spacing w:val="-95"/>
          <w:sz w:val="30"/>
        </w:rPr>
        <w:t xml:space="preserve"> </w:t>
      </w:r>
      <w:r>
        <w:rPr>
          <w:rFonts w:ascii="Times New Roman" w:eastAsia="Times New Roman"/>
          <w:sz w:val="30"/>
        </w:rPr>
        <w:t>25mm</w:t>
      </w:r>
      <w:r>
        <w:rPr>
          <w:sz w:val="30"/>
        </w:rPr>
        <w:t>。接料平台两侧的栏杆</w:t>
      </w:r>
      <w:r>
        <w:rPr>
          <w:spacing w:val="-37"/>
          <w:sz w:val="30"/>
        </w:rPr>
        <w:t>，</w:t>
      </w:r>
      <w:r>
        <w:rPr>
          <w:sz w:val="30"/>
        </w:rPr>
        <w:t>必须自上而下加挂安</w:t>
      </w:r>
      <w:r>
        <w:rPr>
          <w:spacing w:val="-77"/>
          <w:sz w:val="30"/>
        </w:rPr>
        <w:t xml:space="preserve"> </w:t>
      </w:r>
      <w:r>
        <w:rPr>
          <w:rFonts w:ascii="Times New Roman" w:eastAsia="Times New Roman"/>
          <w:sz w:val="30"/>
        </w:rPr>
        <w:t>10mm</w:t>
      </w:r>
      <w:r>
        <w:rPr>
          <w:rFonts w:ascii="Times New Roman" w:eastAsia="Times New Roman"/>
          <w:spacing w:val="-8"/>
          <w:sz w:val="30"/>
        </w:rPr>
        <w:t xml:space="preserve"> </w:t>
      </w:r>
      <w:r>
        <w:rPr>
          <w:sz w:val="30"/>
        </w:rPr>
        <w:t>上</w:t>
      </w:r>
      <w:r>
        <w:rPr>
          <w:spacing w:val="-41"/>
          <w:sz w:val="30"/>
        </w:rPr>
        <w:t>。</w:t>
      </w:r>
      <w:r>
        <w:rPr>
          <w:sz w:val="30"/>
        </w:rPr>
        <w:t>横向扫地杆亦应采用直角扣件固定在紧靠纵向扫地杆下方的立杆上。当立杆基础不在同一高度上时</w:t>
      </w:r>
      <w:r>
        <w:rPr>
          <w:spacing w:val="-42"/>
          <w:sz w:val="30"/>
        </w:rPr>
        <w:t>，</w:t>
      </w:r>
      <w:r>
        <w:rPr>
          <w:sz w:val="30"/>
        </w:rPr>
        <w:t>必须将高处的纵向扫地杆向低处延长两跨与立杆固。靠边坡上方的立杆轴线到定</w:t>
      </w:r>
      <w:r>
        <w:rPr>
          <w:spacing w:val="-43"/>
          <w:sz w:val="30"/>
        </w:rPr>
        <w:t>，</w:t>
      </w:r>
      <w:r>
        <w:rPr>
          <w:sz w:val="30"/>
        </w:rPr>
        <w:t>高低差不应大于</w:t>
      </w:r>
      <w:r>
        <w:rPr>
          <w:rFonts w:ascii="Times New Roman" w:eastAsia="Times New Roman"/>
          <w:sz w:val="30"/>
        </w:rPr>
        <w:t>1m</w:t>
      </w:r>
      <w:r>
        <w:rPr>
          <w:rFonts w:ascii="Times New Roman" w:eastAsia="Times New Roman"/>
          <w:spacing w:val="-9"/>
          <w:sz w:val="30"/>
        </w:rPr>
        <w:t xml:space="preserve"> </w:t>
      </w:r>
      <w:r>
        <w:rPr>
          <w:rFonts w:ascii="Times New Roman" w:eastAsia="Times New Roman"/>
          <w:sz w:val="30"/>
        </w:rPr>
        <w:t>500mm</w:t>
      </w:r>
      <w:r>
        <w:rPr>
          <w:spacing w:val="-44"/>
          <w:sz w:val="30"/>
        </w:rPr>
        <w:t>。</w:t>
      </w:r>
      <w:r>
        <w:rPr>
          <w:sz w:val="30"/>
        </w:rPr>
        <w:t>边坡的距离不应小于</w:t>
      </w:r>
      <w:r>
        <w:rPr>
          <w:spacing w:val="-8"/>
          <w:sz w:val="30"/>
        </w:rPr>
        <w:t xml:space="preserve"> </w:t>
      </w:r>
      <w:r>
        <w:rPr>
          <w:sz w:val="30"/>
        </w:rPr>
        <w:t>立杆接长除顶层步外</w:t>
      </w:r>
      <w:r>
        <w:rPr>
          <w:spacing w:val="-37"/>
          <w:sz w:val="30"/>
        </w:rPr>
        <w:t>，</w:t>
      </w:r>
      <w:r>
        <w:rPr>
          <w:sz w:val="30"/>
        </w:rPr>
        <w:t>其余各层各步接头必须采用对</w:t>
      </w:r>
      <w:r>
        <w:rPr>
          <w:spacing w:val="-15"/>
          <w:sz w:val="30"/>
        </w:rPr>
        <w:t xml:space="preserve"> </w:t>
      </w:r>
      <w:r>
        <w:rPr>
          <w:sz w:val="30"/>
        </w:rPr>
        <w:t>接扣件连接。</w:t>
      </w:r>
      <w:r>
        <w:rPr>
          <w:spacing w:val="-30"/>
          <w:sz w:val="30"/>
        </w:rPr>
        <w:t xml:space="preserve"> </w:t>
      </w:r>
      <w:r>
        <w:rPr>
          <w:sz w:val="30"/>
        </w:rPr>
        <w:t>连墙件的布置应符合下列规定：一字型，开口型脚手架的两端必须设置连墙件，连墙件的垂直间距不应大</w:t>
      </w:r>
      <w:r>
        <w:rPr>
          <w:spacing w:val="-25"/>
          <w:sz w:val="30"/>
        </w:rPr>
        <w:t xml:space="preserve"> </w:t>
      </w:r>
      <w:r>
        <w:rPr>
          <w:rFonts w:ascii="Times New Roman" w:eastAsia="Times New Roman"/>
          <w:sz w:val="30"/>
        </w:rPr>
        <w:t>4m</w:t>
      </w:r>
      <w:r>
        <w:rPr>
          <w:rFonts w:ascii="Times New Roman" w:eastAsia="Times New Roman"/>
          <w:spacing w:val="-7"/>
          <w:sz w:val="30"/>
        </w:rPr>
        <w:t xml:space="preserve"> </w:t>
      </w:r>
      <w:r>
        <w:rPr>
          <w:sz w:val="30"/>
        </w:rPr>
        <w:t>于建筑物的层高，并不应大于（两步）</w:t>
      </w:r>
      <w:r>
        <w:rPr>
          <w:spacing w:val="-9"/>
          <w:sz w:val="30"/>
        </w:rPr>
        <w:t xml:space="preserve"> </w:t>
      </w:r>
      <w:r>
        <w:rPr>
          <w:sz w:val="30"/>
        </w:rPr>
        <w:t>必须采用刚性连墙件以上的双排脚手架，对高度</w:t>
      </w:r>
      <w:r>
        <w:rPr>
          <w:spacing w:val="-55"/>
          <w:sz w:val="30"/>
        </w:rPr>
        <w:t xml:space="preserve"> </w:t>
      </w:r>
      <w:r>
        <w:rPr>
          <w:rFonts w:ascii="Times New Roman" w:eastAsia="Times New Roman"/>
          <w:sz w:val="30"/>
        </w:rPr>
        <w:t>24m</w:t>
        <w:tab/>
      </w:r>
      <w:r>
        <w:rPr>
          <w:sz w:val="30"/>
        </w:rPr>
        <w:t>扣件的验收应符合下列规定：旧扣件使用前应进行质量检查，有缝隙、变形的严禁</w:t>
      </w:r>
      <w:r>
        <w:rPr>
          <w:spacing w:val="12"/>
          <w:sz w:val="30"/>
        </w:rPr>
        <w:t xml:space="preserve"> </w:t>
      </w:r>
      <w:r>
        <w:rPr>
          <w:sz w:val="30"/>
        </w:rPr>
        <w:t>使用，出现滑丝的螺栓必须更换。</w:t>
      </w:r>
      <w:r>
        <w:rPr>
          <w:spacing w:val="-12"/>
          <w:sz w:val="30"/>
        </w:rPr>
        <w:t xml:space="preserve"> </w:t>
      </w:r>
      <w:r>
        <w:rPr>
          <w:sz w:val="30"/>
        </w:rPr>
        <w:t>脚手架搭设人员必须是经过按现行国家标准《特种作考核合格的业人员安全技术考核管理规则</w:t>
      </w:r>
      <w:r>
        <w:rPr>
          <w:spacing w:val="15"/>
          <w:sz w:val="30"/>
        </w:rPr>
        <w:t>》</w:t>
      </w:r>
      <w:r>
        <w:rPr>
          <w:rFonts w:ascii="Times New Roman" w:eastAsia="Times New Roman"/>
          <w:sz w:val="30"/>
        </w:rPr>
        <w:t>GB5036</w:t>
      </w:r>
      <w:r>
        <w:rPr>
          <w:rFonts w:ascii="Times New Roman" w:eastAsia="Times New Roman"/>
          <w:spacing w:val="-4"/>
          <w:sz w:val="30"/>
        </w:rPr>
        <w:t xml:space="preserve"> </w:t>
      </w:r>
      <w:r>
        <w:rPr>
          <w:sz w:val="30"/>
        </w:rPr>
        <w:t>专业架子工。上岗人员应定期体检，合格者方可持证</w:t>
      </w:r>
      <w:r>
        <w:rPr>
          <w:spacing w:val="-22"/>
          <w:sz w:val="30"/>
        </w:rPr>
        <w:t xml:space="preserve"> </w:t>
      </w:r>
      <w:r>
        <w:rPr>
          <w:sz w:val="30"/>
        </w:rPr>
        <w:t>上岗。</w:t>
      </w:r>
      <w:r>
        <w:rPr>
          <w:spacing w:val="-84"/>
          <w:sz w:val="30"/>
        </w:rPr>
        <w:t xml:space="preserve"> </w:t>
      </w:r>
      <w:r>
        <w:rPr>
          <w:sz w:val="30"/>
        </w:rPr>
        <w:t>作业层上的施工荷载应符合设计要求</w:t>
      </w:r>
      <w:r>
        <w:rPr>
          <w:spacing w:val="-53"/>
          <w:sz w:val="30"/>
        </w:rPr>
        <w:t>，</w:t>
      </w:r>
      <w:r>
        <w:rPr>
          <w:sz w:val="30"/>
        </w:rPr>
        <w:t>不得超载</w:t>
      </w:r>
      <w:r>
        <w:rPr>
          <w:spacing w:val="-69"/>
          <w:sz w:val="30"/>
        </w:rPr>
        <w:t>。</w:t>
      </w:r>
      <w:r>
        <w:rPr>
          <w:sz w:val="30"/>
        </w:rPr>
        <w:t>不得将模板</w:t>
      </w:r>
      <w:r>
        <w:rPr>
          <w:spacing w:val="-16"/>
          <w:sz w:val="30"/>
        </w:rPr>
        <w:t>、</w:t>
      </w:r>
      <w:r>
        <w:rPr>
          <w:sz w:val="30"/>
        </w:rPr>
        <w:t>支架、揽风绳、泵送混凝土和砂浆的输送</w:t>
      </w:r>
      <w:r>
        <w:rPr>
          <w:spacing w:val="1"/>
          <w:sz w:val="30"/>
        </w:rPr>
        <w:t xml:space="preserve"> </w:t>
      </w:r>
      <w:r>
        <w:rPr>
          <w:sz w:val="30"/>
        </w:rPr>
        <w:t>管道等固定在脚手架上；严禁悬挂起重设备。</w:t>
        <w:tab/>
        <w:t>在脚手架使用期间，严禁拆除下列杆件：</w:t>
      </w:r>
      <w:r>
        <w:rPr>
          <w:spacing w:val="4"/>
          <w:sz w:val="30"/>
        </w:rPr>
        <w:t xml:space="preserve"> </w:t>
      </w:r>
      <w:r>
        <w:rPr>
          <w:sz w:val="30"/>
        </w:rPr>
        <w:t>主节点处的纵、横向水平杆， 纵、横向扫地杆</w:t>
      </w:r>
      <w:r>
        <w:rPr>
          <w:spacing w:val="2"/>
          <w:sz w:val="30"/>
        </w:rPr>
        <w:t>；</w:t>
      </w:r>
      <w:r>
        <w:rPr>
          <w:rFonts w:ascii="Times New Roman" w:eastAsia="Times New Roman"/>
          <w:spacing w:val="2"/>
          <w:sz w:val="30"/>
        </w:rPr>
        <w:t>1.</w:t>
      </w:r>
      <w:r>
        <w:rPr>
          <w:rFonts w:ascii="Times New Roman" w:eastAsia="Times New Roman"/>
          <w:spacing w:val="65"/>
          <w:sz w:val="30"/>
        </w:rPr>
        <w:t xml:space="preserve"> </w:t>
      </w:r>
      <w:r>
        <w:rPr>
          <w:sz w:val="30"/>
        </w:rPr>
        <w:t>《建筑施工场界噪声测量方法》和施工现场应根据国家标准</w:t>
      </w:r>
      <w:r>
        <w:rPr>
          <w:rFonts w:ascii="Times New Roman" w:eastAsia="Times New Roman"/>
          <w:sz w:val="30"/>
        </w:rPr>
        <w:t>GB/T12524</w:t>
      </w:r>
      <w:r>
        <w:rPr>
          <w:sz w:val="30"/>
        </w:rPr>
        <w:t>《建筑施工场地噪声限值》的要求制定降噪措施，并对施工现场场界噪声进行检测</w:t>
      </w:r>
      <w:r>
        <w:rPr>
          <w:spacing w:val="-8"/>
          <w:sz w:val="30"/>
        </w:rPr>
        <w:t xml:space="preserve"> </w:t>
      </w:r>
      <w:r>
        <w:rPr>
          <w:sz w:val="30"/>
        </w:rPr>
        <w:t>和记录</w:t>
      </w:r>
      <w:r>
        <w:rPr>
          <w:spacing w:val="-69"/>
          <w:sz w:val="30"/>
        </w:rPr>
        <w:t>，</w:t>
      </w:r>
      <w:r>
        <w:rPr>
          <w:sz w:val="30"/>
        </w:rPr>
        <w:t>噪声排放不得超过国家标准</w:t>
      </w:r>
      <w:r>
        <w:rPr>
          <w:spacing w:val="-56"/>
          <w:sz w:val="30"/>
        </w:rPr>
        <w:t>。</w:t>
      </w:r>
      <w:r>
        <w:rPr>
          <w:sz w:val="30"/>
        </w:rPr>
        <w:t>制</w:t>
        <w:tab/>
      </w:r>
      <w:r>
        <w:rPr>
          <w:rFonts w:ascii="Times New Roman" w:eastAsia="Times New Roman"/>
          <w:sz w:val="30"/>
        </w:rPr>
        <w:t>2.</w:t>
      </w:r>
      <w:r>
        <w:rPr>
          <w:sz w:val="30"/>
        </w:rPr>
        <w:t>施工现场的噪声设备设置在远离居民区的一端。</w:t>
        <w:tab/>
      </w:r>
      <w:r>
        <w:rPr>
          <w:rFonts w:ascii="Times New Roman" w:eastAsia="Times New Roman"/>
          <w:sz w:val="30"/>
        </w:rPr>
        <w:t>3.</w:t>
      </w:r>
      <w:r>
        <w:rPr>
          <w:sz w:val="30"/>
        </w:rPr>
        <w:t>运输材料的车辆进入施工现场，严谨鸣笛。装卸材料应做到轻拿轻放。必要时的夜间施工，合理调整灯光照射方向，在保证现场施工作业面有足够光照的</w:t>
      </w:r>
      <w:r>
        <w:rPr>
          <w:spacing w:val="-74"/>
          <w:sz w:val="30"/>
        </w:rPr>
        <w:t xml:space="preserve"> </w:t>
      </w:r>
      <w:r>
        <w:rPr>
          <w:rFonts w:ascii="Times New Roman" w:eastAsia="Times New Roman"/>
          <w:sz w:val="30"/>
        </w:rPr>
        <w:t>1.</w:t>
        <w:tab/>
      </w:r>
      <w:r>
        <w:rPr>
          <w:sz w:val="30"/>
        </w:rPr>
        <w:t>条件下，减少对周围居民生活的干扰。</w:t>
      </w:r>
      <w:r>
        <w:rPr>
          <w:spacing w:val="-67"/>
          <w:sz w:val="30"/>
        </w:rPr>
        <w:t xml:space="preserve"> </w:t>
      </w:r>
      <w:r>
        <w:rPr>
          <w:sz w:val="30"/>
        </w:rPr>
        <w:t>在高处进行电焊作业时应采取遮挡措施，避免弧光外泄</w:t>
      </w:r>
      <w:r>
        <w:rPr>
          <w:spacing w:val="15"/>
          <w:sz w:val="30"/>
        </w:rPr>
        <w:t>。</w:t>
      </w:r>
      <w:r>
        <w:rPr>
          <w:rFonts w:ascii="Times New Roman" w:eastAsia="Times New Roman"/>
          <w:sz w:val="30"/>
        </w:rPr>
        <w:t>2.</w:t>
      </w:r>
    </w:p>
    <w:p>
      <w:pPr>
        <w:spacing w:before="0" w:line="364" w:lineRule="exact"/>
        <w:ind w:left="280" w:right="0" w:firstLine="0"/>
        <w:jc w:val="left"/>
        <w:rPr>
          <w:sz w:val="30"/>
        </w:rPr>
      </w:pPr>
      <w:r>
        <w:rPr>
          <w:sz w:val="30"/>
        </w:rPr>
        <w:t>施工中减少施工固体废弃物的产生。工程结束后，对施工中产生的固体废弃物全部</w:t>
      </w:r>
    </w:p>
    <w:p>
      <w:pPr>
        <w:tabs>
          <w:tab w:val="left" w:pos="809"/>
          <w:tab w:val="left" w:pos="2008"/>
        </w:tabs>
        <w:spacing w:before="72" w:line="295" w:lineRule="auto"/>
        <w:ind w:left="280" w:right="4401" w:firstLine="0"/>
        <w:jc w:val="left"/>
        <w:rPr>
          <w:rFonts w:ascii="Times New Roman" w:eastAsia="Times New Roman"/>
          <w:sz w:val="30"/>
        </w:rPr>
      </w:pPr>
      <w:r>
        <w:rPr>
          <w:rFonts w:ascii="Times New Roman" w:eastAsia="Times New Roman"/>
          <w:sz w:val="30"/>
        </w:rPr>
        <w:t>1.</w:t>
        <w:tab/>
      </w:r>
      <w:r>
        <w:rPr>
          <w:sz w:val="30"/>
        </w:rPr>
        <w:t>清除。</w:t>
        <w:tab/>
      </w:r>
      <w:r>
        <w:rPr>
          <w:rFonts w:ascii="Times New Roman" w:eastAsia="Times New Roman"/>
          <w:sz w:val="30"/>
        </w:rPr>
        <w:t>2.</w:t>
      </w:r>
      <w:r>
        <w:rPr>
          <w:sz w:val="30"/>
        </w:rPr>
        <w:t>施工现场设施封闭式垃圾站，施工垃圾、生活垃圾分类存放，并按</w:t>
      </w:r>
      <w:r>
        <w:rPr>
          <w:w w:val="95"/>
          <w:sz w:val="30"/>
        </w:rPr>
        <w:t>规定及时清运。施工现场应在易产生职业病危害的作业岗位和设备、场所设置警</w:t>
      </w:r>
      <w:r>
        <w:rPr>
          <w:spacing w:val="-19"/>
          <w:w w:val="95"/>
          <w:sz w:val="30"/>
        </w:rPr>
        <w:t xml:space="preserve">示  </w:t>
      </w:r>
      <w:r>
        <w:rPr>
          <w:sz w:val="30"/>
        </w:rPr>
        <w:t>标识或警示说</w:t>
      </w:r>
      <w:r>
        <w:rPr>
          <w:spacing w:val="-72"/>
          <w:sz w:val="30"/>
        </w:rPr>
        <w:t xml:space="preserve"> </w:t>
      </w:r>
      <w:r>
        <w:rPr>
          <w:rFonts w:ascii="Times New Roman" w:eastAsia="Times New Roman"/>
          <w:sz w:val="30"/>
        </w:rPr>
        <w:t>1.</w:t>
      </w:r>
    </w:p>
    <w:p>
      <w:pPr>
        <w:spacing w:before="0" w:line="370" w:lineRule="exact"/>
        <w:ind w:left="431" w:right="0" w:firstLine="0"/>
        <w:jc w:val="left"/>
        <w:rPr>
          <w:sz w:val="30"/>
        </w:rPr>
      </w:pPr>
      <w:r>
        <w:rPr>
          <w:sz w:val="30"/>
        </w:rPr>
        <w:t>明。指导操作人员正确使用职定期对从事有毒有害作业人员进行职业健康培训和</w:t>
      </w:r>
    </w:p>
    <w:p>
      <w:pPr>
        <w:spacing w:before="94"/>
        <w:ind w:left="280" w:right="0" w:firstLine="0"/>
        <w:jc w:val="left"/>
        <w:rPr>
          <w:rFonts w:ascii="Times New Roman" w:eastAsia="Times New Roman"/>
          <w:sz w:val="30"/>
        </w:rPr>
      </w:pPr>
      <w:r>
        <w:rPr>
          <w:sz w:val="30"/>
        </w:rPr>
        <w:t>体检，</w:t>
      </w:r>
      <w:r>
        <w:rPr>
          <w:rFonts w:ascii="Times New Roman" w:eastAsia="Times New Roman"/>
          <w:sz w:val="30"/>
        </w:rPr>
        <w:t>2.</w:t>
      </w:r>
    </w:p>
    <w:p>
      <w:pPr>
        <w:spacing w:before="74"/>
        <w:ind w:left="583" w:right="0" w:firstLine="0"/>
        <w:jc w:val="left"/>
        <w:rPr>
          <w:sz w:val="30"/>
        </w:rPr>
      </w:pPr>
      <w:r>
        <w:rPr>
          <w:sz w:val="30"/>
        </w:rPr>
        <w:t>业病防护设备和个人劳动保护用品。</w:t>
      </w:r>
    </w:p>
    <w:p>
      <w:pPr>
        <w:pStyle w:val="BodyText"/>
        <w:spacing w:before="16" w:line="242" w:lineRule="auto"/>
        <w:ind w:left="280" w:right="2648"/>
        <w:rPr>
          <w:rFonts w:ascii="Times New Roman" w:eastAsia="Times New Roman"/>
        </w:rPr>
      </w:pPr>
      <w:r>
        <w:t xml:space="preserve">实际不合 </w:t>
      </w:r>
      <w:r>
        <w:rPr>
          <w:rFonts w:ascii="Times New Roman" w:eastAsia="Times New Roman"/>
        </w:rPr>
        <w:t xml:space="preserve">24 </w:t>
      </w:r>
      <w:r>
        <w:t xml:space="preserve">钢脚手板的铺设，当搭到吸收塔内部支撑梁安装作业层时，将该层满铺脚手板，两 </w:t>
      </w:r>
      <w:r>
        <w:rPr>
          <w:rFonts w:ascii="Times New Roman" w:eastAsia="Times New Roman"/>
        </w:rPr>
        <w:t>5.6.</w:t>
      </w:r>
    </w:p>
    <w:p>
      <w:pPr>
        <w:pStyle w:val="BodyText"/>
        <w:spacing w:before="4"/>
        <w:ind w:left="280"/>
      </w:pPr>
      <w:r>
        <w:t>搭接位置必须在小横杆上，最里面的一块离 。板采用搭接，搭接长度</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 w:history="1">
        <w:r>
          <w:rPr>
            <w:rFonts w:ascii="SimSun" w:eastAsia="SimSun" w:hAnsi="SimSun" w:cs="SimSun"/>
            <w:b/>
            <w:bCs/>
            <w:color w:val="0000EE"/>
            <w:sz w:val="30"/>
            <w:szCs w:val="30"/>
            <w:u w:val="single" w:color="0000EE"/>
          </w:rPr>
          <w:t>https://d.book118.com/368100140077006024</w:t>
        </w:r>
      </w:hyperlink>
    </w:p>
    <w:p>
      <w:pPr>
        <w:spacing w:after="0"/>
      </w:pPr>
    </w:p>
    <w:sectPr>
      <w:pgSz w:w="17860" w:h="25260"/>
      <w:pgMar w:top="1820" w:right="0" w:bottom="280" w:left="2420" w:header="708" w:footer="708"/>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黑体">
    <w:altName w:val="黑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A116"/>
    <w:multiLevelType w:val="hybridMultilevel"/>
    <w:tmpl w:val="00000000"/>
    <w:lvl w:ilvl="0">
      <w:start w:val="2"/>
      <w:numFmt w:val="decimal"/>
      <w:lvlText w:val="%1"/>
      <w:lvlJc w:val="left"/>
      <w:pPr>
        <w:ind w:left="886" w:hanging="606"/>
        <w:jc w:val="left"/>
      </w:pPr>
      <w:rPr>
        <w:rFonts w:ascii="宋体" w:eastAsia="宋体" w:hAnsi="宋体" w:cs="宋体" w:hint="default"/>
        <w:w w:val="99"/>
        <w:sz w:val="30"/>
        <w:szCs w:val="30"/>
      </w:rPr>
    </w:lvl>
    <w:lvl w:ilvl="1">
      <w:start w:val="0"/>
      <w:numFmt w:val="bullet"/>
      <w:lvlText w:val="•"/>
      <w:lvlJc w:val="left"/>
      <w:pPr>
        <w:ind w:left="1553" w:hanging="606"/>
      </w:pPr>
      <w:rPr>
        <w:rFonts w:hint="default"/>
      </w:rPr>
    </w:lvl>
    <w:lvl w:ilvl="2">
      <w:start w:val="0"/>
      <w:numFmt w:val="bullet"/>
      <w:lvlText w:val="•"/>
      <w:lvlJc w:val="left"/>
      <w:pPr>
        <w:ind w:left="2227" w:hanging="606"/>
      </w:pPr>
      <w:rPr>
        <w:rFonts w:hint="default"/>
      </w:rPr>
    </w:lvl>
    <w:lvl w:ilvl="3">
      <w:start w:val="0"/>
      <w:numFmt w:val="bullet"/>
      <w:lvlText w:val="•"/>
      <w:lvlJc w:val="left"/>
      <w:pPr>
        <w:ind w:left="2900" w:hanging="606"/>
      </w:pPr>
      <w:rPr>
        <w:rFonts w:hint="default"/>
      </w:rPr>
    </w:lvl>
    <w:lvl w:ilvl="4">
      <w:start w:val="0"/>
      <w:numFmt w:val="bullet"/>
      <w:lvlText w:val="•"/>
      <w:lvlJc w:val="left"/>
      <w:pPr>
        <w:ind w:left="3574" w:hanging="606"/>
      </w:pPr>
      <w:rPr>
        <w:rFonts w:hint="default"/>
      </w:rPr>
    </w:lvl>
    <w:lvl w:ilvl="5">
      <w:start w:val="0"/>
      <w:numFmt w:val="bullet"/>
      <w:lvlText w:val="•"/>
      <w:lvlJc w:val="left"/>
      <w:pPr>
        <w:ind w:left="4247" w:hanging="606"/>
      </w:pPr>
      <w:rPr>
        <w:rFonts w:hint="default"/>
      </w:rPr>
    </w:lvl>
    <w:lvl w:ilvl="6">
      <w:start w:val="0"/>
      <w:numFmt w:val="bullet"/>
      <w:lvlText w:val="•"/>
      <w:lvlJc w:val="left"/>
      <w:pPr>
        <w:ind w:left="4921" w:hanging="606"/>
      </w:pPr>
      <w:rPr>
        <w:rFonts w:hint="default"/>
      </w:rPr>
    </w:lvl>
    <w:lvl w:ilvl="7">
      <w:start w:val="0"/>
      <w:numFmt w:val="bullet"/>
      <w:lvlText w:val="•"/>
      <w:lvlJc w:val="left"/>
      <w:pPr>
        <w:ind w:left="5595" w:hanging="606"/>
      </w:pPr>
      <w:rPr>
        <w:rFonts w:hint="default"/>
      </w:rPr>
    </w:lvl>
    <w:lvl w:ilvl="8">
      <w:start w:val="0"/>
      <w:numFmt w:val="bullet"/>
      <w:lvlText w:val="•"/>
      <w:lvlJc w:val="left"/>
      <w:pPr>
        <w:ind w:left="6268" w:hanging="606"/>
      </w:pPr>
      <w:rPr>
        <w:rFonts w:hint="default"/>
      </w:rPr>
    </w:lvl>
  </w:abstractNum>
  <w:abstractNum w:abstractNumId="1">
    <w:nsid w:val="0C6D361F"/>
    <w:multiLevelType w:val="hybridMultilevel"/>
    <w:tmpl w:val="00000000"/>
    <w:lvl w:ilvl="0">
      <w:start w:val="6"/>
      <w:numFmt w:val="decimal"/>
      <w:lvlText w:val="%1."/>
      <w:lvlJc w:val="left"/>
      <w:pPr>
        <w:ind w:left="820" w:hanging="540"/>
        <w:jc w:val="left"/>
      </w:pPr>
      <w:rPr>
        <w:rFonts w:hint="default"/>
        <w:w w:val="100"/>
      </w:rPr>
    </w:lvl>
    <w:lvl w:ilvl="1">
      <w:start w:val="1"/>
      <w:numFmt w:val="decimal"/>
      <w:lvlText w:val="%1.%2"/>
      <w:lvlJc w:val="left"/>
      <w:pPr>
        <w:ind w:left="280" w:hanging="540"/>
        <w:jc w:val="left"/>
      </w:pPr>
      <w:rPr>
        <w:rFonts w:hint="default"/>
        <w:w w:val="100"/>
      </w:rPr>
    </w:lvl>
    <w:lvl w:ilvl="2">
      <w:start w:val="1"/>
      <w:numFmt w:val="decimal"/>
      <w:lvlText w:val="%1.%2.%3"/>
      <w:lvlJc w:val="left"/>
      <w:pPr>
        <w:ind w:left="1540" w:hanging="1260"/>
        <w:jc w:val="left"/>
      </w:pPr>
      <w:rPr>
        <w:rFonts w:ascii="宋体" w:eastAsia="宋体" w:hAnsi="宋体" w:cs="宋体" w:hint="default"/>
        <w:w w:val="100"/>
        <w:sz w:val="36"/>
        <w:szCs w:val="36"/>
      </w:rPr>
    </w:lvl>
    <w:lvl w:ilvl="3">
      <w:start w:val="1"/>
      <w:numFmt w:val="decimal"/>
      <w:lvlText w:val="%1.%2.%3.%4"/>
      <w:lvlJc w:val="left"/>
      <w:pPr>
        <w:ind w:left="280" w:hanging="1620"/>
        <w:jc w:val="right"/>
      </w:pPr>
      <w:rPr>
        <w:rFonts w:ascii="宋体" w:eastAsia="宋体" w:hAnsi="宋体" w:cs="宋体" w:hint="default"/>
        <w:w w:val="100"/>
        <w:sz w:val="36"/>
        <w:szCs w:val="36"/>
      </w:rPr>
    </w:lvl>
    <w:lvl w:ilvl="4">
      <w:start w:val="0"/>
      <w:numFmt w:val="bullet"/>
      <w:lvlText w:val="•"/>
      <w:lvlJc w:val="left"/>
      <w:pPr>
        <w:ind w:left="5014" w:hanging="1620"/>
      </w:pPr>
      <w:rPr>
        <w:rFonts w:hint="default"/>
      </w:rPr>
    </w:lvl>
    <w:lvl w:ilvl="5">
      <w:start w:val="0"/>
      <w:numFmt w:val="bullet"/>
      <w:lvlText w:val="•"/>
      <w:lvlJc w:val="left"/>
      <w:pPr>
        <w:ind w:left="6752" w:hanging="1620"/>
      </w:pPr>
      <w:rPr>
        <w:rFonts w:hint="default"/>
      </w:rPr>
    </w:lvl>
    <w:lvl w:ilvl="6">
      <w:start w:val="0"/>
      <w:numFmt w:val="bullet"/>
      <w:lvlText w:val="•"/>
      <w:lvlJc w:val="left"/>
      <w:pPr>
        <w:ind w:left="8489" w:hanging="1620"/>
      </w:pPr>
      <w:rPr>
        <w:rFonts w:hint="default"/>
      </w:rPr>
    </w:lvl>
    <w:lvl w:ilvl="7">
      <w:start w:val="0"/>
      <w:numFmt w:val="bullet"/>
      <w:lvlText w:val="•"/>
      <w:lvlJc w:val="left"/>
      <w:pPr>
        <w:ind w:left="10227" w:hanging="1620"/>
      </w:pPr>
      <w:rPr>
        <w:rFonts w:hint="default"/>
      </w:rPr>
    </w:lvl>
    <w:lvl w:ilvl="8">
      <w:start w:val="0"/>
      <w:numFmt w:val="bullet"/>
      <w:lvlText w:val="•"/>
      <w:lvlJc w:val="left"/>
      <w:pPr>
        <w:ind w:left="11964" w:hanging="1620"/>
      </w:pPr>
      <w:rPr>
        <w:rFonts w:hint="default"/>
      </w:rPr>
    </w:lvl>
  </w:abstractNum>
  <w:abstractNum w:abstractNumId="2">
    <w:nsid w:val="188C85A1"/>
    <w:multiLevelType w:val="hybridMultilevel"/>
    <w:tmpl w:val="00000000"/>
    <w:lvl w:ilvl="0">
      <w:start w:val="2"/>
      <w:numFmt w:val="decimal"/>
      <w:lvlText w:val="%1"/>
      <w:lvlJc w:val="left"/>
      <w:pPr>
        <w:ind w:left="820" w:hanging="540"/>
        <w:jc w:val="left"/>
      </w:pPr>
      <w:rPr>
        <w:rFonts w:hint="default"/>
      </w:rPr>
    </w:lvl>
    <w:lvl w:ilvl="1">
      <w:start w:val="3"/>
      <w:numFmt w:val="decimal"/>
      <w:lvlText w:val="%1.%2"/>
      <w:lvlJc w:val="left"/>
      <w:pPr>
        <w:ind w:left="820" w:hanging="540"/>
        <w:jc w:val="left"/>
      </w:pPr>
      <w:rPr>
        <w:rFonts w:ascii="Times New Roman" w:eastAsia="Times New Roman" w:hAnsi="Times New Roman" w:cs="Times New Roman" w:hint="default"/>
        <w:w w:val="100"/>
        <w:sz w:val="36"/>
        <w:szCs w:val="36"/>
      </w:rPr>
    </w:lvl>
    <w:lvl w:ilvl="2">
      <w:start w:val="0"/>
      <w:numFmt w:val="bullet"/>
      <w:lvlText w:val="•"/>
      <w:lvlJc w:val="left"/>
      <w:pPr>
        <w:ind w:left="3743" w:hanging="540"/>
      </w:pPr>
      <w:rPr>
        <w:rFonts w:hint="default"/>
      </w:rPr>
    </w:lvl>
    <w:lvl w:ilvl="3">
      <w:start w:val="0"/>
      <w:numFmt w:val="bullet"/>
      <w:lvlText w:val="•"/>
      <w:lvlJc w:val="left"/>
      <w:pPr>
        <w:ind w:left="5205" w:hanging="540"/>
      </w:pPr>
      <w:rPr>
        <w:rFonts w:hint="default"/>
      </w:rPr>
    </w:lvl>
    <w:lvl w:ilvl="4">
      <w:start w:val="0"/>
      <w:numFmt w:val="bullet"/>
      <w:lvlText w:val="•"/>
      <w:lvlJc w:val="left"/>
      <w:pPr>
        <w:ind w:left="6667" w:hanging="540"/>
      </w:pPr>
      <w:rPr>
        <w:rFonts w:hint="default"/>
      </w:rPr>
    </w:lvl>
    <w:lvl w:ilvl="5">
      <w:start w:val="0"/>
      <w:numFmt w:val="bullet"/>
      <w:lvlText w:val="•"/>
      <w:lvlJc w:val="left"/>
      <w:pPr>
        <w:ind w:left="8129" w:hanging="540"/>
      </w:pPr>
      <w:rPr>
        <w:rFonts w:hint="default"/>
      </w:rPr>
    </w:lvl>
    <w:lvl w:ilvl="6">
      <w:start w:val="0"/>
      <w:numFmt w:val="bullet"/>
      <w:lvlText w:val="•"/>
      <w:lvlJc w:val="left"/>
      <w:pPr>
        <w:ind w:left="9591" w:hanging="540"/>
      </w:pPr>
      <w:rPr>
        <w:rFonts w:hint="default"/>
      </w:rPr>
    </w:lvl>
    <w:lvl w:ilvl="7">
      <w:start w:val="0"/>
      <w:numFmt w:val="bullet"/>
      <w:lvlText w:val="•"/>
      <w:lvlJc w:val="left"/>
      <w:pPr>
        <w:ind w:left="11053" w:hanging="540"/>
      </w:pPr>
      <w:rPr>
        <w:rFonts w:hint="default"/>
      </w:rPr>
    </w:lvl>
    <w:lvl w:ilvl="8">
      <w:start w:val="0"/>
      <w:numFmt w:val="bullet"/>
      <w:lvlText w:val="•"/>
      <w:lvlJc w:val="left"/>
      <w:pPr>
        <w:ind w:left="12515" w:hanging="540"/>
      </w:pPr>
      <w:rPr>
        <w:rFonts w:hint="default"/>
      </w:rPr>
    </w:lvl>
  </w:abstractNum>
  <w:abstractNum w:abstractNumId="3">
    <w:nsid w:val="1B2A03C6"/>
    <w:multiLevelType w:val="hybridMultilevel"/>
    <w:tmpl w:val="00000000"/>
    <w:lvl w:ilvl="0">
      <w:start w:val="6"/>
      <w:numFmt w:val="decimal"/>
      <w:lvlText w:val="%1."/>
      <w:lvlJc w:val="left"/>
      <w:pPr>
        <w:ind w:left="551" w:hanging="271"/>
        <w:jc w:val="left"/>
      </w:pPr>
      <w:rPr>
        <w:rFonts w:ascii="Times New Roman" w:eastAsia="Times New Roman" w:hAnsi="Times New Roman" w:cs="Times New Roman" w:hint="default"/>
        <w:w w:val="100"/>
        <w:sz w:val="34"/>
        <w:szCs w:val="34"/>
      </w:rPr>
    </w:lvl>
    <w:lvl w:ilvl="1">
      <w:start w:val="0"/>
      <w:numFmt w:val="bullet"/>
      <w:lvlText w:val="•"/>
      <w:lvlJc w:val="left"/>
      <w:pPr>
        <w:ind w:left="4660" w:hanging="271"/>
      </w:pPr>
      <w:rPr>
        <w:rFonts w:hint="default"/>
      </w:rPr>
    </w:lvl>
    <w:lvl w:ilvl="2">
      <w:start w:val="0"/>
      <w:numFmt w:val="bullet"/>
      <w:lvlText w:val="•"/>
      <w:lvlJc w:val="left"/>
      <w:pPr>
        <w:ind w:left="5857" w:hanging="271"/>
      </w:pPr>
      <w:rPr>
        <w:rFonts w:hint="default"/>
      </w:rPr>
    </w:lvl>
    <w:lvl w:ilvl="3">
      <w:start w:val="0"/>
      <w:numFmt w:val="bullet"/>
      <w:lvlText w:val="•"/>
      <w:lvlJc w:val="left"/>
      <w:pPr>
        <w:ind w:left="7055" w:hanging="271"/>
      </w:pPr>
      <w:rPr>
        <w:rFonts w:hint="default"/>
      </w:rPr>
    </w:lvl>
    <w:lvl w:ilvl="4">
      <w:start w:val="0"/>
      <w:numFmt w:val="bullet"/>
      <w:lvlText w:val="•"/>
      <w:lvlJc w:val="left"/>
      <w:pPr>
        <w:ind w:left="8253" w:hanging="271"/>
      </w:pPr>
      <w:rPr>
        <w:rFonts w:hint="default"/>
      </w:rPr>
    </w:lvl>
    <w:lvl w:ilvl="5">
      <w:start w:val="0"/>
      <w:numFmt w:val="bullet"/>
      <w:lvlText w:val="•"/>
      <w:lvlJc w:val="left"/>
      <w:pPr>
        <w:ind w:left="9450" w:hanging="271"/>
      </w:pPr>
      <w:rPr>
        <w:rFonts w:hint="default"/>
      </w:rPr>
    </w:lvl>
    <w:lvl w:ilvl="6">
      <w:start w:val="0"/>
      <w:numFmt w:val="bullet"/>
      <w:lvlText w:val="•"/>
      <w:lvlJc w:val="left"/>
      <w:pPr>
        <w:ind w:left="10648" w:hanging="271"/>
      </w:pPr>
      <w:rPr>
        <w:rFonts w:hint="default"/>
      </w:rPr>
    </w:lvl>
    <w:lvl w:ilvl="7">
      <w:start w:val="0"/>
      <w:numFmt w:val="bullet"/>
      <w:lvlText w:val="•"/>
      <w:lvlJc w:val="left"/>
      <w:pPr>
        <w:ind w:left="11846" w:hanging="271"/>
      </w:pPr>
      <w:rPr>
        <w:rFonts w:hint="default"/>
      </w:rPr>
    </w:lvl>
    <w:lvl w:ilvl="8">
      <w:start w:val="0"/>
      <w:numFmt w:val="bullet"/>
      <w:lvlText w:val="•"/>
      <w:lvlJc w:val="left"/>
      <w:pPr>
        <w:ind w:left="13044" w:hanging="271"/>
      </w:pPr>
      <w:rPr>
        <w:rFonts w:hint="default"/>
      </w:rPr>
    </w:lvl>
  </w:abstractNum>
  <w:abstractNum w:abstractNumId="4">
    <w:nsid w:val="250295F0"/>
    <w:multiLevelType w:val="hybridMultilevel"/>
    <w:tmpl w:val="00000000"/>
    <w:lvl w:ilvl="0">
      <w:start w:val="1"/>
      <w:numFmt w:val="decimal"/>
      <w:lvlText w:val="%1."/>
      <w:lvlJc w:val="left"/>
      <w:pPr>
        <w:ind w:left="280" w:hanging="271"/>
        <w:jc w:val="left"/>
      </w:pPr>
      <w:rPr>
        <w:rFonts w:ascii="Times New Roman" w:eastAsia="Times New Roman" w:hAnsi="Times New Roman" w:cs="Times New Roman" w:hint="default"/>
        <w:w w:val="100"/>
        <w:sz w:val="34"/>
        <w:szCs w:val="34"/>
      </w:rPr>
    </w:lvl>
    <w:lvl w:ilvl="1">
      <w:start w:val="0"/>
      <w:numFmt w:val="bullet"/>
      <w:lvlText w:val="•"/>
      <w:lvlJc w:val="left"/>
      <w:pPr>
        <w:ind w:left="920" w:hanging="271"/>
      </w:pPr>
      <w:rPr>
        <w:rFonts w:hint="default"/>
      </w:rPr>
    </w:lvl>
    <w:lvl w:ilvl="2">
      <w:start w:val="0"/>
      <w:numFmt w:val="bullet"/>
      <w:lvlText w:val="•"/>
      <w:lvlJc w:val="left"/>
      <w:pPr>
        <w:ind w:left="2533" w:hanging="271"/>
      </w:pPr>
      <w:rPr>
        <w:rFonts w:hint="default"/>
      </w:rPr>
    </w:lvl>
    <w:lvl w:ilvl="3">
      <w:start w:val="0"/>
      <w:numFmt w:val="bullet"/>
      <w:lvlText w:val="•"/>
      <w:lvlJc w:val="left"/>
      <w:pPr>
        <w:ind w:left="4146" w:hanging="271"/>
      </w:pPr>
      <w:rPr>
        <w:rFonts w:hint="default"/>
      </w:rPr>
    </w:lvl>
    <w:lvl w:ilvl="4">
      <w:start w:val="0"/>
      <w:numFmt w:val="bullet"/>
      <w:lvlText w:val="•"/>
      <w:lvlJc w:val="left"/>
      <w:pPr>
        <w:ind w:left="5759" w:hanging="271"/>
      </w:pPr>
      <w:rPr>
        <w:rFonts w:hint="default"/>
      </w:rPr>
    </w:lvl>
    <w:lvl w:ilvl="5">
      <w:start w:val="0"/>
      <w:numFmt w:val="bullet"/>
      <w:lvlText w:val="•"/>
      <w:lvlJc w:val="left"/>
      <w:pPr>
        <w:ind w:left="7373" w:hanging="271"/>
      </w:pPr>
      <w:rPr>
        <w:rFonts w:hint="default"/>
      </w:rPr>
    </w:lvl>
    <w:lvl w:ilvl="6">
      <w:start w:val="0"/>
      <w:numFmt w:val="bullet"/>
      <w:lvlText w:val="•"/>
      <w:lvlJc w:val="left"/>
      <w:pPr>
        <w:ind w:left="8986" w:hanging="271"/>
      </w:pPr>
      <w:rPr>
        <w:rFonts w:hint="default"/>
      </w:rPr>
    </w:lvl>
    <w:lvl w:ilvl="7">
      <w:start w:val="0"/>
      <w:numFmt w:val="bullet"/>
      <w:lvlText w:val="•"/>
      <w:lvlJc w:val="left"/>
      <w:pPr>
        <w:ind w:left="10599" w:hanging="271"/>
      </w:pPr>
      <w:rPr>
        <w:rFonts w:hint="default"/>
      </w:rPr>
    </w:lvl>
    <w:lvl w:ilvl="8">
      <w:start w:val="0"/>
      <w:numFmt w:val="bullet"/>
      <w:lvlText w:val="•"/>
      <w:lvlJc w:val="left"/>
      <w:pPr>
        <w:ind w:left="12213" w:hanging="271"/>
      </w:pPr>
      <w:rPr>
        <w:rFonts w:hint="default"/>
      </w:rPr>
    </w:lvl>
  </w:abstractNum>
  <w:abstractNum w:abstractNumId="5">
    <w:nsid w:val="25DE9019"/>
    <w:multiLevelType w:val="hybridMultilevel"/>
    <w:tmpl w:val="00000000"/>
    <w:lvl w:ilvl="0">
      <w:start w:val="1"/>
      <w:numFmt w:val="decimal"/>
      <w:lvlText w:val="%1."/>
      <w:lvlJc w:val="left"/>
      <w:pPr>
        <w:ind w:left="658" w:hanging="378"/>
        <w:jc w:val="left"/>
      </w:pPr>
      <w:rPr>
        <w:rFonts w:ascii="Times New Roman" w:eastAsia="Times New Roman" w:hAnsi="Times New Roman" w:cs="Times New Roman" w:hint="default"/>
        <w:w w:val="99"/>
        <w:sz w:val="30"/>
        <w:szCs w:val="30"/>
      </w:rPr>
    </w:lvl>
    <w:lvl w:ilvl="1">
      <w:start w:val="1"/>
      <w:numFmt w:val="decimal"/>
      <w:lvlText w:val="%2."/>
      <w:lvlJc w:val="left"/>
      <w:pPr>
        <w:ind w:left="817" w:hanging="378"/>
        <w:jc w:val="left"/>
      </w:pPr>
      <w:rPr>
        <w:rFonts w:ascii="Times New Roman" w:eastAsia="Times New Roman" w:hAnsi="Times New Roman" w:cs="Times New Roman" w:hint="default"/>
        <w:w w:val="99"/>
        <w:sz w:val="30"/>
        <w:szCs w:val="30"/>
      </w:rPr>
    </w:lvl>
    <w:lvl w:ilvl="2">
      <w:start w:val="0"/>
      <w:numFmt w:val="bullet"/>
      <w:lvlText w:val="•"/>
      <w:lvlJc w:val="left"/>
      <w:pPr>
        <w:ind w:left="2444" w:hanging="378"/>
      </w:pPr>
      <w:rPr>
        <w:rFonts w:hint="default"/>
      </w:rPr>
    </w:lvl>
    <w:lvl w:ilvl="3">
      <w:start w:val="0"/>
      <w:numFmt w:val="bullet"/>
      <w:lvlText w:val="•"/>
      <w:lvlJc w:val="left"/>
      <w:pPr>
        <w:ind w:left="4068" w:hanging="378"/>
      </w:pPr>
      <w:rPr>
        <w:rFonts w:hint="default"/>
      </w:rPr>
    </w:lvl>
    <w:lvl w:ilvl="4">
      <w:start w:val="0"/>
      <w:numFmt w:val="bullet"/>
      <w:lvlText w:val="•"/>
      <w:lvlJc w:val="left"/>
      <w:pPr>
        <w:ind w:left="5693" w:hanging="378"/>
      </w:pPr>
      <w:rPr>
        <w:rFonts w:hint="default"/>
      </w:rPr>
    </w:lvl>
    <w:lvl w:ilvl="5">
      <w:start w:val="0"/>
      <w:numFmt w:val="bullet"/>
      <w:lvlText w:val="•"/>
      <w:lvlJc w:val="left"/>
      <w:pPr>
        <w:ind w:left="7317" w:hanging="378"/>
      </w:pPr>
      <w:rPr>
        <w:rFonts w:hint="default"/>
      </w:rPr>
    </w:lvl>
    <w:lvl w:ilvl="6">
      <w:start w:val="0"/>
      <w:numFmt w:val="bullet"/>
      <w:lvlText w:val="•"/>
      <w:lvlJc w:val="left"/>
      <w:pPr>
        <w:ind w:left="8942" w:hanging="378"/>
      </w:pPr>
      <w:rPr>
        <w:rFonts w:hint="default"/>
      </w:rPr>
    </w:lvl>
    <w:lvl w:ilvl="7">
      <w:start w:val="0"/>
      <w:numFmt w:val="bullet"/>
      <w:lvlText w:val="•"/>
      <w:lvlJc w:val="left"/>
      <w:pPr>
        <w:ind w:left="10566" w:hanging="378"/>
      </w:pPr>
      <w:rPr>
        <w:rFonts w:hint="default"/>
      </w:rPr>
    </w:lvl>
    <w:lvl w:ilvl="8">
      <w:start w:val="0"/>
      <w:numFmt w:val="bullet"/>
      <w:lvlText w:val="•"/>
      <w:lvlJc w:val="left"/>
      <w:pPr>
        <w:ind w:left="12190" w:hanging="378"/>
      </w:pPr>
      <w:rPr>
        <w:rFonts w:hint="default"/>
      </w:rPr>
    </w:lvl>
  </w:abstractNum>
  <w:abstractNum w:abstractNumId="6">
    <w:nsid w:val="2763F8AF"/>
    <w:multiLevelType w:val="hybridMultilevel"/>
    <w:tmpl w:val="00000000"/>
    <w:lvl w:ilvl="0">
      <w:start w:val="5"/>
      <w:numFmt w:val="decimal"/>
      <w:lvlText w:val="%1"/>
      <w:lvlJc w:val="left"/>
      <w:pPr>
        <w:ind w:left="280" w:hanging="720"/>
        <w:jc w:val="left"/>
      </w:pPr>
      <w:rPr>
        <w:rFonts w:hint="default"/>
      </w:rPr>
    </w:lvl>
    <w:lvl w:ilvl="1">
      <w:start w:val="1"/>
      <w:numFmt w:val="decimal"/>
      <w:lvlText w:val="%1.%2."/>
      <w:lvlJc w:val="left"/>
      <w:pPr>
        <w:ind w:left="280" w:hanging="720"/>
        <w:jc w:val="left"/>
      </w:pPr>
      <w:rPr>
        <w:rFonts w:ascii="Times New Roman" w:eastAsia="Times New Roman" w:hAnsi="Times New Roman" w:cs="Times New Roman" w:hint="default"/>
        <w:w w:val="100"/>
        <w:sz w:val="36"/>
        <w:szCs w:val="36"/>
      </w:rPr>
    </w:lvl>
    <w:lvl w:ilvl="2">
      <w:start w:val="0"/>
      <w:numFmt w:val="bullet"/>
      <w:lvlText w:val="•"/>
      <w:lvlJc w:val="left"/>
      <w:pPr>
        <w:ind w:left="3311" w:hanging="720"/>
      </w:pPr>
      <w:rPr>
        <w:rFonts w:hint="default"/>
      </w:rPr>
    </w:lvl>
    <w:lvl w:ilvl="3">
      <w:start w:val="0"/>
      <w:numFmt w:val="bullet"/>
      <w:lvlText w:val="•"/>
      <w:lvlJc w:val="left"/>
      <w:pPr>
        <w:ind w:left="4827" w:hanging="720"/>
      </w:pPr>
      <w:rPr>
        <w:rFonts w:hint="default"/>
      </w:rPr>
    </w:lvl>
    <w:lvl w:ilvl="4">
      <w:start w:val="0"/>
      <w:numFmt w:val="bullet"/>
      <w:lvlText w:val="•"/>
      <w:lvlJc w:val="left"/>
      <w:pPr>
        <w:ind w:left="6343" w:hanging="720"/>
      </w:pPr>
      <w:rPr>
        <w:rFonts w:hint="default"/>
      </w:rPr>
    </w:lvl>
    <w:lvl w:ilvl="5">
      <w:start w:val="0"/>
      <w:numFmt w:val="bullet"/>
      <w:lvlText w:val="•"/>
      <w:lvlJc w:val="left"/>
      <w:pPr>
        <w:ind w:left="7859" w:hanging="720"/>
      </w:pPr>
      <w:rPr>
        <w:rFonts w:hint="default"/>
      </w:rPr>
    </w:lvl>
    <w:lvl w:ilvl="6">
      <w:start w:val="0"/>
      <w:numFmt w:val="bullet"/>
      <w:lvlText w:val="•"/>
      <w:lvlJc w:val="left"/>
      <w:pPr>
        <w:ind w:left="9375" w:hanging="720"/>
      </w:pPr>
      <w:rPr>
        <w:rFonts w:hint="default"/>
      </w:rPr>
    </w:lvl>
    <w:lvl w:ilvl="7">
      <w:start w:val="0"/>
      <w:numFmt w:val="bullet"/>
      <w:lvlText w:val="•"/>
      <w:lvlJc w:val="left"/>
      <w:pPr>
        <w:ind w:left="10891" w:hanging="720"/>
      </w:pPr>
      <w:rPr>
        <w:rFonts w:hint="default"/>
      </w:rPr>
    </w:lvl>
    <w:lvl w:ilvl="8">
      <w:start w:val="0"/>
      <w:numFmt w:val="bullet"/>
      <w:lvlText w:val="•"/>
      <w:lvlJc w:val="left"/>
      <w:pPr>
        <w:ind w:left="12407" w:hanging="720"/>
      </w:pPr>
      <w:rPr>
        <w:rFonts w:hint="default"/>
      </w:rPr>
    </w:lvl>
  </w:abstractNum>
  <w:abstractNum w:abstractNumId="7">
    <w:nsid w:val="2EB3D95C"/>
    <w:multiLevelType w:val="hybridMultilevel"/>
    <w:tmpl w:val="00000000"/>
    <w:lvl w:ilvl="0">
      <w:start w:val="1"/>
      <w:numFmt w:val="decimal"/>
      <w:lvlText w:val="(%1)"/>
      <w:lvlJc w:val="left"/>
      <w:pPr>
        <w:ind w:left="280" w:hanging="541"/>
        <w:jc w:val="left"/>
      </w:pPr>
      <w:rPr>
        <w:rFonts w:ascii="宋体" w:eastAsia="宋体" w:hAnsi="宋体" w:cs="宋体" w:hint="default"/>
        <w:spacing w:val="-1"/>
        <w:w w:val="100"/>
        <w:sz w:val="34"/>
        <w:szCs w:val="34"/>
      </w:rPr>
    </w:lvl>
    <w:lvl w:ilvl="1">
      <w:start w:val="0"/>
      <w:numFmt w:val="bullet"/>
      <w:lvlText w:val="•"/>
      <w:lvlJc w:val="left"/>
      <w:pPr>
        <w:ind w:left="1795" w:hanging="541"/>
      </w:pPr>
      <w:rPr>
        <w:rFonts w:hint="default"/>
      </w:rPr>
    </w:lvl>
    <w:lvl w:ilvl="2">
      <w:start w:val="0"/>
      <w:numFmt w:val="bullet"/>
      <w:lvlText w:val="•"/>
      <w:lvlJc w:val="left"/>
      <w:pPr>
        <w:ind w:left="3311" w:hanging="541"/>
      </w:pPr>
      <w:rPr>
        <w:rFonts w:hint="default"/>
      </w:rPr>
    </w:lvl>
    <w:lvl w:ilvl="3">
      <w:start w:val="0"/>
      <w:numFmt w:val="bullet"/>
      <w:lvlText w:val="•"/>
      <w:lvlJc w:val="left"/>
      <w:pPr>
        <w:ind w:left="4827" w:hanging="541"/>
      </w:pPr>
      <w:rPr>
        <w:rFonts w:hint="default"/>
      </w:rPr>
    </w:lvl>
    <w:lvl w:ilvl="4">
      <w:start w:val="0"/>
      <w:numFmt w:val="bullet"/>
      <w:lvlText w:val="•"/>
      <w:lvlJc w:val="left"/>
      <w:pPr>
        <w:ind w:left="6343" w:hanging="541"/>
      </w:pPr>
      <w:rPr>
        <w:rFonts w:hint="default"/>
      </w:rPr>
    </w:lvl>
    <w:lvl w:ilvl="5">
      <w:start w:val="0"/>
      <w:numFmt w:val="bullet"/>
      <w:lvlText w:val="•"/>
      <w:lvlJc w:val="left"/>
      <w:pPr>
        <w:ind w:left="7859" w:hanging="541"/>
      </w:pPr>
      <w:rPr>
        <w:rFonts w:hint="default"/>
      </w:rPr>
    </w:lvl>
    <w:lvl w:ilvl="6">
      <w:start w:val="0"/>
      <w:numFmt w:val="bullet"/>
      <w:lvlText w:val="•"/>
      <w:lvlJc w:val="left"/>
      <w:pPr>
        <w:ind w:left="9375" w:hanging="541"/>
      </w:pPr>
      <w:rPr>
        <w:rFonts w:hint="default"/>
      </w:rPr>
    </w:lvl>
    <w:lvl w:ilvl="7">
      <w:start w:val="0"/>
      <w:numFmt w:val="bullet"/>
      <w:lvlText w:val="•"/>
      <w:lvlJc w:val="left"/>
      <w:pPr>
        <w:ind w:left="10891" w:hanging="541"/>
      </w:pPr>
      <w:rPr>
        <w:rFonts w:hint="default"/>
      </w:rPr>
    </w:lvl>
    <w:lvl w:ilvl="8">
      <w:start w:val="0"/>
      <w:numFmt w:val="bullet"/>
      <w:lvlText w:val="•"/>
      <w:lvlJc w:val="left"/>
      <w:pPr>
        <w:ind w:left="12407" w:hanging="541"/>
      </w:pPr>
      <w:rPr>
        <w:rFonts w:hint="default"/>
      </w:rPr>
    </w:lvl>
  </w:abstractNum>
  <w:abstractNum w:abstractNumId="8">
    <w:nsid w:val="339B9918"/>
    <w:multiLevelType w:val="hybridMultilevel"/>
    <w:tmpl w:val="00000000"/>
    <w:lvl w:ilvl="0">
      <w:start w:val="1"/>
      <w:numFmt w:val="decimal"/>
      <w:lvlText w:val="(%1)."/>
      <w:lvlJc w:val="left"/>
      <w:pPr>
        <w:ind w:left="1001" w:hanging="721"/>
        <w:jc w:val="left"/>
      </w:pPr>
      <w:rPr>
        <w:rFonts w:ascii="宋体" w:eastAsia="宋体" w:hAnsi="宋体" w:cs="宋体" w:hint="default"/>
        <w:spacing w:val="-1"/>
        <w:w w:val="100"/>
        <w:sz w:val="34"/>
        <w:szCs w:val="34"/>
      </w:rPr>
    </w:lvl>
    <w:lvl w:ilvl="1">
      <w:start w:val="0"/>
      <w:numFmt w:val="bullet"/>
      <w:lvlText w:val="•"/>
      <w:lvlJc w:val="left"/>
      <w:pPr>
        <w:ind w:left="2443" w:hanging="721"/>
      </w:pPr>
      <w:rPr>
        <w:rFonts w:hint="default"/>
      </w:rPr>
    </w:lvl>
    <w:lvl w:ilvl="2">
      <w:start w:val="0"/>
      <w:numFmt w:val="bullet"/>
      <w:lvlText w:val="•"/>
      <w:lvlJc w:val="left"/>
      <w:pPr>
        <w:ind w:left="3887" w:hanging="721"/>
      </w:pPr>
      <w:rPr>
        <w:rFonts w:hint="default"/>
      </w:rPr>
    </w:lvl>
    <w:lvl w:ilvl="3">
      <w:start w:val="0"/>
      <w:numFmt w:val="bullet"/>
      <w:lvlText w:val="•"/>
      <w:lvlJc w:val="left"/>
      <w:pPr>
        <w:ind w:left="5331" w:hanging="721"/>
      </w:pPr>
      <w:rPr>
        <w:rFonts w:hint="default"/>
      </w:rPr>
    </w:lvl>
    <w:lvl w:ilvl="4">
      <w:start w:val="0"/>
      <w:numFmt w:val="bullet"/>
      <w:lvlText w:val="•"/>
      <w:lvlJc w:val="left"/>
      <w:pPr>
        <w:ind w:left="6775" w:hanging="721"/>
      </w:pPr>
      <w:rPr>
        <w:rFonts w:hint="default"/>
      </w:rPr>
    </w:lvl>
    <w:lvl w:ilvl="5">
      <w:start w:val="0"/>
      <w:numFmt w:val="bullet"/>
      <w:lvlText w:val="•"/>
      <w:lvlJc w:val="left"/>
      <w:pPr>
        <w:ind w:left="8219" w:hanging="721"/>
      </w:pPr>
      <w:rPr>
        <w:rFonts w:hint="default"/>
      </w:rPr>
    </w:lvl>
    <w:lvl w:ilvl="6">
      <w:start w:val="0"/>
      <w:numFmt w:val="bullet"/>
      <w:lvlText w:val="•"/>
      <w:lvlJc w:val="left"/>
      <w:pPr>
        <w:ind w:left="9663" w:hanging="721"/>
      </w:pPr>
      <w:rPr>
        <w:rFonts w:hint="default"/>
      </w:rPr>
    </w:lvl>
    <w:lvl w:ilvl="7">
      <w:start w:val="0"/>
      <w:numFmt w:val="bullet"/>
      <w:lvlText w:val="•"/>
      <w:lvlJc w:val="left"/>
      <w:pPr>
        <w:ind w:left="11107" w:hanging="721"/>
      </w:pPr>
      <w:rPr>
        <w:rFonts w:hint="default"/>
      </w:rPr>
    </w:lvl>
    <w:lvl w:ilvl="8">
      <w:start w:val="0"/>
      <w:numFmt w:val="bullet"/>
      <w:lvlText w:val="•"/>
      <w:lvlJc w:val="left"/>
      <w:pPr>
        <w:ind w:left="12551" w:hanging="721"/>
      </w:pPr>
      <w:rPr>
        <w:rFonts w:hint="default"/>
      </w:rPr>
    </w:lvl>
  </w:abstractNum>
  <w:abstractNum w:abstractNumId="9">
    <w:nsid w:val="3ABAE238"/>
    <w:multiLevelType w:val="hybridMultilevel"/>
    <w:tmpl w:val="00000000"/>
    <w:lvl w:ilvl="0">
      <w:start w:val="1"/>
      <w:numFmt w:val="decimal"/>
      <w:lvlText w:val="%1."/>
      <w:lvlJc w:val="left"/>
      <w:pPr>
        <w:ind w:left="820" w:hanging="540"/>
        <w:jc w:val="left"/>
      </w:pPr>
      <w:rPr>
        <w:rFonts w:ascii="宋体" w:eastAsia="宋体" w:hAnsi="宋体" w:cs="宋体" w:hint="default"/>
        <w:w w:val="100"/>
        <w:sz w:val="36"/>
        <w:szCs w:val="36"/>
      </w:rPr>
    </w:lvl>
    <w:lvl w:ilvl="1">
      <w:start w:val="1"/>
      <w:numFmt w:val="decimal"/>
      <w:lvlText w:val="%1.%2"/>
      <w:lvlJc w:val="left"/>
      <w:pPr>
        <w:ind w:left="820" w:hanging="540"/>
        <w:jc w:val="left"/>
      </w:pPr>
      <w:rPr>
        <w:rFonts w:ascii="Times New Roman" w:eastAsia="Times New Roman" w:hAnsi="Times New Roman" w:cs="Times New Roman" w:hint="default"/>
        <w:w w:val="100"/>
        <w:sz w:val="36"/>
        <w:szCs w:val="36"/>
      </w:rPr>
    </w:lvl>
    <w:lvl w:ilvl="2">
      <w:start w:val="0"/>
      <w:numFmt w:val="bullet"/>
      <w:lvlText w:val="•"/>
      <w:lvlJc w:val="left"/>
      <w:pPr>
        <w:ind w:left="2444" w:hanging="540"/>
      </w:pPr>
      <w:rPr>
        <w:rFonts w:hint="default"/>
      </w:rPr>
    </w:lvl>
    <w:lvl w:ilvl="3">
      <w:start w:val="0"/>
      <w:numFmt w:val="bullet"/>
      <w:lvlText w:val="•"/>
      <w:lvlJc w:val="left"/>
      <w:pPr>
        <w:ind w:left="4068" w:hanging="540"/>
      </w:pPr>
      <w:rPr>
        <w:rFonts w:hint="default"/>
      </w:rPr>
    </w:lvl>
    <w:lvl w:ilvl="4">
      <w:start w:val="0"/>
      <w:numFmt w:val="bullet"/>
      <w:lvlText w:val="•"/>
      <w:lvlJc w:val="left"/>
      <w:pPr>
        <w:ind w:left="5693" w:hanging="540"/>
      </w:pPr>
      <w:rPr>
        <w:rFonts w:hint="default"/>
      </w:rPr>
    </w:lvl>
    <w:lvl w:ilvl="5">
      <w:start w:val="0"/>
      <w:numFmt w:val="bullet"/>
      <w:lvlText w:val="•"/>
      <w:lvlJc w:val="left"/>
      <w:pPr>
        <w:ind w:left="7317" w:hanging="540"/>
      </w:pPr>
      <w:rPr>
        <w:rFonts w:hint="default"/>
      </w:rPr>
    </w:lvl>
    <w:lvl w:ilvl="6">
      <w:start w:val="0"/>
      <w:numFmt w:val="bullet"/>
      <w:lvlText w:val="•"/>
      <w:lvlJc w:val="left"/>
      <w:pPr>
        <w:ind w:left="8942" w:hanging="540"/>
      </w:pPr>
      <w:rPr>
        <w:rFonts w:hint="default"/>
      </w:rPr>
    </w:lvl>
    <w:lvl w:ilvl="7">
      <w:start w:val="0"/>
      <w:numFmt w:val="bullet"/>
      <w:lvlText w:val="•"/>
      <w:lvlJc w:val="left"/>
      <w:pPr>
        <w:ind w:left="10566" w:hanging="540"/>
      </w:pPr>
      <w:rPr>
        <w:rFonts w:hint="default"/>
      </w:rPr>
    </w:lvl>
    <w:lvl w:ilvl="8">
      <w:start w:val="0"/>
      <w:numFmt w:val="bullet"/>
      <w:lvlText w:val="•"/>
      <w:lvlJc w:val="left"/>
      <w:pPr>
        <w:ind w:left="12190" w:hanging="540"/>
      </w:pPr>
      <w:rPr>
        <w:rFonts w:hint="default"/>
      </w:rPr>
    </w:lvl>
  </w:abstractNum>
  <w:abstractNum w:abstractNumId="10">
    <w:nsid w:val="3BC457FA"/>
    <w:multiLevelType w:val="hybridMultilevel"/>
    <w:tmpl w:val="00000000"/>
    <w:lvl w:ilvl="0">
      <w:start w:val="1"/>
      <w:numFmt w:val="decimal"/>
      <w:lvlText w:val="%1."/>
      <w:lvlJc w:val="left"/>
      <w:pPr>
        <w:ind w:left="914" w:hanging="634"/>
        <w:jc w:val="left"/>
      </w:pPr>
      <w:rPr>
        <w:rFonts w:ascii="宋体" w:eastAsia="宋体" w:hAnsi="宋体" w:cs="宋体" w:hint="default"/>
        <w:w w:val="100"/>
        <w:sz w:val="42"/>
        <w:szCs w:val="42"/>
      </w:rPr>
    </w:lvl>
    <w:lvl w:ilvl="1">
      <w:start w:val="0"/>
      <w:numFmt w:val="bullet"/>
      <w:lvlText w:val="•"/>
      <w:lvlJc w:val="left"/>
      <w:pPr>
        <w:ind w:left="2371" w:hanging="634"/>
      </w:pPr>
      <w:rPr>
        <w:rFonts w:hint="default"/>
      </w:rPr>
    </w:lvl>
    <w:lvl w:ilvl="2">
      <w:start w:val="0"/>
      <w:numFmt w:val="bullet"/>
      <w:lvlText w:val="•"/>
      <w:lvlJc w:val="left"/>
      <w:pPr>
        <w:ind w:left="3823" w:hanging="634"/>
      </w:pPr>
      <w:rPr>
        <w:rFonts w:hint="default"/>
      </w:rPr>
    </w:lvl>
    <w:lvl w:ilvl="3">
      <w:start w:val="0"/>
      <w:numFmt w:val="bullet"/>
      <w:lvlText w:val="•"/>
      <w:lvlJc w:val="left"/>
      <w:pPr>
        <w:ind w:left="5275" w:hanging="634"/>
      </w:pPr>
      <w:rPr>
        <w:rFonts w:hint="default"/>
      </w:rPr>
    </w:lvl>
    <w:lvl w:ilvl="4">
      <w:start w:val="0"/>
      <w:numFmt w:val="bullet"/>
      <w:lvlText w:val="•"/>
      <w:lvlJc w:val="left"/>
      <w:pPr>
        <w:ind w:left="6727" w:hanging="634"/>
      </w:pPr>
      <w:rPr>
        <w:rFonts w:hint="default"/>
      </w:rPr>
    </w:lvl>
    <w:lvl w:ilvl="5">
      <w:start w:val="0"/>
      <w:numFmt w:val="bullet"/>
      <w:lvlText w:val="•"/>
      <w:lvlJc w:val="left"/>
      <w:pPr>
        <w:ind w:left="8179" w:hanging="634"/>
      </w:pPr>
      <w:rPr>
        <w:rFonts w:hint="default"/>
      </w:rPr>
    </w:lvl>
    <w:lvl w:ilvl="6">
      <w:start w:val="0"/>
      <w:numFmt w:val="bullet"/>
      <w:lvlText w:val="•"/>
      <w:lvlJc w:val="left"/>
      <w:pPr>
        <w:ind w:left="9631" w:hanging="634"/>
      </w:pPr>
      <w:rPr>
        <w:rFonts w:hint="default"/>
      </w:rPr>
    </w:lvl>
    <w:lvl w:ilvl="7">
      <w:start w:val="0"/>
      <w:numFmt w:val="bullet"/>
      <w:lvlText w:val="•"/>
      <w:lvlJc w:val="left"/>
      <w:pPr>
        <w:ind w:left="11083" w:hanging="634"/>
      </w:pPr>
      <w:rPr>
        <w:rFonts w:hint="default"/>
      </w:rPr>
    </w:lvl>
    <w:lvl w:ilvl="8">
      <w:start w:val="0"/>
      <w:numFmt w:val="bullet"/>
      <w:lvlText w:val="•"/>
      <w:lvlJc w:val="left"/>
      <w:pPr>
        <w:ind w:left="12535" w:hanging="634"/>
      </w:pPr>
      <w:rPr>
        <w:rFonts w:hint="default"/>
      </w:rPr>
    </w:lvl>
  </w:abstractNum>
  <w:abstractNum w:abstractNumId="11">
    <w:nsid w:val="4E2F7C1C"/>
    <w:multiLevelType w:val="hybridMultilevel"/>
    <w:tmpl w:val="00000000"/>
    <w:lvl w:ilvl="0">
      <w:start w:val="1"/>
      <w:numFmt w:val="lowerLetter"/>
      <w:lvlText w:val="%1）"/>
      <w:lvlJc w:val="left"/>
      <w:pPr>
        <w:ind w:left="979" w:hanging="699"/>
        <w:jc w:val="left"/>
      </w:pPr>
      <w:rPr>
        <w:rFonts w:ascii="Times New Roman" w:eastAsia="Times New Roman" w:hAnsi="Times New Roman" w:cs="Times New Roman" w:hint="default"/>
        <w:spacing w:val="-2"/>
        <w:w w:val="100"/>
        <w:sz w:val="36"/>
        <w:szCs w:val="36"/>
      </w:rPr>
    </w:lvl>
    <w:lvl w:ilvl="1">
      <w:start w:val="0"/>
      <w:numFmt w:val="bullet"/>
      <w:lvlText w:val="•"/>
      <w:lvlJc w:val="left"/>
      <w:pPr>
        <w:ind w:left="2425" w:hanging="699"/>
      </w:pPr>
      <w:rPr>
        <w:rFonts w:hint="default"/>
      </w:rPr>
    </w:lvl>
    <w:lvl w:ilvl="2">
      <w:start w:val="0"/>
      <w:numFmt w:val="bullet"/>
      <w:lvlText w:val="•"/>
      <w:lvlJc w:val="left"/>
      <w:pPr>
        <w:ind w:left="3871" w:hanging="699"/>
      </w:pPr>
      <w:rPr>
        <w:rFonts w:hint="default"/>
      </w:rPr>
    </w:lvl>
    <w:lvl w:ilvl="3">
      <w:start w:val="0"/>
      <w:numFmt w:val="bullet"/>
      <w:lvlText w:val="•"/>
      <w:lvlJc w:val="left"/>
      <w:pPr>
        <w:ind w:left="5317" w:hanging="699"/>
      </w:pPr>
      <w:rPr>
        <w:rFonts w:hint="default"/>
      </w:rPr>
    </w:lvl>
    <w:lvl w:ilvl="4">
      <w:start w:val="0"/>
      <w:numFmt w:val="bullet"/>
      <w:lvlText w:val="•"/>
      <w:lvlJc w:val="left"/>
      <w:pPr>
        <w:ind w:left="6763" w:hanging="699"/>
      </w:pPr>
      <w:rPr>
        <w:rFonts w:hint="default"/>
      </w:rPr>
    </w:lvl>
    <w:lvl w:ilvl="5">
      <w:start w:val="0"/>
      <w:numFmt w:val="bullet"/>
      <w:lvlText w:val="•"/>
      <w:lvlJc w:val="left"/>
      <w:pPr>
        <w:ind w:left="8209" w:hanging="699"/>
      </w:pPr>
      <w:rPr>
        <w:rFonts w:hint="default"/>
      </w:rPr>
    </w:lvl>
    <w:lvl w:ilvl="6">
      <w:start w:val="0"/>
      <w:numFmt w:val="bullet"/>
      <w:lvlText w:val="•"/>
      <w:lvlJc w:val="left"/>
      <w:pPr>
        <w:ind w:left="9655" w:hanging="699"/>
      </w:pPr>
      <w:rPr>
        <w:rFonts w:hint="default"/>
      </w:rPr>
    </w:lvl>
    <w:lvl w:ilvl="7">
      <w:start w:val="0"/>
      <w:numFmt w:val="bullet"/>
      <w:lvlText w:val="•"/>
      <w:lvlJc w:val="left"/>
      <w:pPr>
        <w:ind w:left="11101" w:hanging="699"/>
      </w:pPr>
      <w:rPr>
        <w:rFonts w:hint="default"/>
      </w:rPr>
    </w:lvl>
    <w:lvl w:ilvl="8">
      <w:start w:val="0"/>
      <w:numFmt w:val="bullet"/>
      <w:lvlText w:val="•"/>
      <w:lvlJc w:val="left"/>
      <w:pPr>
        <w:ind w:left="12547" w:hanging="699"/>
      </w:pPr>
      <w:rPr>
        <w:rFonts w:hint="default"/>
      </w:rPr>
    </w:lvl>
  </w:abstractNum>
  <w:abstractNum w:abstractNumId="12">
    <w:nsid w:val="7AD7B678"/>
    <w:multiLevelType w:val="hybridMultilevel"/>
    <w:tmpl w:val="00000000"/>
    <w:lvl w:ilvl="0">
      <w:start w:val="4"/>
      <w:numFmt w:val="decimal"/>
      <w:lvlText w:val="%1"/>
      <w:lvlJc w:val="left"/>
      <w:pPr>
        <w:ind w:left="280" w:hanging="540"/>
        <w:jc w:val="left"/>
      </w:pPr>
      <w:rPr>
        <w:rFonts w:hint="default"/>
      </w:rPr>
    </w:lvl>
    <w:lvl w:ilvl="1">
      <w:start w:val="2"/>
      <w:numFmt w:val="decimal"/>
      <w:lvlText w:val="%1.%2"/>
      <w:lvlJc w:val="left"/>
      <w:pPr>
        <w:ind w:left="280" w:hanging="540"/>
        <w:jc w:val="left"/>
      </w:pPr>
      <w:rPr>
        <w:rFonts w:ascii="Times New Roman" w:eastAsia="Times New Roman" w:hAnsi="Times New Roman" w:cs="Times New Roman" w:hint="default"/>
        <w:w w:val="100"/>
        <w:sz w:val="36"/>
        <w:szCs w:val="36"/>
      </w:rPr>
    </w:lvl>
    <w:lvl w:ilvl="2">
      <w:start w:val="0"/>
      <w:numFmt w:val="bullet"/>
      <w:lvlText w:val="•"/>
      <w:lvlJc w:val="left"/>
      <w:pPr>
        <w:ind w:left="3311" w:hanging="540"/>
      </w:pPr>
      <w:rPr>
        <w:rFonts w:hint="default"/>
      </w:rPr>
    </w:lvl>
    <w:lvl w:ilvl="3">
      <w:start w:val="0"/>
      <w:numFmt w:val="bullet"/>
      <w:lvlText w:val="•"/>
      <w:lvlJc w:val="left"/>
      <w:pPr>
        <w:ind w:left="4827" w:hanging="540"/>
      </w:pPr>
      <w:rPr>
        <w:rFonts w:hint="default"/>
      </w:rPr>
    </w:lvl>
    <w:lvl w:ilvl="4">
      <w:start w:val="0"/>
      <w:numFmt w:val="bullet"/>
      <w:lvlText w:val="•"/>
      <w:lvlJc w:val="left"/>
      <w:pPr>
        <w:ind w:left="6343" w:hanging="540"/>
      </w:pPr>
      <w:rPr>
        <w:rFonts w:hint="default"/>
      </w:rPr>
    </w:lvl>
    <w:lvl w:ilvl="5">
      <w:start w:val="0"/>
      <w:numFmt w:val="bullet"/>
      <w:lvlText w:val="•"/>
      <w:lvlJc w:val="left"/>
      <w:pPr>
        <w:ind w:left="7859" w:hanging="540"/>
      </w:pPr>
      <w:rPr>
        <w:rFonts w:hint="default"/>
      </w:rPr>
    </w:lvl>
    <w:lvl w:ilvl="6">
      <w:start w:val="0"/>
      <w:numFmt w:val="bullet"/>
      <w:lvlText w:val="•"/>
      <w:lvlJc w:val="left"/>
      <w:pPr>
        <w:ind w:left="9375" w:hanging="540"/>
      </w:pPr>
      <w:rPr>
        <w:rFonts w:hint="default"/>
      </w:rPr>
    </w:lvl>
    <w:lvl w:ilvl="7">
      <w:start w:val="0"/>
      <w:numFmt w:val="bullet"/>
      <w:lvlText w:val="•"/>
      <w:lvlJc w:val="left"/>
      <w:pPr>
        <w:ind w:left="10891" w:hanging="540"/>
      </w:pPr>
      <w:rPr>
        <w:rFonts w:hint="default"/>
      </w:rPr>
    </w:lvl>
    <w:lvl w:ilvl="8">
      <w:start w:val="0"/>
      <w:numFmt w:val="bullet"/>
      <w:lvlText w:val="•"/>
      <w:lvlJc w:val="left"/>
      <w:pPr>
        <w:ind w:left="12407" w:hanging="540"/>
      </w:pPr>
      <w:rPr>
        <w:rFonts w:hint="default"/>
      </w:rPr>
    </w:lvl>
  </w:abstractNum>
  <w:abstractNum w:abstractNumId="13">
    <w:nsid w:val="7BCF1D76"/>
    <w:multiLevelType w:val="hybridMultilevel"/>
    <w:tmpl w:val="00000000"/>
    <w:lvl w:ilvl="0">
      <w:start w:val="1"/>
      <w:numFmt w:val="decimal"/>
      <w:lvlText w:val="%1"/>
      <w:lvlJc w:val="left"/>
      <w:pPr>
        <w:ind w:left="583" w:hanging="303"/>
        <w:jc w:val="left"/>
      </w:pPr>
      <w:rPr>
        <w:rFonts w:hint="default"/>
        <w:w w:val="99"/>
        <w:position w:val="-4"/>
      </w:rPr>
    </w:lvl>
    <w:lvl w:ilvl="1">
      <w:start w:val="0"/>
      <w:numFmt w:val="bullet"/>
      <w:lvlText w:val="•"/>
      <w:lvlJc w:val="left"/>
      <w:pPr>
        <w:ind w:left="760" w:hanging="303"/>
      </w:pPr>
      <w:rPr>
        <w:rFonts w:hint="default"/>
      </w:rPr>
    </w:lvl>
    <w:lvl w:ilvl="2">
      <w:start w:val="0"/>
      <w:numFmt w:val="bullet"/>
      <w:lvlText w:val="•"/>
      <w:lvlJc w:val="left"/>
      <w:pPr>
        <w:ind w:left="940" w:hanging="303"/>
      </w:pPr>
      <w:rPr>
        <w:rFonts w:hint="default"/>
      </w:rPr>
    </w:lvl>
    <w:lvl w:ilvl="3">
      <w:start w:val="0"/>
      <w:numFmt w:val="bullet"/>
      <w:lvlText w:val="•"/>
      <w:lvlJc w:val="left"/>
      <w:pPr>
        <w:ind w:left="1120" w:hanging="303"/>
      </w:pPr>
      <w:rPr>
        <w:rFonts w:hint="default"/>
      </w:rPr>
    </w:lvl>
    <w:lvl w:ilvl="4">
      <w:start w:val="0"/>
      <w:numFmt w:val="bullet"/>
      <w:lvlText w:val="•"/>
      <w:lvlJc w:val="left"/>
      <w:pPr>
        <w:ind w:left="1301" w:hanging="303"/>
      </w:pPr>
      <w:rPr>
        <w:rFonts w:hint="default"/>
      </w:rPr>
    </w:lvl>
    <w:lvl w:ilvl="5">
      <w:start w:val="0"/>
      <w:numFmt w:val="bullet"/>
      <w:lvlText w:val="•"/>
      <w:lvlJc w:val="left"/>
      <w:pPr>
        <w:ind w:left="1481" w:hanging="303"/>
      </w:pPr>
      <w:rPr>
        <w:rFonts w:hint="default"/>
      </w:rPr>
    </w:lvl>
    <w:lvl w:ilvl="6">
      <w:start w:val="0"/>
      <w:numFmt w:val="bullet"/>
      <w:lvlText w:val="•"/>
      <w:lvlJc w:val="left"/>
      <w:pPr>
        <w:ind w:left="1661" w:hanging="303"/>
      </w:pPr>
      <w:rPr>
        <w:rFonts w:hint="default"/>
      </w:rPr>
    </w:lvl>
    <w:lvl w:ilvl="7">
      <w:start w:val="0"/>
      <w:numFmt w:val="bullet"/>
      <w:lvlText w:val="•"/>
      <w:lvlJc w:val="left"/>
      <w:pPr>
        <w:ind w:left="1842" w:hanging="303"/>
      </w:pPr>
      <w:rPr>
        <w:rFonts w:hint="default"/>
      </w:rPr>
    </w:lvl>
    <w:lvl w:ilvl="8">
      <w:start w:val="0"/>
      <w:numFmt w:val="bullet"/>
      <w:lvlText w:val="•"/>
      <w:lvlJc w:val="left"/>
      <w:pPr>
        <w:ind w:left="2022" w:hanging="303"/>
      </w:pPr>
      <w:rPr>
        <w:rFonts w:hint="default"/>
      </w:rPr>
    </w:lvl>
  </w:abstractNum>
  <w:num w:numId="1">
    <w:abstractNumId w:val="0"/>
  </w:num>
  <w:num w:numId="2">
    <w:abstractNumId w:val="13"/>
  </w:num>
  <w:num w:numId="3">
    <w:abstractNumId w:val="5"/>
  </w:num>
  <w:num w:numId="4">
    <w:abstractNumId w:val="3"/>
  </w:num>
  <w:num w:numId="5">
    <w:abstractNumId w:val="11"/>
  </w:num>
  <w:num w:numId="6">
    <w:abstractNumId w:val="4"/>
  </w:num>
  <w:num w:numId="7">
    <w:abstractNumId w:val="7"/>
  </w:num>
  <w:num w:numId="8">
    <w:abstractNumId w:val="8"/>
  </w:num>
  <w:num w:numId="9">
    <w:abstractNumId w:val="1"/>
  </w:num>
  <w:num w:numId="10">
    <w:abstractNumId w:val="6"/>
  </w:num>
  <w:num w:numId="11">
    <w:abstractNumId w:val="12"/>
  </w:num>
  <w:num w:numId="12">
    <w:abstractNumId w:val="2"/>
  </w:num>
  <w:num w:numId="13">
    <w:abstractNumId w:val="9"/>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27"/>
      <w:ind w:left="280"/>
      <w:outlineLvl w:val="0"/>
    </w:pPr>
    <w:rPr>
      <w:rFonts w:ascii="宋体" w:eastAsia="宋体" w:hAnsi="宋体" w:cs="宋体"/>
      <w:b/>
      <w:bCs/>
      <w:sz w:val="69"/>
      <w:szCs w:val="69"/>
    </w:rPr>
  </w:style>
  <w:style w:type="paragraph" w:styleId="Heading2">
    <w:name w:val="heading 2"/>
    <w:basedOn w:val="Normal"/>
    <w:uiPriority w:val="1"/>
    <w:qFormat/>
    <w:pPr>
      <w:ind w:left="280"/>
      <w:outlineLvl w:val="1"/>
    </w:pPr>
    <w:rPr>
      <w:rFonts w:ascii="宋体" w:eastAsia="宋体" w:hAnsi="宋体" w:cs="宋体"/>
      <w:b/>
      <w:bCs/>
      <w:sz w:val="57"/>
      <w:szCs w:val="57"/>
    </w:rPr>
  </w:style>
  <w:style w:type="paragraph" w:styleId="Heading3">
    <w:name w:val="heading 3"/>
    <w:basedOn w:val="Normal"/>
    <w:uiPriority w:val="1"/>
    <w:qFormat/>
    <w:pPr>
      <w:spacing w:line="459" w:lineRule="exact"/>
      <w:ind w:left="820" w:hanging="541"/>
      <w:outlineLvl w:val="2"/>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280"/>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368100140077006024"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2023-12-10T15:07:39Z</dcterms:created>
  <dcterms:modified xsi:type="dcterms:W3CDTF">2023-12-10T15:07:39Z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LastSaved">
    <vt:filetime>2023-12-10T00:00:00Z</vt:filetime>
  </property>
</Properties>
</file>