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2018-2023年内蒙古北方职业技术学院高职单招（数学／语文／英语）历年常考试题库含答案解析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“乐府”最初的含义是（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A.先秦民歌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B.最早的格律诗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C.西汉王朝设立的掌管音乐的机构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D.宫廷里的歌舞厅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下列诗句运用了比兴方法的是（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A.自我徂尔，三岁食贫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B.女也不爽，士贰其行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C.于嗟鸠兮，无食桑葚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D.淇水汤汤，渐车帷裳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下列各组句中加点的字，意思相同的一组是（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3467464" cy="2190980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67464" cy="2190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“人有悲欢离合，月有阴晴圆缺”这两句诗出自（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A.李煜《虞美人》（春花秋月何时了）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B.柳永《八声甘州》（对潇潇暮雨洒江天）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C.苏轼《水调歌头》（明月几时有）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D.李清照《声声慢》（寻寻觅觅）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《战国策》的整理编订者是（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A.刘向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B.左丘明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C.司马迁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D.战国史官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6.</w:t>
      </w:r>
      <w:r>
        <w:rPr>
          <w:rFonts w:ascii="黑体" w:eastAsia="黑体" w:hAnsi="黑体" w:cs="Times New Roman"/>
          <w:sz w:val="24"/>
          <w:lang w:val="en-US" w:eastAsia="ja-JP" w:bidi="ar-SA"/>
        </w:rPr>
        <w:t>《论快乐》一文提出快乐是（  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A.分为肉体和精神的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B.人生的享受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C.人生的本质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D.由精神来决定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5"/>
        <w:spacing w:after="200" w:line="276" w:lineRule="auto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“山不厌高，水不厌深”的作者是（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A.陶渊明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B.李白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C.曹操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D.司马迁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下列诗人中，诗风苍凉悲壮的是（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A.曹操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B.陶渊明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C.李白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D.王维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在《往事（一之十四）》中，冰心赞颂了大海的性格和美德，号召大家做一个（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A.女神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B.大海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C.海舟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D.“海化”青年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岑参《白雪歌送武判官归京》“山回路转不见君，雪上空留马行处”两句的抒情方式是（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A.直抒胸臆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B.借景抒情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C.借典故抒情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D.借议论抒情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在契诃夫小说《苦恼》里，车夫姚纳向小母马倾诉的主要原因是（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A.年老多病，无依无靠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B.生活困窘，缺乏救助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C.儿子死了，无人赡养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D.社会冷漠，百姓麻木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《西厢记·长亭送别》中，“泪添九曲黄河溢，恨压三峰华岳低”两句采用的修辞手法是（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A.比喻、夸张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B.比喻、通感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C.通感、夸张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D.比喻、排比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下列句中，“所以”可译成“用来”的是（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https://d.book118.com/375033041330011112</w:t>
        </w:r>
      </w:hyperlink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0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image" Target="media/image1.png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hyperlink" Target="https://d.book118.com/375033041330011112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