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63"/>
        <w:ind w:left="2570" w:right="2709"/>
        <w:jc w:val="center"/>
      </w:pPr>
      <w:r>
        <w:rPr>
          <w:spacing w:val="-5"/>
        </w:rPr>
        <w:t xml:space="preserve">慢性乙型肝炎防治指南 </w:t>
      </w:r>
      <w:r>
        <w:rPr>
          <w:rFonts w:ascii="Times New Roman" w:eastAsia="Times New Roman"/>
        </w:rPr>
        <w:t xml:space="preserve">2010 </w:t>
      </w:r>
      <w:r>
        <w:rPr>
          <w:spacing w:val="-3"/>
        </w:rPr>
        <w:t>年更新版</w:t>
      </w:r>
    </w:p>
    <w:p>
      <w:pPr>
        <w:pStyle w:val="BodyText"/>
        <w:spacing w:before="6"/>
        <w:ind w:left="0"/>
        <w:rPr>
          <w:sz w:val="15"/>
        </w:rPr>
      </w:pPr>
    </w:p>
    <w:p>
      <w:pPr>
        <w:pStyle w:val="BodyText"/>
        <w:spacing w:before="1"/>
        <w:ind w:left="2570" w:right="2709"/>
        <w:jc w:val="center"/>
      </w:pPr>
      <w:r>
        <w:t>（待定稿</w:t>
      </w:r>
      <w:r>
        <w:rPr>
          <w:spacing w:val="-10"/>
        </w:rPr>
        <w:t>）</w:t>
      </w:r>
    </w:p>
    <w:p>
      <w:pPr>
        <w:pStyle w:val="BodyText"/>
        <w:spacing w:before="6"/>
        <w:ind w:left="0"/>
        <w:rPr>
          <w:sz w:val="15"/>
        </w:rPr>
      </w:pPr>
    </w:p>
    <w:p>
      <w:pPr>
        <w:pStyle w:val="BodyText"/>
        <w:spacing w:line="417" w:lineRule="auto"/>
        <w:ind w:left="3262" w:right="3402"/>
        <w:jc w:val="center"/>
      </w:pPr>
      <w:r>
        <w:rPr>
          <w:spacing w:val="-2"/>
        </w:rPr>
        <w:t>中华医学会肝病学分会</w:t>
      </w:r>
      <w:r>
        <w:rPr>
          <w:spacing w:val="-2"/>
        </w:rPr>
        <w:t xml:space="preserve">中华医学会感染病分会 </w:t>
      </w:r>
      <w:r>
        <w:rPr>
          <w:rFonts w:ascii="Times New Roman" w:eastAsia="Times New Roman"/>
        </w:rPr>
        <w:t xml:space="preserve">2010 </w:t>
      </w:r>
      <w:r>
        <w:rPr>
          <w:spacing w:val="-11"/>
        </w:rPr>
        <w:t xml:space="preserve">年 </w:t>
      </w:r>
      <w:r>
        <w:rPr>
          <w:rFonts w:ascii="Times New Roman" w:eastAsia="Times New Roman"/>
        </w:rPr>
        <w:t xml:space="preserve">12 </w:t>
      </w:r>
      <w:r>
        <w:rPr>
          <w:spacing w:val="-11"/>
        </w:rPr>
        <w:t xml:space="preserve">月 </w:t>
      </w:r>
      <w:r>
        <w:rPr>
          <w:rFonts w:ascii="Times New Roman" w:eastAsia="Times New Roman"/>
        </w:rPr>
        <w:t xml:space="preserve">10 </w:t>
      </w:r>
      <w:r>
        <w:t>日</w:t>
      </w:r>
    </w:p>
    <w:p>
      <w:pPr>
        <w:pStyle w:val="BodyText"/>
        <w:spacing w:before="156" w:line="417" w:lineRule="auto"/>
        <w:ind w:right="310" w:firstLine="482"/>
        <w:jc w:val="both"/>
      </w:pPr>
      <w:r>
        <w:rPr>
          <w:spacing w:val="-2"/>
        </w:rPr>
        <w:t>为规范慢性乙型肝炎的预防、诊断和治疗，中华医学会肝病学分会和感染病学分会于</w:t>
      </w:r>
      <w:r>
        <w:rPr>
          <w:spacing w:val="-2"/>
        </w:rPr>
        <w:t xml:space="preserve"> </w:t>
      </w:r>
      <w:r>
        <w:rPr>
          <w:rFonts w:ascii="Times New Roman" w:eastAsia="Times New Roman"/>
        </w:rPr>
        <w:t>2005</w:t>
      </w:r>
      <w:r>
        <w:rPr>
          <w:rFonts w:ascii="Times New Roman" w:eastAsia="Times New Roman"/>
          <w:spacing w:val="-14"/>
        </w:rPr>
        <w:t xml:space="preserve"> </w:t>
      </w:r>
      <w:r>
        <w:t>年组织国内有关专家制订了《慢性乙型肝炎防治指南》</w:t>
      </w:r>
      <w:r>
        <w:rPr>
          <w:rFonts w:ascii="Calibri" w:eastAsia="Calibri"/>
          <w:vertAlign w:val="superscript"/>
        </w:rPr>
        <w:t>[1]</w:t>
      </w:r>
      <w:r>
        <w:rPr>
          <w:spacing w:val="-14"/>
          <w:vertAlign w:val="baseline"/>
        </w:rPr>
        <w:t xml:space="preserve">。 近 </w:t>
      </w:r>
      <w:r>
        <w:rPr>
          <w:rFonts w:ascii="Times New Roman" w:eastAsia="Times New Roman"/>
          <w:vertAlign w:val="baseline"/>
        </w:rPr>
        <w:t>5</w:t>
      </w:r>
      <w:r>
        <w:rPr>
          <w:rFonts w:ascii="Times New Roman" w:eastAsia="Times New Roman"/>
          <w:spacing w:val="-13"/>
          <w:vertAlign w:val="baseline"/>
        </w:rPr>
        <w:t xml:space="preserve"> </w:t>
      </w:r>
      <w:r>
        <w:rPr>
          <w:vertAlign w:val="baseline"/>
        </w:rPr>
        <w:t>年来，国内外有关慢</w:t>
      </w:r>
      <w:r>
        <w:rPr>
          <w:spacing w:val="-2"/>
          <w:vertAlign w:val="baseline"/>
        </w:rPr>
        <w:t>性乙型肝炎的基础和临床研究取得很大进展，为此我们对本指南进行更新。</w:t>
      </w:r>
    </w:p>
    <w:p>
      <w:pPr>
        <w:pStyle w:val="BodyText"/>
        <w:spacing w:line="417" w:lineRule="auto"/>
        <w:ind w:right="310" w:firstLine="420"/>
        <w:jc w:val="both"/>
      </w:pPr>
      <w:r>
        <w:rPr>
          <w:spacing w:val="-2"/>
        </w:rPr>
        <w:t>本指南旨在帮助医生在慢性乙型肝炎诊疗和预防工作中做出合理决策，但不是强制性</w:t>
      </w:r>
      <w:r>
        <w:rPr>
          <w:spacing w:val="-2"/>
        </w:rPr>
        <w:t>标准，也不可能包括或解决慢性乙型肝炎诊治中的所有问题。因此，临床医生在面对某一</w:t>
      </w:r>
      <w:r>
        <w:rPr>
          <w:spacing w:val="-2"/>
        </w:rPr>
        <w:t>患者时，应在充分了解有关本病的最佳临床证据、认真考虑患者具体病情及其意愿的基础</w:t>
      </w:r>
      <w:r>
        <w:rPr>
          <w:spacing w:val="-2"/>
        </w:rPr>
        <w:t>上，根据自己的专业知识、临床经验和可利用的医疗资源，制订全面合理的诊疗方案。我</w:t>
      </w:r>
      <w:r>
        <w:rPr>
          <w:spacing w:val="-2"/>
        </w:rPr>
        <w:t>们将根据国内外的有关进展情况，继续对本指南进行不断更新和完善。</w:t>
      </w:r>
    </w:p>
    <w:p>
      <w:pPr>
        <w:pStyle w:val="Heading1"/>
        <w:spacing w:before="85"/>
      </w:pPr>
      <w:r>
        <w:t>一</w:t>
      </w:r>
      <w:r>
        <w:rPr>
          <w:rFonts w:ascii="宋体" w:eastAsia="宋体"/>
          <w:b w:val="0"/>
        </w:rPr>
        <w:t>、</w:t>
      </w:r>
      <w:r>
        <w:rPr>
          <w:spacing w:val="-4"/>
        </w:rPr>
        <w:t>病原学</w:t>
      </w:r>
    </w:p>
    <w:p>
      <w:pPr>
        <w:pStyle w:val="BodyText"/>
        <w:spacing w:before="151" w:line="417" w:lineRule="auto"/>
        <w:ind w:right="323" w:firstLine="420"/>
        <w:jc w:val="both"/>
      </w:pPr>
      <w:r>
        <w:rPr>
          <w:spacing w:val="-4"/>
        </w:rPr>
        <w:t xml:space="preserve">乙型肝炎病毒 </w:t>
      </w:r>
      <w:r>
        <w:rPr>
          <w:rFonts w:ascii="Times New Roman" w:eastAsia="Times New Roman" w:hAnsi="Times New Roman"/>
        </w:rPr>
        <w:t>(HBV)</w:t>
      </w:r>
      <w:r>
        <w:rPr>
          <w:rFonts w:ascii="Times New Roman" w:eastAsia="Times New Roman" w:hAnsi="Times New Roman"/>
          <w:spacing w:val="34"/>
        </w:rPr>
        <w:t xml:space="preserve"> </w:t>
      </w:r>
      <w:r>
        <w:rPr>
          <w:spacing w:val="-7"/>
        </w:rPr>
        <w:t xml:space="preserve">属嗜肝 </w:t>
      </w:r>
      <w:r>
        <w:rPr>
          <w:rFonts w:ascii="Times New Roman" w:eastAsia="Times New Roman" w:hAnsi="Times New Roman"/>
        </w:rPr>
        <w:t>DNA</w:t>
      </w:r>
      <w:r>
        <w:rPr>
          <w:rFonts w:ascii="Times New Roman" w:eastAsia="Times New Roman" w:hAnsi="Times New Roman"/>
          <w:spacing w:val="-1"/>
        </w:rPr>
        <w:t xml:space="preserve"> </w:t>
      </w:r>
      <w:r>
        <w:t xml:space="preserve">病毒科 </w:t>
      </w:r>
      <w:r>
        <w:rPr>
          <w:rFonts w:ascii="Times New Roman" w:eastAsia="Times New Roman" w:hAnsi="Times New Roman"/>
        </w:rPr>
        <w:t>(hepadnaviridae)</w:t>
      </w:r>
      <w:r>
        <w:rPr>
          <w:spacing w:val="-4"/>
        </w:rPr>
        <w:t xml:space="preserve">，基因组长约 </w:t>
      </w:r>
      <w:r>
        <w:rPr>
          <w:rFonts w:ascii="Times New Roman" w:eastAsia="Times New Roman" w:hAnsi="Times New Roman"/>
        </w:rPr>
        <w:t>3.2kb</w:t>
      </w:r>
      <w:r>
        <w:t>，为部</w:t>
      </w:r>
      <w:r>
        <w:rPr>
          <w:spacing w:val="-5"/>
        </w:rPr>
        <w:t xml:space="preserve">分双链环状 </w:t>
      </w:r>
      <w:r>
        <w:rPr>
          <w:rFonts w:ascii="Times New Roman" w:eastAsia="Times New Roman" w:hAnsi="Times New Roman"/>
        </w:rPr>
        <w:t>DNA</w:t>
      </w:r>
      <w:r>
        <w:rPr>
          <w:spacing w:val="4"/>
        </w:rPr>
        <w:t xml:space="preserve">。 </w:t>
      </w:r>
      <w:r>
        <w:rPr>
          <w:rFonts w:ascii="Times New Roman" w:eastAsia="Times New Roman" w:hAnsi="Times New Roman"/>
        </w:rPr>
        <w:t xml:space="preserve">HBV </w:t>
      </w:r>
      <w:r>
        <w:rPr>
          <w:spacing w:val="-3"/>
        </w:rPr>
        <w:t xml:space="preserve">的抵抗力较强，但 </w:t>
      </w:r>
      <w:r>
        <w:rPr>
          <w:rFonts w:ascii="Times New Roman" w:eastAsia="Times New Roman" w:hAnsi="Times New Roman"/>
        </w:rPr>
        <w:t>65</w:t>
      </w:r>
      <w:r>
        <w:t>℃</w:t>
      </w:r>
      <w:r>
        <w:rPr>
          <w:rFonts w:ascii="Times New Roman" w:eastAsia="Times New Roman" w:hAnsi="Times New Roman"/>
        </w:rPr>
        <w:t>10</w:t>
      </w:r>
      <w:r>
        <w:rPr>
          <w:rFonts w:ascii="Times New Roman" w:eastAsia="Times New Roman" w:hAnsi="Times New Roman"/>
          <w:spacing w:val="17"/>
        </w:rPr>
        <w:t xml:space="preserve"> </w:t>
      </w:r>
      <w:r>
        <w:rPr>
          <w:rFonts w:ascii="Times New Roman" w:eastAsia="Times New Roman" w:hAnsi="Times New Roman"/>
        </w:rPr>
        <w:t>h</w:t>
      </w:r>
      <w:r>
        <w:rPr>
          <w:spacing w:val="-7"/>
        </w:rPr>
        <w:t xml:space="preserve">、煮沸 </w:t>
      </w:r>
      <w:r>
        <w:rPr>
          <w:rFonts w:ascii="Times New Roman" w:eastAsia="Times New Roman" w:hAnsi="Times New Roman"/>
        </w:rPr>
        <w:t>10</w:t>
      </w:r>
      <w:r>
        <w:rPr>
          <w:rFonts w:ascii="Times New Roman" w:eastAsia="Times New Roman" w:hAnsi="Times New Roman"/>
          <w:spacing w:val="17"/>
        </w:rPr>
        <w:t xml:space="preserve"> </w:t>
      </w:r>
      <w:r>
        <w:rPr>
          <w:rFonts w:ascii="Times New Roman" w:eastAsia="Times New Roman" w:hAnsi="Times New Roman"/>
        </w:rPr>
        <w:t xml:space="preserve">min </w:t>
      </w:r>
      <w:r>
        <w:t xml:space="preserve">或高压蒸气均可灭活 </w:t>
      </w:r>
      <w:r>
        <w:rPr>
          <w:rFonts w:ascii="Times New Roman" w:eastAsia="Times New Roman" w:hAnsi="Times New Roman"/>
        </w:rPr>
        <w:t>HBV</w:t>
      </w:r>
      <w:r>
        <w:rPr>
          <w:spacing w:val="-2"/>
        </w:rPr>
        <w:t xml:space="preserve">。环氧乙烷、戊二醛、过氧乙酸和碘伏对 </w:t>
      </w:r>
      <w:r>
        <w:rPr>
          <w:rFonts w:ascii="Times New Roman" w:eastAsia="Times New Roman" w:hAnsi="Times New Roman"/>
        </w:rPr>
        <w:t xml:space="preserve">HBV </w:t>
      </w:r>
      <w:r>
        <w:t>也有较好的灭活效果。</w:t>
      </w:r>
    </w:p>
    <w:p>
      <w:pPr>
        <w:pStyle w:val="BodyText"/>
        <w:spacing w:line="417" w:lineRule="auto"/>
        <w:ind w:right="323" w:firstLine="420"/>
        <w:jc w:val="both"/>
      </w:pPr>
      <w:r>
        <w:rPr>
          <w:rFonts w:ascii="Times New Roman" w:eastAsia="Times New Roman"/>
        </w:rPr>
        <w:t>HBV</w:t>
      </w:r>
      <w:r>
        <w:rPr>
          <w:rFonts w:ascii="Times New Roman" w:eastAsia="Times New Roman"/>
          <w:spacing w:val="-14"/>
        </w:rPr>
        <w:t xml:space="preserve"> </w:t>
      </w:r>
      <w:r>
        <w:rPr>
          <w:spacing w:val="-2"/>
        </w:rPr>
        <w:t xml:space="preserve">侵入肝细胞后，部分双链环状 </w:t>
      </w:r>
      <w:r>
        <w:rPr>
          <w:rFonts w:ascii="Times New Roman" w:eastAsia="Times New Roman"/>
        </w:rPr>
        <w:t>HBV</w:t>
      </w:r>
      <w:r>
        <w:rPr>
          <w:rFonts w:ascii="Times New Roman" w:eastAsia="Times New Roman"/>
          <w:spacing w:val="-6"/>
        </w:rPr>
        <w:t xml:space="preserve"> </w:t>
      </w:r>
      <w:r>
        <w:rPr>
          <w:rFonts w:ascii="Times New Roman" w:eastAsia="Times New Roman"/>
        </w:rPr>
        <w:t xml:space="preserve">DNA </w:t>
      </w:r>
      <w:r>
        <w:rPr>
          <w:spacing w:val="-3"/>
        </w:rPr>
        <w:t xml:space="preserve">在细胞核内以负链 </w:t>
      </w:r>
      <w:r>
        <w:rPr>
          <w:rFonts w:ascii="Times New Roman" w:eastAsia="Times New Roman"/>
        </w:rPr>
        <w:t xml:space="preserve">DNA </w:t>
      </w:r>
      <w:r>
        <w:t>为模板延长正</w:t>
      </w:r>
      <w:r>
        <w:rPr>
          <w:spacing w:val="-5"/>
        </w:rPr>
        <w:t xml:space="preserve">链以修补正链中的裂隙区，形成共价闭合环状 </w:t>
      </w:r>
      <w:r>
        <w:rPr>
          <w:rFonts w:ascii="Times New Roman" w:eastAsia="Times New Roman"/>
          <w:spacing w:val="-4"/>
        </w:rPr>
        <w:t>DNA</w:t>
      </w:r>
      <w:r>
        <w:rPr>
          <w:rFonts w:ascii="Times New Roman" w:eastAsia="Times New Roman"/>
          <w:spacing w:val="-9"/>
        </w:rPr>
        <w:t xml:space="preserve"> </w:t>
      </w:r>
      <w:r>
        <w:rPr>
          <w:rFonts w:ascii="Times New Roman" w:eastAsia="Times New Roman"/>
          <w:spacing w:val="-4"/>
        </w:rPr>
        <w:t>(cccDNA)</w:t>
      </w:r>
      <w:r>
        <w:rPr>
          <w:spacing w:val="-8"/>
        </w:rPr>
        <w:t xml:space="preserve">；然后以 </w:t>
      </w:r>
      <w:r>
        <w:rPr>
          <w:rFonts w:ascii="Times New Roman" w:eastAsia="Times New Roman"/>
          <w:spacing w:val="-4"/>
        </w:rPr>
        <w:t>cccDNA</w:t>
      </w:r>
      <w:r>
        <w:rPr>
          <w:rFonts w:ascii="Times New Roman" w:eastAsia="Times New Roman"/>
          <w:spacing w:val="15"/>
        </w:rPr>
        <w:t xml:space="preserve"> </w:t>
      </w:r>
      <w:r>
        <w:rPr>
          <w:spacing w:val="-4"/>
        </w:rPr>
        <w:t>为模板，转</w:t>
      </w:r>
      <w:r>
        <w:rPr>
          <w:spacing w:val="-3"/>
        </w:rPr>
        <w:t xml:space="preserve">录成几种不同长度的 </w:t>
      </w:r>
      <w:r>
        <w:rPr>
          <w:rFonts w:ascii="Times New Roman" w:eastAsia="Times New Roman"/>
        </w:rPr>
        <w:t>mRNA</w:t>
      </w:r>
      <w:r>
        <w:rPr>
          <w:spacing w:val="-3"/>
        </w:rPr>
        <w:t xml:space="preserve">，分别作为前基因组 </w:t>
      </w:r>
      <w:r>
        <w:rPr>
          <w:rFonts w:ascii="Times New Roman" w:eastAsia="Times New Roman"/>
        </w:rPr>
        <w:t>RNA</w:t>
      </w:r>
      <w:r>
        <w:rPr>
          <w:rFonts w:ascii="Times New Roman" w:eastAsia="Times New Roman"/>
          <w:spacing w:val="-9"/>
        </w:rPr>
        <w:t xml:space="preserve"> </w:t>
      </w:r>
      <w:r>
        <w:rPr>
          <w:spacing w:val="-7"/>
        </w:rPr>
        <w:t xml:space="preserve">和编码 </w:t>
      </w:r>
      <w:r>
        <w:rPr>
          <w:rFonts w:ascii="Times New Roman" w:eastAsia="Times New Roman"/>
        </w:rPr>
        <w:t>HBV</w:t>
      </w:r>
      <w:r>
        <w:rPr>
          <w:rFonts w:ascii="Times New Roman" w:eastAsia="Times New Roman"/>
          <w:spacing w:val="16"/>
        </w:rPr>
        <w:t xml:space="preserve"> </w:t>
      </w:r>
      <w:r>
        <w:t>的各种抗原。</w:t>
      </w:r>
      <w:r>
        <w:rPr>
          <w:rFonts w:ascii="Times New Roman" w:eastAsia="Times New Roman"/>
        </w:rPr>
        <w:t>cccDNA</w:t>
      </w:r>
      <w:r>
        <w:t xml:space="preserve">半寿 </w:t>
      </w:r>
      <w:r>
        <w:rPr>
          <w:rFonts w:ascii="Times New Roman" w:eastAsia="Times New Roman"/>
        </w:rPr>
        <w:t>(</w:t>
      </w:r>
      <w:r>
        <w:t>衰</w:t>
      </w:r>
      <w:r>
        <w:rPr>
          <w:rFonts w:ascii="Times New Roman" w:eastAsia="Times New Roman"/>
          <w:spacing w:val="20"/>
        </w:rPr>
        <w:t xml:space="preserve">) </w:t>
      </w:r>
      <w:r>
        <w:t>期较长，很难从体内彻底清除</w:t>
      </w:r>
      <w:r>
        <w:rPr>
          <w:rFonts w:ascii="Calibri" w:eastAsia="Calibri"/>
          <w:vertAlign w:val="superscript"/>
        </w:rPr>
        <w:t>[2, 3]</w:t>
      </w:r>
      <w:r>
        <w:rPr>
          <w:vertAlign w:val="baseline"/>
        </w:rPr>
        <w:t>。</w:t>
      </w:r>
    </w:p>
    <w:p>
      <w:pPr>
        <w:pStyle w:val="BodyText"/>
        <w:spacing w:line="417" w:lineRule="auto"/>
        <w:ind w:right="323" w:firstLine="420"/>
        <w:jc w:val="both"/>
      </w:pPr>
      <w:r>
        <w:rPr>
          <w:rFonts w:ascii="Times New Roman" w:eastAsia="Times New Roman" w:hAnsi="Times New Roman"/>
        </w:rPr>
        <w:t>HBV</w:t>
      </w:r>
      <w:r>
        <w:rPr>
          <w:rFonts w:ascii="Times New Roman" w:eastAsia="Times New Roman" w:hAnsi="Times New Roman"/>
          <w:spacing w:val="-14"/>
        </w:rPr>
        <w:t xml:space="preserve"> </w:t>
      </w:r>
      <w:r>
        <w:rPr>
          <w:spacing w:val="-6"/>
        </w:rPr>
        <w:t xml:space="preserve">已发现有 </w:t>
      </w:r>
      <w:r>
        <w:rPr>
          <w:rFonts w:ascii="Times New Roman" w:eastAsia="Times New Roman" w:hAnsi="Times New Roman"/>
        </w:rPr>
        <w:t>A~I</w:t>
      </w:r>
      <w:r>
        <w:rPr>
          <w:rFonts w:ascii="Times New Roman" w:eastAsia="Times New Roman" w:hAnsi="Times New Roman"/>
          <w:spacing w:val="-13"/>
        </w:rPr>
        <w:t xml:space="preserve"> </w:t>
      </w:r>
      <w:r>
        <w:rPr>
          <w:rFonts w:ascii="Times New Roman" w:eastAsia="Times New Roman" w:hAnsi="Times New Roman"/>
        </w:rPr>
        <w:t>9</w:t>
      </w:r>
      <w:r>
        <w:rPr>
          <w:rFonts w:ascii="Times New Roman" w:eastAsia="Times New Roman" w:hAnsi="Times New Roman"/>
          <w:spacing w:val="-13"/>
        </w:rPr>
        <w:t xml:space="preserve"> </w:t>
      </w:r>
      <w:r>
        <w:t>个基因型</w:t>
      </w:r>
      <w:r>
        <w:rPr>
          <w:rFonts w:ascii="Calibri" w:eastAsia="Calibri" w:hAnsi="Calibri"/>
          <w:vertAlign w:val="superscript"/>
        </w:rPr>
        <w:t>[4</w:t>
      </w:r>
      <w:r>
        <w:rPr>
          <w:rFonts w:ascii="Calibri" w:eastAsia="Calibri" w:hAnsi="Calibri"/>
          <w:spacing w:val="-6"/>
          <w:vertAlign w:val="superscript"/>
        </w:rPr>
        <w:t xml:space="preserve">, </w:t>
      </w:r>
      <w:r>
        <w:rPr>
          <w:rFonts w:ascii="Calibri" w:eastAsia="Calibri" w:hAnsi="Calibri"/>
          <w:vertAlign w:val="superscript"/>
        </w:rPr>
        <w:t>5]</w:t>
      </w:r>
      <w:r>
        <w:rPr>
          <w:spacing w:val="-5"/>
          <w:vertAlign w:val="baseline"/>
        </w:rPr>
        <w:t xml:space="preserve">，在我国以 </w:t>
      </w:r>
      <w:r>
        <w:rPr>
          <w:rFonts w:ascii="Times New Roman" w:eastAsia="Times New Roman" w:hAnsi="Times New Roman"/>
          <w:vertAlign w:val="baseline"/>
        </w:rPr>
        <w:t>C</w:t>
      </w:r>
      <w:r>
        <w:rPr>
          <w:rFonts w:ascii="Times New Roman" w:eastAsia="Times New Roman" w:hAnsi="Times New Roman"/>
          <w:spacing w:val="-13"/>
          <w:vertAlign w:val="baseline"/>
        </w:rPr>
        <w:t xml:space="preserve"> </w:t>
      </w:r>
      <w:r>
        <w:rPr>
          <w:spacing w:val="-9"/>
          <w:vertAlign w:val="baseline"/>
        </w:rPr>
        <w:t xml:space="preserve">型和 </w:t>
      </w:r>
      <w:r>
        <w:rPr>
          <w:rFonts w:ascii="Times New Roman" w:eastAsia="Times New Roman" w:hAnsi="Times New Roman"/>
          <w:vertAlign w:val="baseline"/>
        </w:rPr>
        <w:t>B</w:t>
      </w:r>
      <w:r>
        <w:rPr>
          <w:rFonts w:ascii="Times New Roman" w:eastAsia="Times New Roman" w:hAnsi="Times New Roman"/>
          <w:spacing w:val="-13"/>
          <w:vertAlign w:val="baseline"/>
        </w:rPr>
        <w:t xml:space="preserve"> </w:t>
      </w:r>
      <w:r>
        <w:rPr>
          <w:vertAlign w:val="baseline"/>
        </w:rPr>
        <w:t>型为主。</w:t>
      </w:r>
      <w:r>
        <w:rPr>
          <w:rFonts w:ascii="Times New Roman" w:eastAsia="Times New Roman" w:hAnsi="Times New Roman"/>
          <w:vertAlign w:val="baseline"/>
        </w:rPr>
        <w:t>HBV</w:t>
      </w:r>
      <w:r>
        <w:rPr>
          <w:rFonts w:ascii="Times New Roman" w:eastAsia="Times New Roman" w:hAnsi="Times New Roman"/>
          <w:spacing w:val="-13"/>
          <w:vertAlign w:val="baseline"/>
        </w:rPr>
        <w:t xml:space="preserve"> </w:t>
      </w:r>
      <w:r>
        <w:rPr>
          <w:vertAlign w:val="baseline"/>
        </w:rPr>
        <w:t>基因型和疾病进</w:t>
      </w:r>
      <w:r>
        <w:rPr>
          <w:spacing w:val="-8"/>
          <w:vertAlign w:val="baseline"/>
        </w:rPr>
        <w:t xml:space="preserve">展和干扰素 </w:t>
      </w:r>
      <w:r>
        <w:rPr>
          <w:rFonts w:ascii="Times New Roman" w:eastAsia="Times New Roman" w:hAnsi="Times New Roman"/>
          <w:spacing w:val="-4"/>
          <w:vertAlign w:val="baseline"/>
        </w:rPr>
        <w:t>α</w:t>
      </w:r>
      <w:r>
        <w:rPr>
          <w:rFonts w:ascii="Times New Roman" w:eastAsia="Times New Roman" w:hAnsi="Times New Roman"/>
          <w:spacing w:val="-9"/>
          <w:vertAlign w:val="baseline"/>
        </w:rPr>
        <w:t xml:space="preserve"> </w:t>
      </w:r>
      <w:r>
        <w:rPr>
          <w:spacing w:val="-6"/>
          <w:vertAlign w:val="baseline"/>
        </w:rPr>
        <w:t xml:space="preserve">治疗效果有关。与 </w:t>
      </w:r>
      <w:r>
        <w:rPr>
          <w:rFonts w:ascii="Times New Roman" w:eastAsia="Times New Roman" w:hAnsi="Times New Roman"/>
          <w:spacing w:val="-4"/>
          <w:vertAlign w:val="baseline"/>
        </w:rPr>
        <w:t>C</w:t>
      </w:r>
      <w:r>
        <w:rPr>
          <w:rFonts w:ascii="Times New Roman" w:eastAsia="Times New Roman" w:hAnsi="Times New Roman"/>
          <w:spacing w:val="-9"/>
          <w:vertAlign w:val="baseline"/>
        </w:rPr>
        <w:t xml:space="preserve"> </w:t>
      </w:r>
      <w:r>
        <w:rPr>
          <w:spacing w:val="-4"/>
          <w:vertAlign w:val="baseline"/>
        </w:rPr>
        <w:t>基因型感染者相比，</w:t>
      </w:r>
      <w:r>
        <w:rPr>
          <w:rFonts w:ascii="Times New Roman" w:eastAsia="Times New Roman" w:hAnsi="Times New Roman"/>
          <w:spacing w:val="-4"/>
          <w:vertAlign w:val="baseline"/>
        </w:rPr>
        <w:t>B</w:t>
      </w:r>
      <w:r>
        <w:rPr>
          <w:rFonts w:ascii="Times New Roman" w:eastAsia="Times New Roman" w:hAnsi="Times New Roman"/>
          <w:spacing w:val="-2"/>
          <w:vertAlign w:val="baseline"/>
        </w:rPr>
        <w:t xml:space="preserve"> </w:t>
      </w:r>
      <w:r>
        <w:rPr>
          <w:spacing w:val="-6"/>
          <w:vertAlign w:val="baseline"/>
        </w:rPr>
        <w:t xml:space="preserve">基因型感染者较早出现 </w:t>
      </w:r>
      <w:r>
        <w:rPr>
          <w:rFonts w:ascii="Times New Roman" w:eastAsia="Times New Roman" w:hAnsi="Times New Roman"/>
          <w:spacing w:val="-4"/>
          <w:vertAlign w:val="baseline"/>
        </w:rPr>
        <w:t>HBeAg</w:t>
      </w:r>
      <w:r>
        <w:rPr>
          <w:rFonts w:ascii="Times New Roman" w:eastAsia="Times New Roman" w:hAnsi="Times New Roman"/>
          <w:spacing w:val="11"/>
          <w:vertAlign w:val="baseline"/>
        </w:rPr>
        <w:t xml:space="preserve"> </w:t>
      </w:r>
      <w:r>
        <w:rPr>
          <w:spacing w:val="-4"/>
          <w:vertAlign w:val="baseline"/>
        </w:rPr>
        <w:t>血</w:t>
      </w:r>
      <w:r>
        <w:rPr>
          <w:spacing w:val="-4"/>
          <w:vertAlign w:val="baseline"/>
        </w:rPr>
        <w:t>清学转换，较少进展为慢性肝炎、肝硬化和原发性肝细胞癌</w:t>
      </w:r>
      <w:r>
        <w:rPr>
          <w:rFonts w:ascii="Calibri" w:eastAsia="Calibri" w:hAnsi="Calibri"/>
          <w:spacing w:val="-4"/>
          <w:vertAlign w:val="superscript"/>
        </w:rPr>
        <w:t>[6-9]</w:t>
      </w:r>
      <w:r>
        <w:rPr>
          <w:spacing w:val="-9"/>
          <w:vertAlign w:val="baseline"/>
        </w:rPr>
        <w:t xml:space="preserve">；并且 </w:t>
      </w:r>
      <w:r>
        <w:rPr>
          <w:rFonts w:ascii="Times New Roman" w:eastAsia="Times New Roman" w:hAnsi="Times New Roman"/>
          <w:spacing w:val="-4"/>
          <w:vertAlign w:val="baseline"/>
        </w:rPr>
        <w:t>HBeAg</w:t>
      </w:r>
      <w:r>
        <w:rPr>
          <w:rFonts w:ascii="Times New Roman" w:eastAsia="Times New Roman" w:hAnsi="Times New Roman"/>
          <w:spacing w:val="30"/>
          <w:vertAlign w:val="baseline"/>
        </w:rPr>
        <w:t xml:space="preserve"> </w:t>
      </w:r>
      <w:r>
        <w:rPr>
          <w:spacing w:val="-4"/>
          <w:vertAlign w:val="baseline"/>
        </w:rPr>
        <w:t>阳性患者对干</w:t>
      </w:r>
      <w:r>
        <w:rPr>
          <w:spacing w:val="-13"/>
          <w:vertAlign w:val="baseline"/>
        </w:rPr>
        <w:t xml:space="preserve">扰素 </w:t>
      </w:r>
      <w:r>
        <w:rPr>
          <w:rFonts w:ascii="Times New Roman" w:eastAsia="Times New Roman" w:hAnsi="Times New Roman"/>
          <w:vertAlign w:val="baseline"/>
        </w:rPr>
        <w:t xml:space="preserve">α </w:t>
      </w:r>
      <w:r>
        <w:rPr>
          <w:spacing w:val="-4"/>
          <w:vertAlign w:val="baseline"/>
        </w:rPr>
        <w:t xml:space="preserve">治疗的应答率高于 </w:t>
      </w:r>
      <w:r>
        <w:rPr>
          <w:rFonts w:ascii="Times New Roman" w:eastAsia="Times New Roman" w:hAnsi="Times New Roman"/>
          <w:vertAlign w:val="baseline"/>
        </w:rPr>
        <w:t xml:space="preserve">C </w:t>
      </w:r>
      <w:r>
        <w:rPr>
          <w:vertAlign w:val="baseline"/>
        </w:rPr>
        <w:t>基因型；</w:t>
      </w:r>
      <w:r>
        <w:rPr>
          <w:rFonts w:ascii="Times New Roman" w:eastAsia="Times New Roman" w:hAnsi="Times New Roman"/>
          <w:vertAlign w:val="baseline"/>
        </w:rPr>
        <w:t xml:space="preserve">A </w:t>
      </w:r>
      <w:r>
        <w:rPr>
          <w:spacing w:val="-5"/>
          <w:vertAlign w:val="baseline"/>
        </w:rPr>
        <w:t xml:space="preserve">基因型患者高于 </w:t>
      </w:r>
      <w:r>
        <w:rPr>
          <w:rFonts w:ascii="Times New Roman" w:eastAsia="Times New Roman" w:hAnsi="Times New Roman"/>
          <w:vertAlign w:val="baseline"/>
        </w:rPr>
        <w:t xml:space="preserve">D </w:t>
      </w:r>
      <w:r>
        <w:rPr>
          <w:vertAlign w:val="baseline"/>
        </w:rPr>
        <w:t xml:space="preserve">基因型 </w:t>
      </w:r>
      <w:r>
        <w:rPr>
          <w:rFonts w:ascii="Calibri" w:eastAsia="Calibri" w:hAnsi="Calibri"/>
          <w:vertAlign w:val="superscript"/>
        </w:rPr>
        <w:t>[10-12]</w:t>
      </w:r>
      <w:r>
        <w:rPr>
          <w:vertAlign w:val="baseline"/>
        </w:rPr>
        <w:t>。</w:t>
      </w:r>
    </w:p>
    <w:p>
      <w:pPr>
        <w:pStyle w:val="Heading1"/>
        <w:spacing w:before="85"/>
      </w:pPr>
      <w:r>
        <w:rPr>
          <w:spacing w:val="3"/>
        </w:rPr>
        <w:t>二、流行病学</w:t>
      </w:r>
    </w:p>
    <w:p>
      <w:pPr>
        <w:pStyle w:val="BodyText"/>
        <w:spacing w:before="151"/>
        <w:ind w:left="580"/>
      </w:pPr>
      <w:r>
        <w:rPr>
          <w:rFonts w:ascii="Times New Roman" w:eastAsia="Times New Roman"/>
          <w:spacing w:val="-2"/>
        </w:rPr>
        <w:t>HBV</w:t>
      </w:r>
      <w:r>
        <w:rPr>
          <w:rFonts w:ascii="Times New Roman" w:eastAsia="Times New Roman"/>
          <w:spacing w:val="-12"/>
        </w:rPr>
        <w:t xml:space="preserve"> </w:t>
      </w:r>
      <w:r>
        <w:rPr>
          <w:spacing w:val="-6"/>
        </w:rPr>
        <w:t xml:space="preserve">感染呈世界性流行，但不同地区 </w:t>
      </w:r>
      <w:r>
        <w:rPr>
          <w:rFonts w:ascii="Times New Roman" w:eastAsia="Times New Roman"/>
          <w:spacing w:val="-2"/>
        </w:rPr>
        <w:t>HBV</w:t>
      </w:r>
      <w:r>
        <w:rPr>
          <w:rFonts w:ascii="Times New Roman" w:eastAsia="Times New Roman"/>
          <w:spacing w:val="-7"/>
        </w:rPr>
        <w:t xml:space="preserve"> </w:t>
      </w:r>
      <w:r>
        <w:rPr>
          <w:spacing w:val="-3"/>
        </w:rPr>
        <w:t>感染的流行强度差异很大。据世界卫生组织</w:t>
      </w:r>
    </w:p>
    <w:p>
      <w:pPr>
        <w:pStyle w:val="BodyText"/>
        <w:spacing w:before="8" w:line="460" w:lineRule="atLeast"/>
        <w:ind w:right="367"/>
      </w:pPr>
      <w:r>
        <w:rPr>
          <w:spacing w:val="-8"/>
        </w:rPr>
        <w:t xml:space="preserve">报道，全球约 </w:t>
      </w:r>
      <w:r>
        <w:rPr>
          <w:rFonts w:ascii="Times New Roman" w:eastAsia="Times New Roman"/>
        </w:rPr>
        <w:t>20</w:t>
      </w:r>
      <w:r>
        <w:rPr>
          <w:rFonts w:ascii="Times New Roman" w:eastAsia="Times New Roman"/>
          <w:spacing w:val="-14"/>
        </w:rPr>
        <w:t xml:space="preserve"> </w:t>
      </w:r>
      <w:r>
        <w:rPr>
          <w:spacing w:val="-8"/>
        </w:rPr>
        <w:t xml:space="preserve">亿人曾感染过 </w:t>
      </w:r>
      <w:r>
        <w:rPr>
          <w:rFonts w:ascii="Times New Roman" w:eastAsia="Times New Roman"/>
        </w:rPr>
        <w:t>HBV</w:t>
      </w:r>
      <w:r>
        <w:rPr>
          <w:spacing w:val="-14"/>
        </w:rPr>
        <w:t xml:space="preserve">，其中 </w:t>
      </w:r>
      <w:r>
        <w:rPr>
          <w:rFonts w:ascii="Times New Roman" w:eastAsia="Times New Roman"/>
        </w:rPr>
        <w:t>3.5</w:t>
      </w:r>
      <w:r>
        <w:rPr>
          <w:rFonts w:ascii="Times New Roman" w:eastAsia="Times New Roman"/>
          <w:spacing w:val="-11"/>
        </w:rPr>
        <w:t xml:space="preserve"> </w:t>
      </w:r>
      <w:r>
        <w:rPr>
          <w:spacing w:val="-9"/>
        </w:rPr>
        <w:t xml:space="preserve">亿人为慢性 </w:t>
      </w:r>
      <w:r>
        <w:rPr>
          <w:rFonts w:ascii="Times New Roman" w:eastAsia="Times New Roman"/>
        </w:rPr>
        <w:t>HBV</w:t>
      </w:r>
      <w:r>
        <w:rPr>
          <w:rFonts w:ascii="Times New Roman" w:eastAsia="Times New Roman"/>
          <w:spacing w:val="-3"/>
        </w:rPr>
        <w:t xml:space="preserve"> </w:t>
      </w:r>
      <w:r>
        <w:rPr>
          <w:spacing w:val="-6"/>
        </w:rPr>
        <w:t xml:space="preserve">感染者，每年约有 </w:t>
      </w:r>
      <w:r>
        <w:rPr>
          <w:rFonts w:ascii="Times New Roman" w:eastAsia="Times New Roman"/>
        </w:rPr>
        <w:t>100</w:t>
      </w:r>
      <w:r>
        <w:rPr>
          <w:rFonts w:ascii="Times New Roman" w:eastAsia="Times New Roman"/>
          <w:spacing w:val="-4"/>
        </w:rPr>
        <w:t xml:space="preserve"> </w:t>
      </w:r>
      <w:r>
        <w:t>万</w:t>
      </w:r>
      <w:r>
        <w:rPr>
          <w:spacing w:val="-5"/>
        </w:rPr>
        <w:t xml:space="preserve">人死于 </w:t>
      </w:r>
      <w:r>
        <w:rPr>
          <w:rFonts w:ascii="Times New Roman" w:eastAsia="Times New Roman"/>
        </w:rPr>
        <w:t xml:space="preserve">HBV </w:t>
      </w:r>
      <w:r>
        <w:t xml:space="preserve">感染所致的肝衰竭、肝硬化和原发性肝细胞癌 </w:t>
      </w:r>
      <w:r>
        <w:rPr>
          <w:rFonts w:ascii="Times New Roman" w:eastAsia="Times New Roman"/>
        </w:rPr>
        <w:t>(HCC)</w:t>
      </w:r>
      <w:r>
        <w:rPr>
          <w:rFonts w:ascii="Calibri" w:eastAsia="Calibri"/>
          <w:position w:val="6"/>
          <w:sz w:val="14"/>
        </w:rPr>
        <w:t>[13, 14]</w:t>
      </w:r>
      <w:r>
        <w:t>。</w:t>
      </w:r>
    </w:p>
    <w:p>
      <w:pPr>
        <w:spacing w:after="0" w:line="460" w:lineRule="atLeast"/>
        <w:sectPr>
          <w:footerReference w:type="default" r:id="rId4"/>
          <w:type w:val="continuous"/>
          <w:pgSz w:w="11910" w:h="16840"/>
          <w:pgMar w:top="1460" w:right="1500" w:bottom="1380" w:left="1640" w:header="0" w:footer="1189"/>
          <w:pgNumType w:start="1"/>
          <w:cols w:space="708"/>
        </w:sectPr>
      </w:pPr>
    </w:p>
    <w:p>
      <w:pPr>
        <w:pStyle w:val="BodyText"/>
        <w:spacing w:before="63"/>
        <w:ind w:left="580"/>
      </w:pPr>
      <w:r>
        <w:rPr>
          <w:rFonts w:ascii="Times New Roman" w:eastAsia="Times New Roman"/>
        </w:rPr>
        <w:t>2006</w:t>
      </w:r>
      <w:r>
        <w:rPr>
          <w:rFonts w:ascii="Times New Roman" w:eastAsia="Times New Roman"/>
          <w:spacing w:val="-26"/>
        </w:rPr>
        <w:t xml:space="preserve"> </w:t>
      </w:r>
      <w:r>
        <w:rPr>
          <w:spacing w:val="1"/>
        </w:rPr>
        <w:t>年全国乙型肝炎流行病学调查表明，我国</w:t>
      </w:r>
      <w:r>
        <w:rPr>
          <w:rFonts w:ascii="Times New Roman" w:eastAsia="Times New Roman"/>
        </w:rPr>
        <w:t>1-59</w:t>
      </w:r>
      <w:r>
        <w:rPr>
          <w:rFonts w:ascii="Times New Roman" w:eastAsia="Times New Roman"/>
          <w:spacing w:val="-26"/>
        </w:rPr>
        <w:t xml:space="preserve"> </w:t>
      </w:r>
      <w:r>
        <w:rPr>
          <w:spacing w:val="4"/>
        </w:rPr>
        <w:t>岁一般人群</w:t>
      </w:r>
      <w:r>
        <w:rPr>
          <w:rFonts w:ascii="Times New Roman" w:eastAsia="Times New Roman"/>
        </w:rPr>
        <w:t>HBsAg</w:t>
      </w:r>
      <w:r>
        <w:rPr>
          <w:rFonts w:ascii="Times New Roman" w:eastAsia="Times New Roman"/>
          <w:spacing w:val="-26"/>
        </w:rPr>
        <w:t xml:space="preserve"> </w:t>
      </w:r>
      <w:r>
        <w:rPr>
          <w:spacing w:val="6"/>
        </w:rPr>
        <w:t>携带率为</w:t>
      </w:r>
      <w:r>
        <w:rPr>
          <w:rFonts w:ascii="Times New Roman" w:eastAsia="Times New Roman"/>
          <w:spacing w:val="-2"/>
        </w:rPr>
        <w:t>7.18%</w:t>
      </w:r>
      <w:r>
        <w:rPr>
          <w:spacing w:val="-2"/>
        </w:rPr>
        <w:t>，</w:t>
      </w:r>
    </w:p>
    <w:p>
      <w:pPr>
        <w:pStyle w:val="BodyText"/>
        <w:spacing w:before="6"/>
        <w:ind w:left="0"/>
        <w:rPr>
          <w:sz w:val="15"/>
        </w:rPr>
      </w:pPr>
    </w:p>
    <w:p>
      <w:pPr>
        <w:pStyle w:val="BodyText"/>
        <w:spacing w:before="1" w:line="417" w:lineRule="auto"/>
        <w:ind w:right="298"/>
      </w:pPr>
      <w:r>
        <w:rPr>
          <w:rFonts w:ascii="Times New Roman" w:eastAsia="Times New Roman"/>
        </w:rPr>
        <w:t>5</w:t>
      </w:r>
      <w:r>
        <w:rPr>
          <w:rFonts w:ascii="Times New Roman" w:eastAsia="Times New Roman"/>
          <w:spacing w:val="-14"/>
        </w:rPr>
        <w:t xml:space="preserve"> </w:t>
      </w:r>
      <w:r>
        <w:rPr>
          <w:spacing w:val="-8"/>
        </w:rPr>
        <w:t xml:space="preserve">岁以下儿童的 </w:t>
      </w:r>
      <w:r>
        <w:rPr>
          <w:rFonts w:ascii="Times New Roman" w:eastAsia="Times New Roman"/>
        </w:rPr>
        <w:t>HBsAg</w:t>
      </w:r>
      <w:r>
        <w:rPr>
          <w:rFonts w:ascii="Times New Roman" w:eastAsia="Times New Roman"/>
          <w:spacing w:val="-8"/>
        </w:rPr>
        <w:t xml:space="preserve"> </w:t>
      </w:r>
      <w:r>
        <w:rPr>
          <w:spacing w:val="-18"/>
        </w:rPr>
        <w:t xml:space="preserve">仅为 </w:t>
      </w:r>
      <w:r>
        <w:rPr>
          <w:rFonts w:ascii="Times New Roman" w:eastAsia="Times New Roman"/>
        </w:rPr>
        <w:t>0.96%</w:t>
      </w:r>
      <w:r>
        <w:rPr>
          <w:rFonts w:ascii="Calibri" w:eastAsia="Calibri"/>
          <w:position w:val="6"/>
          <w:sz w:val="14"/>
        </w:rPr>
        <w:t>[15,</w:t>
      </w:r>
      <w:r>
        <w:rPr>
          <w:rFonts w:ascii="Calibri" w:eastAsia="Calibri"/>
          <w:spacing w:val="-2"/>
          <w:position w:val="6"/>
          <w:sz w:val="14"/>
        </w:rPr>
        <w:t xml:space="preserve"> </w:t>
      </w:r>
      <w:r>
        <w:rPr>
          <w:rFonts w:ascii="Calibri" w:eastAsia="Calibri"/>
          <w:position w:val="6"/>
          <w:sz w:val="14"/>
        </w:rPr>
        <w:t>16]</w:t>
      </w:r>
      <w:r>
        <w:rPr>
          <w:spacing w:val="-18"/>
        </w:rPr>
        <w:t xml:space="preserve">。据此推算，我国现有的慢性 </w:t>
      </w:r>
      <w:r>
        <w:rPr>
          <w:rFonts w:ascii="Times New Roman" w:eastAsia="Times New Roman"/>
        </w:rPr>
        <w:t>HBV</w:t>
      </w:r>
      <w:r>
        <w:rPr>
          <w:rFonts w:ascii="Times New Roman" w:eastAsia="Times New Roman"/>
          <w:spacing w:val="-5"/>
        </w:rPr>
        <w:t xml:space="preserve"> </w:t>
      </w:r>
      <w:r>
        <w:rPr>
          <w:spacing w:val="-11"/>
        </w:rPr>
        <w:t xml:space="preserve">感染者约 </w:t>
      </w:r>
      <w:r>
        <w:rPr>
          <w:rFonts w:ascii="Times New Roman" w:eastAsia="Times New Roman"/>
        </w:rPr>
        <w:t>9300</w:t>
      </w:r>
      <w:r>
        <w:rPr>
          <w:rFonts w:ascii="Times New Roman" w:eastAsia="Times New Roman"/>
          <w:spacing w:val="-4"/>
        </w:rPr>
        <w:t xml:space="preserve"> </w:t>
      </w:r>
      <w:r>
        <w:t>万</w:t>
      </w:r>
      <w:r>
        <w:rPr>
          <w:spacing w:val="-2"/>
        </w:rPr>
        <w:t xml:space="preserve">人，其中慢性乙型肝炎患者约 </w:t>
      </w:r>
      <w:r>
        <w:rPr>
          <w:rFonts w:ascii="Times New Roman" w:eastAsia="Times New Roman"/>
        </w:rPr>
        <w:t xml:space="preserve">2000 </w:t>
      </w:r>
      <w:r>
        <w:t>万例</w:t>
      </w:r>
      <w:r>
        <w:rPr>
          <w:rFonts w:ascii="Calibri" w:eastAsia="Calibri"/>
          <w:vertAlign w:val="superscript"/>
        </w:rPr>
        <w:t>[1</w:t>
      </w:r>
      <w:r>
        <w:rPr>
          <w:rFonts w:ascii="Calibri" w:eastAsia="Calibri"/>
          <w:vertAlign w:val="superscript"/>
        </w:rPr>
        <w:t>7]</w:t>
      </w:r>
      <w:r>
        <w:rPr>
          <w:vertAlign w:val="baseline"/>
        </w:rPr>
        <w:t>。</w:t>
      </w:r>
    </w:p>
    <w:p>
      <w:pPr>
        <w:pStyle w:val="BodyText"/>
        <w:spacing w:line="410" w:lineRule="auto"/>
        <w:ind w:right="323" w:firstLine="420"/>
      </w:pPr>
      <w:r>
        <w:rPr>
          <w:rFonts w:ascii="Times New Roman" w:eastAsia="Times New Roman" w:hAnsi="Times New Roman"/>
          <w:spacing w:val="-2"/>
        </w:rPr>
        <w:t>HBV</w:t>
      </w:r>
      <w:r>
        <w:rPr>
          <w:spacing w:val="-2"/>
        </w:rPr>
        <w:t>是血源传播性疾病，主要经血（如不安全注射等</w:t>
      </w:r>
      <w:r>
        <w:rPr>
          <w:spacing w:val="-105"/>
        </w:rPr>
        <w:t>）</w:t>
      </w:r>
      <w:r>
        <w:rPr>
          <w:spacing w:val="-2"/>
        </w:rPr>
        <w:t>、母婴及性接触传播</w:t>
      </w:r>
      <w:r>
        <w:rPr>
          <w:rFonts w:ascii="Calibri" w:eastAsia="Calibri" w:hAnsi="Calibri"/>
          <w:spacing w:val="-2"/>
          <w:vertAlign w:val="superscript"/>
        </w:rPr>
        <w:t>[14]</w:t>
      </w:r>
      <w:r>
        <w:rPr>
          <w:spacing w:val="-2"/>
          <w:vertAlign w:val="baseline"/>
        </w:rPr>
        <w:t>。由于对</w:t>
      </w:r>
      <w:r>
        <w:rPr>
          <w:spacing w:val="-2"/>
          <w:vertAlign w:val="baseline"/>
        </w:rPr>
        <w:t>献血员实施严格的</w:t>
      </w:r>
      <w:r>
        <w:rPr>
          <w:rFonts w:ascii="Times New Roman" w:eastAsia="Times New Roman" w:hAnsi="Times New Roman"/>
          <w:spacing w:val="-2"/>
          <w:vertAlign w:val="baseline"/>
        </w:rPr>
        <w:t>HBsAg</w:t>
      </w:r>
      <w:r>
        <w:rPr>
          <w:spacing w:val="-2"/>
          <w:vertAlign w:val="baseline"/>
        </w:rPr>
        <w:t>筛查，经输血或血液制品引起的</w:t>
      </w:r>
      <w:r>
        <w:rPr>
          <w:rFonts w:ascii="Times New Roman" w:eastAsia="Times New Roman" w:hAnsi="Times New Roman"/>
          <w:spacing w:val="-2"/>
          <w:vertAlign w:val="baseline"/>
        </w:rPr>
        <w:t>HBV</w:t>
      </w:r>
      <w:r>
        <w:rPr>
          <w:spacing w:val="-2"/>
          <w:vertAlign w:val="baseline"/>
        </w:rPr>
        <w:t>感染已较少发生；经破损的</w:t>
      </w:r>
      <w:r>
        <w:rPr>
          <w:spacing w:val="-2"/>
          <w:vertAlign w:val="baseline"/>
        </w:rPr>
        <w:t>皮肤粘膜传播主要是由于使用未经严格消毒的医疗器械、侵入性诊疗操作和手术，不安全</w:t>
      </w:r>
      <w:r>
        <w:rPr>
          <w:spacing w:val="-2"/>
          <w:vertAlign w:val="baseline"/>
        </w:rPr>
        <w:t>注射特别是注射毒品等；其他如修足、纹身、扎耳环孔、医务人员工作中的意外暴露、共</w:t>
      </w:r>
      <w:r>
        <w:rPr>
          <w:spacing w:val="-2"/>
          <w:vertAlign w:val="baseline"/>
        </w:rPr>
        <w:t xml:space="preserve">用剃须刀和牙刷等也可传播 </w:t>
      </w:r>
      <w:r>
        <w:rPr>
          <w:rFonts w:ascii="Times New Roman" w:eastAsia="Times New Roman" w:hAnsi="Times New Roman"/>
          <w:vertAlign w:val="baseline"/>
        </w:rPr>
        <w:t>(</w:t>
      </w:r>
      <w:r>
        <w:rPr>
          <w:sz w:val="22"/>
          <w:vertAlign w:val="baseline"/>
        </w:rPr>
        <w:t>Ⅲ</w:t>
      </w:r>
      <w:r>
        <w:rPr>
          <w:rFonts w:ascii="Times New Roman" w:eastAsia="Times New Roman" w:hAnsi="Times New Roman"/>
          <w:vertAlign w:val="baseline"/>
        </w:rPr>
        <w:t>)</w:t>
      </w:r>
      <w:r>
        <w:rPr>
          <w:vertAlign w:val="baseline"/>
        </w:rPr>
        <w:t>。母婴传播主要发生在围</w:t>
      </w:r>
      <w:r>
        <w:rPr>
          <w:rFonts w:ascii="Times New Roman" w:eastAsia="Times New Roman" w:hAnsi="Times New Roman"/>
          <w:spacing w:val="-68"/>
          <w:vertAlign w:val="baseline"/>
        </w:rPr>
        <w:t>(</w:t>
      </w:r>
      <w:r>
        <w:rPr>
          <w:spacing w:val="-72"/>
          <w:vertAlign w:val="baseline"/>
        </w:rPr>
        <w:t>生产</w:t>
      </w:r>
      <w:r>
        <w:rPr>
          <w:rFonts w:ascii="Times New Roman" w:eastAsia="Times New Roman" w:hAnsi="Times New Roman"/>
          <w:spacing w:val="14"/>
          <w:vertAlign w:val="baseline"/>
        </w:rPr>
        <w:t xml:space="preserve">) </w:t>
      </w:r>
      <w:r>
        <w:rPr>
          <w:vertAlign w:val="baseline"/>
        </w:rPr>
        <w:t>期，多为在分娩时接触</w:t>
      </w:r>
      <w:r>
        <w:rPr>
          <w:rFonts w:ascii="Times New Roman" w:eastAsia="Times New Roman" w:hAnsi="Times New Roman"/>
          <w:vertAlign w:val="baseline"/>
        </w:rPr>
        <w:t>HB</w:t>
      </w:r>
      <w:r>
        <w:rPr>
          <w:rFonts w:ascii="Times New Roman" w:eastAsia="Times New Roman" w:hAnsi="Times New Roman"/>
          <w:vertAlign w:val="baseline"/>
        </w:rPr>
        <w:t>V</w:t>
      </w:r>
      <w:r>
        <w:rPr>
          <w:vertAlign w:val="baseline"/>
        </w:rPr>
        <w:t xml:space="preserve">阳性母亲的血液和体液传播 </w:t>
      </w:r>
      <w:r>
        <w:rPr>
          <w:rFonts w:ascii="Times New Roman" w:eastAsia="Times New Roman" w:hAnsi="Times New Roman"/>
          <w:vertAlign w:val="baseline"/>
        </w:rPr>
        <w:t>(</w:t>
      </w:r>
      <w:r>
        <w:rPr>
          <w:sz w:val="22"/>
          <w:vertAlign w:val="baseline"/>
        </w:rPr>
        <w:t>Ⅰ</w:t>
      </w:r>
      <w:r>
        <w:rPr>
          <w:rFonts w:ascii="Times New Roman" w:eastAsia="Times New Roman" w:hAnsi="Times New Roman"/>
          <w:i/>
          <w:vertAlign w:val="baseline"/>
        </w:rPr>
        <w:t>)</w:t>
      </w:r>
      <w:r>
        <w:rPr>
          <w:vertAlign w:val="baseline"/>
        </w:rPr>
        <w:t>，随着乙肝疫苗联合乙型肝炎免疫球蛋白的应用，母婴传</w:t>
      </w:r>
      <w:r>
        <w:rPr>
          <w:spacing w:val="-2"/>
          <w:vertAlign w:val="baseline"/>
        </w:rPr>
        <w:t>播已大为减少</w:t>
      </w:r>
      <w:r>
        <w:rPr>
          <w:rFonts w:ascii="Calibri" w:eastAsia="Calibri" w:hAnsi="Calibri"/>
          <w:spacing w:val="-2"/>
          <w:vertAlign w:val="superscript"/>
        </w:rPr>
        <w:t>[18]</w:t>
      </w:r>
      <w:r>
        <w:rPr>
          <w:spacing w:val="-2"/>
          <w:vertAlign w:val="baseline"/>
        </w:rPr>
        <w:t>。与</w:t>
      </w:r>
      <w:r>
        <w:rPr>
          <w:rFonts w:ascii="Times New Roman" w:eastAsia="Times New Roman" w:hAnsi="Times New Roman"/>
          <w:spacing w:val="-2"/>
          <w:vertAlign w:val="baseline"/>
        </w:rPr>
        <w:t>HBV</w:t>
      </w:r>
      <w:r>
        <w:rPr>
          <w:spacing w:val="-2"/>
          <w:vertAlign w:val="baseline"/>
        </w:rPr>
        <w:t>阳性者发生无防护的性接触，特别是有多个性伴侣者，其感染</w:t>
      </w:r>
      <w:r>
        <w:rPr>
          <w:spacing w:val="-2"/>
          <w:vertAlign w:val="baseline"/>
        </w:rPr>
        <w:t xml:space="preserve"> </w:t>
      </w:r>
      <w:r>
        <w:rPr>
          <w:rFonts w:ascii="Times New Roman" w:eastAsia="Times New Roman" w:hAnsi="Times New Roman"/>
          <w:vertAlign w:val="baseline"/>
        </w:rPr>
        <w:t>HBV</w:t>
      </w:r>
      <w:r>
        <w:rPr>
          <w:vertAlign w:val="baseline"/>
        </w:rPr>
        <w:t xml:space="preserve">的危险性增高 </w:t>
      </w:r>
      <w:r>
        <w:rPr>
          <w:rFonts w:ascii="Times New Roman" w:eastAsia="Times New Roman" w:hAnsi="Times New Roman"/>
          <w:vertAlign w:val="baseline"/>
        </w:rPr>
        <w:t>(</w:t>
      </w:r>
      <w:r>
        <w:rPr>
          <w:sz w:val="22"/>
          <w:vertAlign w:val="baseline"/>
        </w:rPr>
        <w:t>Ⅰ</w:t>
      </w:r>
      <w:r>
        <w:rPr>
          <w:rFonts w:ascii="Times New Roman" w:eastAsia="Times New Roman" w:hAnsi="Times New Roman"/>
          <w:vertAlign w:val="baseline"/>
        </w:rPr>
        <w:t>)</w:t>
      </w:r>
      <w:r>
        <w:rPr>
          <w:vertAlign w:val="baseline"/>
        </w:rPr>
        <w:t>。</w:t>
      </w:r>
    </w:p>
    <w:p>
      <w:pPr>
        <w:pStyle w:val="BodyText"/>
        <w:spacing w:line="417" w:lineRule="auto"/>
        <w:ind w:right="218" w:firstLine="420"/>
      </w:pPr>
      <w:r>
        <w:rPr>
          <w:rFonts w:ascii="Times New Roman" w:eastAsia="Times New Roman"/>
          <w:spacing w:val="-2"/>
        </w:rPr>
        <w:t>HBV</w:t>
      </w:r>
      <w:r>
        <w:rPr>
          <w:spacing w:val="-2"/>
        </w:rPr>
        <w:t>不经呼吸道和消化道传播，因此日常学习、工作或生活接触，如同一办公室工作</w:t>
      </w:r>
      <w:r>
        <w:rPr>
          <w:spacing w:val="80"/>
          <w:w w:val="150"/>
        </w:rPr>
        <w:t xml:space="preserve"> </w:t>
      </w:r>
      <w:r>
        <w:rPr>
          <w:rFonts w:ascii="Times New Roman" w:eastAsia="Times New Roman"/>
          <w:spacing w:val="-2"/>
        </w:rPr>
        <w:t>(</w:t>
      </w:r>
      <w:r>
        <w:rPr>
          <w:spacing w:val="-2"/>
        </w:rPr>
        <w:t>包括共用计算机等办公用品</w:t>
      </w:r>
      <w:r>
        <w:rPr>
          <w:rFonts w:ascii="Times New Roman" w:eastAsia="Times New Roman"/>
          <w:spacing w:val="-2"/>
        </w:rPr>
        <w:t>)</w:t>
      </w:r>
      <w:r>
        <w:rPr>
          <w:spacing w:val="-2"/>
        </w:rPr>
        <w:t>、握手、拥抱、同住一宿舍、同一餐厅用餐和共用厕所等无血</w:t>
      </w:r>
      <w:r>
        <w:rPr>
          <w:spacing w:val="-2"/>
        </w:rPr>
        <w:t>液暴露的接触，一般不会传染</w:t>
      </w:r>
      <w:r>
        <w:rPr>
          <w:rFonts w:ascii="Times New Roman" w:eastAsia="Times New Roman"/>
          <w:spacing w:val="-2"/>
        </w:rPr>
        <w:t>HBV</w:t>
      </w:r>
      <w:r>
        <w:rPr>
          <w:spacing w:val="-2"/>
        </w:rPr>
        <w:t>。流行病学和实验研究亦未发现</w:t>
      </w:r>
      <w:r>
        <w:rPr>
          <w:rFonts w:ascii="Times New Roman" w:eastAsia="Times New Roman"/>
          <w:spacing w:val="-2"/>
        </w:rPr>
        <w:t>HBV</w:t>
      </w:r>
      <w:r>
        <w:rPr>
          <w:spacing w:val="-2"/>
        </w:rPr>
        <w:t xml:space="preserve">能经吸血昆虫 </w:t>
      </w:r>
      <w:r>
        <w:rPr>
          <w:rFonts w:ascii="Times New Roman" w:eastAsia="Times New Roman"/>
          <w:spacing w:val="-2"/>
        </w:rPr>
        <w:t>(</w:t>
      </w:r>
      <w:r>
        <w:rPr>
          <w:spacing w:val="-2"/>
        </w:rPr>
        <w:t>蚊、</w:t>
      </w:r>
      <w:r>
        <w:t>臭虫等</w:t>
      </w:r>
      <w:r>
        <w:rPr>
          <w:rFonts w:ascii="Times New Roman" w:eastAsia="Times New Roman"/>
          <w:spacing w:val="20"/>
        </w:rPr>
        <w:t xml:space="preserve">) </w:t>
      </w:r>
      <w:r>
        <w:t>传播</w:t>
      </w:r>
      <w:r>
        <w:rPr>
          <w:rFonts w:ascii="Calibri" w:eastAsia="Calibri"/>
          <w:vertAlign w:val="superscript"/>
        </w:rPr>
        <w:t>[19]</w:t>
      </w:r>
      <w:r>
        <w:rPr>
          <w:rFonts w:ascii="Calibri" w:eastAsia="Calibri"/>
          <w:spacing w:val="40"/>
          <w:vertAlign w:val="baseline"/>
        </w:rPr>
        <w:t xml:space="preserve"> </w:t>
      </w:r>
      <w:r>
        <w:rPr>
          <w:vertAlign w:val="baseline"/>
        </w:rPr>
        <w:t>。</w:t>
      </w:r>
    </w:p>
    <w:p>
      <w:pPr>
        <w:pStyle w:val="Heading1"/>
        <w:spacing w:before="83"/>
      </w:pPr>
      <w:r>
        <w:t>三</w:t>
      </w:r>
      <w:r>
        <w:rPr>
          <w:rFonts w:ascii="宋体" w:eastAsia="宋体"/>
          <w:b w:val="0"/>
        </w:rPr>
        <w:t>、</w:t>
      </w:r>
      <w:r>
        <w:rPr>
          <w:spacing w:val="-4"/>
        </w:rPr>
        <w:t>自然史</w:t>
      </w:r>
    </w:p>
    <w:p>
      <w:pPr>
        <w:pStyle w:val="BodyText"/>
        <w:spacing w:before="151" w:line="415" w:lineRule="auto"/>
        <w:ind w:right="297" w:firstLine="420"/>
      </w:pPr>
      <w:r>
        <w:t xml:space="preserve">感染时的年龄是影响慢性化的最主要因素。在围生 </w:t>
      </w:r>
      <w:r>
        <w:rPr>
          <w:rFonts w:ascii="Times New Roman" w:eastAsia="Times New Roman" w:hAnsi="Times New Roman"/>
        </w:rPr>
        <w:t>(</w:t>
      </w:r>
      <w:r>
        <w:t>产</w:t>
      </w:r>
      <w:r>
        <w:rPr>
          <w:rFonts w:ascii="Times New Roman" w:eastAsia="Times New Roman" w:hAnsi="Times New Roman"/>
          <w:spacing w:val="20"/>
        </w:rPr>
        <w:t xml:space="preserve">) </w:t>
      </w:r>
      <w:r>
        <w:rPr>
          <w:spacing w:val="-5"/>
        </w:rPr>
        <w:t xml:space="preserve">期和婴幼儿时期感染 </w:t>
      </w:r>
      <w:r>
        <w:rPr>
          <w:rFonts w:ascii="Times New Roman" w:eastAsia="Times New Roman" w:hAnsi="Times New Roman"/>
        </w:rPr>
        <w:t xml:space="preserve">HBV </w:t>
      </w:r>
      <w:r>
        <w:t>者</w:t>
      </w:r>
      <w:r>
        <w:rPr>
          <w:spacing w:val="-11"/>
        </w:rPr>
        <w:t xml:space="preserve">中，分别有 </w:t>
      </w:r>
      <w:r>
        <w:rPr>
          <w:rFonts w:ascii="Times New Roman" w:eastAsia="Times New Roman" w:hAnsi="Times New Roman"/>
          <w:spacing w:val="-2"/>
        </w:rPr>
        <w:t>90%</w:t>
      </w:r>
      <w:r>
        <w:rPr>
          <w:spacing w:val="-28"/>
        </w:rPr>
        <w:t xml:space="preserve">和 </w:t>
      </w:r>
      <w:r>
        <w:rPr>
          <w:rFonts w:ascii="Times New Roman" w:eastAsia="Times New Roman" w:hAnsi="Times New Roman"/>
          <w:spacing w:val="-2"/>
        </w:rPr>
        <w:t>25%~30%</w:t>
      </w:r>
      <w:r>
        <w:rPr>
          <w:spacing w:val="-7"/>
        </w:rPr>
        <w:t xml:space="preserve">将发展成慢性感染，而 </w:t>
      </w:r>
      <w:r>
        <w:rPr>
          <w:rFonts w:ascii="Times New Roman" w:eastAsia="Times New Roman" w:hAnsi="Times New Roman"/>
          <w:spacing w:val="-2"/>
        </w:rPr>
        <w:t xml:space="preserve">5 </w:t>
      </w:r>
      <w:r>
        <w:rPr>
          <w:spacing w:val="-8"/>
        </w:rPr>
        <w:t xml:space="preserve">岁以后感染者仅有 </w:t>
      </w:r>
      <w:r>
        <w:rPr>
          <w:rFonts w:ascii="Times New Roman" w:eastAsia="Times New Roman" w:hAnsi="Times New Roman"/>
          <w:spacing w:val="-2"/>
        </w:rPr>
        <w:t>5~10</w:t>
      </w:r>
      <w:r>
        <w:rPr>
          <w:spacing w:val="-2"/>
        </w:rPr>
        <w:t>％发展为慢性</w:t>
      </w:r>
      <w:r>
        <w:t>感染</w:t>
      </w:r>
      <w:r>
        <w:rPr>
          <w:rFonts w:ascii="Calibri" w:eastAsia="Calibri" w:hAnsi="Calibri"/>
          <w:vertAlign w:val="superscript"/>
        </w:rPr>
        <w:t>[20]</w:t>
      </w:r>
      <w:r>
        <w:rPr>
          <w:rFonts w:ascii="Calibri" w:eastAsia="Calibri" w:hAnsi="Calibri"/>
          <w:spacing w:val="-12"/>
          <w:vertAlign w:val="baseline"/>
        </w:rPr>
        <w:t xml:space="preserve"> </w:t>
      </w:r>
      <w:r>
        <w:rPr>
          <w:rFonts w:ascii="Times New Roman" w:eastAsia="Times New Roman" w:hAnsi="Times New Roman"/>
          <w:vertAlign w:val="baseline"/>
        </w:rPr>
        <w:t>(</w:t>
      </w:r>
      <w:r>
        <w:rPr>
          <w:sz w:val="22"/>
          <w:vertAlign w:val="baseline"/>
        </w:rPr>
        <w:t>Ⅰ</w:t>
      </w:r>
      <w:r>
        <w:rPr>
          <w:rFonts w:ascii="Times New Roman" w:eastAsia="Times New Roman" w:hAnsi="Times New Roman"/>
          <w:vertAlign w:val="baseline"/>
        </w:rPr>
        <w:t>)</w:t>
      </w:r>
      <w:r>
        <w:rPr>
          <w:spacing w:val="-9"/>
          <w:vertAlign w:val="baseline"/>
        </w:rPr>
        <w:t xml:space="preserve">。婴幼儿期 </w:t>
      </w:r>
      <w:r>
        <w:rPr>
          <w:rFonts w:ascii="Times New Roman" w:eastAsia="Times New Roman" w:hAnsi="Times New Roman"/>
          <w:vertAlign w:val="baseline"/>
        </w:rPr>
        <w:t>HBV</w:t>
      </w:r>
      <w:r>
        <w:rPr>
          <w:rFonts w:ascii="Times New Roman" w:eastAsia="Times New Roman" w:hAnsi="Times New Roman"/>
          <w:spacing w:val="-13"/>
          <w:vertAlign w:val="baseline"/>
        </w:rPr>
        <w:t xml:space="preserve"> </w:t>
      </w:r>
      <w:r>
        <w:rPr>
          <w:spacing w:val="-4"/>
          <w:vertAlign w:val="baseline"/>
        </w:rPr>
        <w:t xml:space="preserve">感染的自然史一般可人为地划分为 </w:t>
      </w:r>
      <w:r>
        <w:rPr>
          <w:rFonts w:ascii="Times New Roman" w:eastAsia="Times New Roman" w:hAnsi="Times New Roman"/>
          <w:vertAlign w:val="baseline"/>
        </w:rPr>
        <w:t>4</w:t>
      </w:r>
      <w:r>
        <w:rPr>
          <w:rFonts w:ascii="Times New Roman" w:eastAsia="Times New Roman" w:hAnsi="Times New Roman"/>
          <w:spacing w:val="-14"/>
          <w:vertAlign w:val="baseline"/>
        </w:rPr>
        <w:t xml:space="preserve"> </w:t>
      </w:r>
      <w:r>
        <w:rPr>
          <w:vertAlign w:val="baseline"/>
        </w:rPr>
        <w:t>个期，即免疫耐受期、免</w:t>
      </w:r>
      <w:r>
        <w:rPr>
          <w:vertAlign w:val="baseline"/>
        </w:rPr>
        <w:t>疫清除期、非活动或低（非）复制期和再活动期</w:t>
      </w:r>
      <w:r>
        <w:rPr>
          <w:rFonts w:ascii="Times New Roman" w:eastAsia="Times New Roman" w:hAnsi="Times New Roman"/>
          <w:vertAlign w:val="superscript"/>
        </w:rPr>
        <w:t>[</w:t>
      </w:r>
      <w:r>
        <w:rPr>
          <w:rFonts w:ascii="Calibri" w:eastAsia="Calibri" w:hAnsi="Calibri"/>
          <w:vertAlign w:val="superscript"/>
        </w:rPr>
        <w:t>[21]</w:t>
      </w:r>
      <w:r>
        <w:rPr>
          <w:spacing w:val="-3"/>
          <w:vertAlign w:val="baseline"/>
        </w:rPr>
        <w:t xml:space="preserve">。免疫耐受期：其特点是血清 </w:t>
      </w:r>
      <w:r>
        <w:rPr>
          <w:rFonts w:ascii="Times New Roman" w:eastAsia="Times New Roman" w:hAnsi="Times New Roman"/>
          <w:vertAlign w:val="baseline"/>
        </w:rPr>
        <w:t xml:space="preserve">HBsAg </w:t>
      </w:r>
      <w:r>
        <w:rPr>
          <w:spacing w:val="-27"/>
          <w:vertAlign w:val="baseline"/>
        </w:rPr>
        <w:t xml:space="preserve">和 </w:t>
      </w:r>
      <w:r>
        <w:rPr>
          <w:rFonts w:ascii="Times New Roman" w:eastAsia="Times New Roman" w:hAnsi="Times New Roman"/>
          <w:vertAlign w:val="baseline"/>
        </w:rPr>
        <w:t>HBeAg</w:t>
      </w:r>
      <w:r>
        <w:rPr>
          <w:rFonts w:ascii="Times New Roman" w:eastAsia="Times New Roman" w:hAnsi="Times New Roman"/>
          <w:spacing w:val="-6"/>
          <w:vertAlign w:val="baseline"/>
        </w:rPr>
        <w:t xml:space="preserve"> </w:t>
      </w:r>
      <w:r>
        <w:rPr>
          <w:spacing w:val="-1"/>
          <w:vertAlign w:val="baseline"/>
        </w:rPr>
        <w:t xml:space="preserve">阳性， </w:t>
      </w:r>
      <w:r>
        <w:rPr>
          <w:rFonts w:ascii="Times New Roman" w:eastAsia="Times New Roman" w:hAnsi="Times New Roman"/>
          <w:vertAlign w:val="baseline"/>
        </w:rPr>
        <w:t>HBV</w:t>
      </w:r>
      <w:r>
        <w:rPr>
          <w:rFonts w:ascii="Times New Roman" w:eastAsia="Times New Roman" w:hAnsi="Times New Roman"/>
          <w:spacing w:val="-3"/>
          <w:vertAlign w:val="baseline"/>
        </w:rPr>
        <w:t xml:space="preserve"> </w:t>
      </w:r>
      <w:r>
        <w:rPr>
          <w:rFonts w:ascii="Times New Roman" w:eastAsia="Times New Roman" w:hAnsi="Times New Roman"/>
          <w:vertAlign w:val="baseline"/>
        </w:rPr>
        <w:t>DNA</w:t>
      </w:r>
      <w:r>
        <w:rPr>
          <w:rFonts w:ascii="Times New Roman" w:eastAsia="Times New Roman" w:hAnsi="Times New Roman"/>
          <w:spacing w:val="-3"/>
          <w:vertAlign w:val="baseline"/>
        </w:rPr>
        <w:t xml:space="preserve"> </w:t>
      </w:r>
      <w:r>
        <w:rPr>
          <w:spacing w:val="-1"/>
          <w:vertAlign w:val="baseline"/>
        </w:rPr>
        <w:t xml:space="preserve">载量高 </w:t>
      </w:r>
      <w:r>
        <w:rPr>
          <w:rFonts w:ascii="Times New Roman" w:eastAsia="Times New Roman" w:hAnsi="Times New Roman"/>
          <w:spacing w:val="20"/>
          <w:vertAlign w:val="baseline"/>
        </w:rPr>
        <w:t xml:space="preserve">( </w:t>
      </w:r>
      <w:r>
        <w:rPr>
          <w:spacing w:val="-2"/>
          <w:vertAlign w:val="baseline"/>
        </w:rPr>
        <w:t xml:space="preserve">常常 </w:t>
      </w:r>
      <w:r>
        <w:rPr>
          <w:rFonts w:ascii="Times New Roman" w:eastAsia="Times New Roman" w:hAnsi="Times New Roman"/>
          <w:spacing w:val="-1"/>
          <w:vertAlign w:val="baseline"/>
        </w:rPr>
        <w:t xml:space="preserve">&gt; </w:t>
      </w:r>
      <w:r>
        <w:rPr>
          <w:rFonts w:ascii="Times New Roman" w:eastAsia="Times New Roman" w:hAnsi="Times New Roman"/>
          <w:vertAlign w:val="baseline"/>
        </w:rPr>
        <w:t>10</w:t>
      </w:r>
      <w:r>
        <w:rPr>
          <w:rFonts w:ascii="Times New Roman" w:eastAsia="Times New Roman" w:hAnsi="Times New Roman"/>
          <w:position w:val="6"/>
          <w:sz w:val="14"/>
          <w:vertAlign w:val="baseline"/>
        </w:rPr>
        <w:t>6</w:t>
      </w:r>
      <w:r>
        <w:rPr>
          <w:rFonts w:ascii="Times New Roman" w:eastAsia="Times New Roman" w:hAnsi="Times New Roman"/>
          <w:spacing w:val="15"/>
          <w:position w:val="6"/>
          <w:sz w:val="14"/>
          <w:vertAlign w:val="baseline"/>
        </w:rPr>
        <w:t xml:space="preserve"> </w:t>
      </w:r>
      <w:r>
        <w:rPr>
          <w:rFonts w:ascii="Times New Roman" w:eastAsia="Times New Roman" w:hAnsi="Times New Roman"/>
          <w:vertAlign w:val="baseline"/>
        </w:rPr>
        <w:t>IU/mL</w:t>
      </w:r>
      <w:r>
        <w:rPr>
          <w:spacing w:val="-11"/>
          <w:vertAlign w:val="baseline"/>
        </w:rPr>
        <w:t xml:space="preserve">，相当于 </w:t>
      </w:r>
      <w:r>
        <w:rPr>
          <w:rFonts w:ascii="Times New Roman" w:eastAsia="Times New Roman" w:hAnsi="Times New Roman"/>
          <w:vertAlign w:val="baseline"/>
        </w:rPr>
        <w:t>10</w:t>
      </w:r>
      <w:r>
        <w:rPr>
          <w:rFonts w:ascii="Times New Roman" w:eastAsia="Times New Roman" w:hAnsi="Times New Roman"/>
          <w:position w:val="6"/>
          <w:sz w:val="14"/>
          <w:vertAlign w:val="baseline"/>
        </w:rPr>
        <w:t>7</w:t>
      </w:r>
      <w:r>
        <w:rPr>
          <w:rFonts w:ascii="Times New Roman" w:eastAsia="Times New Roman" w:hAnsi="Times New Roman"/>
          <w:spacing w:val="-2"/>
          <w:position w:val="6"/>
          <w:sz w:val="14"/>
          <w:vertAlign w:val="baseline"/>
        </w:rPr>
        <w:t xml:space="preserve"> </w:t>
      </w:r>
      <w:r>
        <w:rPr>
          <w:vertAlign w:val="baseline"/>
        </w:rPr>
        <w:t>拷贝</w:t>
      </w:r>
      <w:r>
        <w:rPr>
          <w:rFonts w:ascii="Times New Roman" w:eastAsia="Times New Roman" w:hAnsi="Times New Roman"/>
          <w:vertAlign w:val="baseline"/>
        </w:rPr>
        <w:t>/mL)</w:t>
      </w:r>
      <w:r>
        <w:rPr>
          <w:vertAlign w:val="baseline"/>
        </w:rPr>
        <w:t>，但血清丙</w:t>
      </w:r>
      <w:r>
        <w:rPr>
          <w:spacing w:val="-4"/>
          <w:vertAlign w:val="baseline"/>
        </w:rPr>
        <w:t xml:space="preserve">氨酸氨基转移酶 </w:t>
      </w:r>
      <w:r>
        <w:rPr>
          <w:rFonts w:ascii="Times New Roman" w:eastAsia="Times New Roman" w:hAnsi="Times New Roman"/>
          <w:vertAlign w:val="baseline"/>
        </w:rPr>
        <w:t>(ALT)</w:t>
      </w:r>
      <w:r>
        <w:rPr>
          <w:rFonts w:ascii="Times New Roman" w:eastAsia="Times New Roman" w:hAnsi="Times New Roman"/>
          <w:spacing w:val="16"/>
          <w:vertAlign w:val="baseline"/>
        </w:rPr>
        <w:t xml:space="preserve"> </w:t>
      </w:r>
      <w:r>
        <w:rPr>
          <w:vertAlign w:val="baseline"/>
        </w:rPr>
        <w:t>水平正常，肝组织学无明显异常并可维持数年甚至数十年</w:t>
      </w:r>
      <w:r>
        <w:rPr>
          <w:rFonts w:ascii="Calibri" w:eastAsia="Calibri" w:hAnsi="Calibri"/>
          <w:vertAlign w:val="superscript"/>
        </w:rPr>
        <w:t>[22]</w:t>
      </w:r>
      <w:r>
        <w:rPr>
          <w:vertAlign w:val="baseline"/>
        </w:rPr>
        <w:t>，或轻</w:t>
      </w:r>
      <w:r>
        <w:rPr>
          <w:spacing w:val="-2"/>
          <w:vertAlign w:val="baseline"/>
        </w:rPr>
        <w:t xml:space="preserve">度炎症坏死、无或仅有缓慢肝纤维化的进展。免疫清除期：表现为血清 </w:t>
      </w:r>
      <w:r>
        <w:rPr>
          <w:rFonts w:ascii="Times New Roman" w:eastAsia="Times New Roman" w:hAnsi="Times New Roman"/>
          <w:vertAlign w:val="baseline"/>
        </w:rPr>
        <w:t xml:space="preserve">HBV DNA </w:t>
      </w:r>
      <w:r>
        <w:rPr>
          <w:vertAlign w:val="baseline"/>
        </w:rPr>
        <w:t xml:space="preserve">滴度 </w:t>
      </w:r>
      <w:r>
        <w:rPr>
          <w:rFonts w:ascii="Times New Roman" w:eastAsia="Times New Roman" w:hAnsi="Times New Roman"/>
          <w:vertAlign w:val="baseline"/>
        </w:rPr>
        <w:t>&gt; 2000 IU/mL</w:t>
      </w:r>
      <w:r>
        <w:rPr>
          <w:vertAlign w:val="baseline"/>
        </w:rPr>
        <w:t>（</w:t>
      </w:r>
      <w:r>
        <w:rPr>
          <w:spacing w:val="-10"/>
          <w:vertAlign w:val="baseline"/>
        </w:rPr>
        <w:t xml:space="preserve">相当于 </w:t>
      </w:r>
      <w:r>
        <w:rPr>
          <w:rFonts w:ascii="Times New Roman" w:eastAsia="Times New Roman" w:hAnsi="Times New Roman"/>
          <w:vertAlign w:val="baseline"/>
        </w:rPr>
        <w:t xml:space="preserve">104 </w:t>
      </w:r>
      <w:r>
        <w:rPr>
          <w:vertAlign w:val="baseline"/>
        </w:rPr>
        <w:t>拷贝</w:t>
      </w:r>
      <w:r>
        <w:rPr>
          <w:rFonts w:ascii="Times New Roman" w:eastAsia="Times New Roman" w:hAnsi="Times New Roman"/>
          <w:vertAlign w:val="baseline"/>
        </w:rPr>
        <w:t>/mL</w:t>
      </w:r>
      <w:r>
        <w:rPr>
          <w:vertAlign w:val="baseline"/>
        </w:rPr>
        <w:t>），</w:t>
      </w:r>
      <w:r>
        <w:rPr>
          <w:spacing w:val="-14"/>
          <w:vertAlign w:val="baseline"/>
        </w:rPr>
        <w:t xml:space="preserve">伴有 </w:t>
      </w:r>
      <w:r>
        <w:rPr>
          <w:rFonts w:ascii="Times New Roman" w:eastAsia="Times New Roman" w:hAnsi="Times New Roman"/>
          <w:vertAlign w:val="baseline"/>
        </w:rPr>
        <w:t xml:space="preserve">ALT </w:t>
      </w:r>
      <w:r>
        <w:rPr>
          <w:vertAlign w:val="baseline"/>
        </w:rPr>
        <w:t>持续或间歇升高，肝组织学中度或严重炎</w:t>
      </w:r>
      <w:r>
        <w:rPr>
          <w:spacing w:val="-1"/>
          <w:vertAlign w:val="baseline"/>
        </w:rPr>
        <w:t xml:space="preserve">症坏死、肝纤维化可快速进展，部分患者可发展为肝硬化和肝衰竭。非活动或低 </w:t>
      </w:r>
      <w:r>
        <w:rPr>
          <w:rFonts w:ascii="Times New Roman" w:eastAsia="Times New Roman" w:hAnsi="Times New Roman"/>
          <w:vertAlign w:val="baseline"/>
        </w:rPr>
        <w:t>(</w:t>
      </w:r>
      <w:r>
        <w:rPr>
          <w:vertAlign w:val="baseline"/>
        </w:rPr>
        <w:t>非</w:t>
      </w:r>
      <w:r>
        <w:rPr>
          <w:rFonts w:ascii="Times New Roman" w:eastAsia="Times New Roman" w:hAnsi="Times New Roman"/>
          <w:spacing w:val="11"/>
          <w:vertAlign w:val="baseline"/>
        </w:rPr>
        <w:t xml:space="preserve">) </w:t>
      </w:r>
      <w:r>
        <w:rPr>
          <w:vertAlign w:val="baseline"/>
        </w:rPr>
        <w:t>复制</w:t>
      </w:r>
      <w:r>
        <w:rPr>
          <w:spacing w:val="-10"/>
          <w:vertAlign w:val="baseline"/>
        </w:rPr>
        <w:t xml:space="preserve">期：表现为 </w:t>
      </w:r>
      <w:r>
        <w:rPr>
          <w:rFonts w:ascii="Times New Roman" w:eastAsia="Times New Roman" w:hAnsi="Times New Roman"/>
          <w:vertAlign w:val="baseline"/>
        </w:rPr>
        <w:t>HBeAg</w:t>
      </w:r>
      <w:r>
        <w:rPr>
          <w:rFonts w:ascii="Times New Roman" w:eastAsia="Times New Roman" w:hAnsi="Times New Roman"/>
          <w:spacing w:val="-14"/>
          <w:vertAlign w:val="baseline"/>
        </w:rPr>
        <w:t xml:space="preserve"> </w:t>
      </w:r>
      <w:r>
        <w:rPr>
          <w:vertAlign w:val="baseline"/>
        </w:rPr>
        <w:t>阴性、抗</w:t>
      </w:r>
      <w:r>
        <w:rPr>
          <w:rFonts w:ascii="Times New Roman" w:eastAsia="Times New Roman" w:hAnsi="Times New Roman"/>
          <w:vertAlign w:val="baseline"/>
        </w:rPr>
        <w:t>-HBe</w:t>
      </w:r>
      <w:r>
        <w:rPr>
          <w:rFonts w:ascii="Times New Roman" w:eastAsia="Times New Roman" w:hAnsi="Times New Roman"/>
          <w:spacing w:val="-13"/>
          <w:vertAlign w:val="baseline"/>
        </w:rPr>
        <w:t xml:space="preserve"> </w:t>
      </w:r>
      <w:r>
        <w:rPr>
          <w:vertAlign w:val="baseline"/>
        </w:rPr>
        <w:t>阳性，</w:t>
      </w:r>
      <w:r>
        <w:rPr>
          <w:rFonts w:ascii="Times New Roman" w:eastAsia="Times New Roman" w:hAnsi="Times New Roman"/>
          <w:vertAlign w:val="baseline"/>
        </w:rPr>
        <w:t>HBV</w:t>
      </w:r>
      <w:r>
        <w:rPr>
          <w:rFonts w:ascii="Times New Roman" w:eastAsia="Times New Roman" w:hAnsi="Times New Roman"/>
          <w:spacing w:val="-6"/>
          <w:vertAlign w:val="baseline"/>
        </w:rPr>
        <w:t xml:space="preserve"> </w:t>
      </w:r>
      <w:r>
        <w:rPr>
          <w:rFonts w:ascii="Times New Roman" w:eastAsia="Times New Roman" w:hAnsi="Times New Roman"/>
          <w:vertAlign w:val="baseline"/>
        </w:rPr>
        <w:t>DNA</w:t>
      </w:r>
      <w:r>
        <w:rPr>
          <w:rFonts w:ascii="Times New Roman" w:eastAsia="Times New Roman" w:hAnsi="Times New Roman"/>
          <w:spacing w:val="-6"/>
          <w:vertAlign w:val="baseline"/>
        </w:rPr>
        <w:t xml:space="preserve"> </w:t>
      </w:r>
      <w:r>
        <w:rPr>
          <w:spacing w:val="-11"/>
          <w:vertAlign w:val="baseline"/>
        </w:rPr>
        <w:t xml:space="preserve">持续低于 </w:t>
      </w:r>
      <w:r>
        <w:rPr>
          <w:rFonts w:ascii="Times New Roman" w:eastAsia="Times New Roman" w:hAnsi="Times New Roman"/>
          <w:vertAlign w:val="baseline"/>
        </w:rPr>
        <w:t>2000</w:t>
      </w:r>
      <w:r>
        <w:rPr>
          <w:rFonts w:ascii="Times New Roman" w:eastAsia="Times New Roman" w:hAnsi="Times New Roman"/>
          <w:spacing w:val="-5"/>
          <w:vertAlign w:val="baseline"/>
        </w:rPr>
        <w:t xml:space="preserve"> </w:t>
      </w:r>
      <w:r>
        <w:rPr>
          <w:rFonts w:ascii="Times New Roman" w:eastAsia="Times New Roman" w:hAnsi="Times New Roman"/>
          <w:vertAlign w:val="baseline"/>
        </w:rPr>
        <w:t>IU/mL</w:t>
      </w:r>
      <w:r>
        <w:rPr>
          <w:vertAlign w:val="baseline"/>
        </w:rPr>
        <w:t>（</w:t>
      </w:r>
      <w:r>
        <w:rPr>
          <w:spacing w:val="-14"/>
          <w:vertAlign w:val="baseline"/>
        </w:rPr>
        <w:t xml:space="preserve">相当于 </w:t>
      </w:r>
      <w:r>
        <w:rPr>
          <w:rFonts w:ascii="Times New Roman" w:eastAsia="Times New Roman" w:hAnsi="Times New Roman"/>
          <w:vertAlign w:val="baseline"/>
        </w:rPr>
        <w:t>10</w:t>
      </w:r>
      <w:r>
        <w:rPr>
          <w:rFonts w:ascii="Times New Roman" w:eastAsia="Times New Roman" w:hAnsi="Times New Roman"/>
          <w:position w:val="6"/>
          <w:sz w:val="14"/>
          <w:vertAlign w:val="baseline"/>
        </w:rPr>
        <w:t>4</w:t>
      </w:r>
      <w:r>
        <w:rPr>
          <w:rFonts w:ascii="Times New Roman" w:eastAsia="Times New Roman" w:hAnsi="Times New Roman"/>
          <w:spacing w:val="-3"/>
          <w:position w:val="6"/>
          <w:sz w:val="14"/>
          <w:vertAlign w:val="baseline"/>
        </w:rPr>
        <w:t xml:space="preserve"> </w:t>
      </w:r>
      <w:r>
        <w:rPr>
          <w:spacing w:val="-5"/>
          <w:vertAlign w:val="baseline"/>
        </w:rPr>
        <w:t>拷贝</w:t>
      </w:r>
    </w:p>
    <w:p>
      <w:pPr>
        <w:pStyle w:val="BodyText"/>
        <w:spacing w:before="3" w:line="417" w:lineRule="auto"/>
        <w:ind w:right="298"/>
        <w:jc w:val="both"/>
      </w:pPr>
      <w:r>
        <w:rPr>
          <w:rFonts w:ascii="Times New Roman" w:eastAsia="Times New Roman"/>
          <w:spacing w:val="-2"/>
        </w:rPr>
        <w:t>/mL</w:t>
      </w:r>
      <w:r>
        <w:rPr>
          <w:spacing w:val="-2"/>
        </w:rPr>
        <w:t>）</w:t>
      </w:r>
      <w:r>
        <w:rPr>
          <w:spacing w:val="-6"/>
        </w:rPr>
        <w:t xml:space="preserve">或检测不出 </w:t>
      </w:r>
      <w:r>
        <w:rPr>
          <w:rFonts w:ascii="Times New Roman" w:eastAsia="Times New Roman"/>
          <w:spacing w:val="-2"/>
        </w:rPr>
        <w:t>(PCR</w:t>
      </w:r>
      <w:r>
        <w:rPr>
          <w:rFonts w:ascii="Times New Roman" w:eastAsia="Times New Roman"/>
          <w:spacing w:val="-11"/>
        </w:rPr>
        <w:t xml:space="preserve"> </w:t>
      </w:r>
      <w:r>
        <w:rPr>
          <w:spacing w:val="-2"/>
        </w:rPr>
        <w:t>法</w:t>
      </w:r>
      <w:r>
        <w:rPr>
          <w:rFonts w:ascii="Times New Roman" w:eastAsia="Times New Roman"/>
          <w:spacing w:val="-2"/>
        </w:rPr>
        <w:t>)</w:t>
      </w:r>
      <w:r>
        <w:rPr>
          <w:spacing w:val="-2"/>
        </w:rPr>
        <w:t>、</w:t>
      </w:r>
      <w:r>
        <w:rPr>
          <w:rFonts w:ascii="Times New Roman" w:eastAsia="Times New Roman"/>
          <w:spacing w:val="-2"/>
        </w:rPr>
        <w:t>ALT</w:t>
      </w:r>
      <w:r>
        <w:rPr>
          <w:rFonts w:ascii="Times New Roman" w:eastAsia="Times New Roman"/>
          <w:spacing w:val="-11"/>
        </w:rPr>
        <w:t xml:space="preserve"> </w:t>
      </w:r>
      <w:r>
        <w:rPr>
          <w:spacing w:val="-12"/>
        </w:rPr>
        <w:t xml:space="preserve">水平正常，肝组织学无炎症或仅有轻度炎症；这是 </w:t>
      </w:r>
      <w:r>
        <w:rPr>
          <w:rFonts w:ascii="Times New Roman" w:eastAsia="Times New Roman"/>
          <w:spacing w:val="-2"/>
        </w:rPr>
        <w:t>HBV</w:t>
      </w:r>
      <w:r>
        <w:rPr>
          <w:rFonts w:ascii="Times New Roman" w:eastAsia="Times New Roman"/>
          <w:spacing w:val="-11"/>
        </w:rPr>
        <w:t xml:space="preserve"> </w:t>
      </w:r>
      <w:r>
        <w:rPr>
          <w:spacing w:val="-2"/>
        </w:rPr>
        <w:t>感</w:t>
      </w:r>
      <w:r>
        <w:rPr>
          <w:spacing w:val="-3"/>
        </w:rPr>
        <w:t xml:space="preserve">染获得免疫控制的结果，大部分此期患者发生肝硬化和 </w:t>
      </w:r>
      <w:r>
        <w:rPr>
          <w:rFonts w:ascii="Times New Roman" w:eastAsia="Times New Roman"/>
          <w:spacing w:val="-2"/>
        </w:rPr>
        <w:t>HCC</w:t>
      </w:r>
      <w:r>
        <w:rPr>
          <w:rFonts w:ascii="Times New Roman" w:eastAsia="Times New Roman"/>
          <w:spacing w:val="17"/>
        </w:rPr>
        <w:t xml:space="preserve"> </w:t>
      </w:r>
      <w:r>
        <w:rPr>
          <w:spacing w:val="-2"/>
        </w:rPr>
        <w:t>的风险大大减少，在一些持续</w:t>
      </w:r>
      <w:r>
        <w:rPr>
          <w:spacing w:val="-2"/>
        </w:rPr>
        <w:t xml:space="preserve"> </w:t>
      </w:r>
      <w:r>
        <w:rPr>
          <w:rFonts w:ascii="Times New Roman" w:eastAsia="Times New Roman"/>
          <w:spacing w:val="-2"/>
        </w:rPr>
        <w:t>HBV</w:t>
      </w:r>
      <w:r>
        <w:rPr>
          <w:rFonts w:ascii="Times New Roman" w:eastAsia="Times New Roman"/>
          <w:spacing w:val="15"/>
        </w:rPr>
        <w:t xml:space="preserve"> </w:t>
      </w:r>
      <w:r>
        <w:rPr>
          <w:rFonts w:ascii="Times New Roman" w:eastAsia="Times New Roman"/>
          <w:spacing w:val="-2"/>
        </w:rPr>
        <w:t>DNA</w:t>
      </w:r>
      <w:r>
        <w:rPr>
          <w:rFonts w:ascii="Times New Roman" w:eastAsia="Times New Roman"/>
          <w:spacing w:val="-3"/>
        </w:rPr>
        <w:t xml:space="preserve"> </w:t>
      </w:r>
      <w:r>
        <w:rPr>
          <w:spacing w:val="-7"/>
        </w:rPr>
        <w:t xml:space="preserve">转阴数年的患者，自发性 </w:t>
      </w:r>
      <w:r>
        <w:rPr>
          <w:rFonts w:ascii="Times New Roman" w:eastAsia="Times New Roman"/>
          <w:spacing w:val="-2"/>
        </w:rPr>
        <w:t>HBsAg</w:t>
      </w:r>
      <w:r>
        <w:rPr>
          <w:rFonts w:ascii="Times New Roman" w:eastAsia="Times New Roman"/>
          <w:spacing w:val="-3"/>
        </w:rPr>
        <w:t xml:space="preserve"> </w:t>
      </w:r>
      <w:r>
        <w:rPr>
          <w:spacing w:val="-9"/>
        </w:rPr>
        <w:t xml:space="preserve">血清学转换率为 </w:t>
      </w:r>
      <w:r>
        <w:rPr>
          <w:rFonts w:ascii="Times New Roman" w:eastAsia="Times New Roman"/>
          <w:spacing w:val="-2"/>
        </w:rPr>
        <w:t>1~3%</w:t>
      </w:r>
      <w:r>
        <w:rPr>
          <w:spacing w:val="-3"/>
        </w:rPr>
        <w:t>／年。再活动期：部分处</w:t>
      </w:r>
    </w:p>
    <w:p>
      <w:pPr>
        <w:spacing w:after="0" w:line="417" w:lineRule="auto"/>
        <w:jc w:val="both"/>
        <w:sectPr>
          <w:footerReference w:type="default" r:id="rId5"/>
          <w:pgSz w:w="11910" w:h="16840"/>
          <w:pgMar w:top="1460" w:right="1500" w:bottom="1380" w:left="1640" w:header="0" w:footer="1189"/>
          <w:pgNumType w:start="2"/>
          <w:cols w:space="708"/>
        </w:sectPr>
      </w:pPr>
    </w:p>
    <w:p>
      <w:pPr>
        <w:pStyle w:val="BodyText"/>
        <w:spacing w:before="63" w:line="417" w:lineRule="auto"/>
        <w:ind w:right="298"/>
      </w:pPr>
      <w:r>
        <w:rPr>
          <w:spacing w:val="-7"/>
        </w:rPr>
        <w:t xml:space="preserve">于非活动期的患者可能出现 </w:t>
      </w:r>
      <w:r>
        <w:rPr>
          <w:rFonts w:ascii="Times New Roman" w:eastAsia="Times New Roman"/>
          <w:spacing w:val="-2"/>
        </w:rPr>
        <w:t>1</w:t>
      </w:r>
      <w:r>
        <w:rPr>
          <w:rFonts w:ascii="Times New Roman" w:eastAsia="Times New Roman"/>
          <w:spacing w:val="-6"/>
        </w:rPr>
        <w:t xml:space="preserve"> </w:t>
      </w:r>
      <w:r>
        <w:rPr>
          <w:spacing w:val="-6"/>
        </w:rPr>
        <w:t xml:space="preserve">次或数次的肝炎发作，多数表现为 </w:t>
      </w:r>
      <w:r>
        <w:rPr>
          <w:spacing w:val="-2"/>
        </w:rPr>
        <w:t>HBeAg</w:t>
      </w:r>
      <w:r>
        <w:rPr>
          <w:spacing w:val="-14"/>
        </w:rPr>
        <w:t xml:space="preserve"> 阴性、抗</w:t>
      </w:r>
      <w:r>
        <w:rPr>
          <w:rFonts w:ascii="Times New Roman" w:eastAsia="Times New Roman"/>
          <w:spacing w:val="-2"/>
        </w:rPr>
        <w:t>-HBe</w:t>
      </w:r>
      <w:r>
        <w:rPr>
          <w:rFonts w:ascii="Times New Roman" w:eastAsia="Times New Roman"/>
          <w:spacing w:val="-6"/>
        </w:rPr>
        <w:t xml:space="preserve"> </w:t>
      </w:r>
      <w:r>
        <w:rPr>
          <w:spacing w:val="-100"/>
        </w:rPr>
        <w:t>阳</w:t>
      </w:r>
      <w:r>
        <w:rPr>
          <w:spacing w:val="-111"/>
        </w:rPr>
        <w:t>（</w:t>
      </w:r>
      <w:r>
        <w:rPr>
          <w:spacing w:val="-51"/>
        </w:rPr>
        <w:t>性部</w:t>
      </w:r>
      <w:r>
        <w:rPr>
          <w:spacing w:val="6"/>
        </w:rPr>
        <w:t>分是由于前</w:t>
      </w:r>
      <w:r>
        <w:t>C</w:t>
      </w:r>
      <w:r>
        <w:rPr>
          <w:spacing w:val="-10"/>
        </w:rPr>
        <w:t xml:space="preserve"> 区与／或</w:t>
      </w:r>
      <w:r>
        <w:t>BCP</w:t>
      </w:r>
      <w:r>
        <w:rPr>
          <w:spacing w:val="-9"/>
        </w:rPr>
        <w:t xml:space="preserve"> 变异所导致</w:t>
      </w:r>
      <w:r>
        <w:t>HBeAg</w:t>
      </w:r>
      <w:r>
        <w:rPr>
          <w:spacing w:val="-9"/>
        </w:rPr>
        <w:t xml:space="preserve"> 表达水平低下或不表达</w:t>
      </w:r>
      <w:r>
        <w:rPr>
          <w:spacing w:val="-179"/>
        </w:rPr>
        <w:t>）</w:t>
      </w:r>
      <w:r>
        <w:rPr>
          <w:spacing w:val="-38"/>
        </w:rPr>
        <w:t>，但仍有</w:t>
      </w:r>
      <w:r>
        <w:t>HBV</w:t>
      </w:r>
      <w:r>
        <w:rPr>
          <w:spacing w:val="-27"/>
        </w:rPr>
        <w:t xml:space="preserve"> </w:t>
      </w:r>
      <w:r>
        <w:t>DNA</w:t>
      </w:r>
      <w:r>
        <w:rPr>
          <w:spacing w:val="-14"/>
        </w:rPr>
        <w:t xml:space="preserve"> 活动性</w:t>
      </w:r>
      <w:r>
        <w:t>复制、ALT</w:t>
      </w:r>
      <w:r>
        <w:rPr>
          <w:spacing w:val="-7"/>
        </w:rPr>
        <w:t xml:space="preserve"> 持续或反复异常，成为 </w:t>
      </w:r>
      <w:r>
        <w:t>HBeAg</w:t>
      </w:r>
      <w:r>
        <w:rPr>
          <w:spacing w:val="-5"/>
        </w:rPr>
        <w:t xml:space="preserve"> 阴性慢性乙型肝炎</w:t>
      </w:r>
      <w:r>
        <w:rPr>
          <w:rFonts w:ascii="Calibri" w:eastAsia="Calibri"/>
          <w:vertAlign w:val="superscript"/>
        </w:rPr>
        <w:t>[23]</w:t>
      </w:r>
      <w:r>
        <w:rPr>
          <w:vertAlign w:val="baseline"/>
        </w:rPr>
        <w:t xml:space="preserve">，这些患者可进展为肝纤维 </w:t>
      </w:r>
      <w:r>
        <w:rPr>
          <w:spacing w:val="-4"/>
          <w:vertAlign w:val="baseline"/>
        </w:rPr>
        <w:t xml:space="preserve">化、肝硬化、失代偿肝硬化和 </w:t>
      </w:r>
      <w:r>
        <w:rPr>
          <w:vertAlign w:val="baseline"/>
        </w:rPr>
        <w:t>HCC；</w:t>
      </w:r>
      <w:r>
        <w:rPr>
          <w:spacing w:val="-4"/>
          <w:vertAlign w:val="baseline"/>
        </w:rPr>
        <w:t xml:space="preserve">也有部分患者可出現自发性 </w:t>
      </w:r>
      <w:r>
        <w:rPr>
          <w:rFonts w:ascii="Times New Roman" w:eastAsia="Times New Roman"/>
          <w:vertAlign w:val="baseline"/>
        </w:rPr>
        <w:t xml:space="preserve">HBsAg </w:t>
      </w:r>
      <w:r>
        <w:rPr>
          <w:vertAlign w:val="baseline"/>
        </w:rPr>
        <w:t>消失（伴或不伴抗</w:t>
      </w:r>
    </w:p>
    <w:p>
      <w:pPr>
        <w:pStyle w:val="BodyText"/>
        <w:spacing w:line="417" w:lineRule="auto"/>
        <w:ind w:right="297"/>
      </w:pPr>
      <w:r>
        <w:rPr>
          <w:rFonts w:ascii="Times New Roman" w:eastAsia="Times New Roman"/>
          <w:spacing w:val="-1"/>
        </w:rPr>
        <w:t>-</w:t>
      </w:r>
      <w:r>
        <w:rPr>
          <w:rFonts w:ascii="Times New Roman" w:eastAsia="Times New Roman"/>
          <w:spacing w:val="31"/>
        </w:rPr>
        <w:t>HBs</w:t>
      </w:r>
      <w:r>
        <w:rPr>
          <w:spacing w:val="-99"/>
        </w:rPr>
        <w:t>）</w:t>
      </w:r>
      <w:r>
        <w:rPr>
          <w:spacing w:val="-1"/>
        </w:rPr>
        <w:t>和</w:t>
      </w:r>
      <w:r>
        <w:rPr>
          <w:rFonts w:ascii="Times New Roman" w:eastAsia="Times New Roman"/>
          <w:spacing w:val="-1"/>
        </w:rPr>
        <w:t>HBV</w:t>
      </w:r>
      <w:r>
        <w:rPr>
          <w:rFonts w:ascii="Times New Roman" w:eastAsia="Times New Roman"/>
          <w:spacing w:val="-13"/>
        </w:rPr>
        <w:t xml:space="preserve"> </w:t>
      </w:r>
      <w:r>
        <w:rPr>
          <w:rFonts w:ascii="Times New Roman" w:eastAsia="Times New Roman"/>
          <w:spacing w:val="-1"/>
        </w:rPr>
        <w:t>DNA</w:t>
      </w:r>
      <w:r>
        <w:rPr>
          <w:rFonts w:ascii="Times New Roman" w:eastAsia="Times New Roman"/>
          <w:spacing w:val="-21"/>
        </w:rPr>
        <w:t xml:space="preserve"> </w:t>
      </w:r>
      <w:r>
        <w:rPr>
          <w:spacing w:val="-1"/>
        </w:rPr>
        <w:t>降低或检测不到</w:t>
      </w:r>
      <w:r>
        <w:rPr>
          <w:spacing w:val="-19"/>
        </w:rPr>
        <w:t>，因而预后常良好。少部分此期患者可回复到</w:t>
      </w:r>
      <w:r>
        <w:rPr>
          <w:rFonts w:ascii="Times New Roman" w:eastAsia="Times New Roman"/>
          <w:spacing w:val="-1"/>
        </w:rPr>
        <w:t>HBeAg</w:t>
      </w:r>
      <w:r>
        <w:rPr>
          <w:rFonts w:ascii="Times New Roman" w:eastAsia="Times New Roman"/>
          <w:spacing w:val="-12"/>
        </w:rPr>
        <w:t xml:space="preserve"> </w:t>
      </w:r>
      <w:r>
        <w:rPr>
          <w:spacing w:val="-1"/>
        </w:rPr>
        <w:t>阳性</w:t>
      </w:r>
      <w:r>
        <w:rPr>
          <w:spacing w:val="-2"/>
        </w:rPr>
        <w:t>的状态（特别是在免疫抑制状态如接受化疗时）。</w:t>
      </w:r>
    </w:p>
    <w:p>
      <w:pPr>
        <w:pStyle w:val="BodyText"/>
        <w:spacing w:before="4" w:line="333" w:lineRule="auto"/>
        <w:ind w:right="262" w:firstLine="420"/>
        <w:rPr>
          <w:rFonts w:ascii="Times New Roman" w:eastAsia="Times New Roman"/>
        </w:rPr>
      </w:pPr>
      <w:r>
        <w:rPr>
          <w:spacing w:val="-7"/>
        </w:rPr>
        <w:t xml:space="preserve">并不是所有感染 </w:t>
      </w:r>
      <w:r>
        <w:rPr>
          <w:rFonts w:ascii="Times New Roman" w:eastAsia="Times New Roman"/>
        </w:rPr>
        <w:t>HBV</w:t>
      </w:r>
      <w:r>
        <w:rPr>
          <w:rFonts w:ascii="Times New Roman" w:eastAsia="Times New Roman"/>
          <w:spacing w:val="-14"/>
        </w:rPr>
        <w:t xml:space="preserve"> </w:t>
      </w:r>
      <w:r>
        <w:rPr>
          <w:spacing w:val="-3"/>
        </w:rPr>
        <w:t xml:space="preserve">者都经过以上四个期。新生儿时期感染 </w:t>
      </w:r>
      <w:r>
        <w:rPr>
          <w:rFonts w:ascii="Times New Roman" w:eastAsia="Times New Roman"/>
        </w:rPr>
        <w:t>HBV</w:t>
      </w:r>
      <w:r>
        <w:t>，仅少数（</w:t>
      </w:r>
      <w:r>
        <w:rPr>
          <w:spacing w:val="-27"/>
        </w:rPr>
        <w:t xml:space="preserve">约 </w:t>
      </w:r>
      <w:r>
        <w:rPr>
          <w:rFonts w:ascii="Times New Roman" w:eastAsia="Times New Roman"/>
        </w:rPr>
        <w:t>5</w:t>
      </w:r>
      <w:r>
        <w:t>％）</w:t>
      </w:r>
      <w:r>
        <w:rPr>
          <w:spacing w:val="-8"/>
        </w:rPr>
        <w:t xml:space="preserve">可自发清除 </w:t>
      </w:r>
      <w:r>
        <w:rPr>
          <w:rFonts w:ascii="Times New Roman" w:eastAsia="Times New Roman"/>
        </w:rPr>
        <w:t>HBV</w:t>
      </w:r>
      <w:r>
        <w:t>，而多数有较长的免疫耐期，然后进入免疫清除期。但青少年和成年时期</w:t>
      </w:r>
      <w:r>
        <w:rPr>
          <w:spacing w:val="-15"/>
        </w:rPr>
        <w:t xml:space="preserve">感染 </w:t>
      </w:r>
      <w:r>
        <w:rPr>
          <w:rFonts w:ascii="Times New Roman" w:eastAsia="Times New Roman"/>
          <w:spacing w:val="36"/>
        </w:rPr>
        <w:t>HBV</w:t>
      </w:r>
      <w:r>
        <w:rPr>
          <w:spacing w:val="-24"/>
        </w:rPr>
        <w:t>，多无免疫耐受期</w:t>
      </w:r>
      <w:r>
        <w:rPr>
          <w:spacing w:val="-23"/>
        </w:rPr>
        <w:t>，而直接进入免疫清除期</w:t>
      </w:r>
      <w:r>
        <w:rPr>
          <w:spacing w:val="-22"/>
        </w:rPr>
        <w:t xml:space="preserve">，他们中的大部分可自发清除 </w:t>
      </w:r>
      <w:r>
        <w:rPr>
          <w:rFonts w:ascii="Times New Roman" w:eastAsia="Times New Roman"/>
          <w:spacing w:val="-6"/>
        </w:rPr>
        <w:t>HBV</w:t>
      </w:r>
      <w:r>
        <w:rPr>
          <w:spacing w:val="-6"/>
        </w:rPr>
        <w:t>（</w:t>
      </w:r>
      <w:r>
        <w:rPr>
          <w:spacing w:val="-19"/>
        </w:rPr>
        <w:t xml:space="preserve">约 </w:t>
      </w:r>
      <w:r>
        <w:rPr>
          <w:rFonts w:ascii="Times New Roman" w:eastAsia="Times New Roman"/>
          <w:spacing w:val="-6"/>
        </w:rPr>
        <w:t>90</w:t>
      </w:r>
    </w:p>
    <w:p>
      <w:pPr>
        <w:pStyle w:val="BodyText"/>
        <w:spacing w:before="3"/>
      </w:pPr>
      <w:r>
        <w:t>％</w:t>
      </w:r>
      <w:r>
        <w:rPr>
          <w:rFonts w:ascii="Times New Roman" w:eastAsia="Times New Roman"/>
        </w:rPr>
        <w:t>~95</w:t>
      </w:r>
      <w:r>
        <w:t>％），少数（</w:t>
      </w:r>
      <w:r>
        <w:rPr>
          <w:spacing w:val="-27"/>
        </w:rPr>
        <w:t xml:space="preserve">约 </w:t>
      </w:r>
      <w:r>
        <w:rPr>
          <w:rFonts w:ascii="Times New Roman" w:eastAsia="Times New Roman"/>
        </w:rPr>
        <w:t>5</w:t>
      </w:r>
      <w:r>
        <w:t>％</w:t>
      </w:r>
      <w:r>
        <w:rPr>
          <w:rFonts w:ascii="Times New Roman" w:eastAsia="Times New Roman"/>
        </w:rPr>
        <w:t>~10</w:t>
      </w:r>
      <w:r>
        <w:t>％）</w:t>
      </w:r>
      <w:r>
        <w:rPr>
          <w:spacing w:val="-14"/>
        </w:rPr>
        <w:t xml:space="preserve">发展为 </w:t>
      </w:r>
      <w:r>
        <w:rPr>
          <w:rFonts w:ascii="Times New Roman" w:eastAsia="Times New Roman"/>
        </w:rPr>
        <w:t>HBeAg</w:t>
      </w:r>
      <w:r>
        <w:rPr>
          <w:rFonts w:ascii="Times New Roman" w:eastAsia="Times New Roman"/>
          <w:spacing w:val="-5"/>
        </w:rPr>
        <w:t xml:space="preserve"> </w:t>
      </w:r>
      <w:r>
        <w:rPr>
          <w:spacing w:val="-2"/>
        </w:rPr>
        <w:t>阳性慢性乙型肝炎。</w:t>
      </w:r>
    </w:p>
    <w:p>
      <w:pPr>
        <w:pStyle w:val="BodyText"/>
        <w:spacing w:before="101" w:line="417" w:lineRule="auto"/>
        <w:ind w:right="298" w:firstLine="420"/>
        <w:jc w:val="both"/>
      </w:pPr>
      <w:r>
        <w:rPr>
          <w:spacing w:val="-2"/>
        </w:rPr>
        <w:t>自发性</w:t>
      </w:r>
      <w:r>
        <w:rPr>
          <w:rFonts w:ascii="Times New Roman" w:eastAsia="Times New Roman"/>
          <w:spacing w:val="-2"/>
        </w:rPr>
        <w:t>HBeAg</w:t>
      </w:r>
      <w:r>
        <w:rPr>
          <w:spacing w:val="-2"/>
        </w:rPr>
        <w:t>血清学转换主要出现在免疫清除期，年发生率约为</w:t>
      </w:r>
      <w:r>
        <w:rPr>
          <w:rFonts w:ascii="Times New Roman" w:eastAsia="Times New Roman"/>
          <w:spacing w:val="-2"/>
        </w:rPr>
        <w:t>2%~15%</w:t>
      </w:r>
      <w:r>
        <w:rPr>
          <w:spacing w:val="-2"/>
        </w:rPr>
        <w:t>，其中年龄小于</w:t>
      </w:r>
      <w:r>
        <w:rPr>
          <w:rFonts w:ascii="Times New Roman" w:eastAsia="Times New Roman"/>
          <w:spacing w:val="-2"/>
        </w:rPr>
        <w:t>40</w:t>
      </w:r>
      <w:r>
        <w:rPr>
          <w:spacing w:val="-2"/>
        </w:rPr>
        <w:t>岁、</w:t>
      </w:r>
      <w:r>
        <w:rPr>
          <w:rFonts w:ascii="Times New Roman" w:eastAsia="Times New Roman"/>
          <w:spacing w:val="-2"/>
        </w:rPr>
        <w:t>ALT</w:t>
      </w:r>
      <w:r>
        <w:rPr>
          <w:spacing w:val="-2"/>
        </w:rPr>
        <w:t>升高以及感染</w:t>
      </w:r>
      <w:r>
        <w:rPr>
          <w:rFonts w:ascii="Times New Roman" w:eastAsia="Times New Roman"/>
          <w:spacing w:val="-2"/>
        </w:rPr>
        <w:t>HBV</w:t>
      </w:r>
      <w:r>
        <w:rPr>
          <w:spacing w:val="-2"/>
        </w:rPr>
        <w:t>基因</w:t>
      </w:r>
      <w:r>
        <w:rPr>
          <w:rFonts w:ascii="Times New Roman" w:eastAsia="Times New Roman"/>
          <w:spacing w:val="-2"/>
        </w:rPr>
        <w:t>A</w:t>
      </w:r>
      <w:r>
        <w:rPr>
          <w:spacing w:val="-2"/>
        </w:rPr>
        <w:t>型和</w:t>
      </w:r>
      <w:r>
        <w:rPr>
          <w:rFonts w:ascii="Times New Roman" w:eastAsia="Times New Roman"/>
          <w:spacing w:val="-2"/>
        </w:rPr>
        <w:t>B</w:t>
      </w:r>
      <w:r>
        <w:rPr>
          <w:spacing w:val="-2"/>
        </w:rPr>
        <w:t>型者发生率较高</w:t>
      </w:r>
      <w:r>
        <w:rPr>
          <w:rFonts w:ascii="Calibri" w:eastAsia="Calibri"/>
          <w:spacing w:val="-2"/>
          <w:vertAlign w:val="superscript"/>
        </w:rPr>
        <w:t>[21,</w:t>
      </w:r>
      <w:r>
        <w:rPr>
          <w:rFonts w:ascii="Calibri" w:eastAsia="Calibri"/>
          <w:spacing w:val="-10"/>
          <w:vertAlign w:val="baseline"/>
        </w:rPr>
        <w:t xml:space="preserve"> </w:t>
      </w:r>
      <w:r>
        <w:rPr>
          <w:rFonts w:ascii="Calibri" w:eastAsia="Calibri"/>
          <w:spacing w:val="-2"/>
          <w:vertAlign w:val="superscript"/>
        </w:rPr>
        <w:t>24]</w:t>
      </w:r>
      <w:r>
        <w:rPr>
          <w:spacing w:val="-2"/>
          <w:vertAlign w:val="baseline"/>
        </w:rPr>
        <w:t>。</w:t>
      </w:r>
      <w:r>
        <w:rPr>
          <w:rFonts w:ascii="Times New Roman" w:eastAsia="Times New Roman"/>
          <w:spacing w:val="-2"/>
          <w:vertAlign w:val="baseline"/>
        </w:rPr>
        <w:t>HBeAg</w:t>
      </w:r>
      <w:r>
        <w:rPr>
          <w:spacing w:val="-2"/>
          <w:vertAlign w:val="baseline"/>
        </w:rPr>
        <w:t>血清学转换后每</w:t>
      </w:r>
      <w:r>
        <w:rPr>
          <w:spacing w:val="-2"/>
          <w:vertAlign w:val="baseline"/>
        </w:rPr>
        <w:t>年大约有</w:t>
      </w:r>
      <w:r>
        <w:rPr>
          <w:rFonts w:ascii="Times New Roman" w:eastAsia="Times New Roman"/>
          <w:spacing w:val="-2"/>
          <w:vertAlign w:val="baseline"/>
        </w:rPr>
        <w:t>0.5%~1.0%</w:t>
      </w:r>
      <w:r>
        <w:rPr>
          <w:spacing w:val="-2"/>
          <w:vertAlign w:val="baseline"/>
        </w:rPr>
        <w:t>发生</w:t>
      </w:r>
      <w:r>
        <w:rPr>
          <w:rFonts w:ascii="Times New Roman" w:eastAsia="Times New Roman"/>
          <w:spacing w:val="-2"/>
          <w:vertAlign w:val="baseline"/>
        </w:rPr>
        <w:t>HBsAg</w:t>
      </w:r>
      <w:r>
        <w:rPr>
          <w:spacing w:val="-2"/>
          <w:vertAlign w:val="baseline"/>
        </w:rPr>
        <w:t>清除</w:t>
      </w:r>
      <w:r>
        <w:rPr>
          <w:rFonts w:ascii="Calibri" w:eastAsia="Calibri"/>
          <w:spacing w:val="-2"/>
          <w:vertAlign w:val="superscript"/>
        </w:rPr>
        <w:t>[25]</w:t>
      </w:r>
      <w:r>
        <w:rPr>
          <w:spacing w:val="-2"/>
          <w:vertAlign w:val="baseline"/>
        </w:rPr>
        <w:t>。</w:t>
      </w:r>
    </w:p>
    <w:p>
      <w:pPr>
        <w:pStyle w:val="BodyText"/>
        <w:spacing w:line="417" w:lineRule="auto"/>
        <w:ind w:right="298" w:firstLine="420"/>
      </w:pPr>
      <w:r>
        <w:rPr>
          <w:spacing w:val="-2"/>
        </w:rPr>
        <w:t>慢性</w:t>
      </w:r>
      <w:r>
        <w:rPr>
          <w:rFonts w:ascii="Times New Roman" w:eastAsia="Times New Roman"/>
          <w:spacing w:val="-2"/>
        </w:rPr>
        <w:t>HBV</w:t>
      </w:r>
      <w:r>
        <w:rPr>
          <w:spacing w:val="-2"/>
        </w:rPr>
        <w:t>感染者的肝硬化发生率与感染状态有关。免疫耐受期患者只有很轻或没有肝</w:t>
      </w:r>
      <w:r>
        <w:rPr>
          <w:spacing w:val="-4"/>
        </w:rPr>
        <w:t>纤维化进展，而免疫清除期是肝硬化的高发时期。肝硬化的累积发生率与持续高病毒载量呈</w:t>
      </w:r>
      <w:r>
        <w:t>正相关，</w:t>
      </w:r>
      <w:r>
        <w:rPr>
          <w:rFonts w:ascii="Times New Roman" w:eastAsia="Times New Roman"/>
        </w:rPr>
        <w:t>HBV</w:t>
      </w:r>
      <w:r>
        <w:rPr>
          <w:rFonts w:ascii="Times New Roman" w:eastAsia="Times New Roman"/>
          <w:spacing w:val="-14"/>
        </w:rPr>
        <w:t xml:space="preserve"> </w:t>
      </w:r>
      <w:r>
        <w:rPr>
          <w:rFonts w:ascii="Times New Roman" w:eastAsia="Times New Roman"/>
        </w:rPr>
        <w:t>DNA</w:t>
      </w:r>
      <w:r>
        <w:t>是独立于</w:t>
      </w:r>
      <w:r>
        <w:rPr>
          <w:rFonts w:ascii="Times New Roman" w:eastAsia="Times New Roman"/>
        </w:rPr>
        <w:t>HBeAg</w:t>
      </w:r>
      <w:r>
        <w:t>和</w:t>
      </w:r>
      <w:r>
        <w:rPr>
          <w:rFonts w:ascii="Times New Roman" w:eastAsia="Times New Roman"/>
        </w:rPr>
        <w:t>ALT</w:t>
      </w:r>
      <w:r>
        <w:t>以外能够独立预测肝硬化发生的危险因素。发生肝硬化的高危因素还包括嗜酒、合并</w:t>
      </w:r>
      <w:r>
        <w:rPr>
          <w:rFonts w:ascii="Times New Roman" w:eastAsia="Times New Roman"/>
        </w:rPr>
        <w:t>HCV</w:t>
      </w:r>
      <w:r>
        <w:t>、</w:t>
      </w:r>
      <w:r>
        <w:rPr>
          <w:rFonts w:ascii="Times New Roman" w:eastAsia="Times New Roman"/>
        </w:rPr>
        <w:t>HDV</w:t>
      </w:r>
      <w:r>
        <w:t>或</w:t>
      </w:r>
      <w:r>
        <w:rPr>
          <w:rFonts w:ascii="Times New Roman" w:eastAsia="Times New Roman"/>
        </w:rPr>
        <w:t>HIV</w:t>
      </w:r>
      <w:r>
        <w:t>感染等</w:t>
      </w:r>
      <w:r>
        <w:rPr>
          <w:rFonts w:ascii="Calibri" w:eastAsia="Calibri"/>
          <w:vertAlign w:val="superscript"/>
        </w:rPr>
        <w:t>[26-28]</w:t>
      </w:r>
      <w:r>
        <w:rPr>
          <w:rFonts w:ascii="Calibri" w:eastAsia="Calibri"/>
          <w:vertAlign w:val="baseline"/>
        </w:rPr>
        <w:t xml:space="preserve"> </w:t>
      </w:r>
      <w:r>
        <w:rPr>
          <w:rFonts w:ascii="Times New Roman" w:eastAsia="Times New Roman"/>
          <w:vertAlign w:val="baseline"/>
        </w:rPr>
        <w:t>(</w:t>
      </w:r>
      <w:r>
        <w:rPr>
          <w:rFonts w:ascii="Times New Roman" w:eastAsia="Times New Roman"/>
          <w:i/>
          <w:vertAlign w:val="baseline"/>
        </w:rPr>
        <w:t>I</w:t>
      </w:r>
      <w:r>
        <w:rPr>
          <w:rFonts w:ascii="Times New Roman" w:eastAsia="Times New Roman"/>
          <w:vertAlign w:val="baseline"/>
        </w:rPr>
        <w:t>)</w:t>
      </w:r>
      <w:r>
        <w:rPr>
          <w:vertAlign w:val="baseline"/>
        </w:rPr>
        <w:t>。</w:t>
      </w:r>
    </w:p>
    <w:p>
      <w:pPr>
        <w:pStyle w:val="BodyText"/>
        <w:spacing w:line="415" w:lineRule="auto"/>
        <w:ind w:right="298" w:firstLine="420"/>
        <w:jc w:val="both"/>
      </w:pPr>
      <w:r>
        <w:rPr>
          <w:spacing w:val="-2"/>
        </w:rPr>
        <w:t>非肝硬化的患者较少发生于原发性肝细胞肝癌（</w:t>
      </w:r>
      <w:r>
        <w:rPr>
          <w:rFonts w:ascii="Times New Roman" w:eastAsia="Times New Roman" w:hAnsi="Times New Roman"/>
          <w:spacing w:val="-2"/>
        </w:rPr>
        <w:t>HCC</w:t>
      </w:r>
      <w:r>
        <w:rPr>
          <w:spacing w:val="-2"/>
        </w:rPr>
        <w:t>）。肝硬化患者中其年发生率为</w:t>
      </w:r>
      <w:r>
        <w:rPr>
          <w:spacing w:val="-2"/>
        </w:rPr>
        <w:t xml:space="preserve"> </w:t>
      </w:r>
      <w:r>
        <w:rPr>
          <w:rFonts w:ascii="Times New Roman" w:eastAsia="Times New Roman" w:hAnsi="Times New Roman"/>
        </w:rPr>
        <w:t>3%~6%</w:t>
      </w:r>
      <w:r>
        <w:rPr>
          <w:rFonts w:ascii="Calibri" w:eastAsia="Calibri" w:hAnsi="Calibri"/>
          <w:position w:val="6"/>
          <w:sz w:val="14"/>
        </w:rPr>
        <w:t>[29-31]</w:t>
      </w:r>
      <w:r>
        <w:t>。</w:t>
      </w:r>
      <w:r>
        <w:rPr>
          <w:rFonts w:ascii="Times New Roman" w:eastAsia="Times New Roman" w:hAnsi="Times New Roman"/>
        </w:rPr>
        <w:t>HBeAg</w:t>
      </w:r>
      <w:r>
        <w:t>阳性和</w:t>
      </w:r>
      <w:r>
        <w:rPr>
          <w:rFonts w:ascii="Times New Roman" w:eastAsia="Times New Roman" w:hAnsi="Times New Roman"/>
        </w:rPr>
        <w:t>/</w:t>
      </w:r>
      <w:r>
        <w:t>或</w:t>
      </w:r>
      <w:r>
        <w:rPr>
          <w:rFonts w:ascii="Times New Roman" w:eastAsia="Times New Roman" w:hAnsi="Times New Roman"/>
        </w:rPr>
        <w:t>HBV DNA &gt; 2,000 IU/mL</w:t>
      </w:r>
      <w:r>
        <w:t>（相当于</w:t>
      </w:r>
      <w:r>
        <w:rPr>
          <w:rFonts w:ascii="Times New Roman" w:eastAsia="Times New Roman" w:hAnsi="Times New Roman"/>
        </w:rPr>
        <w:t>10</w:t>
      </w:r>
      <w:r>
        <w:rPr>
          <w:rFonts w:ascii="Times New Roman" w:eastAsia="Times New Roman" w:hAnsi="Times New Roman"/>
          <w:position w:val="6"/>
          <w:sz w:val="14"/>
        </w:rPr>
        <w:t>4</w:t>
      </w:r>
      <w:r>
        <w:t>拷贝</w:t>
      </w:r>
      <w:r>
        <w:rPr>
          <w:rFonts w:ascii="Times New Roman" w:eastAsia="Times New Roman" w:hAnsi="Times New Roman"/>
        </w:rPr>
        <w:t>/mL</w:t>
      </w:r>
      <w:r>
        <w:t xml:space="preserve">）是肝硬化和 </w:t>
      </w:r>
      <w:r>
        <w:rPr>
          <w:rFonts w:ascii="Times New Roman" w:eastAsia="Times New Roman" w:hAnsi="Times New Roman"/>
          <w:spacing w:val="-2"/>
        </w:rPr>
        <w:t>HCC</w:t>
      </w:r>
      <w:r>
        <w:rPr>
          <w:spacing w:val="-2"/>
        </w:rPr>
        <w:t>发生的显著危险因素</w:t>
      </w:r>
      <w:r>
        <w:rPr>
          <w:rFonts w:ascii="Calibri" w:eastAsia="Calibri" w:hAnsi="Calibri"/>
          <w:spacing w:val="-2"/>
          <w:vertAlign w:val="superscript"/>
        </w:rPr>
        <w:t>[8</w:t>
      </w:r>
      <w:r>
        <w:rPr>
          <w:rFonts w:ascii="Calibri" w:eastAsia="Calibri" w:hAnsi="Calibri"/>
          <w:spacing w:val="-6"/>
          <w:vertAlign w:val="superscript"/>
        </w:rPr>
        <w:t xml:space="preserve">, </w:t>
      </w:r>
      <w:r>
        <w:rPr>
          <w:rFonts w:ascii="Calibri" w:eastAsia="Calibri" w:hAnsi="Calibri"/>
          <w:spacing w:val="-2"/>
          <w:vertAlign w:val="superscript"/>
        </w:rPr>
        <w:t>32-35]</w:t>
      </w:r>
      <w:r>
        <w:rPr>
          <w:spacing w:val="-2"/>
          <w:vertAlign w:val="baseline"/>
        </w:rPr>
        <w:t>。大样本研究显示，年龄大、男性、</w:t>
      </w:r>
      <w:r>
        <w:rPr>
          <w:rFonts w:ascii="Times New Roman" w:eastAsia="Times New Roman" w:hAnsi="Times New Roman"/>
          <w:spacing w:val="-2"/>
          <w:vertAlign w:val="baseline"/>
        </w:rPr>
        <w:t>ALT</w:t>
      </w:r>
      <w:r>
        <w:rPr>
          <w:spacing w:val="-2"/>
          <w:vertAlign w:val="baseline"/>
        </w:rPr>
        <w:t>水平高也是肝硬化</w:t>
      </w:r>
      <w:r>
        <w:rPr>
          <w:vertAlign w:val="baseline"/>
        </w:rPr>
        <w:t>和</w:t>
      </w:r>
      <w:r>
        <w:rPr>
          <w:rFonts w:ascii="Times New Roman" w:eastAsia="Times New Roman" w:hAnsi="Times New Roman"/>
          <w:vertAlign w:val="baseline"/>
        </w:rPr>
        <w:t>HCC</w:t>
      </w:r>
      <w:r>
        <w:rPr>
          <w:vertAlign w:val="baseline"/>
        </w:rPr>
        <w:t>发生的危险因素</w:t>
      </w:r>
      <w:r>
        <w:rPr>
          <w:rFonts w:ascii="Calibri" w:eastAsia="Calibri" w:hAnsi="Calibri"/>
          <w:vertAlign w:val="superscript"/>
        </w:rPr>
        <w:t>[25,</w:t>
      </w:r>
      <w:r>
        <w:rPr>
          <w:rFonts w:ascii="Calibri" w:eastAsia="Calibri" w:hAnsi="Calibri"/>
          <w:spacing w:val="-12"/>
          <w:vertAlign w:val="baseline"/>
        </w:rPr>
        <w:t xml:space="preserve"> </w:t>
      </w:r>
      <w:r>
        <w:rPr>
          <w:rFonts w:ascii="Calibri" w:eastAsia="Calibri" w:hAnsi="Calibri"/>
          <w:vertAlign w:val="superscript"/>
        </w:rPr>
        <w:t>33]</w:t>
      </w:r>
      <w:r>
        <w:rPr>
          <w:vertAlign w:val="baseline"/>
        </w:rPr>
        <w:t>。</w:t>
      </w:r>
      <w:r>
        <w:rPr>
          <w:rFonts w:ascii="Times New Roman" w:eastAsia="Times New Roman" w:hAnsi="Times New Roman"/>
          <w:vertAlign w:val="baseline"/>
        </w:rPr>
        <w:t>HCC</w:t>
      </w:r>
      <w:r>
        <w:rPr>
          <w:vertAlign w:val="baseline"/>
        </w:rPr>
        <w:t>家族史也是相关因素，但在同样的遗传背景下，</w:t>
      </w:r>
      <w:r>
        <w:rPr>
          <w:rFonts w:ascii="Times New Roman" w:eastAsia="Times New Roman" w:hAnsi="Times New Roman"/>
          <w:vertAlign w:val="baseline"/>
        </w:rPr>
        <w:t>HBV</w:t>
      </w:r>
      <w:r>
        <w:rPr>
          <w:vertAlign w:val="baseline"/>
        </w:rPr>
        <w:t>病毒载量更为重要</w:t>
      </w:r>
      <w:r>
        <w:rPr>
          <w:rFonts w:ascii="Calibri" w:eastAsia="Calibri" w:hAnsi="Calibri"/>
          <w:vertAlign w:val="superscript"/>
        </w:rPr>
        <w:t>[36]</w:t>
      </w:r>
      <w:r>
        <w:rPr>
          <w:rFonts w:ascii="Calibri" w:eastAsia="Calibri" w:hAnsi="Calibri"/>
          <w:spacing w:val="-13"/>
          <w:vertAlign w:val="baseline"/>
        </w:rPr>
        <w:t xml:space="preserve"> </w:t>
      </w:r>
      <w:r>
        <w:rPr>
          <w:rFonts w:ascii="Times New Roman" w:eastAsia="Times New Roman" w:hAnsi="Times New Roman"/>
          <w:vertAlign w:val="baseline"/>
        </w:rPr>
        <w:t>(</w:t>
      </w:r>
      <w:r>
        <w:rPr>
          <w:sz w:val="22"/>
          <w:vertAlign w:val="baseline"/>
        </w:rPr>
        <w:t>Ⅱ</w:t>
      </w:r>
      <w:r>
        <w:rPr>
          <w:rFonts w:ascii="Times New Roman" w:eastAsia="Times New Roman" w:hAnsi="Times New Roman"/>
          <w:i/>
          <w:vertAlign w:val="baseline"/>
        </w:rPr>
        <w:t>-3</w:t>
      </w:r>
      <w:r>
        <w:rPr>
          <w:rFonts w:ascii="Times New Roman" w:eastAsia="Times New Roman" w:hAnsi="Times New Roman"/>
          <w:vertAlign w:val="baseline"/>
        </w:rPr>
        <w:t>)</w:t>
      </w:r>
      <w:r>
        <w:rPr>
          <w:vertAlign w:val="baseline"/>
        </w:rPr>
        <w:t>。</w:t>
      </w:r>
    </w:p>
    <w:p>
      <w:pPr>
        <w:spacing w:before="76"/>
        <w:ind w:left="160" w:right="0" w:firstLine="0"/>
        <w:jc w:val="left"/>
        <w:rPr>
          <w:rFonts w:ascii="Microsoft JhengHei" w:eastAsia="Microsoft JhengHei"/>
          <w:b/>
          <w:sz w:val="21"/>
        </w:rPr>
      </w:pPr>
      <w:r>
        <w:rPr>
          <w:rFonts w:ascii="Microsoft JhengHei" w:eastAsia="Microsoft JhengHei"/>
          <w:b/>
          <w:sz w:val="21"/>
        </w:rPr>
        <w:t>四</w:t>
      </w:r>
      <w:r>
        <w:rPr>
          <w:sz w:val="21"/>
        </w:rPr>
        <w:t>、</w:t>
      </w:r>
      <w:r>
        <w:rPr>
          <w:rFonts w:ascii="Microsoft JhengHei" w:eastAsia="Microsoft JhengHei"/>
          <w:b/>
          <w:spacing w:val="-5"/>
          <w:sz w:val="21"/>
        </w:rPr>
        <w:t>预防</w:t>
      </w:r>
    </w:p>
    <w:p>
      <w:pPr>
        <w:pStyle w:val="Heading1"/>
        <w:spacing w:before="82"/>
      </w:pPr>
      <w:r>
        <w:t>（一）</w:t>
      </w:r>
      <w:r>
        <w:rPr>
          <w:spacing w:val="-2"/>
        </w:rPr>
        <w:t>乙型肝炎疫苗预防</w:t>
      </w:r>
    </w:p>
    <w:p>
      <w:pPr>
        <w:pStyle w:val="BodyText"/>
        <w:spacing w:before="151" w:line="417" w:lineRule="auto"/>
        <w:ind w:right="205" w:firstLine="539"/>
        <w:rPr>
          <w:rFonts w:ascii="Times New Roman" w:eastAsia="Times New Roman"/>
        </w:rPr>
      </w:pPr>
      <w:r>
        <w:rPr>
          <w:spacing w:val="-2"/>
        </w:rPr>
        <w:t xml:space="preserve">接种乙型肝炎疫苗是预防 </w:t>
      </w:r>
      <w:r>
        <w:rPr>
          <w:rFonts w:ascii="Times New Roman" w:eastAsia="Times New Roman"/>
        </w:rPr>
        <w:t xml:space="preserve">HBV </w:t>
      </w:r>
      <w:r>
        <w:t>感染的最有效方法。乙型肝炎疫苗的接种对象主要是新生儿</w:t>
      </w:r>
      <w:r>
        <w:rPr>
          <w:rFonts w:ascii="Calibri" w:eastAsia="Calibri"/>
          <w:vertAlign w:val="superscript"/>
        </w:rPr>
        <w:t>[37]</w:t>
      </w:r>
      <w:r>
        <w:rPr>
          <w:vertAlign w:val="baseline"/>
        </w:rPr>
        <w:t>，其次为婴幼儿，</w:t>
      </w:r>
      <w:r>
        <w:rPr>
          <w:rFonts w:ascii="Times New Roman" w:eastAsia="Times New Roman"/>
          <w:vertAlign w:val="baseline"/>
        </w:rPr>
        <w:t xml:space="preserve">15 </w:t>
      </w:r>
      <w:r>
        <w:rPr>
          <w:vertAlign w:val="baseline"/>
        </w:rPr>
        <w:t xml:space="preserve">岁以下未免疫人群和高危人群 </w:t>
      </w:r>
      <w:r>
        <w:rPr>
          <w:rFonts w:ascii="Times New Roman" w:eastAsia="Times New Roman"/>
          <w:vertAlign w:val="baseline"/>
        </w:rPr>
        <w:t>(</w:t>
      </w:r>
      <w:r>
        <w:rPr>
          <w:vertAlign w:val="baseline"/>
        </w:rPr>
        <w:t>如医务人员、经常接触血液</w:t>
      </w:r>
      <w:r>
        <w:rPr>
          <w:spacing w:val="-2"/>
          <w:vertAlign w:val="baseline"/>
        </w:rPr>
        <w:t>的人员、托幼机构工作人员、器官移植患者、经常接受输血或血液制品者、免疫功能低下</w:t>
      </w:r>
      <w:r>
        <w:rPr>
          <w:spacing w:val="40"/>
          <w:vertAlign w:val="baseline"/>
        </w:rPr>
        <w:t xml:space="preserve"> </w:t>
      </w:r>
      <w:r>
        <w:rPr>
          <w:vertAlign w:val="baseline"/>
        </w:rPr>
        <w:t>者、易发生外伤者、</w:t>
      </w:r>
      <w:r>
        <w:rPr>
          <w:rFonts w:ascii="Times New Roman" w:eastAsia="Times New Roman"/>
          <w:vertAlign w:val="baseline"/>
        </w:rPr>
        <w:t xml:space="preserve">HBsAg </w:t>
      </w:r>
      <w:r>
        <w:rPr>
          <w:vertAlign w:val="baseline"/>
        </w:rPr>
        <w:t>阳性者的家庭成员、男性同性恋或有多个性伴侣和静脉内注射</w:t>
      </w:r>
      <w:r>
        <w:rPr>
          <w:spacing w:val="-2"/>
          <w:vertAlign w:val="baseline"/>
        </w:rPr>
        <w:t>毒品者等</w:t>
      </w:r>
      <w:r>
        <w:rPr>
          <w:rFonts w:ascii="Times New Roman" w:eastAsia="Times New Roman"/>
          <w:spacing w:val="-2"/>
          <w:vertAlign w:val="baseline"/>
        </w:rPr>
        <w:t>)</w:t>
      </w:r>
      <w:r>
        <w:rPr>
          <w:spacing w:val="-6"/>
          <w:vertAlign w:val="baseline"/>
        </w:rPr>
        <w:t xml:space="preserve">。乙型肝炎疫苗全程需接种 </w:t>
      </w:r>
      <w:r>
        <w:rPr>
          <w:rFonts w:ascii="Times New Roman" w:eastAsia="Times New Roman"/>
          <w:spacing w:val="-2"/>
          <w:vertAlign w:val="baseline"/>
        </w:rPr>
        <w:t>3</w:t>
      </w:r>
      <w:r>
        <w:rPr>
          <w:rFonts w:ascii="Times New Roman" w:eastAsia="Times New Roman"/>
          <w:spacing w:val="-12"/>
          <w:vertAlign w:val="baseline"/>
        </w:rPr>
        <w:t xml:space="preserve"> </w:t>
      </w:r>
      <w:r>
        <w:rPr>
          <w:spacing w:val="-13"/>
          <w:vertAlign w:val="baseline"/>
        </w:rPr>
        <w:t xml:space="preserve">针，按照 </w:t>
      </w:r>
      <w:r>
        <w:rPr>
          <w:rFonts w:ascii="Times New Roman" w:eastAsia="Times New Roman"/>
          <w:spacing w:val="-2"/>
          <w:vertAlign w:val="baseline"/>
        </w:rPr>
        <w:t>0</w:t>
      </w:r>
      <w:r>
        <w:rPr>
          <w:spacing w:val="-2"/>
          <w:vertAlign w:val="baseline"/>
        </w:rPr>
        <w:t>、</w:t>
      </w:r>
      <w:r>
        <w:rPr>
          <w:rFonts w:ascii="Times New Roman" w:eastAsia="Times New Roman"/>
          <w:spacing w:val="-2"/>
          <w:vertAlign w:val="baseline"/>
        </w:rPr>
        <w:t>1</w:t>
      </w:r>
      <w:r>
        <w:rPr>
          <w:spacing w:val="-2"/>
          <w:vertAlign w:val="baseline"/>
        </w:rPr>
        <w:t>、</w:t>
      </w:r>
      <w:r>
        <w:rPr>
          <w:rFonts w:ascii="Times New Roman" w:eastAsia="Times New Roman"/>
          <w:spacing w:val="-2"/>
          <w:vertAlign w:val="baseline"/>
        </w:rPr>
        <w:t>6</w:t>
      </w:r>
      <w:r>
        <w:rPr>
          <w:rFonts w:ascii="Times New Roman" w:eastAsia="Times New Roman"/>
          <w:spacing w:val="-5"/>
          <w:vertAlign w:val="baseline"/>
        </w:rPr>
        <w:t xml:space="preserve"> </w:t>
      </w:r>
      <w:r>
        <w:rPr>
          <w:spacing w:val="-8"/>
          <w:vertAlign w:val="baseline"/>
        </w:rPr>
        <w:t xml:space="preserve">个月程序，即接种第 </w:t>
      </w:r>
      <w:r>
        <w:rPr>
          <w:rFonts w:ascii="Times New Roman" w:eastAsia="Times New Roman"/>
          <w:spacing w:val="-2"/>
          <w:vertAlign w:val="baseline"/>
        </w:rPr>
        <w:t>1</w:t>
      </w:r>
      <w:r>
        <w:rPr>
          <w:rFonts w:ascii="Times New Roman" w:eastAsia="Times New Roman"/>
          <w:spacing w:val="-3"/>
          <w:vertAlign w:val="baseline"/>
        </w:rPr>
        <w:t xml:space="preserve"> </w:t>
      </w:r>
      <w:r>
        <w:rPr>
          <w:spacing w:val="-2"/>
          <w:vertAlign w:val="baseline"/>
        </w:rPr>
        <w:t>针疫苗后，</w:t>
      </w:r>
      <w:r>
        <w:rPr>
          <w:spacing w:val="-13"/>
          <w:vertAlign w:val="baseline"/>
        </w:rPr>
        <w:t xml:space="preserve">间隔 </w:t>
      </w:r>
      <w:r>
        <w:rPr>
          <w:rFonts w:ascii="Times New Roman" w:eastAsia="Times New Roman"/>
          <w:vertAlign w:val="baseline"/>
        </w:rPr>
        <w:t xml:space="preserve">1 </w:t>
      </w:r>
      <w:r>
        <w:rPr>
          <w:spacing w:val="-10"/>
          <w:vertAlign w:val="baseline"/>
        </w:rPr>
        <w:t xml:space="preserve">个月及 </w:t>
      </w:r>
      <w:r>
        <w:rPr>
          <w:rFonts w:ascii="Times New Roman" w:eastAsia="Times New Roman"/>
          <w:vertAlign w:val="baseline"/>
        </w:rPr>
        <w:t xml:space="preserve">6 </w:t>
      </w:r>
      <w:r>
        <w:rPr>
          <w:spacing w:val="-7"/>
          <w:vertAlign w:val="baseline"/>
        </w:rPr>
        <w:t xml:space="preserve">个月注射第 </w:t>
      </w:r>
      <w:r>
        <w:rPr>
          <w:rFonts w:ascii="Times New Roman" w:eastAsia="Times New Roman"/>
          <w:vertAlign w:val="baseline"/>
        </w:rPr>
        <w:t xml:space="preserve">2 </w:t>
      </w:r>
      <w:r>
        <w:rPr>
          <w:spacing w:val="-13"/>
          <w:vertAlign w:val="baseline"/>
        </w:rPr>
        <w:t xml:space="preserve">及第 </w:t>
      </w:r>
      <w:r>
        <w:rPr>
          <w:rFonts w:ascii="Times New Roman" w:eastAsia="Times New Roman"/>
          <w:vertAlign w:val="baseline"/>
        </w:rPr>
        <w:t xml:space="preserve">3 </w:t>
      </w:r>
      <w:r>
        <w:rPr>
          <w:spacing w:val="-2"/>
          <w:vertAlign w:val="baseline"/>
        </w:rPr>
        <w:t xml:space="preserve">针疫苗。新生儿接种乙型肝炎疫苗要求在出生后 </w:t>
      </w:r>
      <w:r>
        <w:rPr>
          <w:rFonts w:ascii="Times New Roman" w:eastAsia="Times New Roman"/>
          <w:vertAlign w:val="baseline"/>
        </w:rPr>
        <w:t>24 h</w:t>
      </w:r>
    </w:p>
    <w:p>
      <w:pPr>
        <w:spacing w:after="0" w:line="417" w:lineRule="auto"/>
        <w:rPr>
          <w:rFonts w:ascii="Times New Roman" w:eastAsia="Times New Roman"/>
        </w:rPr>
        <w:sectPr>
          <w:footerReference w:type="default" r:id="rId6"/>
          <w:pgSz w:w="11910" w:h="16840"/>
          <w:pgMar w:top="1460" w:right="1500" w:bottom="1380" w:left="1640" w:header="0" w:footer="1189"/>
          <w:pgNumType w:start="3"/>
          <w:cols w:space="708"/>
        </w:sectPr>
      </w:pPr>
    </w:p>
    <w:p>
      <w:pPr>
        <w:pStyle w:val="BodyText"/>
        <w:spacing w:before="43" w:line="417" w:lineRule="auto"/>
        <w:ind w:right="415"/>
      </w:pPr>
      <w:r>
        <w:rPr>
          <w:spacing w:val="-2"/>
        </w:rPr>
        <w:t>内接种，越早越好。接种部位新生儿为臀前部外侧肌肉内，儿童和成人为上臂三角肌中部</w:t>
      </w:r>
      <w:r>
        <w:rPr>
          <w:spacing w:val="-2"/>
        </w:rPr>
        <w:t>肌肉内注射。</w:t>
      </w:r>
    </w:p>
    <w:p>
      <w:pPr>
        <w:spacing w:before="0" w:line="408" w:lineRule="auto"/>
        <w:ind w:left="160" w:right="309" w:firstLine="539"/>
        <w:jc w:val="both"/>
        <w:rPr>
          <w:sz w:val="21"/>
        </w:rPr>
      </w:pPr>
      <w:r>
        <w:rPr>
          <w:spacing w:val="-4"/>
          <w:sz w:val="21"/>
        </w:rPr>
        <w:t xml:space="preserve">单用乙型肝炎疫苗阻断母婴传播的阻断率为 </w:t>
      </w:r>
      <w:r>
        <w:rPr>
          <w:rFonts w:ascii="Times New Roman" w:eastAsia="Times New Roman" w:hAnsi="Times New Roman"/>
          <w:spacing w:val="-2"/>
          <w:sz w:val="21"/>
        </w:rPr>
        <w:t>87.8%</w:t>
      </w:r>
      <w:r>
        <w:rPr>
          <w:rFonts w:ascii="Calibri" w:eastAsia="Calibri" w:hAnsi="Calibri"/>
          <w:spacing w:val="-2"/>
          <w:position w:val="6"/>
          <w:sz w:val="14"/>
        </w:rPr>
        <w:t>[38]</w:t>
      </w:r>
      <w:r>
        <w:rPr>
          <w:rFonts w:ascii="Calibri" w:eastAsia="Calibri" w:hAnsi="Calibri"/>
          <w:spacing w:val="1"/>
          <w:position w:val="6"/>
          <w:sz w:val="14"/>
        </w:rPr>
        <w:t xml:space="preserve"> </w:t>
      </w:r>
      <w:r>
        <w:rPr>
          <w:rFonts w:ascii="Times New Roman" w:eastAsia="Times New Roman" w:hAnsi="Times New Roman"/>
          <w:spacing w:val="-2"/>
          <w:sz w:val="21"/>
        </w:rPr>
        <w:t>(</w:t>
      </w:r>
      <w:r>
        <w:rPr>
          <w:spacing w:val="-2"/>
          <w:sz w:val="22"/>
        </w:rPr>
        <w:t>Ⅱ</w:t>
      </w:r>
      <w:r>
        <w:rPr>
          <w:rFonts w:ascii="Times New Roman" w:eastAsia="Times New Roman" w:hAnsi="Times New Roman"/>
          <w:i/>
          <w:spacing w:val="-2"/>
          <w:sz w:val="21"/>
        </w:rPr>
        <w:t>-3</w:t>
      </w:r>
      <w:r>
        <w:rPr>
          <w:rFonts w:ascii="Times New Roman" w:eastAsia="Times New Roman" w:hAnsi="Times New Roman"/>
          <w:spacing w:val="-2"/>
          <w:sz w:val="21"/>
        </w:rPr>
        <w:t>)</w:t>
      </w:r>
      <w:r>
        <w:rPr>
          <w:spacing w:val="-27"/>
          <w:sz w:val="21"/>
        </w:rPr>
        <w:t xml:space="preserve">。对 </w:t>
      </w:r>
      <w:r>
        <w:rPr>
          <w:rFonts w:ascii="Times New Roman" w:eastAsia="Times New Roman" w:hAnsi="Times New Roman"/>
          <w:spacing w:val="-2"/>
          <w:sz w:val="21"/>
        </w:rPr>
        <w:t>HBsAg</w:t>
      </w:r>
      <w:r>
        <w:rPr>
          <w:rFonts w:ascii="Times New Roman" w:eastAsia="Times New Roman" w:hAnsi="Times New Roman"/>
          <w:spacing w:val="12"/>
          <w:sz w:val="21"/>
        </w:rPr>
        <w:t xml:space="preserve"> </w:t>
      </w:r>
      <w:r>
        <w:rPr>
          <w:spacing w:val="-2"/>
          <w:sz w:val="21"/>
        </w:rPr>
        <w:t>阳性母亲的新</w:t>
      </w:r>
      <w:r>
        <w:rPr>
          <w:spacing w:val="-5"/>
          <w:sz w:val="21"/>
        </w:rPr>
        <w:t xml:space="preserve">生儿，应在出生后 </w:t>
      </w:r>
      <w:r>
        <w:rPr>
          <w:rFonts w:ascii="Times New Roman" w:eastAsia="Times New Roman" w:hAnsi="Times New Roman"/>
          <w:spacing w:val="-2"/>
          <w:sz w:val="21"/>
        </w:rPr>
        <w:t>24</w:t>
      </w:r>
      <w:r>
        <w:rPr>
          <w:rFonts w:ascii="Times New Roman" w:eastAsia="Times New Roman" w:hAnsi="Times New Roman"/>
          <w:spacing w:val="-11"/>
          <w:sz w:val="21"/>
        </w:rPr>
        <w:t xml:space="preserve"> </w:t>
      </w:r>
      <w:r>
        <w:rPr>
          <w:rFonts w:ascii="Times New Roman" w:eastAsia="Times New Roman" w:hAnsi="Times New Roman"/>
          <w:spacing w:val="-2"/>
          <w:sz w:val="21"/>
        </w:rPr>
        <w:t>h</w:t>
      </w:r>
      <w:r>
        <w:rPr>
          <w:rFonts w:ascii="Times New Roman" w:eastAsia="Times New Roman" w:hAnsi="Times New Roman"/>
          <w:spacing w:val="-11"/>
          <w:sz w:val="21"/>
        </w:rPr>
        <w:t xml:space="preserve"> </w:t>
      </w:r>
      <w:r>
        <w:rPr>
          <w:spacing w:val="-2"/>
          <w:sz w:val="21"/>
        </w:rPr>
        <w:t>内尽早（</w:t>
      </w:r>
      <w:r>
        <w:rPr>
          <w:spacing w:val="-6"/>
          <w:sz w:val="21"/>
        </w:rPr>
        <w:t xml:space="preserve">最好在出生后 </w:t>
      </w:r>
      <w:r>
        <w:rPr>
          <w:rFonts w:ascii="Times New Roman" w:eastAsia="Times New Roman" w:hAnsi="Times New Roman"/>
          <w:spacing w:val="-2"/>
          <w:sz w:val="21"/>
        </w:rPr>
        <w:t>12</w:t>
      </w:r>
      <w:r>
        <w:rPr>
          <w:rFonts w:ascii="Times New Roman" w:eastAsia="Times New Roman" w:hAnsi="Times New Roman"/>
          <w:spacing w:val="-11"/>
          <w:sz w:val="21"/>
        </w:rPr>
        <w:t xml:space="preserve"> </w:t>
      </w:r>
      <w:r>
        <w:rPr>
          <w:rFonts w:ascii="Times New Roman" w:eastAsia="Times New Roman" w:hAnsi="Times New Roman"/>
          <w:spacing w:val="-2"/>
          <w:sz w:val="21"/>
        </w:rPr>
        <w:t>h</w:t>
      </w:r>
      <w:r>
        <w:rPr>
          <w:spacing w:val="-2"/>
          <w:sz w:val="21"/>
        </w:rPr>
        <w:t>）</w:t>
      </w:r>
      <w:r>
        <w:rPr>
          <w:spacing w:val="-4"/>
          <w:sz w:val="21"/>
        </w:rPr>
        <w:t xml:space="preserve">注射乙型肝炎免疫球蛋白 </w:t>
      </w:r>
      <w:r>
        <w:rPr>
          <w:rFonts w:ascii="Times New Roman" w:eastAsia="Times New Roman" w:hAnsi="Times New Roman"/>
          <w:spacing w:val="-2"/>
          <w:sz w:val="21"/>
        </w:rPr>
        <w:t>(HBIG)</w:t>
      </w:r>
      <w:r>
        <w:rPr>
          <w:spacing w:val="-2"/>
          <w:sz w:val="21"/>
        </w:rPr>
        <w:t>，剂</w:t>
      </w:r>
      <w:r>
        <w:rPr>
          <w:sz w:val="21"/>
        </w:rPr>
        <w:t>量应</w:t>
      </w:r>
      <w:r>
        <w:rPr>
          <w:rFonts w:ascii="Times New Roman" w:eastAsia="Times New Roman" w:hAnsi="Times New Roman"/>
          <w:sz w:val="21"/>
        </w:rPr>
        <w:t>≥100</w:t>
      </w:r>
      <w:r>
        <w:rPr>
          <w:rFonts w:ascii="Times New Roman" w:eastAsia="Times New Roman" w:hAnsi="Times New Roman"/>
          <w:spacing w:val="-14"/>
          <w:sz w:val="21"/>
        </w:rPr>
        <w:t xml:space="preserve"> </w:t>
      </w:r>
      <w:r>
        <w:rPr>
          <w:rFonts w:ascii="Times New Roman" w:eastAsia="Times New Roman" w:hAnsi="Times New Roman"/>
          <w:sz w:val="21"/>
        </w:rPr>
        <w:t>IU</w:t>
      </w:r>
      <w:r>
        <w:rPr>
          <w:spacing w:val="-3"/>
          <w:sz w:val="21"/>
        </w:rPr>
        <w:t xml:space="preserve">，同时在不同部位接种 </w:t>
      </w:r>
      <w:r>
        <w:rPr>
          <w:rFonts w:ascii="Times New Roman" w:eastAsia="Times New Roman" w:hAnsi="Times New Roman"/>
          <w:sz w:val="21"/>
        </w:rPr>
        <w:t>10</w:t>
      </w:r>
      <w:r>
        <w:rPr>
          <w:rFonts w:ascii="Times New Roman" w:eastAsia="Times New Roman" w:hAnsi="Times New Roman"/>
          <w:spacing w:val="-13"/>
          <w:sz w:val="21"/>
        </w:rPr>
        <w:t xml:space="preserve"> </w:t>
      </w:r>
      <w:r>
        <w:rPr>
          <w:rFonts w:ascii="Times New Roman" w:eastAsia="Times New Roman" w:hAnsi="Times New Roman"/>
          <w:sz w:val="21"/>
        </w:rPr>
        <w:t>μg</w:t>
      </w:r>
      <w:r>
        <w:rPr>
          <w:rFonts w:ascii="Times New Roman" w:eastAsia="Times New Roman" w:hAnsi="Times New Roman"/>
          <w:spacing w:val="-13"/>
          <w:sz w:val="21"/>
        </w:rPr>
        <w:t xml:space="preserve"> </w:t>
      </w:r>
      <w:r>
        <w:rPr>
          <w:spacing w:val="-5"/>
          <w:sz w:val="21"/>
        </w:rPr>
        <w:t xml:space="preserve">重组酵母或 </w:t>
      </w:r>
      <w:r>
        <w:rPr>
          <w:rFonts w:ascii="Times New Roman" w:eastAsia="Times New Roman" w:hAnsi="Times New Roman"/>
          <w:sz w:val="21"/>
        </w:rPr>
        <w:t>20μg</w:t>
      </w:r>
      <w:r>
        <w:rPr>
          <w:rFonts w:ascii="Times New Roman" w:eastAsia="Times New Roman" w:hAnsi="Times New Roman"/>
          <w:spacing w:val="-13"/>
          <w:sz w:val="21"/>
        </w:rPr>
        <w:t xml:space="preserve"> </w:t>
      </w:r>
      <w:r>
        <w:rPr>
          <w:spacing w:val="-3"/>
          <w:sz w:val="21"/>
        </w:rPr>
        <w:t xml:space="preserve">中国仓鼠卵母细胞 </w:t>
      </w:r>
      <w:r>
        <w:rPr>
          <w:rFonts w:ascii="Times New Roman" w:eastAsia="Times New Roman" w:hAnsi="Times New Roman"/>
          <w:sz w:val="21"/>
        </w:rPr>
        <w:t>(CHO)</w:t>
      </w:r>
      <w:r>
        <w:rPr>
          <w:rFonts w:ascii="Times New Roman" w:eastAsia="Times New Roman" w:hAnsi="Times New Roman"/>
          <w:spacing w:val="40"/>
          <w:sz w:val="21"/>
        </w:rPr>
        <w:t xml:space="preserve"> </w:t>
      </w:r>
      <w:r>
        <w:rPr>
          <w:sz w:val="21"/>
        </w:rPr>
        <w:t>乙型</w:t>
      </w:r>
      <w:r>
        <w:rPr>
          <w:spacing w:val="-9"/>
          <w:sz w:val="21"/>
        </w:rPr>
        <w:t xml:space="preserve">肝炎疫苗，在 </w:t>
      </w:r>
      <w:r>
        <w:rPr>
          <w:spacing w:val="-2"/>
          <w:sz w:val="24"/>
        </w:rPr>
        <w:t>1</w:t>
      </w:r>
      <w:r>
        <w:rPr>
          <w:spacing w:val="-23"/>
          <w:sz w:val="24"/>
        </w:rPr>
        <w:t xml:space="preserve"> 个月和 </w:t>
      </w:r>
      <w:r>
        <w:rPr>
          <w:spacing w:val="-2"/>
          <w:sz w:val="24"/>
        </w:rPr>
        <w:t>6</w:t>
      </w:r>
      <w:r>
        <w:rPr>
          <w:spacing w:val="-15"/>
          <w:sz w:val="24"/>
        </w:rPr>
        <w:t xml:space="preserve"> 个月时分别接种第 </w:t>
      </w:r>
      <w:r>
        <w:rPr>
          <w:spacing w:val="-2"/>
          <w:sz w:val="24"/>
        </w:rPr>
        <w:t>2</w:t>
      </w:r>
      <w:r>
        <w:rPr>
          <w:spacing w:val="-28"/>
          <w:sz w:val="24"/>
        </w:rPr>
        <w:t xml:space="preserve"> 和第 </w:t>
      </w:r>
      <w:r>
        <w:rPr>
          <w:spacing w:val="-2"/>
          <w:sz w:val="24"/>
        </w:rPr>
        <w:t>3</w:t>
      </w:r>
      <w:r>
        <w:rPr>
          <w:spacing w:val="-10"/>
          <w:sz w:val="24"/>
        </w:rPr>
        <w:t xml:space="preserve"> 针乙型肝炎疫苗，</w:t>
      </w:r>
      <w:r>
        <w:rPr>
          <w:spacing w:val="-4"/>
          <w:sz w:val="21"/>
        </w:rPr>
        <w:t>可显著提高</w:t>
      </w:r>
    </w:p>
    <w:p>
      <w:pPr>
        <w:pStyle w:val="BodyText"/>
        <w:spacing w:line="282" w:lineRule="exact"/>
        <w:jc w:val="both"/>
      </w:pPr>
      <w:r>
        <w:t>阻断母婴传播的效果</w:t>
      </w:r>
      <w:r>
        <w:rPr>
          <w:rFonts w:ascii="Calibri" w:eastAsia="Calibri" w:hAnsi="Calibri"/>
          <w:vertAlign w:val="superscript"/>
        </w:rPr>
        <w:t>[37,</w:t>
      </w:r>
      <w:r>
        <w:rPr>
          <w:rFonts w:ascii="Calibri" w:eastAsia="Calibri" w:hAnsi="Calibri"/>
          <w:spacing w:val="-16"/>
          <w:vertAlign w:val="baseline"/>
        </w:rPr>
        <w:t xml:space="preserve"> </w:t>
      </w:r>
      <w:r>
        <w:rPr>
          <w:rFonts w:ascii="Calibri" w:eastAsia="Calibri" w:hAnsi="Calibri"/>
          <w:vertAlign w:val="superscript"/>
        </w:rPr>
        <w:t>38]</w:t>
      </w:r>
      <w:r>
        <w:rPr>
          <w:rFonts w:ascii="Calibri" w:eastAsia="Calibri" w:hAnsi="Calibri"/>
          <w:spacing w:val="-9"/>
          <w:vertAlign w:val="baseline"/>
        </w:rPr>
        <w:t xml:space="preserve"> </w:t>
      </w:r>
      <w:r>
        <w:rPr>
          <w:rFonts w:ascii="Times New Roman" w:eastAsia="Times New Roman" w:hAnsi="Times New Roman"/>
          <w:b/>
          <w:i/>
          <w:vertAlign w:val="baseline"/>
        </w:rPr>
        <w:t>(</w:t>
      </w:r>
      <w:r>
        <w:rPr>
          <w:rFonts w:ascii="Malgun Gothic" w:eastAsia="Malgun Gothic" w:hAnsi="Malgun Gothic"/>
          <w:b/>
          <w:sz w:val="22"/>
          <w:vertAlign w:val="baseline"/>
        </w:rPr>
        <w:t>Ⅱ</w:t>
      </w:r>
      <w:r>
        <w:rPr>
          <w:rFonts w:ascii="Times New Roman" w:eastAsia="Times New Roman" w:hAnsi="Times New Roman"/>
          <w:b/>
          <w:i/>
          <w:vertAlign w:val="baseline"/>
        </w:rPr>
        <w:t>-3)</w:t>
      </w:r>
      <w:r>
        <w:rPr>
          <w:spacing w:val="-7"/>
          <w:vertAlign w:val="baseline"/>
        </w:rPr>
        <w:t xml:space="preserve">。也可在出生后 </w:t>
      </w:r>
      <w:r>
        <w:rPr>
          <w:rFonts w:ascii="Times New Roman" w:eastAsia="Times New Roman" w:hAnsi="Times New Roman"/>
          <w:vertAlign w:val="baseline"/>
        </w:rPr>
        <w:t>12</w:t>
      </w:r>
      <w:r>
        <w:rPr>
          <w:rFonts w:ascii="Times New Roman" w:eastAsia="Times New Roman" w:hAnsi="Times New Roman"/>
          <w:spacing w:val="-2"/>
          <w:vertAlign w:val="baseline"/>
        </w:rPr>
        <w:t xml:space="preserve"> </w:t>
      </w:r>
      <w:r>
        <w:rPr>
          <w:rFonts w:ascii="Times New Roman" w:eastAsia="Times New Roman" w:hAnsi="Times New Roman"/>
          <w:vertAlign w:val="baseline"/>
        </w:rPr>
        <w:t>h</w:t>
      </w:r>
      <w:r>
        <w:rPr>
          <w:rFonts w:ascii="Times New Roman" w:eastAsia="Times New Roman" w:hAnsi="Times New Roman"/>
          <w:spacing w:val="-3"/>
          <w:vertAlign w:val="baseline"/>
        </w:rPr>
        <w:t xml:space="preserve"> </w:t>
      </w:r>
      <w:r>
        <w:rPr>
          <w:spacing w:val="-11"/>
          <w:vertAlign w:val="baseline"/>
        </w:rPr>
        <w:t xml:space="preserve">内先注射 </w:t>
      </w:r>
      <w:r>
        <w:rPr>
          <w:rFonts w:ascii="Times New Roman" w:eastAsia="Times New Roman" w:hAnsi="Times New Roman"/>
          <w:vertAlign w:val="baseline"/>
        </w:rPr>
        <w:t>1</w:t>
      </w:r>
      <w:r>
        <w:rPr>
          <w:rFonts w:ascii="Times New Roman" w:eastAsia="Times New Roman" w:hAnsi="Times New Roman"/>
          <w:spacing w:val="-3"/>
          <w:vertAlign w:val="baseline"/>
        </w:rPr>
        <w:t xml:space="preserve"> </w:t>
      </w:r>
      <w:r>
        <w:rPr>
          <w:spacing w:val="-27"/>
          <w:vertAlign w:val="baseline"/>
        </w:rPr>
        <w:t xml:space="preserve">针 </w:t>
      </w:r>
      <w:r>
        <w:rPr>
          <w:rFonts w:ascii="Times New Roman" w:eastAsia="Times New Roman" w:hAnsi="Times New Roman"/>
          <w:vertAlign w:val="baseline"/>
        </w:rPr>
        <w:t>HBIG</w:t>
      </w:r>
      <w:r>
        <w:rPr>
          <w:vertAlign w:val="baseline"/>
        </w:rPr>
        <w:t>，</w:t>
      </w:r>
      <w:r>
        <w:rPr>
          <w:rFonts w:ascii="Times New Roman" w:eastAsia="Times New Roman" w:hAnsi="Times New Roman"/>
          <w:vertAlign w:val="baseline"/>
        </w:rPr>
        <w:t>1</w:t>
      </w:r>
      <w:r>
        <w:rPr>
          <w:rFonts w:ascii="Times New Roman" w:eastAsia="Times New Roman" w:hAnsi="Times New Roman"/>
          <w:spacing w:val="-2"/>
          <w:vertAlign w:val="baseline"/>
        </w:rPr>
        <w:t xml:space="preserve"> </w:t>
      </w:r>
      <w:r>
        <w:rPr>
          <w:spacing w:val="-2"/>
          <w:vertAlign w:val="baseline"/>
        </w:rPr>
        <w:t>个月后再注射</w:t>
      </w:r>
    </w:p>
    <w:p>
      <w:pPr>
        <w:pStyle w:val="BodyText"/>
        <w:spacing w:before="141" w:line="417" w:lineRule="auto"/>
        <w:ind w:right="334"/>
        <w:jc w:val="both"/>
      </w:pPr>
      <w:r>
        <w:rPr>
          <w:spacing w:val="-14"/>
        </w:rPr>
        <w:t xml:space="preserve">第 </w:t>
      </w:r>
      <w:r>
        <w:rPr>
          <w:rFonts w:ascii="Times New Roman" w:eastAsia="Times New Roman" w:hAnsi="Times New Roman"/>
          <w:spacing w:val="-2"/>
        </w:rPr>
        <w:t>2</w:t>
      </w:r>
      <w:r>
        <w:rPr>
          <w:rFonts w:ascii="Times New Roman" w:eastAsia="Times New Roman" w:hAnsi="Times New Roman"/>
          <w:spacing w:val="-11"/>
        </w:rPr>
        <w:t xml:space="preserve"> </w:t>
      </w:r>
      <w:r>
        <w:rPr>
          <w:spacing w:val="-13"/>
        </w:rPr>
        <w:t xml:space="preserve">针 </w:t>
      </w:r>
      <w:r>
        <w:rPr>
          <w:rFonts w:ascii="Times New Roman" w:eastAsia="Times New Roman" w:hAnsi="Times New Roman"/>
          <w:spacing w:val="-2"/>
        </w:rPr>
        <w:t>HBIG</w:t>
      </w:r>
      <w:r>
        <w:rPr>
          <w:spacing w:val="-4"/>
        </w:rPr>
        <w:t xml:space="preserve">，并同时在不同部位接种一针 </w:t>
      </w:r>
      <w:r>
        <w:rPr>
          <w:rFonts w:ascii="Times New Roman" w:eastAsia="Times New Roman" w:hAnsi="Times New Roman"/>
          <w:spacing w:val="-2"/>
        </w:rPr>
        <w:t>10</w:t>
      </w:r>
      <w:r>
        <w:rPr>
          <w:rFonts w:ascii="Times New Roman" w:eastAsia="Times New Roman" w:hAnsi="Times New Roman"/>
          <w:spacing w:val="-11"/>
        </w:rPr>
        <w:t xml:space="preserve"> </w:t>
      </w:r>
      <w:r>
        <w:rPr>
          <w:rFonts w:ascii="Times New Roman" w:eastAsia="Times New Roman" w:hAnsi="Times New Roman"/>
          <w:spacing w:val="-2"/>
        </w:rPr>
        <w:t>μg</w:t>
      </w:r>
      <w:r>
        <w:rPr>
          <w:rFonts w:ascii="Times New Roman" w:eastAsia="Times New Roman" w:hAnsi="Times New Roman"/>
          <w:spacing w:val="-12"/>
        </w:rPr>
        <w:t xml:space="preserve"> </w:t>
      </w:r>
      <w:r>
        <w:rPr>
          <w:spacing w:val="-6"/>
        </w:rPr>
        <w:t xml:space="preserve">重组酵母或 </w:t>
      </w:r>
      <w:r>
        <w:rPr>
          <w:rFonts w:ascii="Times New Roman" w:eastAsia="Times New Roman" w:hAnsi="Times New Roman"/>
          <w:spacing w:val="-2"/>
        </w:rPr>
        <w:t>20μg</w:t>
      </w:r>
      <w:r>
        <w:rPr>
          <w:rFonts w:ascii="Times New Roman" w:eastAsia="Times New Roman" w:hAnsi="Times New Roman"/>
          <w:spacing w:val="-11"/>
        </w:rPr>
        <w:t xml:space="preserve"> </w:t>
      </w:r>
      <w:r>
        <w:rPr>
          <w:rFonts w:ascii="Times New Roman" w:eastAsia="Times New Roman" w:hAnsi="Times New Roman"/>
          <w:spacing w:val="-2"/>
        </w:rPr>
        <w:t>CHO</w:t>
      </w:r>
      <w:r>
        <w:rPr>
          <w:rFonts w:ascii="Times New Roman" w:eastAsia="Times New Roman" w:hAnsi="Times New Roman"/>
          <w:spacing w:val="-11"/>
        </w:rPr>
        <w:t xml:space="preserve"> </w:t>
      </w:r>
      <w:r>
        <w:rPr>
          <w:spacing w:val="-2"/>
        </w:rPr>
        <w:t>乙型肝炎疫苗，间</w:t>
      </w:r>
      <w:r>
        <w:rPr>
          <w:spacing w:val="-27"/>
        </w:rPr>
        <w:t xml:space="preserve">隔 </w:t>
      </w:r>
      <w:r>
        <w:rPr>
          <w:rFonts w:ascii="Times New Roman" w:eastAsia="Times New Roman" w:hAnsi="Times New Roman"/>
        </w:rPr>
        <w:t>1</w:t>
      </w:r>
      <w:r>
        <w:rPr>
          <w:rFonts w:ascii="Times New Roman" w:eastAsia="Times New Roman" w:hAnsi="Times New Roman"/>
          <w:spacing w:val="-3"/>
        </w:rPr>
        <w:t xml:space="preserve"> </w:t>
      </w:r>
      <w:r>
        <w:rPr>
          <w:spacing w:val="-27"/>
        </w:rPr>
        <w:t xml:space="preserve">和 </w:t>
      </w:r>
      <w:r>
        <w:rPr>
          <w:rFonts w:ascii="Times New Roman" w:eastAsia="Times New Roman" w:hAnsi="Times New Roman"/>
        </w:rPr>
        <w:t xml:space="preserve">6 </w:t>
      </w:r>
      <w:r>
        <w:rPr>
          <w:spacing w:val="-7"/>
        </w:rPr>
        <w:t xml:space="preserve">个月分别接种第 </w:t>
      </w:r>
      <w:r>
        <w:rPr>
          <w:rFonts w:ascii="Times New Roman" w:eastAsia="Times New Roman" w:hAnsi="Times New Roman"/>
        </w:rPr>
        <w:t xml:space="preserve">2 </w:t>
      </w:r>
      <w:r>
        <w:rPr>
          <w:spacing w:val="-18"/>
        </w:rPr>
        <w:t xml:space="preserve">和第 </w:t>
      </w:r>
      <w:r>
        <w:rPr>
          <w:rFonts w:ascii="Times New Roman" w:eastAsia="Times New Roman" w:hAnsi="Times New Roman"/>
        </w:rPr>
        <w:t>3</w:t>
      </w:r>
      <w:r>
        <w:rPr>
          <w:rFonts w:ascii="Times New Roman" w:eastAsia="Times New Roman" w:hAnsi="Times New Roman"/>
          <w:spacing w:val="-1"/>
        </w:rPr>
        <w:t xml:space="preserve"> </w:t>
      </w:r>
      <w:r>
        <w:t>针乙型肝炎疫苗</w:t>
      </w:r>
      <w:r>
        <w:rPr>
          <w:rFonts w:ascii="Calibri" w:eastAsia="Calibri" w:hAnsi="Calibri"/>
          <w:vertAlign w:val="superscript"/>
        </w:rPr>
        <w:t>[39]</w:t>
      </w:r>
      <w:r>
        <w:rPr>
          <w:spacing w:val="-7"/>
          <w:vertAlign w:val="baseline"/>
        </w:rPr>
        <w:t xml:space="preserve">。新生儿在出生 </w:t>
      </w:r>
      <w:r>
        <w:rPr>
          <w:rFonts w:ascii="Times New Roman" w:eastAsia="Times New Roman" w:hAnsi="Times New Roman"/>
          <w:vertAlign w:val="baseline"/>
        </w:rPr>
        <w:t xml:space="preserve">12 h </w:t>
      </w:r>
      <w:r>
        <w:rPr>
          <w:spacing w:val="-14"/>
          <w:vertAlign w:val="baseline"/>
        </w:rPr>
        <w:t xml:space="preserve">内注射 </w:t>
      </w:r>
      <w:r>
        <w:rPr>
          <w:rFonts w:ascii="Times New Roman" w:eastAsia="Times New Roman" w:hAnsi="Times New Roman"/>
          <w:vertAlign w:val="baseline"/>
        </w:rPr>
        <w:t>HBIG</w:t>
      </w:r>
      <w:r>
        <w:rPr>
          <w:rFonts w:ascii="Times New Roman" w:eastAsia="Times New Roman" w:hAnsi="Times New Roman"/>
          <w:spacing w:val="-1"/>
          <w:vertAlign w:val="baseline"/>
        </w:rPr>
        <w:t xml:space="preserve"> </w:t>
      </w:r>
      <w:r>
        <w:rPr>
          <w:spacing w:val="-10"/>
          <w:vertAlign w:val="baseline"/>
        </w:rPr>
        <w:t>和</w:t>
      </w:r>
    </w:p>
    <w:p>
      <w:pPr>
        <w:pStyle w:val="BodyText"/>
        <w:spacing w:line="316" w:lineRule="exact"/>
        <w:jc w:val="both"/>
        <w:rPr>
          <w:rFonts w:ascii="Malgun Gothic" w:eastAsia="Malgun Gothic"/>
          <w:b/>
          <w:sz w:val="22"/>
        </w:rPr>
      </w:pPr>
      <w:r>
        <w:rPr>
          <w:spacing w:val="-5"/>
        </w:rPr>
        <w:t xml:space="preserve">乙型肝炎疫苗后，可接受 </w:t>
      </w:r>
      <w:r>
        <w:rPr>
          <w:rFonts w:ascii="Times New Roman" w:eastAsia="Times New Roman"/>
        </w:rPr>
        <w:t>HBsAg</w:t>
      </w:r>
      <w:r>
        <w:rPr>
          <w:rFonts w:ascii="Times New Roman" w:eastAsia="Times New Roman"/>
          <w:spacing w:val="-5"/>
        </w:rPr>
        <w:t xml:space="preserve"> </w:t>
      </w:r>
      <w:r>
        <w:t>阳性母亲的哺乳</w:t>
      </w:r>
      <w:r>
        <w:rPr>
          <w:rFonts w:ascii="Calibri" w:eastAsia="Calibri"/>
          <w:vertAlign w:val="superscript"/>
        </w:rPr>
        <w:t>[40,</w:t>
      </w:r>
      <w:r>
        <w:rPr>
          <w:rFonts w:ascii="Calibri" w:eastAsia="Calibri"/>
          <w:spacing w:val="-16"/>
          <w:vertAlign w:val="baseline"/>
        </w:rPr>
        <w:t xml:space="preserve"> </w:t>
      </w:r>
      <w:r>
        <w:rPr>
          <w:rFonts w:ascii="Calibri" w:eastAsia="Calibri"/>
          <w:vertAlign w:val="superscript"/>
        </w:rPr>
        <w:t>41]</w:t>
      </w:r>
      <w:r>
        <w:rPr>
          <w:rFonts w:ascii="Calibri" w:eastAsia="Calibri"/>
          <w:spacing w:val="3"/>
          <w:vertAlign w:val="baseline"/>
        </w:rPr>
        <w:t xml:space="preserve"> </w:t>
      </w:r>
      <w:r>
        <w:rPr>
          <w:rFonts w:ascii="Times New Roman" w:eastAsia="Times New Roman"/>
          <w:b/>
          <w:i/>
          <w:vertAlign w:val="baseline"/>
        </w:rPr>
        <w:t>(III)</w:t>
      </w:r>
      <w:r>
        <w:rPr>
          <w:rFonts w:ascii="Malgun Gothic" w:eastAsia="Malgun Gothic"/>
          <w:b/>
          <w:spacing w:val="-10"/>
          <w:sz w:val="22"/>
          <w:vertAlign w:val="baseline"/>
        </w:rPr>
        <w:t>。</w:t>
      </w:r>
    </w:p>
    <w:p>
      <w:pPr>
        <w:pStyle w:val="BodyText"/>
        <w:spacing w:before="152" w:line="417" w:lineRule="auto"/>
        <w:ind w:right="218" w:firstLine="472"/>
      </w:pPr>
      <w:r>
        <w:rPr>
          <w:spacing w:val="-20"/>
        </w:rPr>
        <w:t xml:space="preserve">对 </w:t>
      </w:r>
      <w:r>
        <w:rPr>
          <w:rFonts w:ascii="Times New Roman" w:eastAsia="Times New Roman" w:hAnsi="Times New Roman"/>
        </w:rPr>
        <w:t xml:space="preserve">HBsAg </w:t>
      </w:r>
      <w:r>
        <w:rPr>
          <w:spacing w:val="-4"/>
        </w:rPr>
        <w:t xml:space="preserve">阴性母亲的新生儿可用 </w:t>
      </w:r>
      <w:r>
        <w:rPr>
          <w:rFonts w:ascii="Times New Roman" w:eastAsia="Times New Roman" w:hAnsi="Times New Roman"/>
        </w:rPr>
        <w:t xml:space="preserve">5μg </w:t>
      </w:r>
      <w:r>
        <w:rPr>
          <w:spacing w:val="-20"/>
        </w:rPr>
        <w:t xml:space="preserve">或 </w:t>
      </w:r>
      <w:r>
        <w:rPr>
          <w:rFonts w:ascii="Times New Roman" w:eastAsia="Times New Roman" w:hAnsi="Times New Roman"/>
        </w:rPr>
        <w:t xml:space="preserve">10μg </w:t>
      </w:r>
      <w:r>
        <w:rPr>
          <w:spacing w:val="-10"/>
        </w:rPr>
        <w:t xml:space="preserve">酵母或 </w:t>
      </w:r>
      <w:r>
        <w:rPr>
          <w:rFonts w:ascii="Times New Roman" w:eastAsia="Times New Roman" w:hAnsi="Times New Roman"/>
        </w:rPr>
        <w:t xml:space="preserve">10μg CHO </w:t>
      </w:r>
      <w:r>
        <w:t>乙型肝炎疫苗免疫；</w:t>
      </w:r>
      <w:r>
        <w:rPr>
          <w:spacing w:val="-6"/>
        </w:rPr>
        <w:t xml:space="preserve">对新生儿时期未接种乙型肝炎疫苗的儿童应进行补种，剂量为 </w:t>
      </w:r>
      <w:r>
        <w:rPr>
          <w:rFonts w:ascii="Times New Roman" w:eastAsia="Times New Roman" w:hAnsi="Times New Roman"/>
        </w:rPr>
        <w:t xml:space="preserve">5μg </w:t>
      </w:r>
      <w:r>
        <w:rPr>
          <w:spacing w:val="-20"/>
        </w:rPr>
        <w:t xml:space="preserve">或 </w:t>
      </w:r>
      <w:r>
        <w:rPr>
          <w:rFonts w:ascii="Times New Roman" w:eastAsia="Times New Roman" w:hAnsi="Times New Roman"/>
        </w:rPr>
        <w:t xml:space="preserve">10μg </w:t>
      </w:r>
      <w:r>
        <w:rPr>
          <w:spacing w:val="-7"/>
        </w:rPr>
        <w:t xml:space="preserve">重组酵母或 </w:t>
      </w:r>
      <w:r>
        <w:rPr>
          <w:rFonts w:ascii="Times New Roman" w:eastAsia="Times New Roman" w:hAnsi="Times New Roman"/>
        </w:rPr>
        <w:t>10μg CHO</w:t>
      </w:r>
      <w:r>
        <w:rPr>
          <w:rFonts w:ascii="Times New Roman" w:eastAsia="Times New Roman" w:hAnsi="Times New Roman"/>
          <w:spacing w:val="-2"/>
        </w:rPr>
        <w:t xml:space="preserve"> </w:t>
      </w:r>
      <w:r>
        <w:rPr>
          <w:spacing w:val="-4"/>
        </w:rPr>
        <w:t xml:space="preserve">乙型肝炎疫苗；对成人建议接种 </w:t>
      </w:r>
      <w:r>
        <w:rPr>
          <w:rFonts w:ascii="Times New Roman" w:eastAsia="Times New Roman" w:hAnsi="Times New Roman"/>
        </w:rPr>
        <w:t>20μg</w:t>
      </w:r>
      <w:r>
        <w:rPr>
          <w:rFonts w:ascii="Times New Roman" w:eastAsia="Times New Roman" w:hAnsi="Times New Roman"/>
          <w:spacing w:val="-2"/>
        </w:rPr>
        <w:t xml:space="preserve"> </w:t>
      </w:r>
      <w:r>
        <w:rPr>
          <w:spacing w:val="-14"/>
        </w:rPr>
        <w:t xml:space="preserve">酵母或 </w:t>
      </w:r>
      <w:r>
        <w:rPr>
          <w:rFonts w:ascii="Times New Roman" w:eastAsia="Times New Roman" w:hAnsi="Times New Roman"/>
        </w:rPr>
        <w:t>20μg</w:t>
      </w:r>
      <w:r>
        <w:rPr>
          <w:rFonts w:ascii="Times New Roman" w:eastAsia="Times New Roman" w:hAnsi="Times New Roman"/>
          <w:spacing w:val="-1"/>
        </w:rPr>
        <w:t xml:space="preserve"> </w:t>
      </w:r>
      <w:r>
        <w:rPr>
          <w:rFonts w:ascii="Times New Roman" w:eastAsia="Times New Roman" w:hAnsi="Times New Roman"/>
        </w:rPr>
        <w:t>CHO</w:t>
      </w:r>
      <w:r>
        <w:rPr>
          <w:rFonts w:ascii="Times New Roman" w:eastAsia="Times New Roman" w:hAnsi="Times New Roman"/>
          <w:spacing w:val="-1"/>
        </w:rPr>
        <w:t xml:space="preserve"> </w:t>
      </w:r>
      <w:r>
        <w:t>乙型肝炎疫苗。对免疫功能低下或无应答者，应增加疫苗的接种剂量（</w:t>
      </w:r>
      <w:r>
        <w:rPr>
          <w:spacing w:val="-10"/>
        </w:rPr>
        <w:t xml:space="preserve">如 </w:t>
      </w:r>
      <w:r>
        <w:rPr>
          <w:rFonts w:ascii="Times New Roman" w:eastAsia="Times New Roman" w:hAnsi="Times New Roman"/>
        </w:rPr>
        <w:t>60μg</w:t>
      </w:r>
      <w:r>
        <w:t>）</w:t>
      </w:r>
      <w:r>
        <w:rPr>
          <w:spacing w:val="-4"/>
        </w:rPr>
        <w:t xml:space="preserve">和针次；对 </w:t>
      </w:r>
      <w:r>
        <w:rPr>
          <w:rFonts w:ascii="Times New Roman" w:eastAsia="Times New Roman" w:hAnsi="Times New Roman"/>
        </w:rPr>
        <w:t xml:space="preserve">3 </w:t>
      </w:r>
      <w:r>
        <w:t>针免疫程序无应答者可再</w:t>
      </w:r>
      <w:r>
        <w:rPr>
          <w:spacing w:val="-18"/>
        </w:rPr>
        <w:t xml:space="preserve">接种 </w:t>
      </w:r>
      <w:r>
        <w:rPr>
          <w:rFonts w:ascii="Times New Roman" w:eastAsia="Times New Roman" w:hAnsi="Times New Roman"/>
        </w:rPr>
        <w:t>3</w:t>
      </w:r>
      <w:r>
        <w:rPr>
          <w:rFonts w:ascii="Times New Roman" w:eastAsia="Times New Roman" w:hAnsi="Times New Roman"/>
          <w:spacing w:val="-14"/>
        </w:rPr>
        <w:t xml:space="preserve"> </w:t>
      </w:r>
      <w:r>
        <w:rPr>
          <w:spacing w:val="-9"/>
        </w:rPr>
        <w:t xml:space="preserve">针，并于第 </w:t>
      </w:r>
      <w:r>
        <w:rPr>
          <w:rFonts w:ascii="Times New Roman" w:eastAsia="Times New Roman" w:hAnsi="Times New Roman"/>
        </w:rPr>
        <w:t>2</w:t>
      </w:r>
      <w:r>
        <w:rPr>
          <w:rFonts w:ascii="Times New Roman" w:eastAsia="Times New Roman" w:hAnsi="Times New Roman"/>
          <w:spacing w:val="-13"/>
        </w:rPr>
        <w:t xml:space="preserve"> </w:t>
      </w:r>
      <w:r>
        <w:rPr>
          <w:spacing w:val="-14"/>
        </w:rPr>
        <w:t xml:space="preserve">次接种 </w:t>
      </w:r>
      <w:r>
        <w:rPr>
          <w:rFonts w:ascii="Times New Roman" w:eastAsia="Times New Roman" w:hAnsi="Times New Roman"/>
        </w:rPr>
        <w:t>3</w:t>
      </w:r>
      <w:r>
        <w:rPr>
          <w:rFonts w:ascii="Times New Roman" w:eastAsia="Times New Roman" w:hAnsi="Times New Roman"/>
          <w:spacing w:val="-13"/>
        </w:rPr>
        <w:t xml:space="preserve"> </w:t>
      </w:r>
      <w:r>
        <w:rPr>
          <w:spacing w:val="-6"/>
        </w:rPr>
        <w:t xml:space="preserve">针乙型肝炎疫苗后 </w:t>
      </w:r>
      <w:r>
        <w:rPr>
          <w:rFonts w:ascii="Times New Roman" w:eastAsia="Times New Roman" w:hAnsi="Times New Roman"/>
        </w:rPr>
        <w:t>1~2</w:t>
      </w:r>
      <w:r>
        <w:rPr>
          <w:rFonts w:ascii="Times New Roman" w:eastAsia="Times New Roman" w:hAnsi="Times New Roman"/>
          <w:spacing w:val="-13"/>
        </w:rPr>
        <w:t xml:space="preserve"> </w:t>
      </w:r>
      <w:r>
        <w:t>个月检测血清中抗</w:t>
      </w:r>
      <w:r>
        <w:rPr>
          <w:rFonts w:ascii="Times New Roman" w:eastAsia="Times New Roman" w:hAnsi="Times New Roman"/>
        </w:rPr>
        <w:t>-HBs</w:t>
      </w:r>
      <w:r>
        <w:t>，如仍无应答，</w:t>
      </w:r>
      <w:r>
        <w:rPr>
          <w:spacing w:val="-4"/>
        </w:rPr>
        <w:t xml:space="preserve">可接种一针 </w:t>
      </w:r>
      <w:r>
        <w:rPr>
          <w:rFonts w:ascii="Times New Roman" w:eastAsia="Times New Roman" w:hAnsi="Times New Roman"/>
        </w:rPr>
        <w:t xml:space="preserve">60μg </w:t>
      </w:r>
      <w:r>
        <w:t>重组酵母乙型肝炎疫苗。</w:t>
      </w:r>
    </w:p>
    <w:p>
      <w:pPr>
        <w:pStyle w:val="BodyText"/>
        <w:spacing w:line="268" w:lineRule="exact"/>
        <w:ind w:firstLine="472"/>
      </w:pPr>
      <w:r>
        <w:rPr>
          <w:spacing w:val="-4"/>
        </w:rPr>
        <w:t xml:space="preserve">接种乙型肝炎疫苗后有抗体应答者的保护效果一般至少可持续 </w:t>
      </w:r>
      <w:r>
        <w:rPr>
          <w:rFonts w:ascii="Times New Roman" w:eastAsia="Times New Roman"/>
          <w:spacing w:val="-2"/>
        </w:rPr>
        <w:t>12</w:t>
      </w:r>
      <w:r>
        <w:rPr>
          <w:rFonts w:ascii="Times New Roman" w:eastAsia="Times New Roman"/>
          <w:spacing w:val="-6"/>
        </w:rPr>
        <w:t xml:space="preserve"> </w:t>
      </w:r>
      <w:r>
        <w:rPr>
          <w:spacing w:val="-2"/>
        </w:rPr>
        <w:t>年</w:t>
      </w:r>
      <w:r>
        <w:rPr>
          <w:rFonts w:ascii="Calibri" w:eastAsia="Calibri"/>
          <w:spacing w:val="-2"/>
          <w:vertAlign w:val="superscript"/>
        </w:rPr>
        <w:t>[42]</w:t>
      </w:r>
      <w:r>
        <w:rPr>
          <w:spacing w:val="-4"/>
          <w:vertAlign w:val="baseline"/>
        </w:rPr>
        <w:t>，因此，一般人</w:t>
      </w:r>
    </w:p>
    <w:p>
      <w:pPr>
        <w:pStyle w:val="BodyText"/>
        <w:spacing w:before="6"/>
        <w:ind w:left="0"/>
        <w:rPr>
          <w:sz w:val="15"/>
        </w:rPr>
      </w:pPr>
    </w:p>
    <w:p>
      <w:pPr>
        <w:pStyle w:val="BodyText"/>
        <w:spacing w:before="1" w:line="343" w:lineRule="auto"/>
        <w:ind w:right="323"/>
      </w:pPr>
      <w:r>
        <w:t>群不需要进行抗</w:t>
      </w:r>
      <w:r>
        <w:rPr>
          <w:rFonts w:ascii="Times New Roman" w:eastAsia="Times New Roman" w:hAnsi="Times New Roman"/>
        </w:rPr>
        <w:t xml:space="preserve">-HBs </w:t>
      </w:r>
      <w:r>
        <w:t>监测或加强免疫。但对高危人群可进行抗</w:t>
      </w:r>
      <w:r>
        <w:rPr>
          <w:rFonts w:ascii="Times New Roman" w:eastAsia="Times New Roman" w:hAnsi="Times New Roman"/>
        </w:rPr>
        <w:t xml:space="preserve">-HBs </w:t>
      </w:r>
      <w:r>
        <w:t>监测，如抗</w:t>
      </w:r>
      <w:r>
        <w:rPr>
          <w:rFonts w:ascii="Times New Roman" w:eastAsia="Times New Roman" w:hAnsi="Times New Roman"/>
        </w:rPr>
        <w:t xml:space="preserve">-HBs&lt;10 </w:t>
      </w:r>
      <w:r>
        <w:rPr>
          <w:rFonts w:ascii="Times New Roman" w:eastAsia="Times New Roman" w:hAnsi="Times New Roman"/>
          <w:spacing w:val="-2"/>
        </w:rPr>
        <w:t>mIU/mL</w:t>
      </w:r>
      <w:r>
        <w:rPr>
          <w:spacing w:val="-2"/>
        </w:rPr>
        <w:t>，可给予加强免疫</w:t>
      </w:r>
      <w:r>
        <w:rPr>
          <w:rFonts w:ascii="Calibri" w:eastAsia="Calibri" w:hAnsi="Calibri"/>
          <w:spacing w:val="-2"/>
          <w:vertAlign w:val="superscript"/>
        </w:rPr>
        <w:t>[43]</w:t>
      </w:r>
      <w:r>
        <w:rPr>
          <w:rFonts w:ascii="Times New Roman" w:eastAsia="Times New Roman" w:hAnsi="Times New Roman"/>
          <w:b/>
          <w:i/>
          <w:spacing w:val="-2"/>
          <w:vertAlign w:val="baseline"/>
        </w:rPr>
        <w:t>(</w:t>
      </w:r>
      <w:r>
        <w:rPr>
          <w:rFonts w:ascii="Malgun Gothic" w:eastAsia="Malgun Gothic" w:hAnsi="Malgun Gothic"/>
          <w:b/>
          <w:spacing w:val="-2"/>
          <w:sz w:val="22"/>
          <w:vertAlign w:val="baseline"/>
        </w:rPr>
        <w:t>Ⅲ</w:t>
      </w:r>
      <w:r>
        <w:rPr>
          <w:rFonts w:ascii="Times New Roman" w:eastAsia="Times New Roman" w:hAnsi="Times New Roman"/>
          <w:b/>
          <w:i/>
          <w:spacing w:val="-2"/>
          <w:vertAlign w:val="baseline"/>
        </w:rPr>
        <w:t>)</w:t>
      </w:r>
      <w:r>
        <w:rPr>
          <w:spacing w:val="-2"/>
          <w:vertAlign w:val="baseline"/>
        </w:rPr>
        <w:t>。</w:t>
      </w:r>
    </w:p>
    <w:p>
      <w:pPr>
        <w:pStyle w:val="Heading1"/>
        <w:spacing w:line="298" w:lineRule="exact"/>
        <w:jc w:val="both"/>
      </w:pPr>
      <w:r>
        <w:rPr>
          <w:rFonts w:ascii="Times New Roman" w:eastAsia="Times New Roman"/>
        </w:rPr>
        <w:t>(</w:t>
      </w:r>
      <w:r>
        <w:t>二</w:t>
      </w:r>
      <w:r>
        <w:rPr>
          <w:rFonts w:ascii="Times New Roman" w:eastAsia="Times New Roman"/>
          <w:spacing w:val="26"/>
        </w:rPr>
        <w:t xml:space="preserve">) </w:t>
      </w:r>
      <w:r>
        <w:rPr>
          <w:spacing w:val="-2"/>
        </w:rPr>
        <w:t>切断传播途经</w:t>
      </w:r>
    </w:p>
    <w:p>
      <w:pPr>
        <w:pStyle w:val="BodyText"/>
        <w:spacing w:before="151"/>
        <w:ind w:left="632"/>
        <w:jc w:val="both"/>
      </w:pPr>
      <w:r>
        <w:rPr>
          <w:spacing w:val="18"/>
        </w:rPr>
        <w:t xml:space="preserve">大力推广安全注射 </w:t>
      </w:r>
      <w:r>
        <w:rPr>
          <w:rFonts w:ascii="Times New Roman" w:eastAsia="Times New Roman"/>
        </w:rPr>
        <w:t>(</w:t>
      </w:r>
      <w:r>
        <w:rPr>
          <w:spacing w:val="19"/>
        </w:rPr>
        <w:t>包括针灸的针具</w:t>
      </w:r>
      <w:r>
        <w:rPr>
          <w:rFonts w:ascii="Times New Roman" w:eastAsia="Times New Roman"/>
        </w:rPr>
        <w:t>)</w:t>
      </w:r>
      <w:r>
        <w:rPr>
          <w:spacing w:val="6"/>
        </w:rPr>
        <w:t>， 并严格遵循医院感染管理中的标准防护</w:t>
      </w:r>
    </w:p>
    <w:p>
      <w:pPr>
        <w:pStyle w:val="BodyText"/>
        <w:spacing w:before="6"/>
        <w:ind w:left="0"/>
        <w:rPr>
          <w:sz w:val="15"/>
        </w:rPr>
      </w:pPr>
    </w:p>
    <w:p>
      <w:pPr>
        <w:pStyle w:val="BodyText"/>
        <w:spacing w:line="417" w:lineRule="auto"/>
        <w:ind w:right="323"/>
        <w:jc w:val="both"/>
      </w:pPr>
      <w:r>
        <w:t>（</w:t>
      </w:r>
      <w:r>
        <w:rPr>
          <w:rFonts w:ascii="Times New Roman" w:eastAsia="Times New Roman"/>
        </w:rPr>
        <w:t>Standard Precaution</w:t>
      </w:r>
      <w:r>
        <w:t>）原则。服务行业所用的理发、刮脸、修脚、穿刺和纹身等器具也应</w:t>
      </w:r>
      <w:r>
        <w:rPr>
          <w:spacing w:val="-2"/>
        </w:rPr>
        <w:t>严格消毒。注意个人卫生，不和任何人共用剃须刀和牙具等用品。进行正确的性教育，若</w:t>
      </w:r>
      <w:r>
        <w:rPr>
          <w:spacing w:val="-7"/>
        </w:rPr>
        <w:t xml:space="preserve">性伴侣为 </w:t>
      </w:r>
      <w:r>
        <w:rPr>
          <w:rFonts w:ascii="Times New Roman" w:eastAsia="Times New Roman"/>
          <w:spacing w:val="-2"/>
        </w:rPr>
        <w:t>HBsAg</w:t>
      </w:r>
      <w:r>
        <w:rPr>
          <w:rFonts w:ascii="Times New Roman" w:eastAsia="Times New Roman"/>
          <w:spacing w:val="6"/>
        </w:rPr>
        <w:t xml:space="preserve"> </w:t>
      </w:r>
      <w:r>
        <w:rPr>
          <w:spacing w:val="-2"/>
        </w:rPr>
        <w:t>阳性者，应接种乙型肝炎疫苗或采用安全套；在性伙伴健康状况不明的情</w:t>
      </w:r>
      <w:r>
        <w:rPr>
          <w:spacing w:val="-3"/>
        </w:rPr>
        <w:t xml:space="preserve">况下，一定要使用安全套以预防乙型肝炎及其他血源性或性传播疾病。对 </w:t>
      </w:r>
      <w:r>
        <w:rPr>
          <w:rFonts w:ascii="Times New Roman" w:eastAsia="Times New Roman"/>
          <w:spacing w:val="-2"/>
        </w:rPr>
        <w:t>HBsAg</w:t>
      </w:r>
      <w:r>
        <w:rPr>
          <w:rFonts w:ascii="Times New Roman" w:eastAsia="Times New Roman"/>
          <w:spacing w:val="6"/>
        </w:rPr>
        <w:t xml:space="preserve"> </w:t>
      </w:r>
      <w:r>
        <w:rPr>
          <w:spacing w:val="-2"/>
        </w:rPr>
        <w:t>阳性的孕</w:t>
      </w:r>
      <w:r>
        <w:rPr>
          <w:spacing w:val="-2"/>
        </w:rPr>
        <w:t>妇，应避免羊膜腔穿刺，并缩短分娩时间，保证胎盘的完整性，尽量减少新生儿暴露于母</w:t>
      </w:r>
      <w:r>
        <w:rPr>
          <w:spacing w:val="-2"/>
        </w:rPr>
        <w:t>血的机会。</w:t>
      </w:r>
    </w:p>
    <w:p>
      <w:pPr>
        <w:spacing w:before="0" w:line="316" w:lineRule="exact"/>
        <w:ind w:left="160" w:right="0" w:firstLine="0"/>
        <w:jc w:val="both"/>
        <w:rPr>
          <w:rFonts w:ascii="Calibri" w:eastAsia="Calibri"/>
          <w:sz w:val="21"/>
        </w:rPr>
      </w:pPr>
      <w:r>
        <w:rPr>
          <w:rFonts w:ascii="Times New Roman" w:eastAsia="Times New Roman"/>
          <w:b/>
          <w:sz w:val="21"/>
        </w:rPr>
        <w:t>(</w:t>
      </w:r>
      <w:r>
        <w:rPr>
          <w:rFonts w:ascii="Microsoft JhengHei" w:eastAsia="Microsoft JhengHei"/>
          <w:b/>
          <w:sz w:val="21"/>
        </w:rPr>
        <w:t>三</w:t>
      </w:r>
      <w:r>
        <w:rPr>
          <w:rFonts w:ascii="Times New Roman" w:eastAsia="Times New Roman"/>
          <w:b/>
          <w:sz w:val="21"/>
        </w:rPr>
        <w:t>)</w:t>
      </w:r>
      <w:r>
        <w:rPr>
          <w:rFonts w:ascii="Microsoft JhengHei" w:eastAsia="Microsoft JhengHei"/>
          <w:b/>
          <w:sz w:val="21"/>
        </w:rPr>
        <w:t xml:space="preserve">意外暴露后 </w:t>
      </w:r>
      <w:r>
        <w:rPr>
          <w:rFonts w:ascii="Times New Roman" w:eastAsia="Times New Roman"/>
          <w:b/>
          <w:sz w:val="21"/>
        </w:rPr>
        <w:t xml:space="preserve">HBV </w:t>
      </w:r>
      <w:r>
        <w:rPr>
          <w:rFonts w:ascii="Microsoft JhengHei" w:eastAsia="Microsoft JhengHei"/>
          <w:b/>
          <w:sz w:val="21"/>
        </w:rPr>
        <w:t>预防</w:t>
      </w:r>
      <w:r>
        <w:rPr>
          <w:rFonts w:ascii="Calibri" w:eastAsia="Calibri"/>
          <w:spacing w:val="-4"/>
          <w:sz w:val="21"/>
          <w:vertAlign w:val="superscript"/>
        </w:rPr>
        <w:t>[44]</w:t>
      </w:r>
    </w:p>
    <w:p>
      <w:pPr>
        <w:pStyle w:val="BodyText"/>
        <w:spacing w:before="152"/>
        <w:ind w:left="519"/>
        <w:jc w:val="both"/>
      </w:pPr>
      <w:r>
        <w:rPr>
          <w:spacing w:val="-9"/>
        </w:rPr>
        <w:t xml:space="preserve">在意外接触 </w:t>
      </w:r>
      <w:r>
        <w:rPr>
          <w:rFonts w:ascii="Times New Roman" w:eastAsia="Times New Roman"/>
        </w:rPr>
        <w:t>HBV</w:t>
      </w:r>
      <w:r>
        <w:rPr>
          <w:rFonts w:ascii="Times New Roman" w:eastAsia="Times New Roman"/>
          <w:spacing w:val="-3"/>
        </w:rPr>
        <w:t xml:space="preserve"> </w:t>
      </w:r>
      <w:r>
        <w:rPr>
          <w:spacing w:val="-1"/>
        </w:rPr>
        <w:t>感染者的血液和体液后，可按照以下方法处理：</w:t>
      </w:r>
    </w:p>
    <w:p>
      <w:pPr>
        <w:pStyle w:val="BodyText"/>
        <w:spacing w:before="6"/>
        <w:ind w:left="0"/>
        <w:rPr>
          <w:sz w:val="15"/>
        </w:rPr>
        <w:sectPr>
          <w:footerReference w:type="default" r:id="rId7"/>
          <w:pgSz w:w="11910" w:h="16840"/>
          <w:pgMar w:top="1480" w:right="1500" w:bottom="1380" w:left="1640" w:header="0" w:footer="1189"/>
          <w:pgNumType w:start="4"/>
          <w:cols w:space="708"/>
        </w:sectPr>
      </w:pPr>
    </w:p>
    <w:p>
      <w:pPr>
        <w:pStyle w:val="ListParagraph"/>
        <w:numPr>
          <w:ilvl w:val="0"/>
          <w:numId w:val="1"/>
        </w:numPr>
        <w:tabs>
          <w:tab w:val="left" w:pos="897"/>
        </w:tabs>
        <w:spacing w:before="0" w:after="0" w:line="240" w:lineRule="auto"/>
        <w:ind w:left="896" w:right="0" w:hanging="317"/>
        <w:jc w:val="both"/>
        <w:rPr>
          <w:rFonts w:ascii="Times New Roman" w:eastAsia="Times New Roman"/>
          <w:sz w:val="21"/>
        </w:rPr>
      </w:pPr>
      <w:r>
        <w:rPr>
          <w:spacing w:val="3"/>
          <w:sz w:val="21"/>
        </w:rPr>
        <w:t xml:space="preserve">血清学检测  应立即检测 </w:t>
      </w:r>
      <w:r>
        <w:rPr>
          <w:rFonts w:ascii="Times New Roman" w:eastAsia="Times New Roman"/>
          <w:sz w:val="21"/>
        </w:rPr>
        <w:t>HBV</w:t>
      </w:r>
      <w:r>
        <w:rPr>
          <w:rFonts w:ascii="Times New Roman" w:eastAsia="Times New Roman"/>
          <w:spacing w:val="2"/>
          <w:sz w:val="21"/>
        </w:rPr>
        <w:t xml:space="preserve"> </w:t>
      </w:r>
      <w:r>
        <w:rPr>
          <w:rFonts w:ascii="Times New Roman" w:eastAsia="Times New Roman"/>
          <w:sz w:val="21"/>
        </w:rPr>
        <w:t>DNA</w:t>
      </w:r>
      <w:r>
        <w:rPr>
          <w:sz w:val="21"/>
        </w:rPr>
        <w:t>、</w:t>
      </w:r>
      <w:r>
        <w:rPr>
          <w:rFonts w:ascii="Times New Roman" w:eastAsia="Times New Roman"/>
          <w:sz w:val="21"/>
        </w:rPr>
        <w:t>HBsAg</w:t>
      </w:r>
      <w:r>
        <w:rPr>
          <w:sz w:val="21"/>
        </w:rPr>
        <w:t>、抗</w:t>
      </w:r>
      <w:r>
        <w:rPr>
          <w:rFonts w:ascii="Times New Roman" w:eastAsia="Times New Roman"/>
          <w:sz w:val="21"/>
        </w:rPr>
        <w:t>-HBs</w:t>
      </w:r>
      <w:r>
        <w:rPr>
          <w:sz w:val="21"/>
        </w:rPr>
        <w:t>、</w:t>
      </w:r>
      <w:r>
        <w:rPr>
          <w:rFonts w:ascii="Times New Roman" w:eastAsia="Times New Roman"/>
          <w:sz w:val="21"/>
        </w:rPr>
        <w:t>HBeAg</w:t>
      </w:r>
      <w:r>
        <w:rPr>
          <w:sz w:val="21"/>
        </w:rPr>
        <w:t>、抗</w:t>
      </w:r>
      <w:r>
        <w:rPr>
          <w:rFonts w:ascii="Times New Roman" w:eastAsia="Times New Roman"/>
          <w:sz w:val="21"/>
        </w:rPr>
        <w:t>-HBc</w:t>
      </w:r>
      <w:r>
        <w:rPr>
          <w:sz w:val="21"/>
        </w:rPr>
        <w:t>、</w:t>
      </w:r>
      <w:r>
        <w:rPr>
          <w:rFonts w:ascii="Times New Roman" w:eastAsia="Times New Roman"/>
          <w:spacing w:val="-5"/>
          <w:sz w:val="21"/>
        </w:rPr>
        <w:t>ALT</w:t>
      </w:r>
    </w:p>
    <w:p>
      <w:pPr>
        <w:spacing w:after="0" w:line="240" w:lineRule="auto"/>
        <w:jc w:val="both"/>
        <w:rPr>
          <w:rFonts w:ascii="Times New Roman" w:eastAsia="Times New Roman"/>
          <w:sz w:val="21"/>
        </w:rPr>
        <w:sectPr>
          <w:footerReference w:type="default" r:id="rId8"/>
          <w:type w:val="nextPage"/>
          <w:pgSz w:w="11910" w:h="16840"/>
          <w:pgMar w:top="1480" w:right="1500" w:bottom="1380" w:left="1640" w:header="0" w:footer="1189"/>
          <w:pgNumType w:start="5"/>
          <w:cols w:space="708"/>
          <w:titlePg w:val="0"/>
        </w:sectPr>
      </w:pPr>
    </w:p>
    <w:p>
      <w:pPr>
        <w:pStyle w:val="BodyText"/>
        <w:spacing w:before="63"/>
        <w:jc w:val="both"/>
      </w:pPr>
      <w:r>
        <w:rPr>
          <w:spacing w:val="-27"/>
        </w:rPr>
        <w:t xml:space="preserve">和 </w:t>
      </w:r>
      <w:r>
        <w:rPr>
          <w:rFonts w:ascii="Times New Roman" w:eastAsia="Times New Roman"/>
        </w:rPr>
        <w:t>AST</w:t>
      </w:r>
      <w:r>
        <w:rPr>
          <w:spacing w:val="-14"/>
        </w:rPr>
        <w:t xml:space="preserve">，并在 </w:t>
      </w:r>
      <w:r>
        <w:rPr>
          <w:rFonts w:ascii="Times New Roman" w:eastAsia="Times New Roman"/>
        </w:rPr>
        <w:t>3</w:t>
      </w:r>
      <w:r>
        <w:rPr>
          <w:rFonts w:ascii="Times New Roman" w:eastAsia="Times New Roman"/>
          <w:spacing w:val="-3"/>
        </w:rPr>
        <w:t xml:space="preserve"> </w:t>
      </w:r>
      <w:r>
        <w:rPr>
          <w:spacing w:val="-27"/>
        </w:rPr>
        <w:t xml:space="preserve">和 </w:t>
      </w:r>
      <w:r>
        <w:rPr>
          <w:rFonts w:ascii="Times New Roman" w:eastAsia="Times New Roman"/>
        </w:rPr>
        <w:t xml:space="preserve">6 </w:t>
      </w:r>
      <w:r>
        <w:rPr>
          <w:spacing w:val="-2"/>
        </w:rPr>
        <w:t>个月内复查。</w:t>
      </w:r>
    </w:p>
    <w:p>
      <w:pPr>
        <w:pStyle w:val="BodyText"/>
        <w:spacing w:before="6"/>
        <w:ind w:left="0"/>
        <w:rPr>
          <w:sz w:val="15"/>
        </w:rPr>
      </w:pPr>
    </w:p>
    <w:p>
      <w:pPr>
        <w:pStyle w:val="ListParagraph"/>
        <w:numPr>
          <w:ilvl w:val="0"/>
          <w:numId w:val="13"/>
        </w:numPr>
        <w:tabs>
          <w:tab w:val="left" w:pos="896"/>
        </w:tabs>
        <w:spacing w:before="1" w:after="0" w:line="417" w:lineRule="auto"/>
        <w:ind w:left="160" w:right="309" w:firstLine="420"/>
        <w:jc w:val="both"/>
        <w:rPr>
          <w:sz w:val="21"/>
        </w:rPr>
      </w:pPr>
      <w:r>
        <w:rPr>
          <w:sz w:val="21"/>
        </w:rPr>
        <w:t>主动和被动免疫 如已接种过乙型肝炎疫苗，且已知抗</w:t>
      </w:r>
      <w:r>
        <w:rPr>
          <w:rFonts w:ascii="Times New Roman" w:eastAsia="Times New Roman" w:hAnsi="Times New Roman"/>
          <w:sz w:val="21"/>
        </w:rPr>
        <w:t>-HBs</w:t>
      </w:r>
      <w:r>
        <w:rPr>
          <w:rFonts w:ascii="Times New Roman" w:eastAsia="Times New Roman" w:hAnsi="Times New Roman"/>
          <w:spacing w:val="40"/>
          <w:sz w:val="21"/>
        </w:rPr>
        <w:t xml:space="preserve"> </w:t>
      </w:r>
      <w:r>
        <w:rPr>
          <w:sz w:val="21"/>
        </w:rPr>
        <w:t>≥</w:t>
      </w:r>
      <w:r>
        <w:rPr>
          <w:rFonts w:ascii="Times New Roman" w:eastAsia="Times New Roman" w:hAnsi="Times New Roman"/>
          <w:sz w:val="21"/>
        </w:rPr>
        <w:t>10</w:t>
      </w:r>
      <w:r>
        <w:rPr>
          <w:rFonts w:ascii="Times New Roman" w:eastAsia="Times New Roman" w:hAnsi="Times New Roman"/>
          <w:spacing w:val="-6"/>
          <w:sz w:val="21"/>
        </w:rPr>
        <w:t xml:space="preserve"> </w:t>
      </w:r>
      <w:r>
        <w:rPr>
          <w:rFonts w:ascii="Times New Roman" w:eastAsia="Times New Roman" w:hAnsi="Times New Roman"/>
          <w:sz w:val="21"/>
        </w:rPr>
        <w:t>mIU/mL</w:t>
      </w:r>
      <w:r>
        <w:rPr>
          <w:rFonts w:ascii="Times New Roman" w:eastAsia="Times New Roman" w:hAnsi="Times New Roman"/>
          <w:spacing w:val="-6"/>
          <w:sz w:val="21"/>
        </w:rPr>
        <w:t xml:space="preserve"> </w:t>
      </w:r>
      <w:r>
        <w:rPr>
          <w:sz w:val="21"/>
        </w:rPr>
        <w:t>者，可</w:t>
      </w:r>
      <w:r>
        <w:rPr>
          <w:sz w:val="21"/>
        </w:rPr>
        <w:t>不进行特殊处理。如未接种过乙型肝炎疫苗，或虽接种过乙型肝炎疫苗，但抗</w:t>
      </w:r>
      <w:r>
        <w:rPr>
          <w:rFonts w:ascii="Times New Roman" w:eastAsia="Times New Roman" w:hAnsi="Times New Roman"/>
          <w:sz w:val="21"/>
        </w:rPr>
        <w:t xml:space="preserve">-HBs &lt;10 </w:t>
      </w:r>
      <w:r>
        <w:rPr>
          <w:rFonts w:ascii="Times New Roman" w:eastAsia="Times New Roman" w:hAnsi="Times New Roman"/>
          <w:spacing w:val="-2"/>
          <w:sz w:val="21"/>
        </w:rPr>
        <w:t>mIU/mL</w:t>
      </w:r>
      <w:r>
        <w:rPr>
          <w:rFonts w:ascii="Times New Roman" w:eastAsia="Times New Roman" w:hAnsi="Times New Roman"/>
          <w:spacing w:val="-12"/>
          <w:sz w:val="21"/>
        </w:rPr>
        <w:t xml:space="preserve"> </w:t>
      </w:r>
      <w:r>
        <w:rPr>
          <w:spacing w:val="-2"/>
          <w:sz w:val="21"/>
        </w:rPr>
        <w:t>或抗</w:t>
      </w:r>
      <w:r>
        <w:rPr>
          <w:rFonts w:ascii="Times New Roman" w:eastAsia="Times New Roman" w:hAnsi="Times New Roman"/>
          <w:spacing w:val="-2"/>
          <w:sz w:val="21"/>
        </w:rPr>
        <w:t>-HBs</w:t>
      </w:r>
      <w:r>
        <w:rPr>
          <w:rFonts w:ascii="Times New Roman" w:eastAsia="Times New Roman" w:hAnsi="Times New Roman"/>
          <w:spacing w:val="-11"/>
          <w:sz w:val="21"/>
        </w:rPr>
        <w:t xml:space="preserve"> </w:t>
      </w:r>
      <w:r>
        <w:rPr>
          <w:spacing w:val="-4"/>
          <w:sz w:val="21"/>
        </w:rPr>
        <w:t xml:space="preserve">水平不详，应立即注射 </w:t>
      </w:r>
      <w:r>
        <w:rPr>
          <w:rFonts w:ascii="Times New Roman" w:eastAsia="Times New Roman" w:hAnsi="Times New Roman"/>
          <w:spacing w:val="-2"/>
          <w:sz w:val="21"/>
        </w:rPr>
        <w:t>HBIG</w:t>
      </w:r>
      <w:r>
        <w:rPr>
          <w:rFonts w:ascii="Times New Roman" w:eastAsia="Times New Roman" w:hAnsi="Times New Roman"/>
          <w:spacing w:val="-11"/>
          <w:sz w:val="21"/>
        </w:rPr>
        <w:t xml:space="preserve"> </w:t>
      </w:r>
      <w:r>
        <w:rPr>
          <w:rFonts w:ascii="Times New Roman" w:eastAsia="Times New Roman" w:hAnsi="Times New Roman"/>
          <w:spacing w:val="-2"/>
          <w:sz w:val="21"/>
        </w:rPr>
        <w:t>200~400</w:t>
      </w:r>
      <w:r>
        <w:rPr>
          <w:rFonts w:ascii="Times New Roman" w:eastAsia="Times New Roman" w:hAnsi="Times New Roman"/>
          <w:spacing w:val="-11"/>
          <w:sz w:val="21"/>
        </w:rPr>
        <w:t xml:space="preserve"> </w:t>
      </w:r>
      <w:r>
        <w:rPr>
          <w:rFonts w:ascii="Times New Roman" w:eastAsia="Times New Roman" w:hAnsi="Times New Roman"/>
          <w:spacing w:val="-2"/>
          <w:sz w:val="21"/>
        </w:rPr>
        <w:t>IU</w:t>
      </w:r>
      <w:r>
        <w:rPr>
          <w:spacing w:val="-2"/>
          <w:sz w:val="21"/>
        </w:rPr>
        <w:t>，并同时在不同部位接种一针乙</w:t>
      </w:r>
      <w:r>
        <w:rPr>
          <w:sz w:val="21"/>
        </w:rPr>
        <w:t xml:space="preserve">型肝炎疫苗 </w:t>
      </w:r>
      <w:r>
        <w:rPr>
          <w:rFonts w:ascii="Times New Roman" w:eastAsia="Times New Roman" w:hAnsi="Times New Roman"/>
          <w:sz w:val="21"/>
        </w:rPr>
        <w:t>(20</w:t>
      </w:r>
      <w:r>
        <w:rPr>
          <w:rFonts w:ascii="Symbol" w:eastAsia="Symbol" w:hAnsi="Symbol"/>
          <w:sz w:val="21"/>
        </w:rPr>
        <w:sym w:font="Symbol" w:char="F06D"/>
      </w:r>
      <w:r>
        <w:rPr>
          <w:rFonts w:ascii="Times New Roman" w:eastAsia="Times New Roman" w:hAnsi="Times New Roman"/>
          <w:sz w:val="21"/>
        </w:rPr>
        <w:t>g)</w:t>
      </w:r>
      <w:r>
        <w:rPr>
          <w:spacing w:val="-15"/>
          <w:sz w:val="21"/>
        </w:rPr>
        <w:t xml:space="preserve">，于 </w:t>
      </w:r>
      <w:r>
        <w:rPr>
          <w:rFonts w:ascii="Times New Roman" w:eastAsia="Times New Roman" w:hAnsi="Times New Roman"/>
          <w:sz w:val="21"/>
        </w:rPr>
        <w:t xml:space="preserve">1 </w:t>
      </w:r>
      <w:r>
        <w:rPr>
          <w:spacing w:val="-21"/>
          <w:sz w:val="21"/>
        </w:rPr>
        <w:t xml:space="preserve">和 </w:t>
      </w:r>
      <w:r>
        <w:rPr>
          <w:rFonts w:ascii="Times New Roman" w:eastAsia="Times New Roman" w:hAnsi="Times New Roman"/>
          <w:sz w:val="21"/>
        </w:rPr>
        <w:t xml:space="preserve">6 </w:t>
      </w:r>
      <w:r>
        <w:rPr>
          <w:spacing w:val="-5"/>
          <w:sz w:val="21"/>
        </w:rPr>
        <w:t xml:space="preserve">个月后分别接种第 </w:t>
      </w:r>
      <w:r>
        <w:rPr>
          <w:rFonts w:ascii="Times New Roman" w:eastAsia="Times New Roman" w:hAnsi="Times New Roman"/>
          <w:sz w:val="21"/>
        </w:rPr>
        <w:t xml:space="preserve">2 </w:t>
      </w:r>
      <w:r>
        <w:rPr>
          <w:spacing w:val="-14"/>
          <w:sz w:val="21"/>
        </w:rPr>
        <w:t xml:space="preserve">和第 </w:t>
      </w:r>
      <w:r>
        <w:rPr>
          <w:rFonts w:ascii="Times New Roman" w:eastAsia="Times New Roman" w:hAnsi="Times New Roman"/>
          <w:sz w:val="21"/>
        </w:rPr>
        <w:t xml:space="preserve">3 </w:t>
      </w:r>
      <w:r>
        <w:rPr>
          <w:sz w:val="21"/>
        </w:rPr>
        <w:t xml:space="preserve">针乙型肝炎疫苗 </w:t>
      </w:r>
      <w:r>
        <w:rPr>
          <w:rFonts w:ascii="Times New Roman" w:eastAsia="Times New Roman" w:hAnsi="Times New Roman"/>
          <w:sz w:val="21"/>
        </w:rPr>
        <w:t>(</w:t>
      </w:r>
      <w:r>
        <w:rPr>
          <w:spacing w:val="-21"/>
          <w:sz w:val="21"/>
        </w:rPr>
        <w:t xml:space="preserve">各 </w:t>
      </w:r>
      <w:r>
        <w:rPr>
          <w:rFonts w:ascii="Times New Roman" w:eastAsia="Times New Roman" w:hAnsi="Times New Roman"/>
          <w:sz w:val="21"/>
        </w:rPr>
        <w:t xml:space="preserve">20 </w:t>
      </w:r>
      <w:r>
        <w:rPr>
          <w:rFonts w:ascii="Symbol" w:eastAsia="Symbol" w:hAnsi="Symbol"/>
          <w:sz w:val="21"/>
        </w:rPr>
        <w:sym w:font="Symbol" w:char="F06D"/>
      </w:r>
      <w:r>
        <w:rPr>
          <w:rFonts w:ascii="Times New Roman" w:eastAsia="Times New Roman" w:hAnsi="Times New Roman"/>
          <w:sz w:val="21"/>
        </w:rPr>
        <w:t>g)</w:t>
      </w:r>
      <w:r>
        <w:rPr>
          <w:sz w:val="21"/>
        </w:rPr>
        <w:t>。</w:t>
      </w:r>
    </w:p>
    <w:p>
      <w:pPr>
        <w:pStyle w:val="Heading1"/>
        <w:spacing w:line="315" w:lineRule="exact"/>
      </w:pPr>
      <w:r>
        <w:rPr>
          <w:rFonts w:ascii="Times New Roman" w:eastAsia="Times New Roman"/>
        </w:rPr>
        <w:t>(</w:t>
      </w:r>
      <w:r>
        <w:t>四</w:t>
      </w:r>
      <w:r>
        <w:rPr>
          <w:rFonts w:ascii="Times New Roman" w:eastAsia="Times New Roman"/>
          <w:spacing w:val="26"/>
        </w:rPr>
        <w:t xml:space="preserve">) </w:t>
      </w:r>
      <w:r>
        <w:rPr>
          <w:spacing w:val="-1"/>
        </w:rPr>
        <w:t>对患者和携带者的管理</w:t>
      </w:r>
    </w:p>
    <w:p>
      <w:pPr>
        <w:pStyle w:val="BodyText"/>
        <w:spacing w:before="151" w:line="417" w:lineRule="auto"/>
        <w:ind w:right="310" w:firstLine="539"/>
        <w:jc w:val="both"/>
      </w:pPr>
      <w:r>
        <w:rPr>
          <w:spacing w:val="-2"/>
        </w:rPr>
        <w:t>在诊断出急性或慢性乙型肝炎时，应按规定向当地疾病预防控制中心报告，并建议对</w:t>
      </w:r>
      <w:r>
        <w:rPr>
          <w:spacing w:val="-4"/>
        </w:rPr>
        <w:t xml:space="preserve">患者的家庭成员进行血清 </w:t>
      </w:r>
      <w:r>
        <w:rPr>
          <w:rFonts w:ascii="Times New Roman" w:eastAsia="Times New Roman"/>
          <w:spacing w:val="-2"/>
        </w:rPr>
        <w:t>HBsAg</w:t>
      </w:r>
      <w:r>
        <w:rPr>
          <w:spacing w:val="-2"/>
        </w:rPr>
        <w:t>、抗</w:t>
      </w:r>
      <w:r>
        <w:rPr>
          <w:rFonts w:ascii="Times New Roman" w:eastAsia="Times New Roman"/>
          <w:spacing w:val="-2"/>
        </w:rPr>
        <w:t>-HBc</w:t>
      </w:r>
      <w:r>
        <w:rPr>
          <w:rFonts w:ascii="Times New Roman" w:eastAsia="Times New Roman"/>
          <w:spacing w:val="-11"/>
        </w:rPr>
        <w:t xml:space="preserve"> </w:t>
      </w:r>
      <w:r>
        <w:rPr>
          <w:spacing w:val="-2"/>
        </w:rPr>
        <w:t>和抗</w:t>
      </w:r>
      <w:r>
        <w:rPr>
          <w:rFonts w:ascii="Times New Roman" w:eastAsia="Times New Roman"/>
          <w:spacing w:val="-2"/>
        </w:rPr>
        <w:t>-HBs</w:t>
      </w:r>
      <w:r>
        <w:rPr>
          <w:rFonts w:ascii="Times New Roman" w:eastAsia="Times New Roman"/>
          <w:spacing w:val="-11"/>
        </w:rPr>
        <w:t xml:space="preserve"> </w:t>
      </w:r>
      <w:r>
        <w:rPr>
          <w:spacing w:val="-4"/>
        </w:rPr>
        <w:t xml:space="preserve">检测，并对其中的易感者 </w:t>
      </w:r>
      <w:r>
        <w:rPr>
          <w:rFonts w:ascii="Times New Roman" w:eastAsia="Times New Roman"/>
          <w:spacing w:val="-2"/>
        </w:rPr>
        <w:t>(</w:t>
      </w:r>
      <w:r>
        <w:rPr>
          <w:spacing w:val="-13"/>
        </w:rPr>
        <w:t xml:space="preserve">该 </w:t>
      </w:r>
      <w:r>
        <w:rPr>
          <w:rFonts w:ascii="Times New Roman" w:eastAsia="Times New Roman"/>
          <w:spacing w:val="-2"/>
        </w:rPr>
        <w:t>3</w:t>
      </w:r>
      <w:r>
        <w:rPr>
          <w:rFonts w:ascii="Times New Roman" w:eastAsia="Times New Roman"/>
          <w:spacing w:val="-12"/>
        </w:rPr>
        <w:t xml:space="preserve"> </w:t>
      </w:r>
      <w:r>
        <w:rPr>
          <w:spacing w:val="-2"/>
        </w:rPr>
        <w:t>种标志</w:t>
      </w:r>
      <w:r>
        <w:t>物均阴性者</w:t>
      </w:r>
      <w:r>
        <w:rPr>
          <w:rFonts w:ascii="Times New Roman" w:eastAsia="Times New Roman"/>
          <w:spacing w:val="20"/>
        </w:rPr>
        <w:t xml:space="preserve">) </w:t>
      </w:r>
      <w:r>
        <w:t>接种乙型肝炎疫苗。</w:t>
      </w:r>
    </w:p>
    <w:p>
      <w:pPr>
        <w:pStyle w:val="BodyText"/>
        <w:spacing w:line="269" w:lineRule="exact"/>
        <w:ind w:left="727"/>
        <w:jc w:val="both"/>
      </w:pPr>
      <w:r>
        <w:rPr>
          <w:spacing w:val="-4"/>
        </w:rPr>
        <w:t xml:space="preserve">乙型肝炎患者和携带者的传染性高低，主要取决于血液中 </w:t>
      </w:r>
      <w:r>
        <w:rPr>
          <w:rFonts w:ascii="Times New Roman" w:eastAsia="Times New Roman"/>
          <w:spacing w:val="-2"/>
        </w:rPr>
        <w:t>HBV</w:t>
      </w:r>
      <w:r>
        <w:rPr>
          <w:rFonts w:ascii="Times New Roman" w:eastAsia="Times New Roman"/>
          <w:spacing w:val="6"/>
        </w:rPr>
        <w:t xml:space="preserve"> </w:t>
      </w:r>
      <w:r>
        <w:rPr>
          <w:rFonts w:ascii="Times New Roman" w:eastAsia="Times New Roman"/>
          <w:spacing w:val="-2"/>
        </w:rPr>
        <w:t>DNA</w:t>
      </w:r>
      <w:r>
        <w:rPr>
          <w:rFonts w:ascii="Times New Roman" w:eastAsia="Times New Roman"/>
          <w:spacing w:val="7"/>
        </w:rPr>
        <w:t xml:space="preserve"> </w:t>
      </w:r>
      <w:r>
        <w:rPr>
          <w:spacing w:val="-4"/>
        </w:rPr>
        <w:t>水平，而与血清</w:t>
      </w:r>
    </w:p>
    <w:p>
      <w:pPr>
        <w:pStyle w:val="BodyText"/>
        <w:spacing w:before="6"/>
        <w:ind w:left="0"/>
        <w:rPr>
          <w:sz w:val="15"/>
        </w:rPr>
      </w:pPr>
    </w:p>
    <w:p>
      <w:pPr>
        <w:pStyle w:val="BodyText"/>
        <w:spacing w:line="417" w:lineRule="auto"/>
        <w:ind w:left="699" w:right="205" w:hanging="540"/>
        <w:jc w:val="both"/>
      </w:pPr>
      <w:r>
        <w:rPr>
          <w:rFonts w:ascii="Times New Roman" w:eastAsia="Times New Roman" w:hAnsi="Times New Roman"/>
        </w:rPr>
        <w:t>ALT</w:t>
      </w:r>
      <w:r>
        <w:rPr>
          <w:spacing w:val="-77"/>
        </w:rPr>
        <w:t>、</w:t>
      </w:r>
      <w:r>
        <w:rPr>
          <w:rFonts w:ascii="Times New Roman" w:eastAsia="Times New Roman" w:hAnsi="Times New Roman"/>
        </w:rPr>
        <w:t>AST</w:t>
      </w:r>
      <w:r>
        <w:rPr>
          <w:rFonts w:ascii="Times New Roman" w:eastAsia="Times New Roman" w:hAnsi="Times New Roman"/>
          <w:spacing w:val="-14"/>
        </w:rPr>
        <w:t xml:space="preserve"> </w:t>
      </w:r>
      <w:r>
        <w:rPr>
          <w:spacing w:val="-19"/>
        </w:rPr>
        <w:t>或胆红素水平无关。对乙型肝炎患者和携带者的随访见本《指南》“患者的随访”。</w:t>
      </w:r>
      <w:r>
        <w:rPr>
          <w:spacing w:val="-7"/>
        </w:rPr>
        <w:t xml:space="preserve">对慢性 </w:t>
      </w:r>
      <w:r>
        <w:rPr>
          <w:rFonts w:ascii="Times New Roman" w:eastAsia="Times New Roman" w:hAnsi="Times New Roman"/>
        </w:rPr>
        <w:t xml:space="preserve">HBV </w:t>
      </w:r>
      <w:r>
        <w:rPr>
          <w:spacing w:val="-6"/>
        </w:rPr>
        <w:t xml:space="preserve">携带者及 </w:t>
      </w:r>
      <w:r>
        <w:rPr>
          <w:rFonts w:ascii="Times New Roman" w:eastAsia="Times New Roman" w:hAnsi="Times New Roman"/>
        </w:rPr>
        <w:t xml:space="preserve">HBsAg </w:t>
      </w:r>
      <w:r>
        <w:t xml:space="preserve">携带者 </w:t>
      </w:r>
      <w:r>
        <w:rPr>
          <w:rFonts w:ascii="Times New Roman" w:eastAsia="Times New Roman" w:hAnsi="Times New Roman"/>
        </w:rPr>
        <w:t>(</w:t>
      </w:r>
      <w:r>
        <w:rPr>
          <w:spacing w:val="-11"/>
        </w:rPr>
        <w:t>见本《指南》“临床诊断”</w:t>
      </w:r>
      <w:r>
        <w:rPr>
          <w:rFonts w:ascii="Times New Roman" w:eastAsia="Times New Roman" w:hAnsi="Times New Roman"/>
        </w:rPr>
        <w:t>)</w:t>
      </w:r>
      <w:r>
        <w:t>， 除不能捐献血</w:t>
      </w:r>
    </w:p>
    <w:p>
      <w:pPr>
        <w:pStyle w:val="BodyText"/>
        <w:spacing w:line="417" w:lineRule="auto"/>
        <w:ind w:right="310"/>
      </w:pPr>
      <w:r>
        <w:rPr>
          <w:spacing w:val="-2"/>
        </w:rPr>
        <w:t>液、组织器官及从事国家明文规定的职业或工种外，可照常工作和学习，但应定期进行医</w:t>
      </w:r>
      <w:r>
        <w:rPr>
          <w:spacing w:val="-4"/>
        </w:rPr>
        <w:t>学随访。</w:t>
      </w:r>
    </w:p>
    <w:p>
      <w:pPr>
        <w:pStyle w:val="Heading1"/>
        <w:spacing w:before="86"/>
      </w:pPr>
      <w:r>
        <w:t>五</w:t>
      </w:r>
      <w:r>
        <w:rPr>
          <w:rFonts w:ascii="宋体" w:eastAsia="宋体"/>
          <w:b w:val="0"/>
        </w:rPr>
        <w:t>、</w:t>
      </w:r>
      <w:r>
        <w:rPr>
          <w:spacing w:val="-3"/>
        </w:rPr>
        <w:t>临床诊断</w:t>
      </w:r>
    </w:p>
    <w:p>
      <w:pPr>
        <w:pStyle w:val="BodyText"/>
        <w:spacing w:before="152" w:line="417" w:lineRule="auto"/>
        <w:ind w:right="310" w:firstLine="420"/>
        <w:jc w:val="both"/>
      </w:pPr>
      <w:r>
        <w:rPr>
          <w:spacing w:val="-6"/>
        </w:rPr>
        <w:t xml:space="preserve">既往有乙型肝炎病史或 </w:t>
      </w:r>
      <w:r>
        <w:rPr>
          <w:rFonts w:ascii="Times New Roman" w:eastAsia="Times New Roman"/>
          <w:spacing w:val="-4"/>
        </w:rPr>
        <w:t>HBsAg</w:t>
      </w:r>
      <w:r>
        <w:rPr>
          <w:rFonts w:ascii="Times New Roman" w:eastAsia="Times New Roman"/>
          <w:spacing w:val="-9"/>
        </w:rPr>
        <w:t xml:space="preserve"> </w:t>
      </w:r>
      <w:r>
        <w:rPr>
          <w:spacing w:val="-8"/>
        </w:rPr>
        <w:t xml:space="preserve">阳性超过 </w:t>
      </w:r>
      <w:r>
        <w:rPr>
          <w:rFonts w:ascii="Times New Roman" w:eastAsia="Times New Roman"/>
          <w:spacing w:val="-4"/>
        </w:rPr>
        <w:t>6</w:t>
      </w:r>
      <w:r>
        <w:rPr>
          <w:rFonts w:ascii="Times New Roman" w:eastAsia="Times New Roman"/>
          <w:spacing w:val="-9"/>
        </w:rPr>
        <w:t xml:space="preserve"> </w:t>
      </w:r>
      <w:r>
        <w:rPr>
          <w:spacing w:val="-8"/>
        </w:rPr>
        <w:t xml:space="preserve">个月，现 </w:t>
      </w:r>
      <w:r>
        <w:rPr>
          <w:rFonts w:ascii="Times New Roman" w:eastAsia="Times New Roman"/>
          <w:spacing w:val="-4"/>
        </w:rPr>
        <w:t>HBsAg</w:t>
      </w:r>
      <w:r>
        <w:rPr>
          <w:rFonts w:ascii="Times New Roman" w:eastAsia="Times New Roman"/>
          <w:spacing w:val="-10"/>
        </w:rPr>
        <w:t xml:space="preserve"> </w:t>
      </w:r>
      <w:r>
        <w:rPr>
          <w:spacing w:val="-4"/>
        </w:rPr>
        <w:t>和（或）</w:t>
      </w:r>
      <w:r>
        <w:rPr>
          <w:rFonts w:ascii="Times New Roman" w:eastAsia="Times New Roman"/>
          <w:spacing w:val="-4"/>
        </w:rPr>
        <w:t>HBV</w:t>
      </w:r>
      <w:r>
        <w:rPr>
          <w:rFonts w:ascii="Times New Roman" w:eastAsia="Times New Roman"/>
          <w:spacing w:val="2"/>
        </w:rPr>
        <w:t xml:space="preserve"> </w:t>
      </w:r>
      <w:r>
        <w:rPr>
          <w:rFonts w:ascii="Times New Roman" w:eastAsia="Times New Roman"/>
          <w:spacing w:val="-4"/>
        </w:rPr>
        <w:t>DNA</w:t>
      </w:r>
      <w:r>
        <w:rPr>
          <w:rFonts w:ascii="Times New Roman" w:eastAsia="Times New Roman"/>
          <w:spacing w:val="9"/>
        </w:rPr>
        <w:t xml:space="preserve"> </w:t>
      </w:r>
      <w:r>
        <w:rPr>
          <w:spacing w:val="-4"/>
        </w:rPr>
        <w:t>仍为阳</w:t>
      </w:r>
      <w:r>
        <w:rPr>
          <w:spacing w:val="-3"/>
        </w:rPr>
        <w:t xml:space="preserve">性者，可诊断为慢性 </w:t>
      </w:r>
      <w:r>
        <w:rPr>
          <w:rFonts w:ascii="Times New Roman" w:eastAsia="Times New Roman"/>
        </w:rPr>
        <w:t>HBV</w:t>
      </w:r>
      <w:r>
        <w:rPr>
          <w:rFonts w:ascii="Times New Roman" w:eastAsia="Times New Roman"/>
          <w:spacing w:val="-13"/>
        </w:rPr>
        <w:t xml:space="preserve"> </w:t>
      </w:r>
      <w:r>
        <w:rPr>
          <w:spacing w:val="-5"/>
        </w:rPr>
        <w:t xml:space="preserve">感染。根据 </w:t>
      </w:r>
      <w:r>
        <w:rPr>
          <w:rFonts w:ascii="Times New Roman" w:eastAsia="Times New Roman"/>
        </w:rPr>
        <w:t>HBV</w:t>
      </w:r>
      <w:r>
        <w:rPr>
          <w:rFonts w:ascii="Times New Roman" w:eastAsia="Times New Roman"/>
          <w:spacing w:val="-13"/>
        </w:rPr>
        <w:t xml:space="preserve"> </w:t>
      </w:r>
      <w:r>
        <w:t>感染者的血清学、病毒学、生物化学试验及其</w:t>
      </w:r>
      <w:r>
        <w:rPr>
          <w:spacing w:val="-2"/>
        </w:rPr>
        <w:t xml:space="preserve">他临床和辅助检查结果，可将慢性 </w:t>
      </w:r>
      <w:r>
        <w:rPr>
          <w:rFonts w:ascii="Times New Roman" w:eastAsia="Times New Roman"/>
        </w:rPr>
        <w:t xml:space="preserve">HBV </w:t>
      </w:r>
      <w:r>
        <w:t>感染分为：</w:t>
      </w:r>
    </w:p>
    <w:p>
      <w:pPr>
        <w:pStyle w:val="Heading1"/>
        <w:spacing w:line="316" w:lineRule="exact"/>
      </w:pPr>
      <w:r>
        <w:t>（一）</w:t>
      </w:r>
      <w:r>
        <w:rPr>
          <w:spacing w:val="-2"/>
        </w:rPr>
        <w:t>慢性乙型肝炎</w:t>
      </w:r>
    </w:p>
    <w:p>
      <w:pPr>
        <w:pStyle w:val="ListParagraph"/>
        <w:numPr>
          <w:ilvl w:val="0"/>
          <w:numId w:val="12"/>
        </w:numPr>
        <w:tabs>
          <w:tab w:val="left" w:pos="896"/>
          <w:tab w:val="left" w:pos="3551"/>
        </w:tabs>
        <w:spacing w:before="151" w:after="0" w:line="240" w:lineRule="auto"/>
        <w:ind w:left="896" w:right="0" w:hanging="316"/>
        <w:jc w:val="left"/>
        <w:rPr>
          <w:rFonts w:ascii="Times New Roman" w:eastAsia="Times New Roman"/>
          <w:sz w:val="21"/>
        </w:rPr>
      </w:pPr>
      <w:r>
        <w:rPr>
          <w:rFonts w:ascii="Times New Roman" w:eastAsia="Times New Roman"/>
          <w:sz w:val="21"/>
        </w:rPr>
        <w:t>HBeAg</w:t>
      </w:r>
      <w:r>
        <w:rPr>
          <w:rFonts w:ascii="Times New Roman" w:eastAsia="Times New Roman"/>
          <w:spacing w:val="-2"/>
          <w:sz w:val="21"/>
        </w:rPr>
        <w:t xml:space="preserve"> </w:t>
      </w:r>
      <w:r>
        <w:rPr>
          <w:sz w:val="21"/>
        </w:rPr>
        <w:t>阳性慢性乙型肝</w:t>
      </w:r>
      <w:r>
        <w:rPr>
          <w:spacing w:val="-10"/>
          <w:sz w:val="21"/>
        </w:rPr>
        <w:t>炎</w:t>
      </w:r>
      <w:r>
        <w:rPr>
          <w:sz w:val="21"/>
        </w:rPr>
        <w:tab/>
        <w:t>血清</w:t>
      </w:r>
      <w:r>
        <w:rPr>
          <w:spacing w:val="-53"/>
          <w:sz w:val="21"/>
        </w:rPr>
        <w:t xml:space="preserve"> </w:t>
      </w:r>
      <w:r>
        <w:rPr>
          <w:rFonts w:ascii="Times New Roman" w:eastAsia="Times New Roman"/>
          <w:sz w:val="21"/>
        </w:rPr>
        <w:t>HBsAg</w:t>
      </w:r>
      <w:r>
        <w:rPr>
          <w:sz w:val="21"/>
        </w:rPr>
        <w:t>、</w:t>
      </w:r>
      <w:r>
        <w:rPr>
          <w:rFonts w:ascii="Times New Roman" w:eastAsia="Times New Roman"/>
          <w:sz w:val="21"/>
        </w:rPr>
        <w:t>HBeAg</w:t>
      </w:r>
      <w:r>
        <w:rPr>
          <w:rFonts w:ascii="Times New Roman" w:eastAsia="Times New Roman"/>
          <w:spacing w:val="-14"/>
          <w:sz w:val="21"/>
        </w:rPr>
        <w:t xml:space="preserve"> </w:t>
      </w:r>
      <w:r>
        <w:rPr>
          <w:sz w:val="21"/>
        </w:rPr>
        <w:t>阳性、抗</w:t>
      </w:r>
      <w:r>
        <w:rPr>
          <w:rFonts w:ascii="Times New Roman" w:eastAsia="Times New Roman"/>
          <w:sz w:val="21"/>
        </w:rPr>
        <w:t>-HBe</w:t>
      </w:r>
      <w:r>
        <w:rPr>
          <w:rFonts w:ascii="Times New Roman" w:eastAsia="Times New Roman"/>
          <w:spacing w:val="-13"/>
          <w:sz w:val="21"/>
        </w:rPr>
        <w:t xml:space="preserve"> </w:t>
      </w:r>
      <w:r>
        <w:rPr>
          <w:sz w:val="21"/>
        </w:rPr>
        <w:t>阴性，</w:t>
      </w:r>
      <w:r>
        <w:rPr>
          <w:rFonts w:ascii="Times New Roman" w:eastAsia="Times New Roman"/>
          <w:sz w:val="21"/>
        </w:rPr>
        <w:t>HBV</w:t>
      </w:r>
      <w:r>
        <w:rPr>
          <w:rFonts w:ascii="Times New Roman" w:eastAsia="Times New Roman"/>
          <w:spacing w:val="-12"/>
          <w:sz w:val="21"/>
        </w:rPr>
        <w:t xml:space="preserve"> </w:t>
      </w:r>
      <w:r>
        <w:rPr>
          <w:rFonts w:ascii="Times New Roman" w:eastAsia="Times New Roman"/>
          <w:spacing w:val="-5"/>
          <w:sz w:val="21"/>
        </w:rPr>
        <w:t>DNA</w:t>
      </w:r>
    </w:p>
    <w:p>
      <w:pPr>
        <w:pStyle w:val="BodyText"/>
        <w:spacing w:before="3"/>
        <w:ind w:left="0"/>
        <w:rPr>
          <w:rFonts w:ascii="Times New Roman"/>
          <w:sz w:val="17"/>
        </w:rPr>
      </w:pPr>
    </w:p>
    <w:p>
      <w:pPr>
        <w:pStyle w:val="BodyText"/>
      </w:pPr>
      <w:r>
        <w:t>阳性，</w:t>
      </w:r>
      <w:r>
        <w:rPr>
          <w:rFonts w:ascii="Times New Roman" w:eastAsia="Times New Roman"/>
        </w:rPr>
        <w:t>ALT</w:t>
      </w:r>
      <w:r>
        <w:rPr>
          <w:rFonts w:ascii="Times New Roman" w:eastAsia="Times New Roman"/>
          <w:spacing w:val="-3"/>
        </w:rPr>
        <w:t xml:space="preserve"> </w:t>
      </w:r>
      <w:r>
        <w:rPr>
          <w:spacing w:val="-1"/>
        </w:rPr>
        <w:t>持续或反复升高，或肝组织学检查有肝炎病变。</w:t>
      </w:r>
    </w:p>
    <w:p>
      <w:pPr>
        <w:pStyle w:val="BodyText"/>
        <w:spacing w:before="7"/>
        <w:ind w:left="0"/>
        <w:rPr>
          <w:sz w:val="15"/>
        </w:rPr>
      </w:pPr>
    </w:p>
    <w:p>
      <w:pPr>
        <w:pStyle w:val="ListParagraph"/>
        <w:numPr>
          <w:ilvl w:val="0"/>
          <w:numId w:val="12"/>
        </w:numPr>
        <w:tabs>
          <w:tab w:val="left" w:pos="896"/>
          <w:tab w:val="left" w:pos="3581"/>
        </w:tabs>
        <w:spacing w:before="0" w:after="0" w:line="417" w:lineRule="auto"/>
        <w:ind w:left="160" w:right="310" w:firstLine="420"/>
        <w:jc w:val="left"/>
        <w:rPr>
          <w:sz w:val="21"/>
        </w:rPr>
      </w:pPr>
      <w:r>
        <w:rPr>
          <w:rFonts w:ascii="Times New Roman" w:eastAsia="Times New Roman"/>
          <w:sz w:val="21"/>
        </w:rPr>
        <w:t xml:space="preserve">HBeAg </w:t>
      </w:r>
      <w:r>
        <w:rPr>
          <w:sz w:val="21"/>
        </w:rPr>
        <w:t>阴性慢性乙型肝炎</w:t>
        <w:tab/>
        <w:t>血清</w:t>
      </w:r>
      <w:r>
        <w:rPr>
          <w:spacing w:val="-53"/>
          <w:sz w:val="21"/>
        </w:rPr>
        <w:t xml:space="preserve"> </w:t>
      </w:r>
      <w:r>
        <w:rPr>
          <w:rFonts w:ascii="Times New Roman" w:eastAsia="Times New Roman"/>
          <w:sz w:val="21"/>
        </w:rPr>
        <w:t>HBsAg</w:t>
      </w:r>
      <w:r>
        <w:rPr>
          <w:rFonts w:ascii="Times New Roman" w:eastAsia="Times New Roman"/>
          <w:spacing w:val="-14"/>
          <w:sz w:val="21"/>
        </w:rPr>
        <w:t xml:space="preserve"> </w:t>
      </w:r>
      <w:r>
        <w:rPr>
          <w:sz w:val="21"/>
        </w:rPr>
        <w:t>阳性，</w:t>
      </w:r>
      <w:r>
        <w:rPr>
          <w:rFonts w:ascii="Times New Roman" w:eastAsia="Times New Roman"/>
          <w:sz w:val="21"/>
        </w:rPr>
        <w:t>HBeAg</w:t>
      </w:r>
      <w:r>
        <w:rPr>
          <w:rFonts w:ascii="Times New Roman" w:eastAsia="Times New Roman"/>
          <w:spacing w:val="-13"/>
          <w:sz w:val="21"/>
        </w:rPr>
        <w:t xml:space="preserve"> </w:t>
      </w:r>
      <w:r>
        <w:rPr>
          <w:sz w:val="21"/>
        </w:rPr>
        <w:t>持续阴性，抗</w:t>
      </w:r>
      <w:r>
        <w:rPr>
          <w:rFonts w:ascii="Times New Roman" w:eastAsia="Times New Roman"/>
          <w:sz w:val="21"/>
        </w:rPr>
        <w:t>-HBe</w:t>
      </w:r>
      <w:r>
        <w:rPr>
          <w:rFonts w:ascii="Times New Roman" w:eastAsia="Times New Roman"/>
          <w:spacing w:val="-11"/>
          <w:sz w:val="21"/>
        </w:rPr>
        <w:t xml:space="preserve"> </w:t>
      </w:r>
      <w:r>
        <w:rPr>
          <w:sz w:val="21"/>
        </w:rPr>
        <w:t xml:space="preserve">阳性或阴性， </w:t>
      </w:r>
      <w:r>
        <w:rPr>
          <w:rFonts w:ascii="Times New Roman" w:eastAsia="Times New Roman"/>
          <w:sz w:val="21"/>
        </w:rPr>
        <w:t xml:space="preserve">HBV DNA </w:t>
      </w:r>
      <w:r>
        <w:rPr>
          <w:sz w:val="21"/>
        </w:rPr>
        <w:t>阳性，</w:t>
      </w:r>
      <w:r>
        <w:rPr>
          <w:rFonts w:ascii="Times New Roman" w:eastAsia="Times New Roman"/>
          <w:sz w:val="21"/>
        </w:rPr>
        <w:t xml:space="preserve">ALT </w:t>
      </w:r>
      <w:r>
        <w:rPr>
          <w:sz w:val="21"/>
        </w:rPr>
        <w:t>持续或反复异常，或肝组织学检查有肝炎病变。</w:t>
      </w:r>
    </w:p>
    <w:p>
      <w:pPr>
        <w:pStyle w:val="BodyText"/>
        <w:spacing w:line="417" w:lineRule="auto"/>
        <w:ind w:right="310" w:firstLine="420"/>
      </w:pPr>
      <w:r>
        <w:rPr>
          <w:spacing w:val="-2"/>
        </w:rPr>
        <w:t>根据生物化学试验及其他临床和辅助检查结果，上述两型慢性乙型肝炎也可进一步分</w:t>
      </w:r>
      <w:r>
        <w:rPr>
          <w:spacing w:val="-2"/>
        </w:rPr>
        <w:t>为轻度、中度和重度</w:t>
      </w:r>
      <w:r>
        <w:rPr>
          <w:rFonts w:ascii="Calibri" w:eastAsia="Calibri"/>
          <w:spacing w:val="-2"/>
          <w:vertAlign w:val="superscript"/>
        </w:rPr>
        <w:t>[45]</w:t>
      </w:r>
      <w:r>
        <w:rPr>
          <w:spacing w:val="-2"/>
          <w:vertAlign w:val="baseline"/>
        </w:rPr>
        <w:t>。</w:t>
      </w:r>
    </w:p>
    <w:p>
      <w:pPr>
        <w:pStyle w:val="Heading1"/>
        <w:spacing w:line="317" w:lineRule="exact"/>
      </w:pPr>
      <w:r>
        <w:t>（二）</w:t>
      </w:r>
      <w:r>
        <w:rPr>
          <w:spacing w:val="-2"/>
        </w:rPr>
        <w:t>乙型肝炎肝硬化</w:t>
      </w:r>
    </w:p>
    <w:p>
      <w:pPr>
        <w:pStyle w:val="BodyText"/>
        <w:spacing w:before="151" w:line="417" w:lineRule="auto"/>
        <w:ind w:right="310" w:firstLine="420"/>
      </w:pPr>
      <w:r>
        <w:rPr>
          <w:spacing w:val="-2"/>
        </w:rPr>
        <w:t>乙型肝炎肝硬化是慢性乙型肝炎发展的结果，其病理学定义为弥漫性纤维化伴有假小</w:t>
      </w:r>
      <w:r>
        <w:rPr>
          <w:spacing w:val="-4"/>
        </w:rPr>
        <w:t>叶形成。</w:t>
      </w:r>
    </w:p>
    <w:p>
      <w:pPr>
        <w:pStyle w:val="ListParagraph"/>
        <w:numPr>
          <w:ilvl w:val="1"/>
          <w:numId w:val="12"/>
        </w:numPr>
        <w:tabs>
          <w:tab w:val="left" w:pos="1016"/>
          <w:tab w:val="left" w:pos="2578"/>
        </w:tabs>
        <w:spacing w:before="0" w:after="0" w:line="269" w:lineRule="exact"/>
        <w:ind w:left="1015" w:right="0" w:hanging="317"/>
        <w:jc w:val="left"/>
        <w:rPr>
          <w:sz w:val="21"/>
        </w:rPr>
      </w:pPr>
      <w:r>
        <w:rPr>
          <w:sz w:val="21"/>
        </w:rPr>
        <w:t>代偿期肝硬</w:t>
      </w:r>
      <w:r>
        <w:rPr>
          <w:spacing w:val="-10"/>
          <w:sz w:val="21"/>
        </w:rPr>
        <w:t>化</w:t>
      </w:r>
      <w:r>
        <w:rPr>
          <w:sz w:val="21"/>
        </w:rPr>
        <w:tab/>
        <w:t>一般属</w:t>
      </w:r>
      <w:r>
        <w:rPr>
          <w:spacing w:val="-53"/>
          <w:sz w:val="21"/>
        </w:rPr>
        <w:t xml:space="preserve"> </w:t>
      </w:r>
      <w:r>
        <w:rPr>
          <w:rFonts w:ascii="Times New Roman" w:eastAsia="Times New Roman"/>
          <w:sz w:val="21"/>
        </w:rPr>
        <w:t>Child-Pugh</w:t>
      </w:r>
      <w:r>
        <w:rPr>
          <w:rFonts w:ascii="Times New Roman" w:eastAsia="Times New Roman"/>
          <w:spacing w:val="-14"/>
          <w:sz w:val="21"/>
        </w:rPr>
        <w:t xml:space="preserve"> </w:t>
      </w:r>
      <w:r>
        <w:rPr>
          <w:rFonts w:ascii="Times New Roman" w:eastAsia="Times New Roman"/>
          <w:sz w:val="21"/>
        </w:rPr>
        <w:t>A</w:t>
      </w:r>
      <w:r>
        <w:rPr>
          <w:rFonts w:ascii="Times New Roman" w:eastAsia="Times New Roman"/>
          <w:spacing w:val="-11"/>
          <w:sz w:val="21"/>
        </w:rPr>
        <w:t xml:space="preserve"> </w:t>
      </w:r>
      <w:r>
        <w:rPr>
          <w:sz w:val="21"/>
        </w:rPr>
        <w:t>级。</w:t>
      </w:r>
      <w:r>
        <w:rPr>
          <w:sz w:val="21"/>
        </w:rPr>
        <w:t>影像学、</w:t>
      </w:r>
      <w:r>
        <w:rPr>
          <w:sz w:val="21"/>
        </w:rPr>
        <w:t>生化学或血液学检查有肝细</w:t>
      </w:r>
      <w:r>
        <w:rPr>
          <w:spacing w:val="-10"/>
          <w:sz w:val="21"/>
        </w:rPr>
        <w:t>胞</w:t>
      </w:r>
    </w:p>
    <w:p>
      <w:pPr>
        <w:spacing w:after="0" w:line="269" w:lineRule="exact"/>
        <w:jc w:val="left"/>
        <w:rPr>
          <w:sz w:val="21"/>
        </w:rPr>
        <w:sectPr>
          <w:footerReference w:type="default" r:id="rId9"/>
          <w:pgSz w:w="11910" w:h="16840"/>
          <w:pgMar w:top="1460" w:right="1500" w:bottom="1380" w:left="1640" w:header="0" w:footer="1189"/>
          <w:pgNumType w:start="6"/>
          <w:cols w:space="708"/>
        </w:sectPr>
      </w:pPr>
    </w:p>
    <w:p>
      <w:pPr>
        <w:pStyle w:val="BodyText"/>
        <w:spacing w:before="43" w:line="417" w:lineRule="auto"/>
        <w:ind w:right="310"/>
      </w:pPr>
      <w:r>
        <w:rPr>
          <w:spacing w:val="-2"/>
        </w:rPr>
        <w:t>合成功能障碍或门静脉高压症（如脾功能亢进及食管胃底静脉曲张）证据，或组织学符合</w:t>
      </w:r>
      <w:r>
        <w:rPr>
          <w:spacing w:val="-2"/>
        </w:rPr>
        <w:t>肝硬化诊断，但无食管胃底静脉曲张破裂出血、腹水或肝性脑病等严重并发症。</w:t>
      </w:r>
    </w:p>
    <w:p>
      <w:pPr>
        <w:pStyle w:val="ListParagraph"/>
        <w:numPr>
          <w:ilvl w:val="1"/>
          <w:numId w:val="14"/>
        </w:numPr>
        <w:tabs>
          <w:tab w:val="left" w:pos="1017"/>
          <w:tab w:val="left" w:pos="2816"/>
        </w:tabs>
        <w:spacing w:before="0" w:after="0" w:line="417" w:lineRule="auto"/>
        <w:ind w:left="160" w:right="310" w:firstLine="539"/>
        <w:jc w:val="left"/>
        <w:rPr>
          <w:sz w:val="21"/>
        </w:rPr>
      </w:pPr>
      <w:r>
        <w:rPr>
          <w:spacing w:val="-2"/>
          <w:sz w:val="21"/>
        </w:rPr>
        <w:t>失代偿期肝硬化</w:t>
      </w:r>
      <w:r>
        <w:rPr>
          <w:sz w:val="21"/>
        </w:rPr>
        <w:tab/>
        <w:t>一般属</w:t>
      </w:r>
      <w:r>
        <w:rPr>
          <w:spacing w:val="-51"/>
          <w:sz w:val="21"/>
        </w:rPr>
        <w:t xml:space="preserve"> </w:t>
      </w:r>
      <w:r>
        <w:rPr>
          <w:rFonts w:ascii="Times New Roman" w:eastAsia="Times New Roman"/>
          <w:sz w:val="21"/>
        </w:rPr>
        <w:t>Child-Pugh</w:t>
      </w:r>
      <w:r>
        <w:rPr>
          <w:rFonts w:ascii="Times New Roman" w:eastAsia="Times New Roman"/>
          <w:spacing w:val="-3"/>
          <w:sz w:val="21"/>
        </w:rPr>
        <w:t xml:space="preserve"> </w:t>
      </w:r>
      <w:r>
        <w:rPr>
          <w:rFonts w:ascii="Times New Roman" w:eastAsia="Times New Roman"/>
          <w:sz w:val="21"/>
        </w:rPr>
        <w:t>B</w:t>
      </w:r>
      <w:r>
        <w:rPr>
          <w:sz w:val="21"/>
        </w:rPr>
        <w:t>、</w:t>
      </w:r>
      <w:r>
        <w:rPr>
          <w:rFonts w:ascii="Times New Roman" w:eastAsia="Times New Roman"/>
          <w:sz w:val="21"/>
        </w:rPr>
        <w:t>C</w:t>
      </w:r>
      <w:r>
        <w:rPr>
          <w:rFonts w:ascii="Times New Roman" w:eastAsia="Times New Roman"/>
          <w:spacing w:val="-2"/>
          <w:sz w:val="21"/>
        </w:rPr>
        <w:t xml:space="preserve"> </w:t>
      </w:r>
      <w:r>
        <w:rPr>
          <w:sz w:val="21"/>
        </w:rPr>
        <w:t>级。患者已发生食管胃底静脉曲张破</w:t>
      </w:r>
      <w:r>
        <w:rPr>
          <w:spacing w:val="-2"/>
          <w:sz w:val="21"/>
        </w:rPr>
        <w:t>裂</w:t>
      </w:r>
      <w:r>
        <w:rPr>
          <w:spacing w:val="-2"/>
          <w:sz w:val="21"/>
        </w:rPr>
        <w:t>出</w:t>
      </w:r>
      <w:r>
        <w:rPr>
          <w:spacing w:val="-2"/>
          <w:sz w:val="21"/>
        </w:rPr>
        <w:t>血</w:t>
      </w:r>
      <w:r>
        <w:rPr>
          <w:spacing w:val="-2"/>
          <w:sz w:val="21"/>
        </w:rPr>
        <w:t>、</w:t>
      </w:r>
      <w:r>
        <w:rPr>
          <w:spacing w:val="-2"/>
          <w:sz w:val="21"/>
        </w:rPr>
        <w:t>肝</w:t>
      </w:r>
      <w:r>
        <w:rPr>
          <w:spacing w:val="-2"/>
          <w:sz w:val="21"/>
        </w:rPr>
        <w:t>性</w:t>
      </w:r>
      <w:r>
        <w:rPr>
          <w:spacing w:val="-2"/>
          <w:sz w:val="21"/>
        </w:rPr>
        <w:t>脑</w:t>
      </w:r>
      <w:r>
        <w:rPr>
          <w:spacing w:val="-2"/>
          <w:sz w:val="21"/>
        </w:rPr>
        <w:t>病</w:t>
      </w:r>
      <w:r>
        <w:rPr>
          <w:spacing w:val="-2"/>
          <w:sz w:val="21"/>
        </w:rPr>
        <w:t>、</w:t>
      </w:r>
      <w:r>
        <w:rPr>
          <w:spacing w:val="-2"/>
          <w:sz w:val="21"/>
        </w:rPr>
        <w:t>腹</w:t>
      </w:r>
      <w:r>
        <w:rPr>
          <w:spacing w:val="-2"/>
          <w:sz w:val="21"/>
        </w:rPr>
        <w:t>水</w:t>
      </w:r>
      <w:r>
        <w:rPr>
          <w:spacing w:val="-2"/>
          <w:sz w:val="21"/>
        </w:rPr>
        <w:t>等</w:t>
      </w:r>
      <w:r>
        <w:rPr>
          <w:spacing w:val="-2"/>
          <w:sz w:val="21"/>
        </w:rPr>
        <w:t>严</w:t>
      </w:r>
      <w:r>
        <w:rPr>
          <w:spacing w:val="-2"/>
          <w:sz w:val="21"/>
        </w:rPr>
        <w:t>重</w:t>
      </w:r>
      <w:r>
        <w:rPr>
          <w:spacing w:val="-2"/>
          <w:sz w:val="21"/>
        </w:rPr>
        <w:t>并</w:t>
      </w:r>
      <w:r>
        <w:rPr>
          <w:spacing w:val="-2"/>
          <w:sz w:val="21"/>
        </w:rPr>
        <w:t>发</w:t>
      </w:r>
      <w:r>
        <w:rPr>
          <w:spacing w:val="-2"/>
          <w:sz w:val="21"/>
        </w:rPr>
        <w:t>症</w:t>
      </w:r>
      <w:r>
        <w:rPr>
          <w:spacing w:val="-2"/>
          <w:sz w:val="21"/>
        </w:rPr>
        <w:t>。</w:t>
      </w:r>
    </w:p>
    <w:p>
      <w:pPr>
        <w:pStyle w:val="BodyText"/>
        <w:spacing w:line="269" w:lineRule="exact"/>
        <w:ind w:left="699"/>
      </w:pPr>
      <w:r>
        <w:rPr>
          <w:spacing w:val="-2"/>
        </w:rPr>
        <w:t>亦可将代偿期和失代偿期肝硬化再分为活动期或静止期</w:t>
      </w:r>
      <w:r>
        <w:rPr>
          <w:rFonts w:ascii="Calibri" w:eastAsia="Calibri"/>
          <w:spacing w:val="-2"/>
          <w:vertAlign w:val="superscript"/>
        </w:rPr>
        <w:t>[45]</w:t>
      </w:r>
      <w:r>
        <w:rPr>
          <w:color w:val="0000FF"/>
          <w:spacing w:val="-10"/>
          <w:vertAlign w:val="baseline"/>
        </w:rPr>
        <w:t>。</w:t>
      </w:r>
    </w:p>
    <w:p>
      <w:pPr>
        <w:pStyle w:val="Heading1"/>
        <w:spacing w:before="129"/>
      </w:pPr>
      <w:r>
        <w:t>（三）</w:t>
      </w:r>
      <w:r>
        <w:rPr>
          <w:spacing w:val="-4"/>
        </w:rPr>
        <w:t>携带者</w:t>
      </w:r>
    </w:p>
    <w:p>
      <w:pPr>
        <w:pStyle w:val="ListParagraph"/>
        <w:numPr>
          <w:ilvl w:val="0"/>
          <w:numId w:val="11"/>
        </w:numPr>
        <w:tabs>
          <w:tab w:val="left" w:pos="836"/>
          <w:tab w:val="left" w:pos="2625"/>
        </w:tabs>
        <w:spacing w:before="151" w:after="0" w:line="240" w:lineRule="auto"/>
        <w:ind w:left="835" w:right="0" w:hanging="317"/>
        <w:jc w:val="left"/>
        <w:rPr>
          <w:rFonts w:ascii="Times New Roman" w:eastAsia="Times New Roman"/>
          <w:sz w:val="21"/>
        </w:rPr>
      </w:pPr>
      <w:r>
        <w:rPr>
          <w:sz w:val="21"/>
        </w:rPr>
        <w:t>慢性</w:t>
      </w:r>
      <w:r>
        <w:rPr>
          <w:spacing w:val="-61"/>
          <w:sz w:val="21"/>
        </w:rPr>
        <w:t xml:space="preserve"> </w:t>
      </w:r>
      <w:r>
        <w:rPr>
          <w:rFonts w:ascii="Times New Roman" w:eastAsia="Times New Roman"/>
          <w:sz w:val="21"/>
        </w:rPr>
        <w:t>HBV</w:t>
      </w:r>
      <w:r>
        <w:rPr>
          <w:rFonts w:ascii="Times New Roman" w:eastAsia="Times New Roman"/>
          <w:spacing w:val="-9"/>
          <w:sz w:val="21"/>
        </w:rPr>
        <w:t xml:space="preserve"> </w:t>
      </w:r>
      <w:r>
        <w:rPr>
          <w:sz w:val="21"/>
        </w:rPr>
        <w:t>携带</w:t>
      </w:r>
      <w:r>
        <w:rPr>
          <w:spacing w:val="-10"/>
          <w:sz w:val="21"/>
        </w:rPr>
        <w:t>者</w:t>
      </w:r>
      <w:r>
        <w:rPr>
          <w:sz w:val="21"/>
        </w:rPr>
        <w:tab/>
        <w:t>多为处于免疫耐受期的</w:t>
      </w:r>
      <w:r>
        <w:rPr>
          <w:spacing w:val="-61"/>
          <w:sz w:val="21"/>
        </w:rPr>
        <w:t xml:space="preserve"> </w:t>
      </w:r>
      <w:r>
        <w:rPr>
          <w:rFonts w:ascii="Times New Roman" w:eastAsia="Times New Roman"/>
          <w:sz w:val="21"/>
        </w:rPr>
        <w:t>HBsAg</w:t>
      </w:r>
      <w:r>
        <w:rPr>
          <w:spacing w:val="-105"/>
          <w:sz w:val="21"/>
        </w:rPr>
        <w:t>、</w:t>
      </w:r>
      <w:r>
        <w:rPr>
          <w:rFonts w:ascii="Times New Roman" w:eastAsia="Times New Roman"/>
          <w:sz w:val="21"/>
        </w:rPr>
        <w:t>HBeAg</w:t>
      </w:r>
      <w:r>
        <w:rPr>
          <w:rFonts w:ascii="Times New Roman" w:eastAsia="Times New Roman"/>
          <w:spacing w:val="-14"/>
          <w:sz w:val="21"/>
        </w:rPr>
        <w:t xml:space="preserve"> </w:t>
      </w:r>
      <w:r>
        <w:rPr>
          <w:spacing w:val="44"/>
          <w:sz w:val="21"/>
        </w:rPr>
        <w:t>和</w:t>
      </w:r>
      <w:r>
        <w:rPr>
          <w:rFonts w:ascii="Times New Roman" w:eastAsia="Times New Roman"/>
          <w:sz w:val="21"/>
        </w:rPr>
        <w:t>HBV</w:t>
      </w:r>
      <w:r>
        <w:rPr>
          <w:rFonts w:ascii="Times New Roman" w:eastAsia="Times New Roman"/>
          <w:spacing w:val="-5"/>
          <w:sz w:val="21"/>
        </w:rPr>
        <w:t xml:space="preserve"> </w:t>
      </w:r>
      <w:r>
        <w:rPr>
          <w:rFonts w:ascii="Times New Roman" w:eastAsia="Times New Roman"/>
          <w:sz w:val="21"/>
        </w:rPr>
        <w:t>DNA</w:t>
      </w:r>
      <w:r>
        <w:rPr>
          <w:rFonts w:ascii="Times New Roman" w:eastAsia="Times New Roman"/>
          <w:spacing w:val="-11"/>
          <w:sz w:val="21"/>
        </w:rPr>
        <w:t xml:space="preserve"> </w:t>
      </w:r>
      <w:r>
        <w:rPr>
          <w:sz w:val="21"/>
        </w:rPr>
        <w:t>阳性者</w:t>
      </w:r>
      <w:r>
        <w:rPr>
          <w:spacing w:val="-148"/>
          <w:sz w:val="21"/>
        </w:rPr>
        <w:t>，</w:t>
      </w:r>
      <w:r>
        <w:rPr>
          <w:rFonts w:ascii="Times New Roman" w:eastAsia="Times New Roman"/>
          <w:spacing w:val="44"/>
          <w:sz w:val="21"/>
        </w:rPr>
        <w:t>bb1</w:t>
      </w:r>
    </w:p>
    <w:p>
      <w:pPr>
        <w:pStyle w:val="BodyText"/>
        <w:spacing w:before="4"/>
        <w:ind w:left="0"/>
        <w:rPr>
          <w:rFonts w:ascii="Times New Roman"/>
          <w:sz w:val="17"/>
        </w:rPr>
      </w:pPr>
    </w:p>
    <w:p>
      <w:pPr>
        <w:pStyle w:val="BodyText"/>
      </w:pPr>
      <w:r>
        <w:rPr>
          <w:spacing w:val="-8"/>
        </w:rPr>
        <w:t xml:space="preserve">年内连续随访 </w:t>
      </w:r>
      <w:r>
        <w:rPr>
          <w:rFonts w:ascii="Times New Roman" w:eastAsia="Times New Roman"/>
        </w:rPr>
        <w:t>3</w:t>
      </w:r>
      <w:r>
        <w:rPr>
          <w:rFonts w:ascii="Times New Roman" w:eastAsia="Times New Roman"/>
          <w:spacing w:val="-5"/>
        </w:rPr>
        <w:t xml:space="preserve"> </w:t>
      </w:r>
      <w:r>
        <w:rPr>
          <w:spacing w:val="-7"/>
        </w:rPr>
        <w:t xml:space="preserve">次以上均显示血清 </w:t>
      </w:r>
      <w:r>
        <w:rPr>
          <w:rFonts w:ascii="Times New Roman" w:eastAsia="Times New Roman"/>
        </w:rPr>
        <w:t>ALT</w:t>
      </w:r>
      <w:r>
        <w:rPr>
          <w:rFonts w:ascii="Times New Roman" w:eastAsia="Times New Roman"/>
          <w:spacing w:val="-4"/>
        </w:rPr>
        <w:t xml:space="preserve"> </w:t>
      </w:r>
      <w:r>
        <w:rPr>
          <w:spacing w:val="49"/>
        </w:rPr>
        <w:t>和</w:t>
      </w:r>
      <w:r>
        <w:rPr>
          <w:rFonts w:ascii="Times New Roman" w:eastAsia="Times New Roman"/>
        </w:rPr>
        <w:t>AST</w:t>
      </w:r>
      <w:r>
        <w:rPr>
          <w:rFonts w:ascii="Times New Roman" w:eastAsia="Times New Roman"/>
          <w:spacing w:val="-3"/>
        </w:rPr>
        <w:t xml:space="preserve"> </w:t>
      </w:r>
      <w:r>
        <w:rPr>
          <w:spacing w:val="-11"/>
        </w:rPr>
        <w:t>在正常范围，肝组织学检查无明显异常。</w:t>
      </w:r>
    </w:p>
    <w:p>
      <w:pPr>
        <w:pStyle w:val="BodyText"/>
        <w:spacing w:before="6"/>
        <w:ind w:left="0"/>
        <w:rPr>
          <w:sz w:val="15"/>
        </w:rPr>
      </w:pPr>
    </w:p>
    <w:p>
      <w:pPr>
        <w:pStyle w:val="ListParagraph"/>
        <w:numPr>
          <w:ilvl w:val="0"/>
          <w:numId w:val="11"/>
        </w:numPr>
        <w:tabs>
          <w:tab w:val="left" w:pos="836"/>
          <w:tab w:val="left" w:pos="3246"/>
        </w:tabs>
        <w:spacing w:before="0" w:after="0" w:line="417" w:lineRule="auto"/>
        <w:ind w:left="160" w:right="205" w:firstLine="359"/>
        <w:jc w:val="left"/>
        <w:rPr>
          <w:sz w:val="21"/>
        </w:rPr>
      </w:pPr>
      <w:r>
        <w:rPr>
          <w:sz w:val="21"/>
        </w:rPr>
        <w:t>非活动性</w:t>
      </w:r>
      <w:r>
        <w:rPr>
          <w:spacing w:val="-24"/>
          <w:sz w:val="21"/>
        </w:rPr>
        <w:t xml:space="preserve"> </w:t>
      </w:r>
      <w:r>
        <w:rPr>
          <w:rFonts w:ascii="Times New Roman" w:eastAsia="Times New Roman"/>
          <w:sz w:val="21"/>
        </w:rPr>
        <w:t xml:space="preserve">HBsAg </w:t>
      </w:r>
      <w:r>
        <w:rPr>
          <w:sz w:val="21"/>
        </w:rPr>
        <w:t>携带者</w:t>
        <w:tab/>
        <w:t>血清</w:t>
      </w:r>
      <w:r>
        <w:rPr>
          <w:spacing w:val="-54"/>
          <w:sz w:val="21"/>
        </w:rPr>
        <w:t xml:space="preserve"> </w:t>
      </w:r>
      <w:r>
        <w:rPr>
          <w:rFonts w:ascii="Times New Roman" w:eastAsia="Times New Roman"/>
          <w:sz w:val="21"/>
        </w:rPr>
        <w:t>HBsAg</w:t>
      </w:r>
      <w:r>
        <w:rPr>
          <w:rFonts w:ascii="Times New Roman" w:eastAsia="Times New Roman"/>
          <w:spacing w:val="-14"/>
          <w:sz w:val="21"/>
        </w:rPr>
        <w:t xml:space="preserve"> </w:t>
      </w:r>
      <w:r>
        <w:rPr>
          <w:sz w:val="21"/>
        </w:rPr>
        <w:t>阳性</w:t>
      </w:r>
      <w:r>
        <w:rPr>
          <w:spacing w:val="-105"/>
          <w:sz w:val="21"/>
        </w:rPr>
        <w:t>、</w:t>
      </w:r>
      <w:r>
        <w:rPr>
          <w:rFonts w:ascii="Times New Roman" w:eastAsia="Times New Roman"/>
          <w:sz w:val="21"/>
        </w:rPr>
        <w:t>HBeAg</w:t>
      </w:r>
      <w:r>
        <w:rPr>
          <w:rFonts w:ascii="Times New Roman" w:eastAsia="Times New Roman"/>
          <w:spacing w:val="-13"/>
          <w:sz w:val="21"/>
        </w:rPr>
        <w:t xml:space="preserve"> </w:t>
      </w:r>
      <w:r>
        <w:rPr>
          <w:sz w:val="21"/>
        </w:rPr>
        <w:t>阴性</w:t>
      </w:r>
      <w:r>
        <w:rPr>
          <w:spacing w:val="-105"/>
          <w:sz w:val="21"/>
        </w:rPr>
        <w:t>、</w:t>
      </w:r>
      <w:r>
        <w:rPr>
          <w:sz w:val="21"/>
        </w:rPr>
        <w:t>抗</w:t>
      </w:r>
      <w:r>
        <w:rPr>
          <w:rFonts w:ascii="Times New Roman" w:eastAsia="Times New Roman"/>
          <w:sz w:val="21"/>
        </w:rPr>
        <w:t>-HBe</w:t>
      </w:r>
      <w:r>
        <w:rPr>
          <w:rFonts w:ascii="Times New Roman" w:eastAsia="Times New Roman"/>
          <w:spacing w:val="-13"/>
          <w:sz w:val="21"/>
        </w:rPr>
        <w:t xml:space="preserve"> </w:t>
      </w:r>
      <w:r>
        <w:rPr>
          <w:sz w:val="21"/>
        </w:rPr>
        <w:t>阳性或阴性</w:t>
      </w:r>
      <w:r>
        <w:rPr>
          <w:spacing w:val="-78"/>
          <w:sz w:val="21"/>
        </w:rPr>
        <w:t>，</w:t>
      </w:r>
      <w:r>
        <w:rPr>
          <w:rFonts w:ascii="Times New Roman" w:eastAsia="Times New Roman"/>
          <w:spacing w:val="26"/>
          <w:sz w:val="21"/>
        </w:rPr>
        <w:t>HBV</w:t>
      </w:r>
      <w:r>
        <w:rPr>
          <w:rFonts w:ascii="Times New Roman" w:eastAsia="Times New Roman"/>
          <w:sz w:val="21"/>
        </w:rPr>
        <w:t xml:space="preserve"> DNA</w:t>
      </w:r>
      <w:r>
        <w:rPr>
          <w:rFonts w:ascii="Times New Roman" w:eastAsia="Times New Roman"/>
          <w:spacing w:val="-14"/>
          <w:sz w:val="21"/>
        </w:rPr>
        <w:t xml:space="preserve"> </w:t>
      </w:r>
      <w:r>
        <w:rPr>
          <w:sz w:val="21"/>
        </w:rPr>
        <w:t>低于最低检测限，</w:t>
      </w:r>
      <w:r>
        <w:rPr>
          <w:rFonts w:ascii="Times New Roman" w:eastAsia="Times New Roman"/>
          <w:sz w:val="21"/>
        </w:rPr>
        <w:t>1</w:t>
      </w:r>
      <w:r>
        <w:rPr>
          <w:rFonts w:ascii="Times New Roman" w:eastAsia="Times New Roman"/>
          <w:spacing w:val="-13"/>
          <w:sz w:val="21"/>
        </w:rPr>
        <w:t xml:space="preserve"> </w:t>
      </w:r>
      <w:r>
        <w:rPr>
          <w:sz w:val="21"/>
        </w:rPr>
        <w:t>年内连续随访</w:t>
      </w:r>
      <w:r>
        <w:rPr>
          <w:spacing w:val="-53"/>
          <w:sz w:val="21"/>
        </w:rPr>
        <w:t xml:space="preserve"> </w:t>
      </w:r>
      <w:r>
        <w:rPr>
          <w:rFonts w:ascii="Times New Roman" w:eastAsia="Times New Roman"/>
          <w:sz w:val="21"/>
        </w:rPr>
        <w:t>3</w:t>
      </w:r>
      <w:r>
        <w:rPr>
          <w:rFonts w:ascii="Times New Roman" w:eastAsia="Times New Roman"/>
          <w:spacing w:val="-13"/>
          <w:sz w:val="21"/>
        </w:rPr>
        <w:t xml:space="preserve"> </w:t>
      </w:r>
      <w:r>
        <w:rPr>
          <w:sz w:val="21"/>
        </w:rPr>
        <w:t>次以上，</w:t>
      </w:r>
      <w:r>
        <w:rPr>
          <w:rFonts w:ascii="Times New Roman" w:eastAsia="Times New Roman"/>
          <w:sz w:val="21"/>
        </w:rPr>
        <w:t>ALT</w:t>
      </w:r>
      <w:r>
        <w:rPr>
          <w:rFonts w:ascii="Times New Roman" w:eastAsia="Times New Roman"/>
          <w:spacing w:val="-13"/>
          <w:sz w:val="21"/>
        </w:rPr>
        <w:t xml:space="preserve"> </w:t>
      </w:r>
      <w:r>
        <w:rPr>
          <w:sz w:val="21"/>
        </w:rPr>
        <w:t>均在正常范围。</w:t>
      </w:r>
      <w:r>
        <w:rPr>
          <w:sz w:val="21"/>
        </w:rPr>
        <w:t>肝组织学检查显</w:t>
      </w:r>
      <w:r>
        <w:rPr>
          <w:spacing w:val="-53"/>
          <w:sz w:val="21"/>
        </w:rPr>
        <w:t>示</w:t>
      </w:r>
      <w:r>
        <w:rPr>
          <w:sz w:val="21"/>
        </w:rPr>
        <w:t xml:space="preserve">： </w:t>
      </w:r>
      <w:r>
        <w:rPr>
          <w:rFonts w:ascii="Times New Roman" w:eastAsia="Times New Roman"/>
          <w:sz w:val="21"/>
        </w:rPr>
        <w:t>Knodell</w:t>
      </w:r>
      <w:r>
        <w:rPr>
          <w:rFonts w:ascii="Times New Roman" w:eastAsia="Times New Roman"/>
          <w:spacing w:val="51"/>
          <w:sz w:val="21"/>
        </w:rPr>
        <w:t xml:space="preserve"> </w:t>
      </w:r>
      <w:r>
        <w:rPr>
          <w:sz w:val="21"/>
        </w:rPr>
        <w:t>肝炎活动指数（</w:t>
      </w:r>
      <w:r>
        <w:rPr>
          <w:rFonts w:ascii="Times New Roman" w:eastAsia="Times New Roman"/>
          <w:sz w:val="21"/>
        </w:rPr>
        <w:t>HAI</w:t>
      </w:r>
      <w:r>
        <w:rPr>
          <w:sz w:val="21"/>
        </w:rPr>
        <w:t>）</w:t>
      </w:r>
      <w:r>
        <w:rPr>
          <w:rFonts w:ascii="Times New Roman" w:eastAsia="Times New Roman"/>
          <w:sz w:val="21"/>
        </w:rPr>
        <w:t xml:space="preserve">&lt; 4 </w:t>
      </w:r>
      <w:r>
        <w:rPr>
          <w:sz w:val="21"/>
        </w:rPr>
        <w:t>或根据其他的半定量计分系统判定病变轻微。</w:t>
      </w:r>
    </w:p>
    <w:p>
      <w:pPr>
        <w:pStyle w:val="Heading1"/>
        <w:spacing w:line="316" w:lineRule="exact"/>
      </w:pPr>
      <w:r>
        <w:t>（四）</w:t>
      </w:r>
      <w:r>
        <w:rPr>
          <w:spacing w:val="-2"/>
        </w:rPr>
        <w:t>隐匿性慢性乙型肝炎</w:t>
      </w:r>
    </w:p>
    <w:p>
      <w:pPr>
        <w:pStyle w:val="BodyText"/>
        <w:spacing w:before="152" w:line="417" w:lineRule="auto"/>
        <w:ind w:right="309" w:firstLine="420"/>
        <w:jc w:val="both"/>
      </w:pPr>
      <w:r>
        <w:rPr>
          <w:spacing w:val="-10"/>
        </w:rPr>
        <w:t xml:space="preserve">血清 </w:t>
      </w:r>
      <w:r>
        <w:rPr>
          <w:rFonts w:ascii="Times New Roman" w:eastAsia="Times New Roman"/>
          <w:spacing w:val="-2"/>
        </w:rPr>
        <w:t>HBsAg</w:t>
      </w:r>
      <w:r>
        <w:rPr>
          <w:rFonts w:ascii="Times New Roman" w:eastAsia="Times New Roman"/>
          <w:spacing w:val="-11"/>
        </w:rPr>
        <w:t xml:space="preserve"> </w:t>
      </w:r>
      <w:r>
        <w:rPr>
          <w:spacing w:val="-2"/>
        </w:rPr>
        <w:t>阴性，但血清和（或）</w:t>
      </w:r>
      <w:r>
        <w:rPr>
          <w:spacing w:val="-7"/>
        </w:rPr>
        <w:t xml:space="preserve">肝组织中 </w:t>
      </w:r>
      <w:r>
        <w:rPr>
          <w:rFonts w:ascii="Times New Roman" w:eastAsia="Times New Roman"/>
          <w:spacing w:val="-2"/>
        </w:rPr>
        <w:t>HBV</w:t>
      </w:r>
      <w:r>
        <w:rPr>
          <w:rFonts w:ascii="Times New Roman" w:eastAsia="Times New Roman"/>
          <w:spacing w:val="-11"/>
        </w:rPr>
        <w:t xml:space="preserve"> </w:t>
      </w:r>
      <w:r>
        <w:rPr>
          <w:rFonts w:ascii="Times New Roman" w:eastAsia="Times New Roman"/>
          <w:spacing w:val="-2"/>
        </w:rPr>
        <w:t>DNA</w:t>
      </w:r>
      <w:r>
        <w:rPr>
          <w:rFonts w:ascii="Times New Roman" w:eastAsia="Times New Roman"/>
          <w:spacing w:val="5"/>
        </w:rPr>
        <w:t xml:space="preserve"> </w:t>
      </w:r>
      <w:r>
        <w:rPr>
          <w:spacing w:val="-2"/>
        </w:rPr>
        <w:t>阳性，并有慢性乙型肝炎的临</w:t>
      </w:r>
      <w:r>
        <w:rPr>
          <w:spacing w:val="-6"/>
        </w:rPr>
        <w:t xml:space="preserve">床表现。除 </w:t>
      </w:r>
      <w:r>
        <w:rPr>
          <w:rFonts w:ascii="Times New Roman" w:eastAsia="Times New Roman"/>
          <w:spacing w:val="-2"/>
        </w:rPr>
        <w:t>HBV</w:t>
      </w:r>
      <w:r>
        <w:rPr>
          <w:rFonts w:ascii="Times New Roman" w:eastAsia="Times New Roman"/>
          <w:spacing w:val="-11"/>
        </w:rPr>
        <w:t xml:space="preserve"> </w:t>
      </w:r>
      <w:r>
        <w:rPr>
          <w:rFonts w:ascii="Times New Roman" w:eastAsia="Times New Roman"/>
          <w:spacing w:val="-2"/>
        </w:rPr>
        <w:t>DNA</w:t>
      </w:r>
      <w:r>
        <w:rPr>
          <w:rFonts w:ascii="Times New Roman" w:eastAsia="Times New Roman"/>
          <w:spacing w:val="-11"/>
        </w:rPr>
        <w:t xml:space="preserve"> </w:t>
      </w:r>
      <w:r>
        <w:rPr>
          <w:spacing w:val="-2"/>
        </w:rPr>
        <w:t>阳性外，患者可有血清抗</w:t>
      </w:r>
      <w:r>
        <w:rPr>
          <w:rFonts w:ascii="Times New Roman" w:eastAsia="Times New Roman"/>
          <w:spacing w:val="-2"/>
        </w:rPr>
        <w:t>-HBs</w:t>
      </w:r>
      <w:r>
        <w:rPr>
          <w:spacing w:val="-2"/>
        </w:rPr>
        <w:t>、抗</w:t>
      </w:r>
      <w:r>
        <w:rPr>
          <w:rFonts w:ascii="Times New Roman" w:eastAsia="Times New Roman"/>
          <w:spacing w:val="-2"/>
        </w:rPr>
        <w:t>-HBe</w:t>
      </w:r>
      <w:r>
        <w:rPr>
          <w:rFonts w:ascii="Times New Roman" w:eastAsia="Times New Roman"/>
          <w:spacing w:val="-11"/>
        </w:rPr>
        <w:t xml:space="preserve"> </w:t>
      </w:r>
      <w:r>
        <w:rPr>
          <w:spacing w:val="-2"/>
        </w:rPr>
        <w:t>和（或）抗</w:t>
      </w:r>
      <w:r>
        <w:rPr>
          <w:rFonts w:ascii="Times New Roman" w:eastAsia="Times New Roman"/>
          <w:spacing w:val="-2"/>
        </w:rPr>
        <w:t>-HBc</w:t>
      </w:r>
      <w:r>
        <w:rPr>
          <w:rFonts w:ascii="Times New Roman" w:eastAsia="Times New Roman"/>
          <w:spacing w:val="-11"/>
        </w:rPr>
        <w:t xml:space="preserve"> </w:t>
      </w:r>
      <w:r>
        <w:rPr>
          <w:spacing w:val="-2"/>
        </w:rPr>
        <w:t>阳性，但约</w:t>
      </w:r>
      <w:r>
        <w:rPr>
          <w:spacing w:val="-2"/>
        </w:rPr>
        <w:t xml:space="preserve"> </w:t>
      </w:r>
      <w:r>
        <w:rPr>
          <w:rFonts w:ascii="Times New Roman" w:eastAsia="Times New Roman"/>
          <w:spacing w:val="-2"/>
        </w:rPr>
        <w:t>20%</w:t>
      </w:r>
      <w:r>
        <w:rPr>
          <w:spacing w:val="-6"/>
        </w:rPr>
        <w:t>隐匿性慢性乙型肝炎患者的血清学标志均为阴性。诊断需排除其他病毒及非病毒因素引</w:t>
      </w:r>
      <w:r>
        <w:rPr>
          <w:spacing w:val="-2"/>
        </w:rPr>
        <w:t>起的肝损伤。</w:t>
      </w:r>
    </w:p>
    <w:p>
      <w:pPr>
        <w:pStyle w:val="Heading1"/>
        <w:spacing w:before="86"/>
      </w:pPr>
      <w:r>
        <w:t>六</w:t>
      </w:r>
      <w:r>
        <w:rPr>
          <w:rFonts w:ascii="宋体" w:eastAsia="宋体"/>
          <w:b w:val="0"/>
        </w:rPr>
        <w:t>、</w:t>
      </w:r>
      <w:r>
        <w:rPr>
          <w:spacing w:val="-2"/>
        </w:rPr>
        <w:t>实验室检查</w:t>
      </w:r>
    </w:p>
    <w:p>
      <w:pPr>
        <w:spacing w:before="81"/>
        <w:ind w:left="160" w:right="0" w:firstLine="0"/>
        <w:jc w:val="left"/>
        <w:rPr>
          <w:rFonts w:ascii="Microsoft JhengHei" w:eastAsia="Microsoft JhengHei"/>
          <w:b/>
          <w:sz w:val="21"/>
        </w:rPr>
      </w:pPr>
      <w:r>
        <w:rPr>
          <w:rFonts w:ascii="Microsoft JhengHei" w:eastAsia="Microsoft JhengHei"/>
          <w:b/>
          <w:sz w:val="21"/>
        </w:rPr>
        <w:t>（一）</w:t>
      </w:r>
      <w:r>
        <w:rPr>
          <w:rFonts w:ascii="Microsoft JhengHei" w:eastAsia="Microsoft JhengHei"/>
          <w:b/>
          <w:spacing w:val="-2"/>
          <w:sz w:val="21"/>
        </w:rPr>
        <w:t>生物化学检查</w:t>
      </w:r>
    </w:p>
    <w:p>
      <w:pPr>
        <w:pStyle w:val="ListParagraph"/>
        <w:numPr>
          <w:ilvl w:val="1"/>
          <w:numId w:val="11"/>
        </w:numPr>
        <w:tabs>
          <w:tab w:val="left" w:pos="1016"/>
        </w:tabs>
        <w:spacing w:before="152" w:after="0" w:line="240" w:lineRule="auto"/>
        <w:ind w:left="1015" w:right="0" w:hanging="317"/>
        <w:jc w:val="both"/>
        <w:rPr>
          <w:sz w:val="21"/>
        </w:rPr>
      </w:pPr>
      <w:r>
        <w:rPr>
          <w:spacing w:val="-18"/>
          <w:sz w:val="21"/>
        </w:rPr>
        <w:t xml:space="preserve">血清 </w:t>
      </w:r>
      <w:r>
        <w:rPr>
          <w:rFonts w:ascii="Times New Roman" w:eastAsia="Times New Roman"/>
          <w:sz w:val="21"/>
        </w:rPr>
        <w:t>ALT</w:t>
      </w:r>
      <w:r>
        <w:rPr>
          <w:rFonts w:ascii="Times New Roman" w:eastAsia="Times New Roman"/>
          <w:spacing w:val="-4"/>
          <w:sz w:val="21"/>
        </w:rPr>
        <w:t xml:space="preserve"> </w:t>
      </w:r>
      <w:r>
        <w:rPr>
          <w:spacing w:val="-27"/>
          <w:sz w:val="21"/>
        </w:rPr>
        <w:t xml:space="preserve">和 </w:t>
      </w:r>
      <w:r>
        <w:rPr>
          <w:rFonts w:ascii="Times New Roman" w:eastAsia="Times New Roman"/>
          <w:sz w:val="21"/>
        </w:rPr>
        <w:t>AST</w:t>
      </w:r>
      <w:r>
        <w:rPr>
          <w:rFonts w:ascii="Times New Roman" w:eastAsia="Times New Roman"/>
          <w:spacing w:val="258"/>
          <w:sz w:val="21"/>
        </w:rPr>
        <w:t xml:space="preserve"> </w:t>
      </w:r>
      <w:r>
        <w:rPr>
          <w:spacing w:val="-18"/>
          <w:sz w:val="21"/>
        </w:rPr>
        <w:t xml:space="preserve">血清 </w:t>
      </w:r>
      <w:r>
        <w:rPr>
          <w:rFonts w:ascii="Times New Roman" w:eastAsia="Times New Roman"/>
          <w:sz w:val="21"/>
        </w:rPr>
        <w:t>ALT</w:t>
      </w:r>
      <w:r>
        <w:rPr>
          <w:rFonts w:ascii="Times New Roman" w:eastAsia="Times New Roman"/>
          <w:spacing w:val="-1"/>
          <w:sz w:val="21"/>
        </w:rPr>
        <w:t xml:space="preserve"> </w:t>
      </w:r>
      <w:r>
        <w:rPr>
          <w:spacing w:val="-27"/>
          <w:sz w:val="21"/>
        </w:rPr>
        <w:t xml:space="preserve">和 </w:t>
      </w:r>
      <w:r>
        <w:rPr>
          <w:rFonts w:ascii="Times New Roman" w:eastAsia="Times New Roman"/>
          <w:sz w:val="21"/>
        </w:rPr>
        <w:t>AST</w:t>
      </w:r>
      <w:r>
        <w:rPr>
          <w:rFonts w:ascii="Times New Roman" w:eastAsia="Times New Roman"/>
          <w:spacing w:val="-1"/>
          <w:sz w:val="21"/>
        </w:rPr>
        <w:t xml:space="preserve"> </w:t>
      </w:r>
      <w:r>
        <w:rPr>
          <w:spacing w:val="-8"/>
          <w:sz w:val="21"/>
        </w:rPr>
        <w:t>水平一般可反映肝细胞损伤程度，最为常用。</w:t>
      </w:r>
    </w:p>
    <w:p>
      <w:pPr>
        <w:pStyle w:val="BodyText"/>
        <w:spacing w:before="6"/>
        <w:ind w:left="0"/>
        <w:rPr>
          <w:sz w:val="15"/>
        </w:rPr>
      </w:pPr>
    </w:p>
    <w:p>
      <w:pPr>
        <w:pStyle w:val="ListParagraph"/>
        <w:numPr>
          <w:ilvl w:val="1"/>
          <w:numId w:val="11"/>
        </w:numPr>
        <w:tabs>
          <w:tab w:val="left" w:pos="1016"/>
        </w:tabs>
        <w:spacing w:before="0" w:after="0" w:line="417" w:lineRule="auto"/>
        <w:ind w:left="160" w:right="310" w:firstLine="539"/>
        <w:jc w:val="both"/>
        <w:rPr>
          <w:sz w:val="21"/>
        </w:rPr>
      </w:pPr>
      <w:r>
        <w:rPr>
          <w:sz w:val="21"/>
        </w:rPr>
        <w:t>血清胆红素 通常血清胆红素水平与肝细胞坏死程度有关，但需与肝内和肝外胆</w:t>
      </w:r>
      <w:r>
        <w:rPr>
          <w:sz w:val="21"/>
        </w:rPr>
        <w:t>汁淤积所引起的胆红素升高鉴别。肝衰竭患者血清胆红素可呈进行性升高，每天上升 ≥</w:t>
      </w:r>
      <w:r>
        <w:rPr>
          <w:spacing w:val="40"/>
          <w:sz w:val="21"/>
        </w:rPr>
        <w:t xml:space="preserve"> </w:t>
      </w:r>
      <w:r>
        <w:rPr>
          <w:rFonts w:ascii="Times New Roman" w:eastAsia="Times New Roman" w:hAnsi="Times New Roman"/>
          <w:sz w:val="21"/>
        </w:rPr>
        <w:t xml:space="preserve">1 </w:t>
      </w:r>
      <w:r>
        <w:rPr>
          <w:sz w:val="21"/>
        </w:rPr>
        <w:t>倍正常值上限</w:t>
      </w:r>
      <w:r>
        <w:rPr>
          <w:spacing w:val="18"/>
          <w:sz w:val="21"/>
        </w:rPr>
        <w:t>（</w:t>
      </w:r>
      <w:r>
        <w:rPr>
          <w:rFonts w:ascii="Times New Roman" w:eastAsia="Times New Roman" w:hAnsi="Times New Roman"/>
          <w:spacing w:val="17"/>
          <w:sz w:val="21"/>
        </w:rPr>
        <w:t>ULN</w:t>
      </w:r>
      <w:r>
        <w:rPr>
          <w:spacing w:val="-87"/>
          <w:sz w:val="21"/>
        </w:rPr>
        <w:t>）</w:t>
      </w:r>
      <w:r>
        <w:rPr>
          <w:spacing w:val="3"/>
          <w:sz w:val="21"/>
        </w:rPr>
        <w:t xml:space="preserve">，可 ≥ </w:t>
      </w:r>
      <w:r>
        <w:rPr>
          <w:rFonts w:ascii="Times New Roman" w:eastAsia="Times New Roman" w:hAnsi="Times New Roman"/>
          <w:sz w:val="21"/>
        </w:rPr>
        <w:t>10</w:t>
      </w:r>
      <w:r>
        <w:rPr>
          <w:sz w:val="21"/>
        </w:rPr>
        <w:t>×</w:t>
      </w:r>
      <w:r>
        <w:rPr>
          <w:rFonts w:ascii="Times New Roman" w:eastAsia="Times New Roman" w:hAnsi="Times New Roman"/>
          <w:sz w:val="21"/>
        </w:rPr>
        <w:t>ULN</w:t>
      </w:r>
      <w:r>
        <w:rPr>
          <w:spacing w:val="-5"/>
          <w:sz w:val="21"/>
        </w:rPr>
        <w:t xml:space="preserve">；也可出现胆红素与 </w:t>
      </w:r>
      <w:r>
        <w:rPr>
          <w:rFonts w:ascii="Times New Roman" w:eastAsia="Times New Roman" w:hAnsi="Times New Roman"/>
          <w:sz w:val="21"/>
        </w:rPr>
        <w:t xml:space="preserve">ALT </w:t>
      </w:r>
      <w:r>
        <w:rPr>
          <w:spacing w:val="-25"/>
          <w:sz w:val="21"/>
        </w:rPr>
        <w:t xml:space="preserve">和 </w:t>
      </w:r>
      <w:r>
        <w:rPr>
          <w:rFonts w:ascii="Times New Roman" w:eastAsia="Times New Roman" w:hAnsi="Times New Roman"/>
          <w:sz w:val="21"/>
        </w:rPr>
        <w:t xml:space="preserve">AST </w:t>
      </w:r>
      <w:r>
        <w:rPr>
          <w:sz w:val="21"/>
        </w:rPr>
        <w:t>分离现象。</w:t>
      </w:r>
    </w:p>
    <w:p>
      <w:pPr>
        <w:pStyle w:val="ListParagraph"/>
        <w:numPr>
          <w:ilvl w:val="1"/>
          <w:numId w:val="11"/>
        </w:numPr>
        <w:tabs>
          <w:tab w:val="left" w:pos="1016"/>
        </w:tabs>
        <w:spacing w:before="0" w:after="0" w:line="417" w:lineRule="auto"/>
        <w:ind w:left="160" w:right="310" w:firstLine="539"/>
        <w:jc w:val="both"/>
        <w:rPr>
          <w:sz w:val="21"/>
        </w:rPr>
      </w:pPr>
      <w:r>
        <w:rPr>
          <w:sz w:val="21"/>
        </w:rPr>
        <w:t>血清白蛋白 反映肝脏合成功能，慢性乙型肝炎、肝硬化和肝衰竭患者可有血清</w:t>
      </w:r>
      <w:r>
        <w:rPr>
          <w:spacing w:val="-2"/>
          <w:sz w:val="21"/>
        </w:rPr>
        <w:t>白蛋白下降。</w:t>
      </w:r>
    </w:p>
    <w:p>
      <w:pPr>
        <w:pStyle w:val="ListParagraph"/>
        <w:numPr>
          <w:ilvl w:val="1"/>
          <w:numId w:val="11"/>
        </w:numPr>
        <w:tabs>
          <w:tab w:val="left" w:pos="1021"/>
        </w:tabs>
        <w:spacing w:before="0" w:after="0" w:line="417" w:lineRule="auto"/>
        <w:ind w:left="160" w:right="310" w:firstLine="539"/>
        <w:jc w:val="both"/>
        <w:rPr>
          <w:sz w:val="21"/>
        </w:rPr>
      </w:pPr>
      <w:r>
        <w:rPr>
          <w:sz w:val="21"/>
        </w:rPr>
        <w:t>凝血酶原时间（</w:t>
      </w:r>
      <w:r>
        <w:rPr>
          <w:rFonts w:ascii="Times New Roman" w:eastAsia="Times New Roman"/>
          <w:sz w:val="21"/>
        </w:rPr>
        <w:t>PT</w:t>
      </w:r>
      <w:r>
        <w:rPr>
          <w:sz w:val="21"/>
        </w:rPr>
        <w:t xml:space="preserve">）及 </w:t>
      </w:r>
      <w:r>
        <w:rPr>
          <w:rFonts w:ascii="Times New Roman" w:eastAsia="Times New Roman"/>
          <w:sz w:val="21"/>
        </w:rPr>
        <w:t>PTA</w:t>
      </w:r>
      <w:r>
        <w:rPr>
          <w:rFonts w:ascii="Times New Roman" w:eastAsia="Times New Roman"/>
          <w:spacing w:val="80"/>
          <w:sz w:val="21"/>
        </w:rPr>
        <w:t xml:space="preserve"> </w:t>
      </w:r>
      <w:r>
        <w:rPr>
          <w:rFonts w:ascii="Times New Roman" w:eastAsia="Times New Roman"/>
          <w:sz w:val="21"/>
        </w:rPr>
        <w:t xml:space="preserve">PT </w:t>
      </w:r>
      <w:r>
        <w:rPr>
          <w:sz w:val="21"/>
        </w:rPr>
        <w:t xml:space="preserve">是反映肝脏凝血因子合成功能的重要指标， </w:t>
      </w:r>
      <w:r>
        <w:rPr>
          <w:rFonts w:ascii="Times New Roman" w:eastAsia="Times New Roman"/>
          <w:sz w:val="21"/>
        </w:rPr>
        <w:t>PTA</w:t>
      </w:r>
      <w:r>
        <w:rPr>
          <w:rFonts w:ascii="Times New Roman" w:eastAsia="Times New Roman"/>
          <w:spacing w:val="-14"/>
          <w:sz w:val="21"/>
        </w:rPr>
        <w:t xml:space="preserve"> </w:t>
      </w:r>
      <w:r>
        <w:rPr>
          <w:spacing w:val="-13"/>
          <w:sz w:val="21"/>
        </w:rPr>
        <w:t xml:space="preserve">是 </w:t>
      </w:r>
      <w:r>
        <w:rPr>
          <w:rFonts w:ascii="Times New Roman" w:eastAsia="Times New Roman"/>
          <w:sz w:val="21"/>
        </w:rPr>
        <w:t>PT</w:t>
      </w:r>
      <w:r>
        <w:rPr>
          <w:rFonts w:ascii="Times New Roman" w:eastAsia="Times New Roman"/>
          <w:spacing w:val="-13"/>
          <w:sz w:val="21"/>
        </w:rPr>
        <w:t xml:space="preserve"> </w:t>
      </w:r>
      <w:r>
        <w:rPr>
          <w:spacing w:val="-1"/>
          <w:sz w:val="21"/>
        </w:rPr>
        <w:t xml:space="preserve">测定值的常用表示方法，对判断疾病进展及预后有较大价值，近期内 </w:t>
      </w:r>
      <w:r>
        <w:rPr>
          <w:rFonts w:ascii="Times New Roman" w:eastAsia="Times New Roman"/>
          <w:sz w:val="21"/>
        </w:rPr>
        <w:t>PTA</w:t>
      </w:r>
      <w:r>
        <w:rPr>
          <w:rFonts w:ascii="Times New Roman" w:eastAsia="Times New Roman"/>
          <w:spacing w:val="2"/>
          <w:sz w:val="21"/>
        </w:rPr>
        <w:t xml:space="preserve"> </w:t>
      </w:r>
      <w:r>
        <w:rPr>
          <w:sz w:val="21"/>
        </w:rPr>
        <w:t>进行</w:t>
      </w:r>
      <w:r>
        <w:rPr>
          <w:spacing w:val="-8"/>
          <w:sz w:val="21"/>
        </w:rPr>
        <w:t xml:space="preserve">性降至 </w:t>
      </w:r>
      <w:r>
        <w:rPr>
          <w:rFonts w:ascii="Times New Roman" w:eastAsia="Times New Roman"/>
          <w:spacing w:val="-2"/>
          <w:sz w:val="21"/>
        </w:rPr>
        <w:t>40%</w:t>
      </w:r>
      <w:r>
        <w:rPr>
          <w:spacing w:val="-2"/>
          <w:sz w:val="21"/>
        </w:rPr>
        <w:t>以下为肝衰竭的重要诊断标准之一，</w:t>
      </w:r>
      <w:r>
        <w:rPr>
          <w:rFonts w:ascii="Times New Roman" w:eastAsia="Times New Roman"/>
          <w:spacing w:val="-7"/>
          <w:sz w:val="21"/>
        </w:rPr>
        <w:t xml:space="preserve">&lt; </w:t>
      </w:r>
      <w:r>
        <w:rPr>
          <w:rFonts w:ascii="Times New Roman" w:eastAsia="Times New Roman"/>
          <w:spacing w:val="-2"/>
          <w:sz w:val="21"/>
        </w:rPr>
        <w:t>20%</w:t>
      </w:r>
      <w:r>
        <w:rPr>
          <w:spacing w:val="-2"/>
          <w:sz w:val="21"/>
        </w:rPr>
        <w:t>者提示预后不良。亦有采用国际标准</w:t>
      </w:r>
      <w:r>
        <w:rPr>
          <w:sz w:val="21"/>
        </w:rPr>
        <w:t>化比值（</w:t>
      </w:r>
      <w:r>
        <w:rPr>
          <w:rFonts w:ascii="Times New Roman" w:eastAsia="Times New Roman"/>
          <w:sz w:val="21"/>
        </w:rPr>
        <w:t>INR</w:t>
      </w:r>
      <w:r>
        <w:rPr>
          <w:sz w:val="21"/>
        </w:rPr>
        <w:t>）来表示此项指标者，</w:t>
      </w:r>
      <w:r>
        <w:rPr>
          <w:rFonts w:ascii="Times New Roman" w:eastAsia="Times New Roman"/>
          <w:sz w:val="21"/>
        </w:rPr>
        <w:t xml:space="preserve">INR </w:t>
      </w:r>
      <w:r>
        <w:rPr>
          <w:spacing w:val="-3"/>
          <w:sz w:val="21"/>
        </w:rPr>
        <w:t xml:space="preserve">值升高与 </w:t>
      </w:r>
      <w:r>
        <w:rPr>
          <w:rFonts w:ascii="Times New Roman" w:eastAsia="Times New Roman"/>
          <w:sz w:val="21"/>
        </w:rPr>
        <w:t xml:space="preserve">PTA </w:t>
      </w:r>
      <w:r>
        <w:rPr>
          <w:sz w:val="21"/>
        </w:rPr>
        <w:t>值下降意义相同。</w:t>
      </w:r>
    </w:p>
    <w:p>
      <w:pPr>
        <w:pStyle w:val="ListParagraph"/>
        <w:numPr>
          <w:ilvl w:val="1"/>
          <w:numId w:val="11"/>
        </w:numPr>
        <w:tabs>
          <w:tab w:val="left" w:pos="1016"/>
        </w:tabs>
        <w:spacing w:before="0" w:after="0" w:line="268" w:lineRule="exact"/>
        <w:ind w:left="1015" w:right="0" w:hanging="317"/>
        <w:jc w:val="both"/>
        <w:rPr>
          <w:sz w:val="21"/>
        </w:rPr>
      </w:pPr>
      <w:r>
        <w:rPr>
          <w:spacing w:val="-1"/>
          <w:sz w:val="21"/>
        </w:rPr>
        <w:t>胆碱酯酶  可反映肝脏合成功能，对了解病情轻重和监测肝病发展有参考价值。</w:t>
      </w:r>
    </w:p>
    <w:p>
      <w:pPr>
        <w:spacing w:after="0" w:line="268" w:lineRule="exact"/>
        <w:jc w:val="both"/>
        <w:rPr>
          <w:sz w:val="21"/>
        </w:rPr>
        <w:sectPr>
          <w:footerReference w:type="default" r:id="rId10"/>
          <w:pgSz w:w="11910" w:h="16840"/>
          <w:pgMar w:top="1480" w:right="1500" w:bottom="1380" w:left="1640" w:header="0" w:footer="1189"/>
          <w:pgNumType w:start="7"/>
          <w:cols w:space="708"/>
        </w:sectPr>
      </w:pPr>
    </w:p>
    <w:p>
      <w:pPr>
        <w:pStyle w:val="ListParagraph"/>
        <w:numPr>
          <w:ilvl w:val="1"/>
          <w:numId w:val="11"/>
        </w:numPr>
        <w:tabs>
          <w:tab w:val="left" w:pos="1017"/>
        </w:tabs>
        <w:spacing w:before="63" w:after="0" w:line="417" w:lineRule="auto"/>
        <w:ind w:left="160" w:right="310" w:firstLine="539"/>
        <w:jc w:val="both"/>
        <w:rPr>
          <w:sz w:val="21"/>
        </w:rPr>
      </w:pPr>
      <w:r>
        <w:rPr>
          <w:sz w:val="21"/>
        </w:rPr>
        <w:t>甲胎蛋白（</w:t>
      </w:r>
      <w:r>
        <w:rPr>
          <w:rFonts w:ascii="Times New Roman" w:eastAsia="Times New Roman"/>
          <w:sz w:val="21"/>
        </w:rPr>
        <w:t>AFP</w:t>
      </w:r>
      <w:r>
        <w:rPr>
          <w:sz w:val="21"/>
        </w:rPr>
        <w:t>）</w:t>
      </w:r>
      <w:r>
        <w:rPr>
          <w:spacing w:val="40"/>
          <w:sz w:val="21"/>
        </w:rPr>
        <w:t xml:space="preserve"> </w:t>
      </w:r>
      <w:r>
        <w:rPr>
          <w:rFonts w:ascii="Times New Roman" w:eastAsia="Times New Roman"/>
          <w:sz w:val="21"/>
        </w:rPr>
        <w:t>AFP</w:t>
      </w:r>
      <w:r>
        <w:rPr>
          <w:rFonts w:ascii="Times New Roman" w:eastAsia="Times New Roman"/>
          <w:spacing w:val="-1"/>
          <w:sz w:val="21"/>
        </w:rPr>
        <w:t xml:space="preserve"> </w:t>
      </w:r>
      <w:r>
        <w:rPr>
          <w:spacing w:val="-4"/>
          <w:sz w:val="21"/>
        </w:rPr>
        <w:t xml:space="preserve">明显升高主要见于 </w:t>
      </w:r>
      <w:r>
        <w:rPr>
          <w:rFonts w:ascii="Times New Roman" w:eastAsia="Times New Roman"/>
          <w:sz w:val="21"/>
        </w:rPr>
        <w:t>HCC</w:t>
      </w:r>
      <w:r>
        <w:rPr>
          <w:sz w:val="21"/>
        </w:rPr>
        <w:t>，但也可提示大量肝细胞坏死后</w:t>
      </w:r>
      <w:r>
        <w:rPr>
          <w:spacing w:val="-4"/>
          <w:sz w:val="21"/>
        </w:rPr>
        <w:t xml:space="preserve">的肝细胞再生，故应注意 </w:t>
      </w:r>
      <w:r>
        <w:rPr>
          <w:rFonts w:ascii="Times New Roman" w:eastAsia="Times New Roman"/>
          <w:spacing w:val="-2"/>
          <w:sz w:val="21"/>
        </w:rPr>
        <w:t>AFP</w:t>
      </w:r>
      <w:r>
        <w:rPr>
          <w:rFonts w:ascii="Times New Roman" w:eastAsia="Times New Roman"/>
          <w:spacing w:val="-11"/>
          <w:sz w:val="21"/>
        </w:rPr>
        <w:t xml:space="preserve"> </w:t>
      </w:r>
      <w:r>
        <w:rPr>
          <w:spacing w:val="-4"/>
          <w:sz w:val="21"/>
        </w:rPr>
        <w:t xml:space="preserve">升高的幅度、动态变化及其与 </w:t>
      </w:r>
      <w:r>
        <w:rPr>
          <w:rFonts w:ascii="Times New Roman" w:eastAsia="Times New Roman"/>
          <w:spacing w:val="-2"/>
          <w:sz w:val="21"/>
        </w:rPr>
        <w:t>ALT</w:t>
      </w:r>
      <w:r>
        <w:rPr>
          <w:spacing w:val="-2"/>
          <w:sz w:val="21"/>
        </w:rPr>
        <w:t>、</w:t>
      </w:r>
      <w:r>
        <w:rPr>
          <w:rFonts w:ascii="Times New Roman" w:eastAsia="Times New Roman"/>
          <w:spacing w:val="-2"/>
          <w:sz w:val="21"/>
        </w:rPr>
        <w:t>AST</w:t>
      </w:r>
      <w:r>
        <w:rPr>
          <w:rFonts w:ascii="Times New Roman" w:eastAsia="Times New Roman"/>
          <w:spacing w:val="-11"/>
          <w:sz w:val="21"/>
        </w:rPr>
        <w:t xml:space="preserve"> </w:t>
      </w:r>
      <w:r>
        <w:rPr>
          <w:spacing w:val="-2"/>
          <w:sz w:val="21"/>
        </w:rPr>
        <w:t>的消长关系，并结</w:t>
      </w:r>
      <w:r>
        <w:rPr>
          <w:spacing w:val="-2"/>
          <w:sz w:val="21"/>
        </w:rPr>
        <w:t>合患者的临床表现和肝脏超声显像等影像学检查结果进行综合分析。</w:t>
      </w:r>
    </w:p>
    <w:p>
      <w:pPr>
        <w:pStyle w:val="Heading1"/>
        <w:spacing w:line="316" w:lineRule="exact"/>
      </w:pPr>
      <w:r>
        <w:t>（二）</w:t>
      </w:r>
      <w:r>
        <w:rPr>
          <w:rFonts w:ascii="Times New Roman" w:eastAsia="Times New Roman"/>
        </w:rPr>
        <w:t xml:space="preserve">HBV </w:t>
      </w:r>
      <w:r>
        <w:rPr>
          <w:spacing w:val="-2"/>
        </w:rPr>
        <w:t>血清学检测</w:t>
      </w:r>
    </w:p>
    <w:p>
      <w:pPr>
        <w:pStyle w:val="BodyText"/>
        <w:spacing w:before="151" w:line="417" w:lineRule="auto"/>
        <w:ind w:right="310" w:firstLine="539"/>
        <w:jc w:val="both"/>
      </w:pPr>
      <w:r>
        <w:rPr>
          <w:rFonts w:ascii="Times New Roman" w:eastAsia="Times New Roman"/>
          <w:spacing w:val="-2"/>
        </w:rPr>
        <w:t>HBV</w:t>
      </w:r>
      <w:r>
        <w:rPr>
          <w:rFonts w:ascii="Times New Roman" w:eastAsia="Times New Roman"/>
          <w:spacing w:val="-7"/>
        </w:rPr>
        <w:t xml:space="preserve"> </w:t>
      </w:r>
      <w:r>
        <w:rPr>
          <w:spacing w:val="-5"/>
        </w:rPr>
        <w:t xml:space="preserve">血清学标志包括 </w:t>
      </w:r>
      <w:r>
        <w:rPr>
          <w:rFonts w:ascii="Times New Roman" w:eastAsia="Times New Roman"/>
          <w:spacing w:val="-2"/>
        </w:rPr>
        <w:t>HBsAg</w:t>
      </w:r>
      <w:r>
        <w:rPr>
          <w:spacing w:val="-54"/>
        </w:rPr>
        <w:t>、抗</w:t>
      </w:r>
      <w:r>
        <w:rPr>
          <w:rFonts w:ascii="Times New Roman" w:eastAsia="Times New Roman"/>
          <w:spacing w:val="-2"/>
        </w:rPr>
        <w:t>-HBs</w:t>
      </w:r>
      <w:r>
        <w:rPr>
          <w:spacing w:val="-105"/>
        </w:rPr>
        <w:t>、</w:t>
      </w:r>
      <w:r>
        <w:rPr>
          <w:rFonts w:ascii="Times New Roman" w:eastAsia="Times New Roman"/>
          <w:spacing w:val="-2"/>
        </w:rPr>
        <w:t>HBeAg</w:t>
      </w:r>
      <w:r>
        <w:rPr>
          <w:spacing w:val="-54"/>
        </w:rPr>
        <w:t>、抗</w:t>
      </w:r>
      <w:r>
        <w:rPr>
          <w:rFonts w:ascii="Times New Roman" w:eastAsia="Times New Roman"/>
          <w:spacing w:val="-2"/>
        </w:rPr>
        <w:t>-HBe</w:t>
      </w:r>
      <w:r>
        <w:rPr>
          <w:spacing w:val="-54"/>
        </w:rPr>
        <w:t>、抗</w:t>
      </w:r>
      <w:r>
        <w:rPr>
          <w:rFonts w:ascii="Times New Roman" w:eastAsia="Times New Roman"/>
          <w:spacing w:val="-2"/>
        </w:rPr>
        <w:t>-HBc</w:t>
      </w:r>
      <w:r>
        <w:rPr>
          <w:rFonts w:ascii="Times New Roman" w:eastAsia="Times New Roman"/>
          <w:spacing w:val="12"/>
        </w:rPr>
        <w:t xml:space="preserve"> </w:t>
      </w:r>
      <w:r>
        <w:rPr>
          <w:spacing w:val="-2"/>
        </w:rPr>
        <w:t>和抗</w:t>
      </w:r>
      <w:r>
        <w:rPr>
          <w:rFonts w:ascii="Times New Roman" w:eastAsia="Times New Roman"/>
          <w:spacing w:val="-2"/>
        </w:rPr>
        <w:t>-HBc-IgM</w:t>
      </w:r>
      <w:r>
        <w:rPr>
          <w:spacing w:val="-105"/>
        </w:rPr>
        <w:t>。</w:t>
      </w:r>
      <w:r>
        <w:rPr>
          <w:rFonts w:ascii="Times New Roman" w:eastAsia="Times New Roman"/>
          <w:spacing w:val="-2"/>
        </w:rPr>
        <w:t>HBsAg</w:t>
      </w:r>
      <w:r>
        <w:rPr>
          <w:spacing w:val="-7"/>
        </w:rPr>
        <w:t xml:space="preserve">阳性表示 </w:t>
      </w:r>
      <w:r>
        <w:rPr>
          <w:rFonts w:ascii="Times New Roman" w:eastAsia="Times New Roman"/>
          <w:spacing w:val="-2"/>
        </w:rPr>
        <w:t>HBV</w:t>
      </w:r>
      <w:r>
        <w:rPr>
          <w:rFonts w:ascii="Times New Roman" w:eastAsia="Times New Roman"/>
          <w:spacing w:val="-11"/>
        </w:rPr>
        <w:t xml:space="preserve"> </w:t>
      </w:r>
      <w:r>
        <w:rPr>
          <w:spacing w:val="-2"/>
        </w:rPr>
        <w:t>感染；抗</w:t>
      </w:r>
      <w:r>
        <w:rPr>
          <w:rFonts w:ascii="Times New Roman" w:eastAsia="Times New Roman"/>
          <w:spacing w:val="-2"/>
        </w:rPr>
        <w:t>-HBs</w:t>
      </w:r>
      <w:r>
        <w:rPr>
          <w:rFonts w:ascii="Times New Roman" w:eastAsia="Times New Roman"/>
          <w:spacing w:val="-11"/>
        </w:rPr>
        <w:t xml:space="preserve"> </w:t>
      </w:r>
      <w:r>
        <w:rPr>
          <w:spacing w:val="-4"/>
        </w:rPr>
        <w:t xml:space="preserve">为保护性抗体，其阳性表示对 </w:t>
      </w:r>
      <w:r>
        <w:rPr>
          <w:rFonts w:ascii="Times New Roman" w:eastAsia="Times New Roman"/>
          <w:spacing w:val="-2"/>
        </w:rPr>
        <w:t>HBV</w:t>
      </w:r>
      <w:r>
        <w:rPr>
          <w:rFonts w:ascii="Times New Roman" w:eastAsia="Times New Roman"/>
          <w:spacing w:val="-3"/>
        </w:rPr>
        <w:t xml:space="preserve"> </w:t>
      </w:r>
      <w:r>
        <w:rPr>
          <w:spacing w:val="-2"/>
        </w:rPr>
        <w:t>有免疫力，见于乙型肝炎</w:t>
      </w:r>
      <w:r>
        <w:rPr>
          <w:spacing w:val="15"/>
        </w:rPr>
        <w:t>康复及接种乙型肝炎疫苗者；</w:t>
      </w:r>
      <w:r>
        <w:rPr>
          <w:rFonts w:ascii="Times New Roman" w:eastAsia="Times New Roman"/>
        </w:rPr>
        <w:t xml:space="preserve">HBsAg </w:t>
      </w:r>
      <w:r>
        <w:rPr>
          <w:spacing w:val="17"/>
        </w:rPr>
        <w:t>转阴且抗</w:t>
      </w:r>
      <w:r>
        <w:rPr>
          <w:rFonts w:ascii="Times New Roman" w:eastAsia="Times New Roman"/>
        </w:rPr>
        <w:t xml:space="preserve">-HBs </w:t>
      </w:r>
      <w:r>
        <w:rPr>
          <w:spacing w:val="6"/>
        </w:rPr>
        <w:t xml:space="preserve">转阳，称为 </w:t>
      </w:r>
      <w:r>
        <w:rPr>
          <w:rFonts w:ascii="Times New Roman" w:eastAsia="Times New Roman"/>
        </w:rPr>
        <w:t xml:space="preserve">HBsAg </w:t>
      </w:r>
      <w:r>
        <w:rPr>
          <w:spacing w:val="14"/>
        </w:rPr>
        <w:t>血清学转换；</w:t>
      </w:r>
      <w:r>
        <w:t xml:space="preserve"> </w:t>
      </w:r>
      <w:r>
        <w:rPr>
          <w:rFonts w:ascii="Times New Roman" w:eastAsia="Times New Roman"/>
        </w:rPr>
        <w:t>HBeAg</w:t>
      </w:r>
      <w:r>
        <w:rPr>
          <w:rFonts w:ascii="Times New Roman" w:eastAsia="Times New Roman"/>
          <w:spacing w:val="-14"/>
        </w:rPr>
        <w:t xml:space="preserve"> </w:t>
      </w:r>
      <w:r>
        <w:t>转阴且抗</w:t>
      </w:r>
      <w:r>
        <w:rPr>
          <w:rFonts w:ascii="Times New Roman" w:eastAsia="Times New Roman"/>
        </w:rPr>
        <w:t>-HBe</w:t>
      </w:r>
      <w:r>
        <w:rPr>
          <w:rFonts w:ascii="Times New Roman" w:eastAsia="Times New Roman"/>
          <w:spacing w:val="-13"/>
        </w:rPr>
        <w:t xml:space="preserve"> </w:t>
      </w:r>
      <w:r>
        <w:rPr>
          <w:spacing w:val="-5"/>
        </w:rPr>
        <w:t xml:space="preserve">转阳，称为 </w:t>
      </w:r>
      <w:r>
        <w:rPr>
          <w:rFonts w:ascii="Times New Roman" w:eastAsia="Times New Roman"/>
        </w:rPr>
        <w:t>HBeAg</w:t>
      </w:r>
      <w:r>
        <w:rPr>
          <w:rFonts w:ascii="Times New Roman" w:eastAsia="Times New Roman"/>
          <w:spacing w:val="-13"/>
        </w:rPr>
        <w:t xml:space="preserve"> </w:t>
      </w:r>
      <w:r>
        <w:t>血清学转换；抗</w:t>
      </w:r>
      <w:r>
        <w:rPr>
          <w:rFonts w:ascii="Times New Roman" w:eastAsia="Times New Roman"/>
        </w:rPr>
        <w:t>-HBc-IgM</w:t>
      </w:r>
      <w:r>
        <w:rPr>
          <w:rFonts w:ascii="Times New Roman" w:eastAsia="Times New Roman"/>
          <w:spacing w:val="-13"/>
        </w:rPr>
        <w:t xml:space="preserve"> </w:t>
      </w:r>
      <w:r>
        <w:rPr>
          <w:spacing w:val="-6"/>
        </w:rPr>
        <w:t xml:space="preserve">阳性提示 </w:t>
      </w:r>
      <w:r>
        <w:rPr>
          <w:rFonts w:ascii="Times New Roman" w:eastAsia="Times New Roman"/>
        </w:rPr>
        <w:t>HBV</w:t>
      </w:r>
      <w:r>
        <w:rPr>
          <w:rFonts w:ascii="Times New Roman" w:eastAsia="Times New Roman"/>
          <w:spacing w:val="-6"/>
        </w:rPr>
        <w:t xml:space="preserve"> </w:t>
      </w:r>
      <w:r>
        <w:t>复制，</w:t>
      </w:r>
      <w:r>
        <w:rPr>
          <w:spacing w:val="10"/>
        </w:rPr>
        <w:t>多见于乙型肝炎急性期，但亦可见于慢性乙型肝炎急性发作；抗</w:t>
      </w:r>
      <w:r>
        <w:rPr>
          <w:rFonts w:ascii="Times New Roman" w:eastAsia="Times New Roman"/>
        </w:rPr>
        <w:t>-HBc</w:t>
      </w:r>
      <w:r>
        <w:rPr>
          <w:rFonts w:ascii="Times New Roman" w:eastAsia="Times New Roman"/>
          <w:spacing w:val="62"/>
        </w:rPr>
        <w:t xml:space="preserve"> </w:t>
      </w:r>
      <w:r>
        <w:rPr>
          <w:spacing w:val="7"/>
        </w:rPr>
        <w:t>总抗体主要是抗</w:t>
      </w:r>
    </w:p>
    <w:p>
      <w:pPr>
        <w:pStyle w:val="BodyText"/>
        <w:spacing w:line="268" w:lineRule="exact"/>
        <w:jc w:val="both"/>
      </w:pPr>
      <w:r>
        <w:rPr>
          <w:rFonts w:ascii="Times New Roman" w:eastAsia="Times New Roman"/>
        </w:rPr>
        <w:t>-HBc-IgG,</w:t>
      </w:r>
      <w:r>
        <w:rPr>
          <w:rFonts w:ascii="Times New Roman" w:eastAsia="Times New Roman"/>
          <w:spacing w:val="50"/>
        </w:rPr>
        <w:t xml:space="preserve"> </w:t>
      </w:r>
      <w:r>
        <w:rPr>
          <w:spacing w:val="-9"/>
        </w:rPr>
        <w:t xml:space="preserve">只要感染过 </w:t>
      </w:r>
      <w:r>
        <w:rPr>
          <w:rFonts w:ascii="Times New Roman" w:eastAsia="Times New Roman"/>
        </w:rPr>
        <w:t>HBV</w:t>
      </w:r>
      <w:r>
        <w:rPr>
          <w:spacing w:val="-1"/>
        </w:rPr>
        <w:t>，无论病毒是否被清除，此抗体多为阳性。</w:t>
      </w:r>
    </w:p>
    <w:p>
      <w:pPr>
        <w:pStyle w:val="BodyText"/>
        <w:spacing w:before="7"/>
        <w:ind w:left="0"/>
        <w:rPr>
          <w:sz w:val="15"/>
        </w:rPr>
      </w:pPr>
    </w:p>
    <w:p>
      <w:pPr>
        <w:pStyle w:val="BodyText"/>
        <w:ind w:left="699"/>
        <w:rPr>
          <w:rFonts w:ascii="Times New Roman" w:eastAsia="Times New Roman"/>
        </w:rPr>
      </w:pPr>
      <w:r>
        <w:rPr>
          <w:spacing w:val="-7"/>
        </w:rPr>
        <w:t xml:space="preserve">为了解有无 </w:t>
      </w:r>
      <w:r>
        <w:rPr>
          <w:rFonts w:ascii="Times New Roman" w:eastAsia="Times New Roman"/>
        </w:rPr>
        <w:t>HBV</w:t>
      </w:r>
      <w:r>
        <w:rPr>
          <w:rFonts w:ascii="Times New Roman" w:eastAsia="Times New Roman"/>
          <w:spacing w:val="10"/>
        </w:rPr>
        <w:t xml:space="preserve"> </w:t>
      </w:r>
      <w:r>
        <w:rPr>
          <w:spacing w:val="-18"/>
        </w:rPr>
        <w:t xml:space="preserve">与 </w:t>
      </w:r>
      <w:r>
        <w:rPr>
          <w:rFonts w:ascii="Times New Roman" w:eastAsia="Times New Roman"/>
        </w:rPr>
        <w:t>HDV</w:t>
      </w:r>
      <w:r>
        <w:rPr>
          <w:rFonts w:ascii="Times New Roman" w:eastAsia="Times New Roman"/>
          <w:spacing w:val="9"/>
        </w:rPr>
        <w:t xml:space="preserve"> </w:t>
      </w:r>
      <w:r>
        <w:rPr>
          <w:spacing w:val="-3"/>
        </w:rPr>
        <w:t xml:space="preserve">同时或重叠感染，可测定 </w:t>
      </w:r>
      <w:r>
        <w:rPr>
          <w:rFonts w:ascii="Times New Roman" w:eastAsia="Times New Roman"/>
        </w:rPr>
        <w:t>HDAg</w:t>
      </w:r>
      <w:r>
        <w:t>、抗</w:t>
      </w:r>
      <w:r>
        <w:rPr>
          <w:rFonts w:ascii="Times New Roman" w:eastAsia="Times New Roman"/>
        </w:rPr>
        <w:t>-HDV</w:t>
      </w:r>
      <w:r>
        <w:t>、抗</w:t>
      </w:r>
      <w:r>
        <w:rPr>
          <w:rFonts w:ascii="Times New Roman" w:eastAsia="Times New Roman"/>
        </w:rPr>
        <w:t>-HDV</w:t>
      </w:r>
      <w:r>
        <w:rPr>
          <w:rFonts w:ascii="Times New Roman" w:eastAsia="Times New Roman"/>
          <w:spacing w:val="16"/>
        </w:rPr>
        <w:t xml:space="preserve"> </w:t>
      </w:r>
      <w:r>
        <w:rPr>
          <w:rFonts w:ascii="Times New Roman" w:eastAsia="Times New Roman"/>
          <w:spacing w:val="-5"/>
        </w:rPr>
        <w:t>IgM</w:t>
      </w:r>
    </w:p>
    <w:p>
      <w:pPr>
        <w:pStyle w:val="BodyText"/>
        <w:spacing w:before="3"/>
        <w:ind w:left="0"/>
        <w:rPr>
          <w:rFonts w:ascii="Times New Roman"/>
          <w:sz w:val="17"/>
        </w:rPr>
      </w:pPr>
    </w:p>
    <w:p>
      <w:pPr>
        <w:pStyle w:val="BodyText"/>
        <w:jc w:val="both"/>
      </w:pPr>
      <w:r>
        <w:rPr>
          <w:spacing w:val="-27"/>
        </w:rPr>
        <w:t xml:space="preserve">和 </w:t>
      </w:r>
      <w:r>
        <w:rPr>
          <w:rFonts w:ascii="Times New Roman" w:eastAsia="Times New Roman"/>
        </w:rPr>
        <w:t>HDV</w:t>
      </w:r>
      <w:r>
        <w:rPr>
          <w:rFonts w:ascii="Times New Roman" w:eastAsia="Times New Roman"/>
          <w:spacing w:val="-4"/>
        </w:rPr>
        <w:t xml:space="preserve"> </w:t>
      </w:r>
      <w:r>
        <w:rPr>
          <w:rFonts w:ascii="Times New Roman" w:eastAsia="Times New Roman"/>
        </w:rPr>
        <w:t>RNA</w:t>
      </w:r>
      <w:r>
        <w:rPr>
          <w:spacing w:val="-10"/>
        </w:rPr>
        <w:t>。</w:t>
      </w:r>
    </w:p>
    <w:p>
      <w:pPr>
        <w:pStyle w:val="Heading1"/>
        <w:spacing w:before="130"/>
      </w:pPr>
      <w:r>
        <w:t>（三）</w:t>
      </w:r>
      <w:r>
        <w:rPr>
          <w:rFonts w:ascii="Times New Roman" w:eastAsia="Times New Roman"/>
        </w:rPr>
        <w:t>HBV</w:t>
      </w:r>
      <w:r>
        <w:rPr>
          <w:rFonts w:ascii="Times New Roman" w:eastAsia="Times New Roman"/>
          <w:spacing w:val="-3"/>
        </w:rPr>
        <w:t xml:space="preserve"> </w:t>
      </w:r>
      <w:r>
        <w:rPr>
          <w:rFonts w:ascii="Times New Roman" w:eastAsia="Times New Roman"/>
        </w:rPr>
        <w:t>DNA</w:t>
      </w:r>
      <w:r>
        <w:rPr>
          <w:spacing w:val="-2"/>
        </w:rPr>
        <w:t>、基因型和变异检测</w:t>
      </w:r>
    </w:p>
    <w:p>
      <w:pPr>
        <w:pStyle w:val="ListParagraph"/>
        <w:numPr>
          <w:ilvl w:val="0"/>
          <w:numId w:val="10"/>
        </w:numPr>
        <w:tabs>
          <w:tab w:val="left" w:pos="1015"/>
        </w:tabs>
        <w:spacing w:before="151" w:after="0" w:line="417" w:lineRule="auto"/>
        <w:ind w:left="160" w:right="297" w:firstLine="539"/>
        <w:jc w:val="both"/>
        <w:rPr>
          <w:sz w:val="21"/>
        </w:rPr>
      </w:pPr>
      <w:r>
        <w:rPr>
          <w:rFonts w:ascii="Times New Roman" w:eastAsia="Times New Roman"/>
          <w:sz w:val="21"/>
        </w:rPr>
        <w:t>HBV</w:t>
      </w:r>
      <w:r>
        <w:rPr>
          <w:rFonts w:ascii="Times New Roman" w:eastAsia="Times New Roman"/>
          <w:spacing w:val="-9"/>
          <w:sz w:val="21"/>
        </w:rPr>
        <w:t xml:space="preserve"> </w:t>
      </w:r>
      <w:r>
        <w:rPr>
          <w:rFonts w:ascii="Times New Roman" w:eastAsia="Times New Roman"/>
          <w:sz w:val="21"/>
        </w:rPr>
        <w:t xml:space="preserve">DNA </w:t>
      </w:r>
      <w:r>
        <w:rPr>
          <w:spacing w:val="-2"/>
          <w:sz w:val="21"/>
        </w:rPr>
        <w:t xml:space="preserve">定量检测  可反映病毒复制水平，主要用于慢性 </w:t>
      </w:r>
      <w:r>
        <w:rPr>
          <w:rFonts w:ascii="Times New Roman" w:eastAsia="Times New Roman"/>
          <w:sz w:val="21"/>
        </w:rPr>
        <w:t xml:space="preserve">HBV </w:t>
      </w:r>
      <w:r>
        <w:rPr>
          <w:sz w:val="21"/>
        </w:rPr>
        <w:t>感染的诊断、</w:t>
      </w:r>
      <w:r>
        <w:rPr>
          <w:spacing w:val="-2"/>
          <w:sz w:val="21"/>
        </w:rPr>
        <w:t>治疗适应证的选择及抗病毒疗效的判断。</w:t>
      </w:r>
      <w:r>
        <w:rPr>
          <w:rFonts w:ascii="Times New Roman" w:eastAsia="Times New Roman"/>
          <w:spacing w:val="-2"/>
          <w:sz w:val="21"/>
        </w:rPr>
        <w:t xml:space="preserve">HBV DNA </w:t>
      </w:r>
      <w:r>
        <w:rPr>
          <w:spacing w:val="-2"/>
          <w:sz w:val="21"/>
        </w:rPr>
        <w:t>的检测值可以国际单位（</w:t>
      </w:r>
      <w:r>
        <w:rPr>
          <w:rFonts w:ascii="Times New Roman" w:eastAsia="Times New Roman"/>
          <w:spacing w:val="-2"/>
          <w:sz w:val="21"/>
        </w:rPr>
        <w:t>IU</w:t>
      </w:r>
      <w:r>
        <w:rPr>
          <w:spacing w:val="-2"/>
          <w:sz w:val="21"/>
        </w:rPr>
        <w:t>）</w:t>
      </w:r>
      <w:r>
        <w:rPr>
          <w:rFonts w:ascii="Times New Roman" w:eastAsia="Times New Roman"/>
          <w:spacing w:val="-2"/>
          <w:sz w:val="21"/>
        </w:rPr>
        <w:t xml:space="preserve">/mL </w:t>
      </w:r>
      <w:r>
        <w:rPr>
          <w:spacing w:val="-2"/>
          <w:sz w:val="21"/>
        </w:rPr>
        <w:t>或拷</w:t>
      </w:r>
      <w:r>
        <w:rPr>
          <w:spacing w:val="-10"/>
          <w:sz w:val="21"/>
        </w:rPr>
        <w:t>贝</w:t>
      </w:r>
    </w:p>
    <w:p>
      <w:pPr>
        <w:pStyle w:val="BodyText"/>
        <w:spacing w:line="269" w:lineRule="exact"/>
        <w:jc w:val="both"/>
        <w:rPr>
          <w:rFonts w:ascii="黑体" w:eastAsia="黑体"/>
          <w:sz w:val="20"/>
        </w:rPr>
      </w:pPr>
      <w:r>
        <w:rPr>
          <w:rFonts w:ascii="Times New Roman" w:eastAsia="Times New Roman"/>
        </w:rPr>
        <w:t>/mL</w:t>
      </w:r>
      <w:r>
        <w:rPr>
          <w:rFonts w:ascii="Times New Roman" w:eastAsia="Times New Roman"/>
          <w:spacing w:val="-4"/>
        </w:rPr>
        <w:t xml:space="preserve"> </w:t>
      </w:r>
      <w:r>
        <w:t>表示，根据检测方法的不同，</w:t>
      </w:r>
      <w:r>
        <w:rPr>
          <w:rFonts w:ascii="Times New Roman" w:eastAsia="Times New Roman"/>
        </w:rPr>
        <w:t>1</w:t>
      </w:r>
      <w:r>
        <w:rPr>
          <w:rFonts w:ascii="Times New Roman" w:eastAsia="Times New Roman"/>
          <w:spacing w:val="-1"/>
        </w:rPr>
        <w:t xml:space="preserve"> </w:t>
      </w:r>
      <w:r>
        <w:rPr>
          <w:rFonts w:ascii="Times New Roman" w:eastAsia="Times New Roman"/>
        </w:rPr>
        <w:t xml:space="preserve">IU </w:t>
      </w:r>
      <w:r>
        <w:rPr>
          <w:spacing w:val="-14"/>
        </w:rPr>
        <w:t xml:space="preserve">相当于 </w:t>
      </w:r>
      <w:r>
        <w:rPr>
          <w:rFonts w:ascii="Times New Roman" w:eastAsia="Times New Roman"/>
        </w:rPr>
        <w:t xml:space="preserve">5.6 </w:t>
      </w:r>
      <w:r>
        <w:t>拷贝</w:t>
      </w:r>
      <w:r>
        <w:rPr>
          <w:rFonts w:ascii="Calibri" w:eastAsia="Calibri"/>
          <w:vertAlign w:val="superscript"/>
        </w:rPr>
        <w:t>[46]</w:t>
      </w:r>
      <w:r>
        <w:rPr>
          <w:rFonts w:ascii="黑体" w:eastAsia="黑体"/>
          <w:spacing w:val="-10"/>
          <w:sz w:val="20"/>
          <w:vertAlign w:val="baseline"/>
        </w:rPr>
        <w:t>。</w:t>
      </w:r>
    </w:p>
    <w:p>
      <w:pPr>
        <w:pStyle w:val="BodyText"/>
        <w:spacing w:before="6"/>
        <w:ind w:left="0"/>
        <w:rPr>
          <w:rFonts w:ascii="黑体"/>
          <w:sz w:val="15"/>
        </w:rPr>
      </w:pPr>
    </w:p>
    <w:p>
      <w:pPr>
        <w:pStyle w:val="ListParagraph"/>
        <w:numPr>
          <w:ilvl w:val="0"/>
          <w:numId w:val="10"/>
        </w:numPr>
        <w:tabs>
          <w:tab w:val="left" w:pos="316"/>
          <w:tab w:val="left" w:pos="3645"/>
        </w:tabs>
        <w:spacing w:before="1" w:after="0" w:line="240" w:lineRule="auto"/>
        <w:ind w:left="316" w:right="310" w:hanging="316"/>
        <w:jc w:val="right"/>
        <w:rPr>
          <w:rFonts w:ascii="Times New Roman" w:eastAsia="Times New Roman"/>
          <w:sz w:val="21"/>
        </w:rPr>
      </w:pPr>
      <w:r>
        <w:rPr>
          <w:rFonts w:ascii="Times New Roman" w:eastAsia="Times New Roman"/>
          <w:sz w:val="21"/>
        </w:rPr>
        <w:t>HBV</w:t>
      </w:r>
      <w:r>
        <w:rPr>
          <w:rFonts w:ascii="Times New Roman" w:eastAsia="Times New Roman"/>
          <w:spacing w:val="-3"/>
          <w:sz w:val="21"/>
        </w:rPr>
        <w:t xml:space="preserve"> </w:t>
      </w:r>
      <w:r>
        <w:rPr>
          <w:sz w:val="21"/>
        </w:rPr>
        <w:t>基因分型和耐药突变株检</w:t>
      </w:r>
      <w:r>
        <w:rPr>
          <w:spacing w:val="-10"/>
          <w:sz w:val="21"/>
        </w:rPr>
        <w:t>测</w:t>
      </w:r>
      <w:r>
        <w:rPr>
          <w:sz w:val="21"/>
        </w:rPr>
        <w:tab/>
      </w:r>
      <w:r>
        <w:rPr>
          <w:spacing w:val="-2"/>
          <w:sz w:val="21"/>
        </w:rPr>
        <w:t>常</w:t>
      </w:r>
      <w:r>
        <w:rPr>
          <w:spacing w:val="-2"/>
          <w:sz w:val="21"/>
        </w:rPr>
        <w:t>用</w:t>
      </w:r>
      <w:r>
        <w:rPr>
          <w:spacing w:val="-2"/>
          <w:sz w:val="21"/>
        </w:rPr>
        <w:t>的</w:t>
      </w:r>
      <w:r>
        <w:rPr>
          <w:spacing w:val="-2"/>
          <w:sz w:val="21"/>
        </w:rPr>
        <w:t>方</w:t>
      </w:r>
      <w:r>
        <w:rPr>
          <w:spacing w:val="-2"/>
          <w:sz w:val="21"/>
        </w:rPr>
        <w:t>法</w:t>
      </w:r>
      <w:r>
        <w:rPr>
          <w:spacing w:val="-2"/>
          <w:sz w:val="21"/>
        </w:rPr>
        <w:t>有：（</w:t>
      </w:r>
      <w:r>
        <w:rPr>
          <w:rFonts w:ascii="Times New Roman" w:eastAsia="Times New Roman"/>
          <w:spacing w:val="-2"/>
          <w:sz w:val="21"/>
        </w:rPr>
        <w:t>1</w:t>
      </w:r>
      <w:r>
        <w:rPr>
          <w:spacing w:val="-2"/>
          <w:sz w:val="21"/>
        </w:rPr>
        <w:t>）</w:t>
      </w:r>
      <w:r>
        <w:rPr>
          <w:spacing w:val="-2"/>
          <w:sz w:val="21"/>
        </w:rPr>
        <w:t>基</w:t>
      </w:r>
      <w:r>
        <w:rPr>
          <w:spacing w:val="-2"/>
          <w:sz w:val="21"/>
        </w:rPr>
        <w:t>因</w:t>
      </w:r>
      <w:r>
        <w:rPr>
          <w:spacing w:val="-2"/>
          <w:sz w:val="21"/>
        </w:rPr>
        <w:t>型</w:t>
      </w:r>
      <w:r>
        <w:rPr>
          <w:spacing w:val="-2"/>
          <w:sz w:val="21"/>
        </w:rPr>
        <w:t>特</w:t>
      </w:r>
      <w:r>
        <w:rPr>
          <w:spacing w:val="-2"/>
          <w:sz w:val="21"/>
        </w:rPr>
        <w:t>异</w:t>
      </w:r>
      <w:r>
        <w:rPr>
          <w:spacing w:val="-2"/>
          <w:sz w:val="21"/>
        </w:rPr>
        <w:t>性</w:t>
      </w:r>
      <w:r>
        <w:rPr>
          <w:spacing w:val="-2"/>
          <w:sz w:val="21"/>
        </w:rPr>
        <w:t>引</w:t>
      </w:r>
      <w:r>
        <w:rPr>
          <w:spacing w:val="-2"/>
          <w:sz w:val="21"/>
        </w:rPr>
        <w:t>物</w:t>
      </w:r>
      <w:r>
        <w:rPr>
          <w:spacing w:val="-35"/>
          <w:sz w:val="21"/>
        </w:rPr>
        <w:t xml:space="preserve"> </w:t>
      </w:r>
      <w:r>
        <w:rPr>
          <w:rFonts w:ascii="Times New Roman" w:eastAsia="Times New Roman"/>
          <w:spacing w:val="-5"/>
          <w:sz w:val="21"/>
        </w:rPr>
        <w:t>PCR</w:t>
      </w:r>
    </w:p>
    <w:p>
      <w:pPr>
        <w:pStyle w:val="BodyText"/>
        <w:spacing w:before="3"/>
        <w:ind w:left="0"/>
        <w:rPr>
          <w:rFonts w:ascii="Times New Roman"/>
          <w:sz w:val="17"/>
        </w:rPr>
      </w:pPr>
    </w:p>
    <w:p>
      <w:pPr>
        <w:pStyle w:val="BodyText"/>
      </w:pPr>
      <w:r>
        <w:rPr>
          <w:spacing w:val="-6"/>
        </w:rPr>
        <w:t>法；（</w:t>
      </w:r>
      <w:r>
        <w:rPr>
          <w:rFonts w:ascii="Times New Roman" w:eastAsia="Times New Roman"/>
          <w:spacing w:val="-6"/>
        </w:rPr>
        <w:t>2</w:t>
      </w:r>
      <w:r>
        <w:rPr>
          <w:spacing w:val="-6"/>
        </w:rPr>
        <w:t>）限制性片段长度多态性分析法</w:t>
      </w:r>
      <w:r>
        <w:rPr>
          <w:spacing w:val="-75"/>
        </w:rPr>
        <w:t>（</w:t>
      </w:r>
      <w:r>
        <w:rPr>
          <w:rFonts w:ascii="Times New Roman" w:eastAsia="Times New Roman"/>
          <w:spacing w:val="19"/>
        </w:rPr>
        <w:t>RFLP</w:t>
      </w:r>
      <w:r>
        <w:rPr>
          <w:spacing w:val="-86"/>
        </w:rPr>
        <w:t>）</w:t>
      </w:r>
      <w:r>
        <w:rPr>
          <w:spacing w:val="19"/>
        </w:rPr>
        <w:t>；</w:t>
      </w:r>
      <w:r>
        <w:rPr>
          <w:spacing w:val="-34"/>
        </w:rPr>
        <w:t>（</w:t>
      </w:r>
      <w:r>
        <w:rPr>
          <w:rFonts w:ascii="Times New Roman" w:eastAsia="Times New Roman"/>
          <w:spacing w:val="19"/>
        </w:rPr>
        <w:t>3</w:t>
      </w:r>
      <w:r>
        <w:rPr>
          <w:spacing w:val="19"/>
        </w:rPr>
        <w:t>）</w:t>
      </w:r>
      <w:r>
        <w:rPr>
          <w:spacing w:val="-16"/>
        </w:rPr>
        <w:t>线性探针反向杂交法</w:t>
      </w:r>
      <w:r>
        <w:rPr>
          <w:spacing w:val="-6"/>
        </w:rPr>
        <w:t>（</w:t>
      </w:r>
      <w:r>
        <w:rPr>
          <w:rFonts w:ascii="Times New Roman" w:eastAsia="Times New Roman"/>
          <w:spacing w:val="-6"/>
        </w:rPr>
        <w:t>INNO-</w:t>
      </w:r>
      <w:r>
        <w:rPr>
          <w:rFonts w:ascii="Times New Roman" w:eastAsia="Times New Roman"/>
          <w:spacing w:val="20"/>
        </w:rPr>
        <w:t>LiPA</w:t>
      </w:r>
      <w:r>
        <w:rPr>
          <w:spacing w:val="-138"/>
        </w:rPr>
        <w:t>）</w:t>
      </w:r>
      <w:r>
        <w:rPr>
          <w:spacing w:val="20"/>
        </w:rPr>
        <w:t>；</w:t>
      </w:r>
    </w:p>
    <w:p>
      <w:pPr>
        <w:pStyle w:val="BodyText"/>
        <w:spacing w:before="7"/>
        <w:ind w:left="0"/>
        <w:rPr>
          <w:sz w:val="15"/>
        </w:rPr>
      </w:pPr>
    </w:p>
    <w:p>
      <w:pPr>
        <w:pStyle w:val="BodyText"/>
      </w:pPr>
      <w:r>
        <w:rPr>
          <w:spacing w:val="-80"/>
        </w:rPr>
        <w:t>（</w:t>
      </w:r>
      <w:r>
        <w:rPr>
          <w:rFonts w:ascii="Times New Roman" w:eastAsia="Times New Roman"/>
          <w:spacing w:val="25"/>
        </w:rPr>
        <w:t>4</w:t>
      </w:r>
      <w:r>
        <w:rPr>
          <w:spacing w:val="25"/>
        </w:rPr>
        <w:t>）</w:t>
      </w:r>
      <w:r>
        <w:rPr>
          <w:spacing w:val="-10"/>
        </w:rPr>
        <w:t>基因序列测定法等。</w:t>
      </w:r>
    </w:p>
    <w:p>
      <w:pPr>
        <w:pStyle w:val="BodyText"/>
        <w:spacing w:before="3"/>
        <w:ind w:left="0"/>
        <w:rPr>
          <w:sz w:val="22"/>
        </w:rPr>
      </w:pPr>
    </w:p>
    <w:p>
      <w:pPr>
        <w:pStyle w:val="Heading1"/>
        <w:spacing w:before="1"/>
      </w:pPr>
      <w:r>
        <w:t>七</w:t>
      </w:r>
      <w:r>
        <w:rPr>
          <w:rFonts w:ascii="宋体" w:eastAsia="宋体"/>
          <w:b w:val="0"/>
        </w:rPr>
        <w:t>、</w:t>
      </w:r>
      <w:r>
        <w:rPr>
          <w:spacing w:val="-2"/>
        </w:rPr>
        <w:t>影像学诊断</w:t>
      </w:r>
    </w:p>
    <w:p>
      <w:pPr>
        <w:pStyle w:val="BodyText"/>
        <w:spacing w:before="151"/>
        <w:ind w:left="580"/>
        <w:jc w:val="both"/>
      </w:pPr>
      <w:r>
        <w:rPr>
          <w:spacing w:val="14"/>
        </w:rPr>
        <w:t>可对肝脏、胆囊、脾脏进行超声显像、电子计算机断层扫描</w:t>
      </w:r>
      <w:r>
        <w:t>（</w:t>
      </w:r>
      <w:r>
        <w:rPr>
          <w:rFonts w:ascii="Times New Roman" w:eastAsia="Times New Roman"/>
        </w:rPr>
        <w:t>CT</w:t>
      </w:r>
      <w:r>
        <w:t>）</w:t>
      </w:r>
      <w:r>
        <w:rPr>
          <w:spacing w:val="10"/>
        </w:rPr>
        <w:t>和磁共振成像</w:t>
      </w:r>
    </w:p>
    <w:p>
      <w:pPr>
        <w:pStyle w:val="BodyText"/>
        <w:spacing w:before="6"/>
        <w:ind w:left="0"/>
        <w:rPr>
          <w:sz w:val="15"/>
        </w:rPr>
      </w:pPr>
    </w:p>
    <w:p>
      <w:pPr>
        <w:pStyle w:val="BodyText"/>
        <w:spacing w:before="1" w:line="417" w:lineRule="auto"/>
        <w:ind w:right="205"/>
        <w:jc w:val="both"/>
      </w:pPr>
      <w:r>
        <w:rPr>
          <w:spacing w:val="-2"/>
        </w:rPr>
        <w:t>（</w:t>
      </w:r>
      <w:r>
        <w:rPr>
          <w:rFonts w:ascii="Times New Roman" w:eastAsia="Times New Roman"/>
          <w:spacing w:val="-2"/>
        </w:rPr>
        <w:t>MRI</w:t>
      </w:r>
      <w:r>
        <w:rPr>
          <w:spacing w:val="-2"/>
        </w:rPr>
        <w:t>）</w:t>
      </w:r>
      <w:r>
        <w:rPr>
          <w:spacing w:val="-12"/>
        </w:rPr>
        <w:t>等检查。影像学检查的主要目的是监测慢性乙型肝炎的临床进展、了解有无肝硬化、</w:t>
      </w:r>
      <w:r>
        <w:rPr>
          <w:spacing w:val="-2"/>
        </w:rPr>
        <w:t xml:space="preserve">发现和鉴别占位性病变性质，尤其是筛查和诊断 </w:t>
      </w:r>
      <w:r>
        <w:rPr>
          <w:rFonts w:ascii="Times New Roman" w:eastAsia="Times New Roman"/>
        </w:rPr>
        <w:t>HCC</w:t>
      </w:r>
      <w:r>
        <w:t>。</w:t>
      </w:r>
    </w:p>
    <w:p>
      <w:pPr>
        <w:pStyle w:val="BodyText"/>
        <w:spacing w:line="417" w:lineRule="auto"/>
        <w:ind w:right="309" w:firstLine="420"/>
        <w:jc w:val="both"/>
      </w:pPr>
      <w:r>
        <w:t>肝脏弹性测定（</w:t>
      </w:r>
      <w:r>
        <w:rPr>
          <w:rFonts w:ascii="Times New Roman" w:eastAsia="Times New Roman"/>
        </w:rPr>
        <w:t>hepatic elastography</w:t>
      </w:r>
      <w:r>
        <w:t>）的优势在于无创伤性、操作简便、可重复性好，能够比较准确地识别出轻度肝纤维化和重度肝纤维化／早期肝硬化</w:t>
      </w:r>
      <w:r>
        <w:rPr>
          <w:rFonts w:ascii="Calibri" w:eastAsia="Calibri"/>
          <w:vertAlign w:val="superscript"/>
        </w:rPr>
        <w:t>[47,</w:t>
      </w:r>
      <w:r>
        <w:rPr>
          <w:rFonts w:ascii="Calibri" w:eastAsia="Calibri"/>
          <w:spacing w:val="-12"/>
          <w:vertAlign w:val="baseline"/>
        </w:rPr>
        <w:t xml:space="preserve"> </w:t>
      </w:r>
      <w:r>
        <w:rPr>
          <w:rFonts w:ascii="Calibri" w:eastAsia="Calibri"/>
          <w:vertAlign w:val="superscript"/>
        </w:rPr>
        <w:t>48]</w:t>
      </w:r>
      <w:r>
        <w:rPr>
          <w:vertAlign w:val="baseline"/>
        </w:rPr>
        <w:t>。但其测定成功率</w:t>
      </w:r>
      <w:r>
        <w:rPr>
          <w:spacing w:val="-2"/>
          <w:vertAlign w:val="baseline"/>
        </w:rPr>
        <w:t>受肥胖、肋间隙大小等因素影响，其测定值受肝脏脂肪变、炎症坏死及胆汁淤积的影响，</w:t>
      </w:r>
      <w:r>
        <w:rPr>
          <w:spacing w:val="-2"/>
          <w:vertAlign w:val="baseline"/>
        </w:rPr>
        <w:t>且不易准确区分相邻的两级肝纤维化。</w:t>
      </w:r>
    </w:p>
    <w:p>
      <w:pPr>
        <w:pStyle w:val="Heading1"/>
        <w:spacing w:line="316" w:lineRule="exact"/>
        <w:ind w:left="580"/>
      </w:pPr>
      <w:r>
        <w:rPr>
          <w:spacing w:val="-2"/>
        </w:rPr>
        <w:t>八、病理学诊断</w:t>
      </w:r>
    </w:p>
    <w:p>
      <w:pPr>
        <w:pStyle w:val="BodyText"/>
        <w:spacing w:before="150"/>
        <w:ind w:left="0" w:right="298"/>
        <w:jc w:val="right"/>
      </w:pPr>
      <w:r>
        <w:rPr>
          <w:spacing w:val="-5"/>
        </w:rPr>
        <w:t>肝组织活检的目的是评估慢性乙型肝炎患者肝脏病变程度、排除其他肝脏疾病、判断预</w:t>
      </w:r>
    </w:p>
    <w:p>
      <w:pPr>
        <w:spacing w:after="0"/>
        <w:jc w:val="right"/>
        <w:sectPr>
          <w:footerReference w:type="default" r:id="rId11"/>
          <w:pgSz w:w="11910" w:h="16840"/>
          <w:pgMar w:top="1460" w:right="1500" w:bottom="1380" w:left="1640" w:header="0" w:footer="1189"/>
          <w:pgNumType w:start="8"/>
          <w:cols w:space="708"/>
        </w:sectPr>
      </w:pPr>
    </w:p>
    <w:p>
      <w:pPr>
        <w:pStyle w:val="BodyText"/>
        <w:spacing w:before="43"/>
      </w:pPr>
      <w:r>
        <w:rPr>
          <w:spacing w:val="-2"/>
        </w:rPr>
        <w:t>后和监测治疗应答。</w:t>
      </w:r>
    </w:p>
    <w:p>
      <w:pPr>
        <w:pStyle w:val="BodyText"/>
        <w:spacing w:before="6"/>
        <w:ind w:left="0"/>
        <w:rPr>
          <w:sz w:val="15"/>
        </w:rPr>
      </w:pPr>
    </w:p>
    <w:p>
      <w:pPr>
        <w:pStyle w:val="BodyText"/>
        <w:spacing w:before="1" w:line="417" w:lineRule="auto"/>
        <w:ind w:right="193" w:firstLine="420"/>
      </w:pPr>
      <w:r>
        <w:rPr>
          <w:spacing w:val="-6"/>
        </w:rPr>
        <w:t>慢性乙型肝炎的病理学特点是明显的汇管区及其周围炎症，浸润的炎症细胞主要为淋巴</w:t>
      </w:r>
      <w:r>
        <w:rPr>
          <w:spacing w:val="-2"/>
        </w:rPr>
        <w:t>细胞，少数为浆细胞和巨噬细胞；炎症细胞聚集常引起汇管区扩大，并可破坏界板引起界面</w:t>
      </w:r>
      <w:r>
        <w:rPr>
          <w:spacing w:val="-6"/>
        </w:rPr>
        <w:t>肝炎（</w:t>
      </w:r>
      <w:r>
        <w:rPr>
          <w:rFonts w:ascii="Times New Roman" w:eastAsia="Times New Roman"/>
          <w:spacing w:val="-6"/>
        </w:rPr>
        <w:t xml:space="preserve">interface </w:t>
      </w:r>
      <w:r>
        <w:rPr>
          <w:rFonts w:ascii="Times New Roman" w:eastAsia="Times New Roman"/>
          <w:spacing w:val="6"/>
        </w:rPr>
        <w:t>hepatit</w:t>
      </w:r>
      <w:r>
        <w:rPr>
          <w:rFonts w:ascii="Times New Roman" w:eastAsia="Times New Roman"/>
          <w:spacing w:val="5"/>
        </w:rPr>
        <w:t>i</w:t>
      </w:r>
      <w:r>
        <w:rPr>
          <w:rFonts w:ascii="Times New Roman" w:eastAsia="Times New Roman"/>
          <w:spacing w:val="6"/>
        </w:rPr>
        <w:t>s</w:t>
      </w:r>
      <w:r>
        <w:rPr>
          <w:spacing w:val="-99"/>
        </w:rPr>
        <w:t>）</w:t>
      </w:r>
      <w:r>
        <w:rPr>
          <w:spacing w:val="-11"/>
        </w:rPr>
        <w:t>，又称碎屑样坏死</w:t>
      </w:r>
      <w:r>
        <w:rPr>
          <w:spacing w:val="-6"/>
        </w:rPr>
        <w:t>（</w:t>
      </w:r>
      <w:r>
        <w:rPr>
          <w:rFonts w:ascii="Times New Roman" w:eastAsia="Times New Roman"/>
          <w:spacing w:val="-6"/>
        </w:rPr>
        <w:t xml:space="preserve">piecemeal </w:t>
      </w:r>
      <w:r>
        <w:rPr>
          <w:rFonts w:ascii="Times New Roman" w:eastAsia="Times New Roman"/>
          <w:spacing w:val="5"/>
        </w:rPr>
        <w:t>necrosis</w:t>
      </w:r>
      <w:r>
        <w:rPr>
          <w:spacing w:val="-100"/>
        </w:rPr>
        <w:t>）</w:t>
      </w:r>
      <w:r>
        <w:rPr>
          <w:spacing w:val="-6"/>
        </w:rPr>
        <w:t>。亦可见小叶内肝细胞变性、</w:t>
      </w:r>
      <w:r>
        <w:rPr>
          <w:spacing w:val="-2"/>
        </w:rPr>
        <w:t>坏死，包括融合性坏死和桥形坏死等，随病变加重而日趋显著。肝脏炎症坏死可导致肝内胶</w:t>
      </w:r>
      <w:r>
        <w:rPr>
          <w:spacing w:val="-2"/>
        </w:rPr>
        <w:t>原过度沉积，形成纤维间隔。如病变进一步加重，可引起肝小叶结构紊乱、假小叶形成最终</w:t>
      </w:r>
      <w:r>
        <w:rPr>
          <w:spacing w:val="-2"/>
        </w:rPr>
        <w:t>进展为肝硬化。</w:t>
      </w:r>
    </w:p>
    <w:p>
      <w:pPr>
        <w:pStyle w:val="BodyText"/>
        <w:spacing w:line="417" w:lineRule="auto"/>
        <w:ind w:right="298" w:firstLine="420"/>
      </w:pPr>
      <w:r>
        <w:rPr>
          <w:spacing w:val="-4"/>
        </w:rPr>
        <w:t>慢性乙型肝炎的组织学诊断内容包括有病原学、炎症坏死活动度及肝纤维化的程度。肝</w:t>
      </w:r>
      <w:r>
        <w:rPr>
          <w:spacing w:val="-2"/>
        </w:rPr>
        <w:t>组织炎症坏死的分级</w:t>
      </w:r>
      <w:r>
        <w:rPr>
          <w:spacing w:val="16"/>
        </w:rPr>
        <w:t>（</w:t>
      </w:r>
      <w:r>
        <w:rPr>
          <w:rFonts w:ascii="Times New Roman" w:eastAsia="Times New Roman"/>
          <w:spacing w:val="15"/>
        </w:rPr>
        <w:t>G1~4</w:t>
      </w:r>
      <w:r>
        <w:rPr>
          <w:spacing w:val="-89"/>
        </w:rPr>
        <w:t>）</w:t>
      </w:r>
      <w:r>
        <w:rPr>
          <w:spacing w:val="-2"/>
        </w:rPr>
        <w:t>、纤维化程度的分期（</w:t>
      </w:r>
      <w:r>
        <w:rPr>
          <w:rFonts w:ascii="Times New Roman" w:eastAsia="Times New Roman"/>
          <w:spacing w:val="-2"/>
        </w:rPr>
        <w:t>S1~4</w:t>
      </w:r>
      <w:r>
        <w:rPr>
          <w:spacing w:val="-2"/>
        </w:rPr>
        <w:t>）</w:t>
      </w:r>
      <w:r>
        <w:rPr>
          <w:rFonts w:ascii="Calibri" w:eastAsia="Calibri"/>
          <w:spacing w:val="-2"/>
          <w:vertAlign w:val="superscript"/>
        </w:rPr>
        <w:t>[45]</w:t>
      </w:r>
      <w:r>
        <w:rPr>
          <w:spacing w:val="-2"/>
          <w:vertAlign w:val="baseline"/>
        </w:rPr>
        <w:t>。</w:t>
      </w:r>
    </w:p>
    <w:p>
      <w:pPr>
        <w:pStyle w:val="Heading1"/>
        <w:spacing w:before="85"/>
      </w:pPr>
      <w:r>
        <w:rPr>
          <w:spacing w:val="-2"/>
        </w:rPr>
        <w:t>九、治疗的总体目标</w:t>
      </w:r>
    </w:p>
    <w:p>
      <w:pPr>
        <w:pStyle w:val="BodyText"/>
        <w:spacing w:before="151" w:line="417" w:lineRule="auto"/>
        <w:ind w:right="310" w:firstLine="420"/>
        <w:jc w:val="both"/>
      </w:pPr>
      <w:r>
        <w:rPr>
          <w:spacing w:val="-2"/>
        </w:rPr>
        <w:t xml:space="preserve">慢性乙型肝炎治疗的总体目标是：最大限度地长期抑制 </w:t>
      </w:r>
      <w:r>
        <w:rPr>
          <w:rFonts w:ascii="Times New Roman" w:eastAsia="Times New Roman"/>
          <w:spacing w:val="-2"/>
        </w:rPr>
        <w:t>HBV</w:t>
      </w:r>
      <w:r>
        <w:rPr>
          <w:spacing w:val="-2"/>
        </w:rPr>
        <w:t>，减轻肝细胞炎症坏死及</w:t>
      </w:r>
      <w:r>
        <w:t>肝纤维化，延缓和减少肝脏失代偿、肝硬化、</w:t>
      </w:r>
      <w:r>
        <w:rPr>
          <w:rFonts w:ascii="Times New Roman" w:eastAsia="Times New Roman"/>
        </w:rPr>
        <w:t xml:space="preserve">HCC </w:t>
      </w:r>
      <w:r>
        <w:t>及其并发症的发生，从而改善生活质量</w:t>
      </w:r>
      <w:r>
        <w:rPr>
          <w:spacing w:val="-2"/>
        </w:rPr>
        <w:t>和延长存活时间。</w:t>
      </w:r>
    </w:p>
    <w:p>
      <w:pPr>
        <w:pStyle w:val="BodyText"/>
        <w:spacing w:line="417" w:lineRule="auto"/>
        <w:ind w:right="205" w:firstLine="420"/>
      </w:pPr>
      <w:r>
        <w:rPr>
          <w:spacing w:val="-2"/>
        </w:rPr>
        <w:t>慢性乙型肝炎治疗主要包括抗病毒、免疫调节、抗炎和抗氧化、抗纤维化和对症治疗，</w:t>
      </w:r>
      <w:r>
        <w:rPr>
          <w:spacing w:val="-2"/>
        </w:rPr>
        <w:t>其中抗病毒治疗是关键，只要有适应证，且条件允许，就应进行规范的抗病毒治疗。</w:t>
      </w:r>
    </w:p>
    <w:p>
      <w:pPr>
        <w:spacing w:before="86"/>
        <w:ind w:left="160" w:right="0" w:firstLine="0"/>
        <w:jc w:val="left"/>
        <w:rPr>
          <w:rFonts w:ascii="Calibri" w:eastAsia="Calibri"/>
          <w:sz w:val="21"/>
        </w:rPr>
      </w:pPr>
      <w:r>
        <w:rPr>
          <w:rFonts w:ascii="Microsoft JhengHei" w:eastAsia="Microsoft JhengHei"/>
          <w:b/>
          <w:spacing w:val="-2"/>
          <w:sz w:val="21"/>
        </w:rPr>
        <w:t>十、抗病毒治疗的一般适应证</w:t>
      </w:r>
      <w:r>
        <w:rPr>
          <w:rFonts w:ascii="Calibri" w:eastAsia="Calibri"/>
          <w:spacing w:val="-2"/>
          <w:sz w:val="21"/>
          <w:vertAlign w:val="superscript"/>
        </w:rPr>
        <w:t>[26,</w:t>
      </w:r>
      <w:r>
        <w:rPr>
          <w:rFonts w:ascii="Calibri" w:eastAsia="Calibri"/>
          <w:spacing w:val="21"/>
          <w:sz w:val="21"/>
          <w:vertAlign w:val="baseline"/>
        </w:rPr>
        <w:t xml:space="preserve"> </w:t>
      </w:r>
      <w:r>
        <w:rPr>
          <w:rFonts w:ascii="Calibri" w:eastAsia="Calibri"/>
          <w:spacing w:val="-2"/>
          <w:sz w:val="21"/>
          <w:vertAlign w:val="superscript"/>
        </w:rPr>
        <w:t>29-</w:t>
      </w:r>
      <w:r>
        <w:rPr>
          <w:rFonts w:ascii="Calibri" w:eastAsia="Calibri"/>
          <w:spacing w:val="-5"/>
          <w:sz w:val="21"/>
          <w:vertAlign w:val="superscript"/>
        </w:rPr>
        <w:t>31]</w:t>
      </w:r>
    </w:p>
    <w:p>
      <w:pPr>
        <w:pStyle w:val="BodyText"/>
        <w:spacing w:before="151" w:line="417" w:lineRule="auto"/>
        <w:ind w:right="204" w:firstLine="480"/>
      </w:pPr>
      <w:r>
        <w:rPr>
          <w:spacing w:val="-9"/>
        </w:rPr>
        <w:t>一般适应证包括：</w:t>
      </w:r>
      <w:r>
        <w:rPr>
          <w:rFonts w:ascii="Times New Roman" w:eastAsia="Times New Roman" w:hAnsi="Times New Roman"/>
          <w:spacing w:val="-2"/>
        </w:rPr>
        <w:t>(1)</w:t>
      </w:r>
      <w:r>
        <w:rPr>
          <w:rFonts w:ascii="Times New Roman" w:eastAsia="Times New Roman" w:hAnsi="Times New Roman"/>
          <w:spacing w:val="-12"/>
        </w:rPr>
        <w:t xml:space="preserve"> </w:t>
      </w:r>
      <w:r>
        <w:rPr>
          <w:rFonts w:ascii="Times New Roman" w:eastAsia="Times New Roman" w:hAnsi="Times New Roman"/>
          <w:spacing w:val="-2"/>
        </w:rPr>
        <w:t>HBeAg</w:t>
      </w:r>
      <w:r>
        <w:rPr>
          <w:rFonts w:ascii="Times New Roman" w:eastAsia="Times New Roman" w:hAnsi="Times New Roman"/>
          <w:spacing w:val="15"/>
        </w:rPr>
        <w:t xml:space="preserve"> </w:t>
      </w:r>
      <w:r>
        <w:rPr>
          <w:spacing w:val="-2"/>
        </w:rPr>
        <w:t>阳性者，</w:t>
      </w:r>
      <w:r>
        <w:rPr>
          <w:rFonts w:ascii="Times New Roman" w:eastAsia="Times New Roman" w:hAnsi="Times New Roman"/>
          <w:spacing w:val="-2"/>
        </w:rPr>
        <w:t>HBV</w:t>
      </w:r>
      <w:r>
        <w:rPr>
          <w:rFonts w:ascii="Times New Roman" w:eastAsia="Times New Roman" w:hAnsi="Times New Roman"/>
          <w:spacing w:val="-11"/>
        </w:rPr>
        <w:t xml:space="preserve"> </w:t>
      </w:r>
      <w:r>
        <w:rPr>
          <w:rFonts w:ascii="Times New Roman" w:eastAsia="Times New Roman" w:hAnsi="Times New Roman"/>
          <w:spacing w:val="-2"/>
        </w:rPr>
        <w:t>DNA</w:t>
      </w:r>
      <w:r>
        <w:rPr>
          <w:rFonts w:ascii="Times New Roman" w:eastAsia="Times New Roman" w:hAnsi="Times New Roman"/>
          <w:spacing w:val="-11"/>
        </w:rPr>
        <w:t xml:space="preserve"> </w:t>
      </w:r>
      <w:r>
        <w:rPr>
          <w:rFonts w:ascii="Times New Roman" w:eastAsia="Times New Roman" w:hAnsi="Times New Roman"/>
          <w:spacing w:val="-2"/>
        </w:rPr>
        <w:t>≥10</w:t>
      </w:r>
      <w:r>
        <w:rPr>
          <w:rFonts w:ascii="Times New Roman" w:eastAsia="Times New Roman" w:hAnsi="Times New Roman"/>
          <w:spacing w:val="-2"/>
          <w:position w:val="6"/>
          <w:sz w:val="14"/>
        </w:rPr>
        <w:t>5</w:t>
      </w:r>
      <w:r>
        <w:rPr>
          <w:rFonts w:ascii="Times New Roman" w:eastAsia="Times New Roman" w:hAnsi="Times New Roman"/>
          <w:spacing w:val="56"/>
          <w:position w:val="6"/>
          <w:sz w:val="14"/>
        </w:rPr>
        <w:t xml:space="preserve"> </w:t>
      </w:r>
      <w:r>
        <w:rPr>
          <w:spacing w:val="-2"/>
        </w:rPr>
        <w:t>拷贝</w:t>
      </w:r>
      <w:r>
        <w:rPr>
          <w:rFonts w:ascii="Times New Roman" w:eastAsia="Times New Roman" w:hAnsi="Times New Roman"/>
          <w:spacing w:val="-2"/>
        </w:rPr>
        <w:t>/m</w:t>
      </w:r>
      <w:r>
        <w:rPr>
          <w:rFonts w:ascii="Times New Roman" w:eastAsia="Times New Roman" w:hAnsi="Times New Roman"/>
          <w:spacing w:val="-11"/>
        </w:rPr>
        <w:t xml:space="preserve"> </w:t>
      </w:r>
      <w:r>
        <w:rPr>
          <w:rFonts w:ascii="Times New Roman" w:eastAsia="Times New Roman" w:hAnsi="Times New Roman"/>
          <w:spacing w:val="-2"/>
        </w:rPr>
        <w:t>l</w:t>
      </w:r>
      <w:r>
        <w:rPr>
          <w:spacing w:val="-2"/>
        </w:rPr>
        <w:t>（</w:t>
      </w:r>
      <w:r>
        <w:rPr>
          <w:spacing w:val="-15"/>
        </w:rPr>
        <w:t xml:space="preserve">相当于 </w:t>
      </w:r>
      <w:r>
        <w:rPr>
          <w:rFonts w:ascii="Times New Roman" w:eastAsia="Times New Roman" w:hAnsi="Times New Roman"/>
          <w:spacing w:val="-2"/>
        </w:rPr>
        <w:t>2000</w:t>
      </w:r>
      <w:r>
        <w:rPr>
          <w:rFonts w:ascii="Times New Roman" w:eastAsia="Times New Roman" w:hAnsi="Times New Roman"/>
          <w:spacing w:val="-11"/>
        </w:rPr>
        <w:t xml:space="preserve"> </w:t>
      </w:r>
      <w:r>
        <w:rPr>
          <w:rFonts w:ascii="Times New Roman" w:eastAsia="Times New Roman" w:hAnsi="Times New Roman"/>
          <w:spacing w:val="20"/>
        </w:rPr>
        <w:t>IU</w:t>
      </w:r>
      <w:r>
        <w:rPr>
          <w:rFonts w:ascii="Times New Roman" w:eastAsia="Times New Roman" w:hAnsi="Times New Roman"/>
          <w:spacing w:val="19"/>
        </w:rPr>
        <w:t>/</w:t>
      </w:r>
      <w:r>
        <w:rPr>
          <w:rFonts w:ascii="Times New Roman" w:eastAsia="Times New Roman" w:hAnsi="Times New Roman"/>
          <w:spacing w:val="20"/>
        </w:rPr>
        <w:t>mL</w:t>
      </w:r>
      <w:r>
        <w:rPr>
          <w:spacing w:val="-138"/>
        </w:rPr>
        <w:t>）</w:t>
      </w:r>
      <w:r>
        <w:rPr>
          <w:spacing w:val="20"/>
        </w:rPr>
        <w:t>；</w:t>
      </w:r>
      <w:r>
        <w:rPr>
          <w:spacing w:val="-3"/>
        </w:rPr>
        <w:t xml:space="preserve"> </w:t>
      </w:r>
      <w:r>
        <w:rPr>
          <w:rFonts w:ascii="Times New Roman" w:eastAsia="Times New Roman" w:hAnsi="Times New Roman"/>
        </w:rPr>
        <w:t>HBeAg</w:t>
      </w:r>
      <w:r>
        <w:rPr>
          <w:rFonts w:ascii="Times New Roman" w:eastAsia="Times New Roman" w:hAnsi="Times New Roman"/>
          <w:spacing w:val="-1"/>
        </w:rPr>
        <w:t xml:space="preserve"> </w:t>
      </w:r>
      <w:r>
        <w:t>阴性者，</w:t>
      </w:r>
      <w:r>
        <w:rPr>
          <w:rFonts w:ascii="Times New Roman" w:eastAsia="Times New Roman" w:hAnsi="Times New Roman"/>
        </w:rPr>
        <w:t>HBV DNA ≥10</w:t>
      </w:r>
      <w:r>
        <w:rPr>
          <w:rFonts w:ascii="Times New Roman" w:eastAsia="Times New Roman" w:hAnsi="Times New Roman"/>
          <w:position w:val="6"/>
          <w:sz w:val="14"/>
        </w:rPr>
        <w:t>4</w:t>
      </w:r>
      <w:r>
        <w:rPr>
          <w:rFonts w:ascii="Times New Roman" w:eastAsia="Times New Roman" w:hAnsi="Times New Roman"/>
          <w:spacing w:val="110"/>
          <w:position w:val="6"/>
          <w:sz w:val="14"/>
        </w:rPr>
        <w:t xml:space="preserve"> </w:t>
      </w:r>
      <w:r>
        <w:t>拷贝</w:t>
      </w:r>
      <w:r>
        <w:rPr>
          <w:rFonts w:ascii="Times New Roman" w:eastAsia="Times New Roman" w:hAnsi="Times New Roman"/>
        </w:rPr>
        <w:t>/m l</w:t>
      </w:r>
      <w:r>
        <w:t>（</w:t>
      </w:r>
      <w:r>
        <w:rPr>
          <w:spacing w:val="-13"/>
        </w:rPr>
        <w:t xml:space="preserve">相当于 </w:t>
      </w:r>
      <w:r>
        <w:rPr>
          <w:rFonts w:ascii="Times New Roman" w:eastAsia="Times New Roman" w:hAnsi="Times New Roman"/>
        </w:rPr>
        <w:t xml:space="preserve">2000 </w:t>
      </w:r>
      <w:r>
        <w:rPr>
          <w:rFonts w:ascii="Times New Roman" w:eastAsia="Times New Roman" w:hAnsi="Times New Roman"/>
          <w:spacing w:val="10"/>
        </w:rPr>
        <w:t>IU/m</w:t>
      </w:r>
      <w:r>
        <w:rPr>
          <w:rFonts w:ascii="Times New Roman" w:eastAsia="Times New Roman" w:hAnsi="Times New Roman"/>
          <w:spacing w:val="9"/>
        </w:rPr>
        <w:t>L</w:t>
      </w:r>
      <w:r>
        <w:rPr>
          <w:spacing w:val="-93"/>
        </w:rPr>
        <w:t>）</w:t>
      </w:r>
      <w:r>
        <w:rPr>
          <w:spacing w:val="12"/>
        </w:rPr>
        <w:t>；</w:t>
      </w:r>
      <w:r>
        <w:rPr>
          <w:rFonts w:ascii="Times New Roman" w:eastAsia="Times New Roman" w:hAnsi="Times New Roman"/>
          <w:spacing w:val="10"/>
        </w:rPr>
        <w:t>(2)</w:t>
      </w:r>
      <w:r>
        <w:rPr>
          <w:rFonts w:ascii="Times New Roman" w:eastAsia="Times New Roman" w:hAnsi="Times New Roman"/>
          <w:spacing w:val="-1"/>
        </w:rPr>
        <w:t xml:space="preserve"> </w:t>
      </w:r>
      <w:r>
        <w:rPr>
          <w:rFonts w:ascii="Times New Roman" w:eastAsia="Times New Roman" w:hAnsi="Times New Roman"/>
        </w:rPr>
        <w:t>ALT ≥2×ULN</w:t>
      </w:r>
      <w:r>
        <w:t>；如用干扰素治疗，</w:t>
      </w:r>
      <w:r>
        <w:rPr>
          <w:rFonts w:ascii="Times New Roman" w:eastAsia="Times New Roman" w:hAnsi="Times New Roman"/>
        </w:rPr>
        <w:t xml:space="preserve">ALT </w:t>
      </w:r>
      <w:r>
        <w:t>应</w:t>
      </w:r>
      <w:r>
        <w:rPr>
          <w:rFonts w:ascii="Times New Roman" w:eastAsia="Times New Roman" w:hAnsi="Times New Roman"/>
        </w:rPr>
        <w:t>≤10×ULN</w:t>
      </w:r>
      <w:r>
        <w:t>，血清总胆红素应</w:t>
      </w:r>
      <w:r>
        <w:rPr>
          <w:rFonts w:ascii="Times New Roman" w:eastAsia="Times New Roman" w:hAnsi="Times New Roman"/>
        </w:rPr>
        <w:t>&lt;2×ULN</w:t>
      </w:r>
      <w:r>
        <w:t>；</w:t>
      </w:r>
      <w:r>
        <w:rPr>
          <w:rFonts w:ascii="Times New Roman" w:eastAsia="Times New Roman" w:hAnsi="Times New Roman"/>
        </w:rPr>
        <w:t>(3) ALT &lt;2 ×ULN</w:t>
      </w:r>
      <w:r>
        <w:t>，但肝组织学</w:t>
      </w:r>
      <w:r>
        <w:rPr>
          <w:spacing w:val="-5"/>
        </w:rPr>
        <w:t xml:space="preserve">显示 </w:t>
      </w:r>
      <w:r>
        <w:rPr>
          <w:rFonts w:ascii="Times New Roman" w:eastAsia="Times New Roman" w:hAnsi="Times New Roman"/>
        </w:rPr>
        <w:t>Knodell HAI ≥4</w:t>
      </w:r>
      <w:r>
        <w:t>，或炎症坏死</w:t>
      </w:r>
      <w:r>
        <w:rPr>
          <w:rFonts w:ascii="Times New Roman" w:eastAsia="Times New Roman" w:hAnsi="Times New Roman"/>
        </w:rPr>
        <w:t>≥G2</w:t>
      </w:r>
      <w:r>
        <w:t>，或纤维化</w:t>
      </w:r>
      <w:r>
        <w:rPr>
          <w:rFonts w:ascii="Times New Roman" w:eastAsia="Times New Roman" w:hAnsi="Times New Roman"/>
        </w:rPr>
        <w:t>≥S2</w:t>
      </w:r>
      <w:r>
        <w:t>。</w:t>
      </w:r>
    </w:p>
    <w:p>
      <w:pPr>
        <w:pStyle w:val="BodyText"/>
        <w:spacing w:line="417" w:lineRule="auto"/>
        <w:ind w:right="310" w:firstLine="688"/>
      </w:pPr>
      <w:r>
        <w:rPr>
          <w:spacing w:val="-13"/>
        </w:rPr>
        <w:t xml:space="preserve">对持续 </w:t>
      </w:r>
      <w:r>
        <w:rPr>
          <w:rFonts w:ascii="Times New Roman" w:eastAsia="Times New Roman"/>
        </w:rPr>
        <w:t xml:space="preserve">HBV DNA </w:t>
      </w:r>
      <w:r>
        <w:t>阳性、达不到上述治疗标准、但有以下情形之一者，亦应考虑给</w:t>
      </w:r>
      <w:r>
        <w:rPr>
          <w:spacing w:val="-2"/>
        </w:rPr>
        <w:t>予抗病毒治疗</w:t>
      </w:r>
    </w:p>
    <w:p>
      <w:pPr>
        <w:pStyle w:val="ListParagraph"/>
        <w:numPr>
          <w:ilvl w:val="0"/>
          <w:numId w:val="9"/>
        </w:numPr>
        <w:tabs>
          <w:tab w:val="left" w:pos="1166"/>
        </w:tabs>
        <w:spacing w:before="0" w:after="0" w:line="269" w:lineRule="exact"/>
        <w:ind w:left="1166" w:right="0" w:hanging="526"/>
        <w:jc w:val="left"/>
        <w:rPr>
          <w:sz w:val="21"/>
        </w:rPr>
      </w:pPr>
      <w:r>
        <w:rPr>
          <w:spacing w:val="-27"/>
          <w:sz w:val="21"/>
        </w:rPr>
        <w:t xml:space="preserve">对 </w:t>
      </w:r>
      <w:r>
        <w:rPr>
          <w:rFonts w:ascii="Times New Roman" w:eastAsia="Times New Roman"/>
          <w:sz w:val="21"/>
        </w:rPr>
        <w:t>ALT</w:t>
      </w:r>
      <w:r>
        <w:rPr>
          <w:rFonts w:ascii="Times New Roman" w:eastAsia="Times New Roman"/>
          <w:spacing w:val="-2"/>
          <w:sz w:val="21"/>
        </w:rPr>
        <w:t xml:space="preserve"> </w:t>
      </w:r>
      <w:r>
        <w:rPr>
          <w:sz w:val="21"/>
        </w:rPr>
        <w:t>大于正常上限且年龄</w:t>
      </w:r>
      <w:r>
        <w:rPr>
          <w:rFonts w:ascii="Times New Roman" w:eastAsia="Times New Roman"/>
          <w:sz w:val="21"/>
        </w:rPr>
        <w:t>&gt;40</w:t>
      </w:r>
      <w:r>
        <w:rPr>
          <w:rFonts w:ascii="Times New Roman" w:eastAsia="Times New Roman"/>
          <w:spacing w:val="-1"/>
          <w:sz w:val="21"/>
        </w:rPr>
        <w:t xml:space="preserve"> </w:t>
      </w:r>
      <w:r>
        <w:rPr>
          <w:sz w:val="21"/>
        </w:rPr>
        <w:t xml:space="preserve">岁者，也应考虑抗病毒治疗 </w:t>
      </w:r>
      <w:r>
        <w:rPr>
          <w:rFonts w:ascii="Times New Roman" w:eastAsia="Times New Roman"/>
          <w:sz w:val="21"/>
        </w:rPr>
        <w:t>(</w:t>
      </w:r>
      <w:r>
        <w:rPr>
          <w:rFonts w:ascii="Times New Roman" w:eastAsia="Times New Roman"/>
          <w:i/>
          <w:sz w:val="21"/>
        </w:rPr>
        <w:t>III</w:t>
      </w:r>
      <w:r>
        <w:rPr>
          <w:rFonts w:ascii="Times New Roman" w:eastAsia="Times New Roman"/>
          <w:sz w:val="21"/>
        </w:rPr>
        <w:t>)</w:t>
      </w:r>
      <w:r>
        <w:rPr>
          <w:spacing w:val="-10"/>
          <w:sz w:val="21"/>
        </w:rPr>
        <w:t>。</w:t>
      </w:r>
    </w:p>
    <w:p>
      <w:pPr>
        <w:pStyle w:val="BodyText"/>
        <w:spacing w:before="6"/>
        <w:ind w:left="0"/>
        <w:rPr>
          <w:sz w:val="15"/>
        </w:rPr>
      </w:pPr>
    </w:p>
    <w:p>
      <w:pPr>
        <w:pStyle w:val="ListParagraph"/>
        <w:numPr>
          <w:ilvl w:val="0"/>
          <w:numId w:val="9"/>
        </w:numPr>
        <w:tabs>
          <w:tab w:val="left" w:pos="1166"/>
        </w:tabs>
        <w:spacing w:before="0" w:after="0" w:line="417" w:lineRule="auto"/>
        <w:ind w:left="160" w:right="109" w:firstLine="480"/>
        <w:jc w:val="left"/>
        <w:rPr>
          <w:sz w:val="21"/>
        </w:rPr>
      </w:pPr>
      <w:r>
        <w:rPr>
          <w:spacing w:val="-8"/>
          <w:sz w:val="21"/>
        </w:rPr>
        <w:t xml:space="preserve">对 </w:t>
      </w:r>
      <w:r>
        <w:rPr>
          <w:rFonts w:ascii="Times New Roman" w:eastAsia="Times New Roman" w:hAnsi="Times New Roman"/>
          <w:sz w:val="21"/>
        </w:rPr>
        <w:t xml:space="preserve">ALT </w:t>
      </w:r>
      <w:r>
        <w:rPr>
          <w:sz w:val="21"/>
        </w:rPr>
        <w:t>持续正常但年龄较大者（</w:t>
      </w:r>
      <w:r>
        <w:rPr>
          <w:rFonts w:ascii="Times New Roman" w:eastAsia="Times New Roman" w:hAnsi="Times New Roman"/>
          <w:sz w:val="21"/>
        </w:rPr>
        <w:t xml:space="preserve">&gt;40 </w:t>
      </w:r>
      <w:r>
        <w:rPr>
          <w:sz w:val="21"/>
        </w:rPr>
        <w:t>岁</w:t>
      </w:r>
      <w:r>
        <w:rPr>
          <w:spacing w:val="-105"/>
          <w:sz w:val="21"/>
        </w:rPr>
        <w:t>）</w:t>
      </w:r>
      <w:r>
        <w:rPr>
          <w:sz w:val="21"/>
        </w:rPr>
        <w:t>，应密切随访，最好进行肝活检；如果</w:t>
      </w:r>
      <w:r>
        <w:rPr>
          <w:sz w:val="21"/>
        </w:rPr>
        <w:t xml:space="preserve"> </w:t>
      </w:r>
      <w:r>
        <w:rPr>
          <w:spacing w:val="-10"/>
          <w:sz w:val="21"/>
        </w:rPr>
        <w:t>肝组织学显示</w:t>
      </w:r>
      <w:r>
        <w:rPr>
          <w:rFonts w:ascii="Times New Roman" w:eastAsia="Times New Roman" w:hAnsi="Times New Roman"/>
          <w:spacing w:val="-10"/>
          <w:sz w:val="21"/>
        </w:rPr>
        <w:t>Knodell</w:t>
      </w:r>
      <w:r>
        <w:rPr>
          <w:rFonts w:ascii="Times New Roman" w:eastAsia="Times New Roman" w:hAnsi="Times New Roman"/>
          <w:sz w:val="21"/>
        </w:rPr>
        <w:t xml:space="preserve"> </w:t>
      </w:r>
      <w:r>
        <w:rPr>
          <w:rFonts w:ascii="Times New Roman" w:eastAsia="Times New Roman" w:hAnsi="Times New Roman"/>
          <w:spacing w:val="-10"/>
          <w:sz w:val="21"/>
        </w:rPr>
        <w:t>HAI</w:t>
      </w:r>
      <w:r>
        <w:rPr>
          <w:rFonts w:ascii="Times New Roman" w:eastAsia="Times New Roman" w:hAnsi="Times New Roman"/>
          <w:sz w:val="21"/>
        </w:rPr>
        <w:t xml:space="preserve"> </w:t>
      </w:r>
      <w:r>
        <w:rPr>
          <w:rFonts w:ascii="Times New Roman" w:eastAsia="Times New Roman" w:hAnsi="Times New Roman"/>
          <w:spacing w:val="25"/>
          <w:sz w:val="21"/>
        </w:rPr>
        <w:t>≥4</w:t>
      </w:r>
      <w:r>
        <w:rPr>
          <w:spacing w:val="-23"/>
          <w:sz w:val="21"/>
        </w:rPr>
        <w:t>，或炎症坏死</w:t>
      </w:r>
      <w:r>
        <w:rPr>
          <w:rFonts w:ascii="Times New Roman" w:eastAsia="Times New Roman" w:hAnsi="Times New Roman"/>
          <w:spacing w:val="16"/>
          <w:sz w:val="21"/>
        </w:rPr>
        <w:t>≥G2</w:t>
      </w:r>
      <w:r>
        <w:rPr>
          <w:spacing w:val="-27"/>
          <w:sz w:val="21"/>
        </w:rPr>
        <w:t>，或纤维化</w:t>
      </w:r>
      <w:r>
        <w:rPr>
          <w:rFonts w:ascii="Times New Roman" w:eastAsia="Times New Roman" w:hAnsi="Times New Roman"/>
          <w:spacing w:val="16"/>
          <w:sz w:val="21"/>
        </w:rPr>
        <w:t>≥S2</w:t>
      </w:r>
      <w:r>
        <w:rPr>
          <w:spacing w:val="-20"/>
          <w:sz w:val="21"/>
        </w:rPr>
        <w:t>，应积极给予抗病毒治疗</w:t>
      </w:r>
      <w:r>
        <w:rPr>
          <w:rFonts w:ascii="Times New Roman" w:eastAsia="Times New Roman" w:hAnsi="Times New Roman"/>
          <w:spacing w:val="3"/>
          <w:sz w:val="21"/>
          <w:vertAlign w:val="superscript"/>
        </w:rPr>
        <w:t>[59]</w:t>
      </w:r>
      <w:r>
        <w:rPr>
          <w:spacing w:val="3"/>
          <w:sz w:val="21"/>
          <w:vertAlign w:val="baseline"/>
        </w:rPr>
        <w:t>（</w:t>
      </w:r>
      <w:r>
        <w:rPr>
          <w:rFonts w:ascii="Times New Roman" w:eastAsia="Times New Roman" w:hAnsi="Times New Roman"/>
          <w:spacing w:val="3"/>
          <w:sz w:val="21"/>
          <w:vertAlign w:val="baseline"/>
        </w:rPr>
        <w:t>II</w:t>
      </w:r>
      <w:r>
        <w:rPr>
          <w:spacing w:val="-102"/>
          <w:sz w:val="21"/>
          <w:vertAlign w:val="baseline"/>
        </w:rPr>
        <w:t>）</w:t>
      </w:r>
      <w:r>
        <w:rPr>
          <w:spacing w:val="-10"/>
          <w:sz w:val="21"/>
          <w:vertAlign w:val="baseline"/>
        </w:rPr>
        <w:t>。</w:t>
      </w:r>
    </w:p>
    <w:p>
      <w:pPr>
        <w:pStyle w:val="ListParagraph"/>
        <w:numPr>
          <w:ilvl w:val="0"/>
          <w:numId w:val="9"/>
        </w:numPr>
        <w:tabs>
          <w:tab w:val="left" w:pos="1166"/>
        </w:tabs>
        <w:spacing w:before="0" w:after="0" w:line="417" w:lineRule="auto"/>
        <w:ind w:left="160" w:right="309" w:firstLine="480"/>
        <w:jc w:val="left"/>
        <w:rPr>
          <w:sz w:val="21"/>
        </w:rPr>
      </w:pPr>
      <w:r>
        <w:rPr>
          <w:spacing w:val="-2"/>
          <w:sz w:val="21"/>
        </w:rPr>
        <w:t>动态观察发现有疾病进展的证据（如脾脏增大）者，建议行肝组织学检查，必要</w:t>
      </w:r>
      <w:r>
        <w:rPr>
          <w:spacing w:val="-2"/>
          <w:sz w:val="21"/>
        </w:rPr>
        <w:t>时给予抗病毒治疗</w:t>
      </w:r>
      <w:r>
        <w:rPr>
          <w:spacing w:val="19"/>
          <w:sz w:val="21"/>
        </w:rPr>
        <w:t>（</w:t>
      </w:r>
      <w:r>
        <w:rPr>
          <w:rFonts w:ascii="Times New Roman" w:eastAsia="Times New Roman"/>
          <w:spacing w:val="19"/>
          <w:sz w:val="21"/>
        </w:rPr>
        <w:t>III</w:t>
      </w:r>
      <w:r>
        <w:rPr>
          <w:spacing w:val="-86"/>
          <w:sz w:val="21"/>
        </w:rPr>
        <w:t>）</w:t>
      </w:r>
      <w:r>
        <w:rPr>
          <w:spacing w:val="-2"/>
          <w:sz w:val="21"/>
        </w:rPr>
        <w:t>。</w:t>
      </w:r>
    </w:p>
    <w:p>
      <w:pPr>
        <w:pStyle w:val="BodyText"/>
        <w:spacing w:line="417" w:lineRule="auto"/>
        <w:ind w:right="310" w:firstLine="480"/>
        <w:rPr>
          <w:rFonts w:ascii="Times New Roman" w:eastAsia="Times New Roman"/>
        </w:rPr>
      </w:pPr>
      <w:r>
        <w:rPr>
          <w:spacing w:val="-5"/>
        </w:rPr>
        <w:t xml:space="preserve">在开始治疗前应排除由药物、酒精或其他因素所致的 </w:t>
      </w:r>
      <w:r>
        <w:rPr>
          <w:rFonts w:ascii="Times New Roman" w:eastAsia="Times New Roman"/>
          <w:spacing w:val="-2"/>
        </w:rPr>
        <w:t>ALT</w:t>
      </w:r>
      <w:r>
        <w:rPr>
          <w:rFonts w:ascii="Times New Roman" w:eastAsia="Times New Roman"/>
          <w:spacing w:val="-7"/>
        </w:rPr>
        <w:t xml:space="preserve"> </w:t>
      </w:r>
      <w:r>
        <w:rPr>
          <w:spacing w:val="-2"/>
        </w:rPr>
        <w:t>升高，也应排除应用降酶药</w:t>
      </w:r>
      <w:r>
        <w:rPr>
          <w:spacing w:val="-13"/>
        </w:rPr>
        <w:t xml:space="preserve">物后 </w:t>
      </w:r>
      <w:r>
        <w:rPr>
          <w:rFonts w:ascii="Times New Roman" w:eastAsia="Times New Roman"/>
          <w:spacing w:val="-2"/>
        </w:rPr>
        <w:t>ALT</w:t>
      </w:r>
      <w:r>
        <w:rPr>
          <w:rFonts w:ascii="Times New Roman" w:eastAsia="Times New Roman"/>
          <w:spacing w:val="16"/>
        </w:rPr>
        <w:t xml:space="preserve"> </w:t>
      </w:r>
      <w:r>
        <w:rPr>
          <w:spacing w:val="-3"/>
        </w:rPr>
        <w:t xml:space="preserve">暂时性正常。在一些特殊病例如肝硬化或服用联苯结构衍生物类药物者，其 </w:t>
      </w:r>
      <w:r>
        <w:rPr>
          <w:rFonts w:ascii="Times New Roman" w:eastAsia="Times New Roman"/>
          <w:spacing w:val="-5"/>
        </w:rPr>
        <w:t>AST</w:t>
      </w:r>
    </w:p>
    <w:p>
      <w:pPr>
        <w:spacing w:after="0" w:line="417" w:lineRule="auto"/>
        <w:rPr>
          <w:rFonts w:ascii="Times New Roman" w:eastAsia="Times New Roman"/>
        </w:rPr>
        <w:sectPr>
          <w:footerReference w:type="default" r:id="rId12"/>
          <w:pgSz w:w="11910" w:h="16840"/>
          <w:pgMar w:top="1480" w:right="1500" w:bottom="1380" w:left="1640" w:header="0" w:footer="1189"/>
          <w:pgNumType w:start="9"/>
          <w:cols w:space="708"/>
        </w:sectPr>
      </w:pPr>
    </w:p>
    <w:p>
      <w:pPr>
        <w:pStyle w:val="BodyText"/>
        <w:spacing w:before="63"/>
      </w:pPr>
      <w:r>
        <w:rPr>
          <w:spacing w:val="-9"/>
        </w:rPr>
        <w:t xml:space="preserve">水平可高于 </w:t>
      </w:r>
      <w:r>
        <w:rPr>
          <w:rFonts w:ascii="Times New Roman" w:eastAsia="Times New Roman"/>
        </w:rPr>
        <w:t>ALT</w:t>
      </w:r>
      <w:r>
        <w:rPr>
          <w:spacing w:val="-9"/>
        </w:rPr>
        <w:t xml:space="preserve">，此时可将 </w:t>
      </w:r>
      <w:r>
        <w:rPr>
          <w:rFonts w:ascii="Times New Roman" w:eastAsia="Times New Roman"/>
        </w:rPr>
        <w:t>AST</w:t>
      </w:r>
      <w:r>
        <w:rPr>
          <w:rFonts w:ascii="Times New Roman" w:eastAsia="Times New Roman"/>
          <w:spacing w:val="-6"/>
        </w:rPr>
        <w:t xml:space="preserve"> </w:t>
      </w:r>
      <w:r>
        <w:rPr>
          <w:spacing w:val="-2"/>
        </w:rPr>
        <w:t>水平作为主要指标。</w:t>
      </w:r>
    </w:p>
    <w:p>
      <w:pPr>
        <w:pStyle w:val="BodyText"/>
        <w:spacing w:before="3"/>
        <w:ind w:left="0"/>
        <w:rPr>
          <w:sz w:val="22"/>
        </w:rPr>
      </w:pPr>
    </w:p>
    <w:p>
      <w:pPr>
        <w:pStyle w:val="Heading1"/>
        <w:spacing w:before="1"/>
      </w:pPr>
      <w:r>
        <w:rPr>
          <w:spacing w:val="-2"/>
        </w:rPr>
        <w:t>十一、干扰素</w:t>
      </w:r>
      <w:r>
        <w:rPr>
          <w:rFonts w:ascii="Century Gothic" w:eastAsia="Century Gothic" w:hAnsi="Century Gothic"/>
          <w:spacing w:val="-2"/>
        </w:rPr>
        <w:t>α</w:t>
      </w:r>
      <w:r>
        <w:rPr>
          <w:spacing w:val="-6"/>
        </w:rPr>
        <w:t>治疗</w:t>
      </w:r>
    </w:p>
    <w:p>
      <w:pPr>
        <w:pStyle w:val="BodyText"/>
        <w:spacing w:before="150" w:line="417" w:lineRule="auto"/>
        <w:ind w:right="298" w:firstLine="435"/>
        <w:jc w:val="both"/>
      </w:pPr>
      <w:r>
        <w:t>我国已批准普通干扰素</w:t>
      </w:r>
      <w:r>
        <w:rPr>
          <w:rFonts w:ascii="Symbol" w:eastAsia="Symbol" w:hAnsi="Symbol"/>
        </w:rPr>
        <w:sym w:font="Symbol" w:char="F061"/>
      </w:r>
      <w:r>
        <w:t>（</w:t>
      </w:r>
      <w:r>
        <w:rPr>
          <w:rFonts w:ascii="Times New Roman" w:eastAsia="Times New Roman" w:hAnsi="Times New Roman"/>
        </w:rPr>
        <w:t>2a</w:t>
      </w:r>
      <w:r>
        <w:t>，</w:t>
      </w:r>
      <w:r>
        <w:rPr>
          <w:rFonts w:ascii="Times New Roman" w:eastAsia="Times New Roman" w:hAnsi="Times New Roman"/>
        </w:rPr>
        <w:t>2b</w:t>
      </w:r>
      <w:r>
        <w:rPr>
          <w:rFonts w:ascii="Times New Roman" w:eastAsia="Times New Roman" w:hAnsi="Times New Roman"/>
          <w:spacing w:val="-14"/>
        </w:rPr>
        <w:t xml:space="preserve"> </w:t>
      </w:r>
      <w:r>
        <w:rPr>
          <w:spacing w:val="-13"/>
        </w:rPr>
        <w:t xml:space="preserve">和 </w:t>
      </w:r>
      <w:r>
        <w:rPr>
          <w:rFonts w:ascii="Times New Roman" w:eastAsia="Times New Roman" w:hAnsi="Times New Roman"/>
        </w:rPr>
        <w:t>1b</w:t>
      </w:r>
      <w:r>
        <w:t>）和聚乙二醇化干扰素</w:t>
      </w:r>
      <w:r>
        <w:rPr>
          <w:rFonts w:ascii="Symbol" w:eastAsia="Symbol" w:hAnsi="Symbol"/>
        </w:rPr>
        <w:sym w:font="Symbol" w:char="F061"/>
      </w:r>
      <w:r>
        <w:t>（</w:t>
      </w:r>
      <w:r>
        <w:rPr>
          <w:rFonts w:ascii="Times New Roman" w:eastAsia="Times New Roman" w:hAnsi="Times New Roman"/>
        </w:rPr>
        <w:t>2a</w:t>
      </w:r>
      <w:r>
        <w:rPr>
          <w:rFonts w:ascii="Times New Roman" w:eastAsia="Times New Roman" w:hAnsi="Times New Roman"/>
          <w:spacing w:val="-4"/>
        </w:rPr>
        <w:t xml:space="preserve"> </w:t>
      </w:r>
      <w:r>
        <w:rPr>
          <w:spacing w:val="-13"/>
        </w:rPr>
        <w:t xml:space="preserve">和 </w:t>
      </w:r>
      <w:r>
        <w:rPr>
          <w:rFonts w:ascii="Times New Roman" w:eastAsia="Times New Roman" w:hAnsi="Times New Roman"/>
        </w:rPr>
        <w:t>2b</w:t>
      </w:r>
      <w:r>
        <w:t>）用于治疗</w:t>
      </w:r>
      <w:r>
        <w:rPr>
          <w:spacing w:val="-2"/>
        </w:rPr>
        <w:t>慢性乙型肝炎。</w:t>
      </w:r>
    </w:p>
    <w:p>
      <w:pPr>
        <w:pStyle w:val="BodyText"/>
        <w:spacing w:line="415" w:lineRule="auto"/>
        <w:ind w:right="194" w:firstLine="435"/>
        <w:jc w:val="both"/>
      </w:pPr>
      <w:r>
        <w:t>荟萃分析表明，普通干扰素治疗慢性乙型肝炎患者，</w:t>
      </w:r>
      <w:r>
        <w:rPr>
          <w:rFonts w:ascii="Times New Roman" w:eastAsia="Times New Roman" w:hAnsi="Times New Roman"/>
        </w:rPr>
        <w:t xml:space="preserve">HBeAg </w:t>
      </w:r>
      <w:r>
        <w:t>血清转换率、</w:t>
      </w:r>
      <w:r>
        <w:rPr>
          <w:rFonts w:ascii="Times New Roman" w:eastAsia="Times New Roman" w:hAnsi="Times New Roman"/>
        </w:rPr>
        <w:t xml:space="preserve">HBsAg </w:t>
      </w:r>
      <w:r>
        <w:t>清除率、肝硬化发生率、</w:t>
      </w:r>
      <w:r>
        <w:rPr>
          <w:rFonts w:ascii="Times New Roman" w:eastAsia="Times New Roman" w:hAnsi="Times New Roman"/>
        </w:rPr>
        <w:t xml:space="preserve">HCC </w:t>
      </w:r>
      <w:r>
        <w:rPr>
          <w:spacing w:val="2"/>
        </w:rPr>
        <w:t xml:space="preserve">发生率均优于未经干扰素治疗者 </w:t>
      </w:r>
      <w:r>
        <w:rPr>
          <w:rFonts w:ascii="Calibri" w:eastAsia="Calibri" w:hAnsi="Calibri"/>
          <w:vertAlign w:val="superscript"/>
        </w:rPr>
        <w:t>[49]</w:t>
      </w:r>
      <w:r>
        <w:rPr>
          <w:spacing w:val="-7"/>
          <w:vertAlign w:val="baseline"/>
        </w:rPr>
        <w:t xml:space="preserve">。有关 </w:t>
      </w:r>
      <w:r>
        <w:rPr>
          <w:rFonts w:ascii="Times New Roman" w:eastAsia="Times New Roman" w:hAnsi="Times New Roman"/>
          <w:vertAlign w:val="baseline"/>
        </w:rPr>
        <w:t xml:space="preserve">HBeAg </w:t>
      </w:r>
      <w:r>
        <w:rPr>
          <w:spacing w:val="-5"/>
          <w:vertAlign w:val="baseline"/>
        </w:rPr>
        <w:t xml:space="preserve">阴性患者的 </w:t>
      </w:r>
      <w:r>
        <w:rPr>
          <w:rFonts w:ascii="Times New Roman" w:eastAsia="Times New Roman" w:hAnsi="Times New Roman"/>
          <w:vertAlign w:val="baseline"/>
        </w:rPr>
        <w:t>4</w:t>
      </w:r>
      <w:r>
        <w:rPr>
          <w:spacing w:val="-11"/>
          <w:vertAlign w:val="baseline"/>
        </w:rPr>
        <w:t xml:space="preserve">项随机对照试验表明，治疗结束时应答率为 </w:t>
      </w:r>
      <w:r>
        <w:rPr>
          <w:rFonts w:ascii="Times New Roman" w:eastAsia="Times New Roman" w:hAnsi="Times New Roman"/>
          <w:vertAlign w:val="baseline"/>
        </w:rPr>
        <w:t>38%~90%</w:t>
      </w:r>
      <w:r>
        <w:rPr>
          <w:spacing w:val="-3"/>
          <w:vertAlign w:val="baseline"/>
        </w:rPr>
        <w:t xml:space="preserve">， 但持久应答率仅为 </w:t>
      </w:r>
      <w:r>
        <w:rPr>
          <w:rFonts w:ascii="Times New Roman" w:eastAsia="Times New Roman" w:hAnsi="Times New Roman"/>
          <w:vertAlign w:val="baseline"/>
        </w:rPr>
        <w:t>10%~47%</w:t>
      </w:r>
      <w:r>
        <w:rPr>
          <w:rFonts w:ascii="Times New Roman" w:eastAsia="Times New Roman" w:hAnsi="Times New Roman"/>
          <w:spacing w:val="7"/>
          <w:vertAlign w:val="baseline"/>
        </w:rPr>
        <w:t xml:space="preserve"> (</w:t>
      </w:r>
      <w:r>
        <w:rPr>
          <w:vertAlign w:val="baseline"/>
        </w:rPr>
        <w:t xml:space="preserve">平均 </w:t>
      </w:r>
      <w:r>
        <w:rPr>
          <w:rFonts w:ascii="Times New Roman" w:eastAsia="Times New Roman" w:hAnsi="Times New Roman"/>
          <w:spacing w:val="-2"/>
          <w:vertAlign w:val="baseline"/>
        </w:rPr>
        <w:t>24%)</w:t>
      </w:r>
      <w:r>
        <w:rPr>
          <w:rFonts w:ascii="Times New Roman" w:eastAsia="Times New Roman" w:hAnsi="Times New Roman"/>
          <w:spacing w:val="-4"/>
          <w:vertAlign w:val="baseline"/>
        </w:rPr>
        <w:t xml:space="preserve"> </w:t>
      </w:r>
      <w:r>
        <w:rPr>
          <w:rFonts w:ascii="Calibri" w:eastAsia="Calibri" w:hAnsi="Calibri"/>
          <w:spacing w:val="-2"/>
          <w:position w:val="6"/>
          <w:sz w:val="14"/>
          <w:vertAlign w:val="baseline"/>
        </w:rPr>
        <w:t>[30,</w:t>
      </w:r>
      <w:r>
        <w:rPr>
          <w:rFonts w:ascii="Calibri" w:eastAsia="Calibri" w:hAnsi="Calibri"/>
          <w:spacing w:val="-1"/>
          <w:position w:val="6"/>
          <w:sz w:val="14"/>
          <w:vertAlign w:val="baseline"/>
        </w:rPr>
        <w:t xml:space="preserve"> </w:t>
      </w:r>
      <w:r>
        <w:rPr>
          <w:rFonts w:ascii="Calibri" w:eastAsia="Calibri" w:hAnsi="Calibri"/>
          <w:spacing w:val="-2"/>
          <w:position w:val="6"/>
          <w:sz w:val="14"/>
          <w:vertAlign w:val="baseline"/>
        </w:rPr>
        <w:t>31]</w:t>
      </w:r>
      <w:r>
        <w:rPr>
          <w:rFonts w:ascii="Times New Roman" w:eastAsia="Times New Roman" w:hAnsi="Times New Roman"/>
          <w:spacing w:val="-2"/>
          <w:vertAlign w:val="baseline"/>
        </w:rPr>
        <w:t>(</w:t>
      </w:r>
      <w:r>
        <w:rPr>
          <w:spacing w:val="-2"/>
          <w:sz w:val="22"/>
          <w:vertAlign w:val="baseline"/>
        </w:rPr>
        <w:t>Ⅰ</w:t>
      </w:r>
      <w:r>
        <w:rPr>
          <w:rFonts w:ascii="Times New Roman" w:eastAsia="Times New Roman" w:hAnsi="Times New Roman"/>
          <w:spacing w:val="-2"/>
          <w:vertAlign w:val="baseline"/>
        </w:rPr>
        <w:t>)</w:t>
      </w:r>
      <w:r>
        <w:rPr>
          <w:spacing w:val="-8"/>
          <w:vertAlign w:val="baseline"/>
        </w:rPr>
        <w:t xml:space="preserve">。有研究认为，普通 </w:t>
      </w:r>
      <w:r>
        <w:rPr>
          <w:rFonts w:ascii="Times New Roman" w:eastAsia="Times New Roman" w:hAnsi="Times New Roman"/>
          <w:spacing w:val="-2"/>
          <w:vertAlign w:val="baseline"/>
        </w:rPr>
        <w:t>IFN-</w:t>
      </w:r>
      <w:r>
        <w:rPr>
          <w:rFonts w:ascii="Symbol" w:eastAsia="Symbol" w:hAnsi="Symbol"/>
          <w:spacing w:val="-2"/>
          <w:vertAlign w:val="baseline"/>
        </w:rPr>
        <w:sym w:font="Symbol" w:char="F061"/>
      </w:r>
      <w:r>
        <w:rPr>
          <w:rFonts w:ascii="Times New Roman" w:eastAsia="Times New Roman" w:hAnsi="Times New Roman"/>
          <w:spacing w:val="51"/>
          <w:vertAlign w:val="baseline"/>
        </w:rPr>
        <w:t xml:space="preserve"> </w:t>
      </w:r>
      <w:r>
        <w:rPr>
          <w:spacing w:val="-13"/>
          <w:vertAlign w:val="baseline"/>
        </w:rPr>
        <w:t xml:space="preserve">疗程至少 </w:t>
      </w:r>
      <w:r>
        <w:rPr>
          <w:rFonts w:ascii="Times New Roman" w:eastAsia="Times New Roman" w:hAnsi="Times New Roman"/>
          <w:spacing w:val="-2"/>
          <w:vertAlign w:val="baseline"/>
        </w:rPr>
        <w:t>1</w:t>
      </w:r>
      <w:r>
        <w:rPr>
          <w:rFonts w:ascii="Times New Roman" w:eastAsia="Times New Roman" w:hAnsi="Times New Roman"/>
          <w:spacing w:val="-1"/>
          <w:vertAlign w:val="baseline"/>
        </w:rPr>
        <w:t xml:space="preserve"> </w:t>
      </w:r>
      <w:r>
        <w:rPr>
          <w:spacing w:val="-2"/>
          <w:vertAlign w:val="baseline"/>
        </w:rPr>
        <w:t>年才能获得较好的疗效</w:t>
      </w:r>
      <w:r>
        <w:rPr>
          <w:rFonts w:ascii="Calibri" w:eastAsia="Calibri" w:hAnsi="Calibri"/>
          <w:spacing w:val="-2"/>
          <w:vertAlign w:val="superscript"/>
        </w:rPr>
        <w:t>[29,</w:t>
      </w:r>
      <w:r>
        <w:rPr>
          <w:rFonts w:ascii="Calibri" w:eastAsia="Calibri" w:hAnsi="Calibri"/>
          <w:spacing w:val="-16"/>
          <w:vertAlign w:val="baseline"/>
        </w:rPr>
        <w:t xml:space="preserve"> </w:t>
      </w:r>
      <w:r>
        <w:rPr>
          <w:rFonts w:ascii="Calibri" w:eastAsia="Calibri" w:hAnsi="Calibri"/>
          <w:spacing w:val="-2"/>
          <w:vertAlign w:val="superscript"/>
        </w:rPr>
        <w:t>33,</w:t>
      </w:r>
      <w:r>
        <w:rPr>
          <w:rFonts w:ascii="Calibri" w:eastAsia="Calibri" w:hAnsi="Calibri"/>
          <w:spacing w:val="-16"/>
          <w:vertAlign w:val="baseline"/>
        </w:rPr>
        <w:t xml:space="preserve"> </w:t>
      </w:r>
      <w:r>
        <w:rPr>
          <w:rFonts w:ascii="Calibri" w:eastAsia="Calibri" w:hAnsi="Calibri"/>
          <w:spacing w:val="15"/>
          <w:vertAlign w:val="superscript"/>
        </w:rPr>
        <w:t>34]</w:t>
      </w:r>
      <w:r>
        <w:rPr>
          <w:spacing w:val="15"/>
          <w:vertAlign w:val="baseline"/>
        </w:rPr>
        <w:t>（</w:t>
      </w:r>
      <w:r>
        <w:rPr>
          <w:spacing w:val="15"/>
          <w:w w:val="95"/>
          <w:sz w:val="22"/>
          <w:vertAlign w:val="baseline"/>
        </w:rPr>
        <w:t>Ⅱ</w:t>
      </w:r>
      <w:r>
        <w:rPr>
          <w:spacing w:val="-90"/>
          <w:vertAlign w:val="baseline"/>
        </w:rPr>
        <w:t>）</w:t>
      </w:r>
      <w:r>
        <w:rPr>
          <w:spacing w:val="-10"/>
          <w:vertAlign w:val="baseline"/>
        </w:rPr>
        <w:t>。</w:t>
      </w:r>
    </w:p>
    <w:p>
      <w:pPr>
        <w:pStyle w:val="BodyText"/>
        <w:spacing w:line="417" w:lineRule="auto"/>
        <w:ind w:right="298" w:firstLine="435"/>
        <w:jc w:val="both"/>
      </w:pPr>
      <w:r>
        <w:t>国际多中心随机对照临床试验显示，</w:t>
      </w:r>
      <w:r>
        <w:rPr>
          <w:rFonts w:ascii="Times New Roman" w:eastAsia="Times New Roman" w:hAnsi="Times New Roman"/>
        </w:rPr>
        <w:t xml:space="preserve">HBeAg </w:t>
      </w:r>
      <w:r>
        <w:t>阳性的慢性乙型肝炎患者，聚乙二醇化干</w:t>
      </w:r>
      <w:r>
        <w:rPr>
          <w:spacing w:val="-4"/>
        </w:rPr>
        <w:t>扰素</w:t>
      </w:r>
      <w:r>
        <w:rPr>
          <w:rFonts w:ascii="Symbol" w:eastAsia="Symbol" w:hAnsi="Symbol"/>
          <w:spacing w:val="-4"/>
        </w:rPr>
        <w:sym w:font="Symbol" w:char="F061"/>
      </w:r>
      <w:r>
        <w:rPr>
          <w:rFonts w:ascii="Times New Roman" w:eastAsia="Times New Roman" w:hAnsi="Times New Roman"/>
          <w:spacing w:val="-4"/>
        </w:rPr>
        <w:t>-2a</w:t>
      </w:r>
      <w:r>
        <w:rPr>
          <w:spacing w:val="-4"/>
        </w:rPr>
        <w:t>（</w:t>
      </w:r>
      <w:r>
        <w:rPr>
          <w:rFonts w:ascii="Times New Roman" w:eastAsia="Times New Roman" w:hAnsi="Times New Roman"/>
          <w:spacing w:val="-4"/>
        </w:rPr>
        <w:t>PegIFN-</w:t>
      </w:r>
      <w:r>
        <w:rPr>
          <w:rFonts w:ascii="Symbol" w:eastAsia="Symbol" w:hAnsi="Symbol"/>
          <w:spacing w:val="-4"/>
        </w:rPr>
        <w:sym w:font="Symbol" w:char="F061"/>
      </w:r>
      <w:r>
        <w:rPr>
          <w:rFonts w:ascii="Times New Roman" w:eastAsia="Times New Roman" w:hAnsi="Times New Roman"/>
          <w:spacing w:val="-4"/>
        </w:rPr>
        <w:t>2a</w:t>
      </w:r>
      <w:r>
        <w:rPr>
          <w:spacing w:val="-4"/>
        </w:rPr>
        <w:t>）治疗</w:t>
      </w:r>
      <w:r>
        <w:rPr>
          <w:rFonts w:ascii="Times New Roman" w:eastAsia="Times New Roman" w:hAnsi="Times New Roman"/>
          <w:spacing w:val="-4"/>
        </w:rPr>
        <w:t>(87%</w:t>
      </w:r>
      <w:r>
        <w:rPr>
          <w:spacing w:val="-4"/>
        </w:rPr>
        <w:t>为亚洲人</w:t>
      </w:r>
      <w:r>
        <w:rPr>
          <w:rFonts w:ascii="Times New Roman" w:eastAsia="Times New Roman" w:hAnsi="Times New Roman"/>
          <w:spacing w:val="-7"/>
        </w:rPr>
        <w:t xml:space="preserve">) </w:t>
      </w:r>
      <w:r>
        <w:rPr>
          <w:rFonts w:ascii="Times New Roman" w:eastAsia="Times New Roman" w:hAnsi="Times New Roman"/>
          <w:spacing w:val="-4"/>
        </w:rPr>
        <w:t>48</w:t>
      </w:r>
      <w:r>
        <w:rPr>
          <w:rFonts w:ascii="Times New Roman" w:eastAsia="Times New Roman" w:hAnsi="Times New Roman"/>
          <w:spacing w:val="5"/>
        </w:rPr>
        <w:t xml:space="preserve"> </w:t>
      </w:r>
      <w:r>
        <w:rPr>
          <w:spacing w:val="-7"/>
        </w:rPr>
        <w:t xml:space="preserve">周，停药随访 </w:t>
      </w:r>
      <w:r>
        <w:rPr>
          <w:rFonts w:ascii="Times New Roman" w:eastAsia="Times New Roman" w:hAnsi="Times New Roman"/>
          <w:spacing w:val="-4"/>
        </w:rPr>
        <w:t>24</w:t>
      </w:r>
      <w:r>
        <w:rPr>
          <w:rFonts w:ascii="Times New Roman" w:eastAsia="Times New Roman" w:hAnsi="Times New Roman"/>
          <w:spacing w:val="15"/>
        </w:rPr>
        <w:t xml:space="preserve"> </w:t>
      </w:r>
      <w:r>
        <w:rPr>
          <w:spacing w:val="-11"/>
        </w:rPr>
        <w:t xml:space="preserve">周时 </w:t>
      </w:r>
      <w:r>
        <w:rPr>
          <w:rFonts w:ascii="Times New Roman" w:eastAsia="Times New Roman" w:hAnsi="Times New Roman"/>
          <w:spacing w:val="-4"/>
        </w:rPr>
        <w:t>HBeAg</w:t>
      </w:r>
      <w:r>
        <w:rPr>
          <w:rFonts w:ascii="Times New Roman" w:eastAsia="Times New Roman" w:hAnsi="Times New Roman"/>
          <w:spacing w:val="13"/>
        </w:rPr>
        <w:t xml:space="preserve"> </w:t>
      </w:r>
      <w:r>
        <w:rPr>
          <w:spacing w:val="-4"/>
        </w:rPr>
        <w:t>血清学转换率</w:t>
      </w:r>
      <w:r>
        <w:rPr>
          <w:spacing w:val="-14"/>
        </w:rPr>
        <w:t xml:space="preserve">为 </w:t>
      </w:r>
      <w:r>
        <w:rPr>
          <w:rFonts w:ascii="Times New Roman" w:eastAsia="Times New Roman" w:hAnsi="Times New Roman"/>
        </w:rPr>
        <w:t>32%</w:t>
      </w:r>
      <w:r>
        <w:rPr>
          <w:rFonts w:ascii="Calibri" w:eastAsia="Calibri" w:hAnsi="Calibri"/>
          <w:position w:val="6"/>
          <w:sz w:val="14"/>
        </w:rPr>
        <w:t>[36, 37]</w:t>
      </w:r>
      <w:r>
        <w:rPr>
          <w:spacing w:val="-5"/>
        </w:rPr>
        <w:t xml:space="preserve">；停药随访 </w:t>
      </w:r>
      <w:r>
        <w:rPr>
          <w:rFonts w:ascii="Times New Roman" w:eastAsia="Times New Roman" w:hAnsi="Times New Roman"/>
        </w:rPr>
        <w:t>48</w:t>
      </w:r>
      <w:r>
        <w:rPr>
          <w:rFonts w:ascii="Times New Roman" w:eastAsia="Times New Roman" w:hAnsi="Times New Roman"/>
          <w:spacing w:val="16"/>
        </w:rPr>
        <w:t xml:space="preserve"> </w:t>
      </w:r>
      <w:r>
        <w:rPr>
          <w:spacing w:val="-9"/>
        </w:rPr>
        <w:t xml:space="preserve">周时 </w:t>
      </w:r>
      <w:r>
        <w:rPr>
          <w:rFonts w:ascii="Times New Roman" w:eastAsia="Times New Roman" w:hAnsi="Times New Roman"/>
        </w:rPr>
        <w:t>HBeAg</w:t>
      </w:r>
      <w:r>
        <w:rPr>
          <w:rFonts w:ascii="Times New Roman" w:eastAsia="Times New Roman" w:hAnsi="Times New Roman"/>
          <w:spacing w:val="15"/>
        </w:rPr>
        <w:t xml:space="preserve"> </w:t>
      </w:r>
      <w:r>
        <w:rPr>
          <w:spacing w:val="-3"/>
        </w:rPr>
        <w:t xml:space="preserve">血清学转换率可达 </w:t>
      </w:r>
      <w:r>
        <w:rPr>
          <w:rFonts w:ascii="Times New Roman" w:eastAsia="Times New Roman" w:hAnsi="Times New Roman"/>
        </w:rPr>
        <w:t>43%</w:t>
      </w:r>
      <w:r>
        <w:rPr>
          <w:rFonts w:ascii="Times New Roman" w:eastAsia="Times New Roman" w:hAnsi="Times New Roman"/>
          <w:spacing w:val="23"/>
        </w:rPr>
        <w:t xml:space="preserve"> </w:t>
      </w:r>
      <w:r>
        <w:rPr>
          <w:rFonts w:ascii="Calibri" w:eastAsia="Calibri" w:hAnsi="Calibri"/>
          <w:position w:val="6"/>
          <w:sz w:val="14"/>
        </w:rPr>
        <w:t>[50]</w:t>
      </w:r>
      <w:r>
        <w:t xml:space="preserve">。国外研究显示，对于 </w:t>
      </w:r>
      <w:r>
        <w:rPr>
          <w:rFonts w:ascii="Times New Roman" w:eastAsia="Times New Roman" w:hAnsi="Times New Roman"/>
        </w:rPr>
        <w:t xml:space="preserve">HBeAg </w:t>
      </w:r>
      <w:r>
        <w:t>阳性的慢性乙型肝炎，应用聚乙二醇化干扰素</w:t>
      </w:r>
      <w:r>
        <w:rPr>
          <w:rFonts w:ascii="Symbol" w:eastAsia="Symbol" w:hAnsi="Symbol"/>
        </w:rPr>
        <w:sym w:font="Symbol" w:char="F061"/>
      </w:r>
      <w:r>
        <w:rPr>
          <w:rFonts w:ascii="Times New Roman" w:eastAsia="Times New Roman" w:hAnsi="Times New Roman"/>
        </w:rPr>
        <w:t>-2b</w:t>
      </w:r>
      <w:r>
        <w:t>（</w:t>
      </w:r>
      <w:r>
        <w:rPr>
          <w:rFonts w:ascii="Times New Roman" w:eastAsia="Times New Roman" w:hAnsi="Times New Roman"/>
        </w:rPr>
        <w:t>PegIFN-</w:t>
      </w:r>
      <w:r>
        <w:rPr>
          <w:rFonts w:ascii="Symbol" w:eastAsia="Symbol" w:hAnsi="Symbol"/>
        </w:rPr>
        <w:sym w:font="Symbol" w:char="F061"/>
      </w:r>
      <w:r>
        <w:rPr>
          <w:rFonts w:ascii="Times New Roman" w:eastAsia="Times New Roman" w:hAnsi="Times New Roman"/>
        </w:rPr>
        <w:t>2b</w:t>
      </w:r>
      <w:r>
        <w:t xml:space="preserve">）也可取得类似的 </w:t>
      </w:r>
      <w:r>
        <w:rPr>
          <w:rFonts w:ascii="Times New Roman" w:eastAsia="Times New Roman" w:hAnsi="Times New Roman"/>
        </w:rPr>
        <w:t xml:space="preserve">HBVDNA </w:t>
      </w:r>
      <w:r>
        <w:t>抑制、</w:t>
      </w:r>
      <w:r>
        <w:rPr>
          <w:rFonts w:ascii="Times New Roman" w:eastAsia="Times New Roman" w:hAnsi="Times New Roman"/>
        </w:rPr>
        <w:t xml:space="preserve">HBeAg </w:t>
      </w:r>
      <w:r>
        <w:t>血清学转换、</w:t>
      </w:r>
      <w:r>
        <w:rPr>
          <w:rFonts w:ascii="Times New Roman" w:eastAsia="Times New Roman" w:hAnsi="Times New Roman"/>
        </w:rPr>
        <w:t xml:space="preserve">HBsAg </w:t>
      </w:r>
      <w:r>
        <w:t>消失率</w:t>
      </w:r>
      <w:r>
        <w:rPr>
          <w:rFonts w:ascii="Calibri" w:eastAsia="Calibri" w:hAnsi="Calibri"/>
          <w:vertAlign w:val="superscript"/>
        </w:rPr>
        <w:t>[51-53]</w:t>
      </w:r>
      <w:r>
        <w:rPr>
          <w:rFonts w:ascii="Calibri" w:eastAsia="Calibri" w:hAnsi="Calibri"/>
          <w:spacing w:val="40"/>
          <w:vertAlign w:val="baseline"/>
        </w:rPr>
        <w:t xml:space="preserve"> </w:t>
      </w:r>
      <w:r>
        <w:rPr>
          <w:vertAlign w:val="baseline"/>
        </w:rPr>
        <w:t>。</w:t>
      </w:r>
    </w:p>
    <w:p>
      <w:pPr>
        <w:pStyle w:val="BodyText"/>
        <w:spacing w:line="415" w:lineRule="auto"/>
        <w:ind w:right="297" w:firstLine="435"/>
        <w:jc w:val="both"/>
      </w:pPr>
      <w:r>
        <w:rPr>
          <w:spacing w:val="-14"/>
        </w:rPr>
        <w:t xml:space="preserve">对 </w:t>
      </w:r>
      <w:r>
        <w:rPr>
          <w:rFonts w:ascii="Times New Roman" w:eastAsia="Times New Roman" w:hAnsi="Times New Roman"/>
        </w:rPr>
        <w:t>HBeAg</w:t>
      </w:r>
      <w:r>
        <w:rPr>
          <w:rFonts w:ascii="Times New Roman" w:eastAsia="Times New Roman" w:hAnsi="Times New Roman"/>
          <w:spacing w:val="-13"/>
        </w:rPr>
        <w:t xml:space="preserve"> </w:t>
      </w:r>
      <w:r>
        <w:rPr>
          <w:spacing w:val="-3"/>
        </w:rPr>
        <w:t xml:space="preserve">阴性慢性乙型肝炎患者 </w:t>
      </w:r>
      <w:r>
        <w:rPr>
          <w:rFonts w:ascii="Times New Roman" w:eastAsia="Times New Roman" w:hAnsi="Times New Roman"/>
        </w:rPr>
        <w:t>(60%</w:t>
      </w:r>
      <w:r>
        <w:t>为亚洲人</w:t>
      </w:r>
      <w:r>
        <w:rPr>
          <w:rFonts w:ascii="Times New Roman" w:eastAsia="Times New Roman" w:hAnsi="Times New Roman"/>
          <w:spacing w:val="30"/>
        </w:rPr>
        <w:t xml:space="preserve">) </w:t>
      </w:r>
      <w:r>
        <w:rPr>
          <w:spacing w:val="-14"/>
        </w:rPr>
        <w:t xml:space="preserve">用 </w:t>
      </w:r>
      <w:r>
        <w:rPr>
          <w:rFonts w:ascii="Times New Roman" w:eastAsia="Times New Roman" w:hAnsi="Times New Roman"/>
        </w:rPr>
        <w:t>PegIFN-</w:t>
      </w:r>
      <w:r>
        <w:rPr>
          <w:rFonts w:ascii="Symbol" w:eastAsia="Symbol" w:hAnsi="Symbol"/>
        </w:rPr>
        <w:sym w:font="Symbol" w:char="F061"/>
      </w:r>
      <w:r>
        <w:rPr>
          <w:rFonts w:ascii="Times New Roman" w:eastAsia="Times New Roman" w:hAnsi="Times New Roman"/>
        </w:rPr>
        <w:t xml:space="preserve">2a </w:t>
      </w:r>
      <w:r>
        <w:rPr>
          <w:spacing w:val="-9"/>
        </w:rPr>
        <w:t xml:space="preserve">治疗 </w:t>
      </w:r>
      <w:r>
        <w:rPr>
          <w:rFonts w:ascii="Times New Roman" w:eastAsia="Times New Roman" w:hAnsi="Times New Roman"/>
        </w:rPr>
        <w:t xml:space="preserve">48 </w:t>
      </w:r>
      <w:r>
        <w:t>周，停药后</w:t>
      </w:r>
      <w:r>
        <w:rPr>
          <w:spacing w:val="-10"/>
        </w:rPr>
        <w:t xml:space="preserve">随访 </w:t>
      </w:r>
      <w:r>
        <w:rPr>
          <w:rFonts w:ascii="Times New Roman" w:eastAsia="Times New Roman" w:hAnsi="Times New Roman"/>
          <w:spacing w:val="-2"/>
        </w:rPr>
        <w:t>24</w:t>
      </w:r>
      <w:r>
        <w:rPr>
          <w:rFonts w:ascii="Times New Roman" w:eastAsia="Times New Roman" w:hAnsi="Times New Roman"/>
          <w:spacing w:val="-11"/>
        </w:rPr>
        <w:t xml:space="preserve"> </w:t>
      </w:r>
      <w:r>
        <w:rPr>
          <w:spacing w:val="-10"/>
        </w:rPr>
        <w:t xml:space="preserve">周时 </w:t>
      </w:r>
      <w:r>
        <w:rPr>
          <w:rFonts w:ascii="Times New Roman" w:eastAsia="Times New Roman" w:hAnsi="Times New Roman"/>
          <w:spacing w:val="-2"/>
        </w:rPr>
        <w:t>HBV</w:t>
      </w:r>
      <w:r>
        <w:rPr>
          <w:rFonts w:ascii="Times New Roman" w:eastAsia="Times New Roman" w:hAnsi="Times New Roman"/>
          <w:spacing w:val="-11"/>
        </w:rPr>
        <w:t xml:space="preserve"> </w:t>
      </w:r>
      <w:r>
        <w:rPr>
          <w:rFonts w:ascii="Times New Roman" w:eastAsia="Times New Roman" w:hAnsi="Times New Roman"/>
          <w:spacing w:val="-2"/>
        </w:rPr>
        <w:t>DNA</w:t>
      </w:r>
      <w:r>
        <w:rPr>
          <w:rFonts w:ascii="Times New Roman" w:eastAsia="Times New Roman" w:hAnsi="Times New Roman"/>
          <w:spacing w:val="-11"/>
        </w:rPr>
        <w:t xml:space="preserve"> </w:t>
      </w:r>
      <w:r>
        <w:rPr>
          <w:rFonts w:ascii="Times New Roman" w:eastAsia="Times New Roman" w:hAnsi="Times New Roman"/>
          <w:spacing w:val="-2"/>
        </w:rPr>
        <w:t>&lt;2</w:t>
      </w:r>
      <w:r>
        <w:rPr>
          <w:rFonts w:ascii="Symbol" w:eastAsia="Symbol" w:hAnsi="Symbol"/>
          <w:spacing w:val="-2"/>
        </w:rPr>
        <w:sym w:font="Symbol" w:char="F0B4"/>
      </w:r>
      <w:r>
        <w:rPr>
          <w:rFonts w:ascii="Times New Roman" w:eastAsia="Times New Roman" w:hAnsi="Times New Roman"/>
          <w:spacing w:val="-2"/>
        </w:rPr>
        <w:t>10</w:t>
      </w:r>
      <w:r>
        <w:rPr>
          <w:rFonts w:ascii="Times New Roman" w:eastAsia="Times New Roman" w:hAnsi="Times New Roman"/>
          <w:spacing w:val="-2"/>
          <w:position w:val="6"/>
          <w:sz w:val="14"/>
        </w:rPr>
        <w:t>4</w:t>
      </w:r>
      <w:r>
        <w:rPr>
          <w:rFonts w:ascii="Times New Roman" w:eastAsia="Times New Roman" w:hAnsi="Times New Roman"/>
          <w:spacing w:val="-7"/>
          <w:position w:val="6"/>
          <w:sz w:val="14"/>
        </w:rPr>
        <w:t xml:space="preserve"> </w:t>
      </w:r>
      <w:r>
        <w:rPr>
          <w:spacing w:val="-2"/>
        </w:rPr>
        <w:t>拷贝</w:t>
      </w:r>
      <w:r>
        <w:rPr>
          <w:rFonts w:ascii="Times New Roman" w:eastAsia="Times New Roman" w:hAnsi="Times New Roman"/>
          <w:spacing w:val="-2"/>
        </w:rPr>
        <w:t>/mL</w:t>
      </w:r>
      <w:r>
        <w:rPr>
          <w:spacing w:val="-2"/>
        </w:rPr>
        <w:t>（</w:t>
      </w:r>
      <w:r>
        <w:rPr>
          <w:spacing w:val="-8"/>
        </w:rPr>
        <w:t xml:space="preserve">相当于 </w:t>
      </w:r>
      <w:r>
        <w:rPr>
          <w:rFonts w:ascii="Times New Roman" w:eastAsia="Times New Roman" w:hAnsi="Times New Roman"/>
          <w:spacing w:val="-2"/>
        </w:rPr>
        <w:t>2000</w:t>
      </w:r>
      <w:r>
        <w:rPr>
          <w:rFonts w:ascii="Times New Roman" w:eastAsia="Times New Roman" w:hAnsi="Times New Roman"/>
          <w:spacing w:val="-11"/>
        </w:rPr>
        <w:t xml:space="preserve"> </w:t>
      </w:r>
      <w:r>
        <w:rPr>
          <w:rFonts w:ascii="Times New Roman" w:eastAsia="Times New Roman" w:hAnsi="Times New Roman"/>
          <w:spacing w:val="-2"/>
        </w:rPr>
        <w:t>IU/mL</w:t>
      </w:r>
      <w:r>
        <w:rPr>
          <w:spacing w:val="-2"/>
        </w:rPr>
        <w:t>）</w:t>
      </w:r>
      <w:r>
        <w:rPr>
          <w:spacing w:val="-7"/>
        </w:rPr>
        <w:t xml:space="preserve">的患者为 </w:t>
      </w:r>
      <w:r>
        <w:rPr>
          <w:rFonts w:ascii="Times New Roman" w:eastAsia="Times New Roman" w:hAnsi="Times New Roman"/>
          <w:spacing w:val="-2"/>
        </w:rPr>
        <w:t>43%</w:t>
      </w:r>
      <w:r>
        <w:rPr>
          <w:rFonts w:ascii="Calibri" w:eastAsia="Calibri" w:hAnsi="Calibri"/>
          <w:spacing w:val="-2"/>
          <w:position w:val="6"/>
          <w:sz w:val="14"/>
        </w:rPr>
        <w:t>[38]</w:t>
      </w:r>
      <w:r>
        <w:rPr>
          <w:spacing w:val="-2"/>
        </w:rPr>
        <w:t>，停药后随</w:t>
      </w:r>
      <w:r>
        <w:rPr>
          <w:spacing w:val="-27"/>
        </w:rPr>
        <w:t xml:space="preserve">访 </w:t>
      </w:r>
      <w:r>
        <w:rPr>
          <w:rFonts w:ascii="Times New Roman" w:eastAsia="Times New Roman" w:hAnsi="Times New Roman"/>
          <w:spacing w:val="-2"/>
        </w:rPr>
        <w:t>48</w:t>
      </w:r>
      <w:r>
        <w:rPr>
          <w:rFonts w:ascii="Times New Roman" w:eastAsia="Times New Roman" w:hAnsi="Times New Roman"/>
          <w:spacing w:val="2"/>
        </w:rPr>
        <w:t xml:space="preserve"> </w:t>
      </w:r>
      <w:r>
        <w:rPr>
          <w:spacing w:val="-15"/>
        </w:rPr>
        <w:t xml:space="preserve">周时为 </w:t>
      </w:r>
      <w:r>
        <w:rPr>
          <w:rFonts w:ascii="Times New Roman" w:eastAsia="Times New Roman" w:hAnsi="Times New Roman"/>
          <w:spacing w:val="-2"/>
        </w:rPr>
        <w:t>42%</w:t>
      </w:r>
      <w:r>
        <w:rPr>
          <w:spacing w:val="-2"/>
        </w:rPr>
        <w:t>；</w:t>
      </w:r>
      <w:r>
        <w:rPr>
          <w:rFonts w:ascii="Times New Roman" w:eastAsia="Times New Roman" w:hAnsi="Times New Roman"/>
          <w:spacing w:val="-2"/>
        </w:rPr>
        <w:t>HBsAg</w:t>
      </w:r>
      <w:r>
        <w:rPr>
          <w:rFonts w:ascii="Times New Roman" w:eastAsia="Times New Roman" w:hAnsi="Times New Roman"/>
          <w:spacing w:val="2"/>
        </w:rPr>
        <w:t xml:space="preserve"> </w:t>
      </w:r>
      <w:r>
        <w:rPr>
          <w:spacing w:val="-8"/>
        </w:rPr>
        <w:t xml:space="preserve">消失率在停药随访 </w:t>
      </w:r>
      <w:r>
        <w:rPr>
          <w:rFonts w:ascii="Times New Roman" w:eastAsia="Times New Roman" w:hAnsi="Times New Roman"/>
          <w:spacing w:val="-2"/>
        </w:rPr>
        <w:t>24</w:t>
      </w:r>
      <w:r>
        <w:rPr>
          <w:rFonts w:ascii="Times New Roman" w:eastAsia="Times New Roman" w:hAnsi="Times New Roman"/>
          <w:spacing w:val="2"/>
        </w:rPr>
        <w:t xml:space="preserve"> </w:t>
      </w:r>
      <w:r>
        <w:rPr>
          <w:spacing w:val="-15"/>
        </w:rPr>
        <w:t xml:space="preserve">周时为 </w:t>
      </w:r>
      <w:r>
        <w:rPr>
          <w:rFonts w:ascii="Times New Roman" w:eastAsia="Times New Roman" w:hAnsi="Times New Roman"/>
          <w:spacing w:val="-2"/>
        </w:rPr>
        <w:t>3</w:t>
      </w:r>
      <w:r>
        <w:rPr>
          <w:spacing w:val="-9"/>
        </w:rPr>
        <w:t xml:space="preserve">％，停药随访至 </w:t>
      </w:r>
      <w:r>
        <w:rPr>
          <w:rFonts w:ascii="Times New Roman" w:eastAsia="Times New Roman" w:hAnsi="Times New Roman"/>
          <w:spacing w:val="-2"/>
        </w:rPr>
        <w:t>3</w:t>
      </w:r>
      <w:r>
        <w:rPr>
          <w:rFonts w:ascii="Times New Roman" w:eastAsia="Times New Roman" w:hAnsi="Times New Roman"/>
          <w:spacing w:val="2"/>
        </w:rPr>
        <w:t xml:space="preserve"> </w:t>
      </w:r>
      <w:r>
        <w:rPr>
          <w:spacing w:val="-10"/>
        </w:rPr>
        <w:t xml:space="preserve">年时增加至 </w:t>
      </w:r>
      <w:r>
        <w:rPr>
          <w:rFonts w:ascii="Times New Roman" w:eastAsia="Times New Roman" w:hAnsi="Times New Roman"/>
          <w:spacing w:val="-5"/>
        </w:rPr>
        <w:t>8</w:t>
      </w:r>
      <w:r>
        <w:rPr>
          <w:spacing w:val="-5"/>
        </w:rPr>
        <w:t>％</w:t>
      </w:r>
    </w:p>
    <w:p>
      <w:pPr>
        <w:spacing w:before="0"/>
        <w:ind w:left="160" w:right="0" w:firstLine="0"/>
        <w:jc w:val="left"/>
        <w:rPr>
          <w:sz w:val="21"/>
        </w:rPr>
      </w:pPr>
      <w:r>
        <w:rPr>
          <w:rFonts w:ascii="Calibri" w:eastAsia="Calibri"/>
          <w:spacing w:val="-2"/>
          <w:sz w:val="14"/>
        </w:rPr>
        <w:t>[54]</w:t>
      </w:r>
      <w:r>
        <w:rPr>
          <w:spacing w:val="-12"/>
          <w:position w:val="-5"/>
          <w:sz w:val="21"/>
        </w:rPr>
        <w:t>。</w:t>
      </w:r>
    </w:p>
    <w:p>
      <w:pPr>
        <w:pStyle w:val="BodyText"/>
        <w:spacing w:before="9"/>
        <w:ind w:left="0"/>
        <w:rPr>
          <w:sz w:val="14"/>
        </w:rPr>
      </w:pPr>
    </w:p>
    <w:p>
      <w:pPr>
        <w:pStyle w:val="BodyText"/>
      </w:pPr>
      <w:r>
        <w:rPr>
          <w:rFonts w:ascii="Times New Roman" w:eastAsia="Times New Roman"/>
        </w:rPr>
        <w:t>(</w:t>
      </w:r>
      <w:r>
        <w:t>一</w:t>
      </w:r>
      <w:r>
        <w:rPr>
          <w:rFonts w:ascii="Times New Roman" w:eastAsia="Times New Roman"/>
          <w:spacing w:val="26"/>
        </w:rPr>
        <w:t xml:space="preserve">) </w:t>
      </w:r>
      <w:r>
        <w:rPr>
          <w:spacing w:val="-1"/>
        </w:rPr>
        <w:t>干扰素抗病毒疗效的预测因素</w:t>
      </w:r>
    </w:p>
    <w:p>
      <w:pPr>
        <w:pStyle w:val="BodyText"/>
        <w:spacing w:before="34" w:line="468" w:lineRule="exact"/>
        <w:ind w:right="192" w:firstLine="420"/>
        <w:rPr>
          <w:rFonts w:ascii="Malgun Gothic" w:eastAsia="Malgun Gothic" w:hAnsi="Malgun Gothic"/>
          <w:b/>
          <w:sz w:val="22"/>
        </w:rPr>
      </w:pPr>
      <w:r>
        <w:t>有下列因素者常可取得较好的疗效：</w:t>
      </w:r>
      <w:r>
        <w:rPr>
          <w:rFonts w:ascii="Times New Roman" w:eastAsia="Times New Roman" w:hAnsi="Times New Roman"/>
        </w:rPr>
        <w:t>(1)</w:t>
      </w:r>
      <w:r>
        <w:rPr>
          <w:rFonts w:ascii="Times New Roman" w:eastAsia="Times New Roman" w:hAnsi="Times New Roman"/>
          <w:spacing w:val="54"/>
        </w:rPr>
        <w:t xml:space="preserve"> </w:t>
      </w:r>
      <w:r>
        <w:rPr>
          <w:spacing w:val="-9"/>
        </w:rPr>
        <w:t xml:space="preserve">治疗前 </w:t>
      </w:r>
      <w:r>
        <w:rPr>
          <w:rFonts w:ascii="Times New Roman" w:eastAsia="Times New Roman" w:hAnsi="Times New Roman"/>
        </w:rPr>
        <w:t xml:space="preserve">ALT </w:t>
      </w:r>
      <w:r>
        <w:t>水平较高；</w:t>
      </w:r>
      <w:r>
        <w:rPr>
          <w:rFonts w:ascii="Times New Roman" w:eastAsia="Times New Roman" w:hAnsi="Times New Roman"/>
        </w:rPr>
        <w:t>(2) HBV DNA&lt; 2</w:t>
      </w:r>
      <w:r>
        <w:rPr>
          <w:rFonts w:ascii="Symbol" w:eastAsia="Symbol" w:hAnsi="Symbol"/>
        </w:rPr>
        <w:sym w:font="Symbol" w:char="F0B4"/>
      </w:r>
      <w:r>
        <w:rPr>
          <w:rFonts w:ascii="Times New Roman" w:eastAsia="Times New Roman" w:hAnsi="Times New Roman"/>
        </w:rPr>
        <w:t>10</w:t>
      </w:r>
      <w:r>
        <w:rPr>
          <w:rFonts w:ascii="Times New Roman" w:eastAsia="Times New Roman" w:hAnsi="Times New Roman"/>
          <w:position w:val="6"/>
          <w:sz w:val="14"/>
        </w:rPr>
        <w:t>8</w:t>
      </w:r>
      <w:r>
        <w:t>拷贝／</w:t>
      </w:r>
      <w:r>
        <w:rPr>
          <w:rFonts w:ascii="Times New Roman" w:eastAsia="Times New Roman" w:hAnsi="Times New Roman"/>
        </w:rPr>
        <w:t>ml</w:t>
      </w:r>
      <w:r>
        <w:t>；</w:t>
      </w:r>
      <w:r>
        <w:rPr>
          <w:rFonts w:ascii="Times New Roman" w:eastAsia="Times New Roman" w:hAnsi="Times New Roman"/>
        </w:rPr>
        <w:t>[&lt; 4</w:t>
      </w:r>
      <w:r>
        <w:rPr>
          <w:rFonts w:ascii="Symbol" w:eastAsia="Symbol" w:hAnsi="Symbol"/>
        </w:rPr>
        <w:sym w:font="Symbol" w:char="F0B4"/>
      </w:r>
      <w:r>
        <w:rPr>
          <w:rFonts w:ascii="Times New Roman" w:eastAsia="Times New Roman" w:hAnsi="Times New Roman"/>
        </w:rPr>
        <w:t>10</w:t>
      </w:r>
      <w:r>
        <w:rPr>
          <w:rFonts w:ascii="Times New Roman" w:eastAsia="Times New Roman" w:hAnsi="Times New Roman"/>
          <w:position w:val="6"/>
          <w:sz w:val="14"/>
        </w:rPr>
        <w:t>7</w:t>
      </w:r>
      <w:r>
        <w:rPr>
          <w:rFonts w:ascii="Times New Roman" w:eastAsia="Times New Roman" w:hAnsi="Times New Roman"/>
          <w:spacing w:val="28"/>
          <w:position w:val="6"/>
          <w:sz w:val="14"/>
        </w:rPr>
        <w:t xml:space="preserve"> </w:t>
      </w:r>
      <w:r>
        <w:rPr>
          <w:rFonts w:ascii="Times New Roman" w:eastAsia="Times New Roman" w:hAnsi="Times New Roman"/>
        </w:rPr>
        <w:t>IU/mL] (3)</w:t>
      </w:r>
      <w:r>
        <w:rPr>
          <w:rFonts w:ascii="Times New Roman" w:eastAsia="Times New Roman" w:hAnsi="Times New Roman"/>
          <w:spacing w:val="53"/>
        </w:rPr>
        <w:t xml:space="preserve"> </w:t>
      </w:r>
      <w:r>
        <w:t xml:space="preserve">女性； </w:t>
      </w:r>
      <w:r>
        <w:rPr>
          <w:rFonts w:ascii="Times New Roman" w:eastAsia="Times New Roman" w:hAnsi="Times New Roman"/>
        </w:rPr>
        <w:t>(4)</w:t>
      </w:r>
      <w:r>
        <w:rPr>
          <w:rFonts w:ascii="Times New Roman" w:eastAsia="Times New Roman" w:hAnsi="Times New Roman"/>
          <w:spacing w:val="53"/>
        </w:rPr>
        <w:t xml:space="preserve"> </w:t>
      </w:r>
      <w:r>
        <w:t>病程短；</w:t>
      </w:r>
      <w:r>
        <w:rPr>
          <w:rFonts w:ascii="Times New Roman" w:eastAsia="Times New Roman" w:hAnsi="Times New Roman"/>
        </w:rPr>
        <w:t>(5)</w:t>
      </w:r>
      <w:r>
        <w:rPr>
          <w:rFonts w:ascii="Times New Roman" w:eastAsia="Times New Roman" w:hAnsi="Times New Roman"/>
          <w:spacing w:val="53"/>
        </w:rPr>
        <w:t xml:space="preserve"> </w:t>
      </w:r>
      <w:r>
        <w:t>非母婴传播；</w:t>
      </w:r>
      <w:r>
        <w:rPr>
          <w:rFonts w:ascii="Times New Roman" w:eastAsia="Times New Roman" w:hAnsi="Times New Roman"/>
        </w:rPr>
        <w:t>(6)</w:t>
      </w:r>
      <w:r>
        <w:rPr>
          <w:rFonts w:ascii="Times New Roman" w:eastAsia="Times New Roman" w:hAnsi="Times New Roman"/>
          <w:spacing w:val="53"/>
        </w:rPr>
        <w:t xml:space="preserve"> </w:t>
      </w:r>
      <w:r>
        <w:t>肝组织炎症坏死较重，纤维化程度轻；</w:t>
      </w:r>
      <w:r>
        <w:rPr>
          <w:rFonts w:ascii="Times New Roman" w:eastAsia="Times New Roman" w:hAnsi="Times New Roman"/>
        </w:rPr>
        <w:t>(7)</w:t>
      </w:r>
      <w:r>
        <w:rPr>
          <w:rFonts w:ascii="Times New Roman" w:eastAsia="Times New Roman" w:hAnsi="Times New Roman"/>
          <w:spacing w:val="15"/>
        </w:rPr>
        <w:t xml:space="preserve"> </w:t>
      </w:r>
      <w:r>
        <w:rPr>
          <w:spacing w:val="-3"/>
        </w:rPr>
        <w:t xml:space="preserve">对治疗的依从性好； </w:t>
      </w:r>
      <w:r>
        <w:rPr>
          <w:rFonts w:ascii="Times New Roman" w:eastAsia="Times New Roman" w:hAnsi="Times New Roman"/>
        </w:rPr>
        <w:t>(8)</w:t>
      </w:r>
      <w:r>
        <w:rPr>
          <w:rFonts w:ascii="Times New Roman" w:eastAsia="Times New Roman" w:hAnsi="Times New Roman"/>
          <w:spacing w:val="33"/>
        </w:rPr>
        <w:t xml:space="preserve"> </w:t>
      </w:r>
      <w:r>
        <w:rPr>
          <w:spacing w:val="-27"/>
        </w:rPr>
        <w:t xml:space="preserve">无 </w:t>
      </w:r>
      <w:r>
        <w:rPr>
          <w:rFonts w:ascii="Times New Roman" w:eastAsia="Times New Roman" w:hAnsi="Times New Roman"/>
        </w:rPr>
        <w:t>HCV</w:t>
      </w:r>
      <w:r>
        <w:t>、</w:t>
      </w:r>
      <w:r>
        <w:rPr>
          <w:rFonts w:ascii="Times New Roman" w:eastAsia="Times New Roman" w:hAnsi="Times New Roman"/>
        </w:rPr>
        <w:t>HDV</w:t>
      </w:r>
      <w:r>
        <w:rPr>
          <w:rFonts w:ascii="Times New Roman" w:eastAsia="Times New Roman" w:hAnsi="Times New Roman"/>
          <w:spacing w:val="-10"/>
        </w:rPr>
        <w:t xml:space="preserve"> </w:t>
      </w:r>
      <w:r>
        <w:rPr>
          <w:spacing w:val="-27"/>
        </w:rPr>
        <w:t xml:space="preserve">或 </w:t>
      </w:r>
      <w:r>
        <w:rPr>
          <w:rFonts w:ascii="Times New Roman" w:eastAsia="Times New Roman" w:hAnsi="Times New Roman"/>
        </w:rPr>
        <w:t>HIV</w:t>
      </w:r>
      <w:r>
        <w:rPr>
          <w:rFonts w:ascii="Times New Roman" w:eastAsia="Times New Roman" w:hAnsi="Times New Roman"/>
          <w:spacing w:val="-10"/>
        </w:rPr>
        <w:t xml:space="preserve"> </w:t>
      </w:r>
      <w:r>
        <w:t>合并感染；（</w:t>
      </w:r>
      <w:r>
        <w:rPr>
          <w:rFonts w:ascii="Times New Roman" w:eastAsia="Times New Roman" w:hAnsi="Times New Roman"/>
        </w:rPr>
        <w:t>9</w:t>
      </w:r>
      <w:r>
        <w:t xml:space="preserve">） </w:t>
      </w:r>
      <w:r>
        <w:rPr>
          <w:rFonts w:ascii="Times New Roman" w:eastAsia="Times New Roman" w:hAnsi="Times New Roman"/>
        </w:rPr>
        <w:t>HBV</w:t>
      </w:r>
      <w:r>
        <w:rPr>
          <w:rFonts w:ascii="Times New Roman" w:eastAsia="Times New Roman" w:hAnsi="Times New Roman"/>
          <w:spacing w:val="-14"/>
        </w:rPr>
        <w:t xml:space="preserve"> </w:t>
      </w:r>
      <w:r>
        <w:rPr>
          <w:spacing w:val="-18"/>
        </w:rPr>
        <w:t xml:space="preserve">基因 </w:t>
      </w:r>
      <w:r>
        <w:rPr>
          <w:rFonts w:ascii="Times New Roman" w:eastAsia="Times New Roman" w:hAnsi="Times New Roman"/>
        </w:rPr>
        <w:t>A</w:t>
      </w:r>
      <w:r>
        <w:rPr>
          <w:rFonts w:ascii="Times New Roman" w:eastAsia="Times New Roman" w:hAnsi="Times New Roman"/>
          <w:spacing w:val="-13"/>
        </w:rPr>
        <w:t xml:space="preserve"> </w:t>
      </w:r>
      <w:r>
        <w:t>型；（</w:t>
      </w:r>
      <w:r>
        <w:rPr>
          <w:rFonts w:ascii="Times New Roman" w:eastAsia="Times New Roman" w:hAnsi="Times New Roman"/>
        </w:rPr>
        <w:t>10</w:t>
      </w:r>
      <w:r>
        <w:t>）</w:t>
      </w:r>
      <w:r>
        <w:rPr>
          <w:spacing w:val="-18"/>
        </w:rPr>
        <w:t xml:space="preserve">治疗 </w:t>
      </w:r>
      <w:r>
        <w:rPr>
          <w:rFonts w:ascii="Times New Roman" w:eastAsia="Times New Roman" w:hAnsi="Times New Roman"/>
        </w:rPr>
        <w:t>12</w:t>
      </w:r>
      <w:r>
        <w:rPr>
          <w:rFonts w:ascii="Times New Roman" w:eastAsia="Times New Roman" w:hAnsi="Times New Roman"/>
          <w:spacing w:val="-13"/>
        </w:rPr>
        <w:t xml:space="preserve"> </w:t>
      </w:r>
      <w:r>
        <w:rPr>
          <w:spacing w:val="-27"/>
        </w:rPr>
        <w:t xml:space="preserve">或 </w:t>
      </w:r>
      <w:r>
        <w:rPr>
          <w:rFonts w:ascii="Times New Roman" w:eastAsia="Times New Roman" w:hAnsi="Times New Roman"/>
        </w:rPr>
        <w:t>24</w:t>
      </w:r>
      <w:r>
        <w:rPr>
          <w:rFonts w:ascii="Times New Roman" w:eastAsia="Times New Roman" w:hAnsi="Times New Roman"/>
          <w:spacing w:val="-13"/>
        </w:rPr>
        <w:t xml:space="preserve"> </w:t>
      </w:r>
      <w:r>
        <w:rPr>
          <w:spacing w:val="-9"/>
        </w:rPr>
        <w:t xml:space="preserve">周时，血清 </w:t>
      </w:r>
      <w:r>
        <w:rPr>
          <w:rFonts w:ascii="Times New Roman" w:eastAsia="Times New Roman" w:hAnsi="Times New Roman"/>
        </w:rPr>
        <w:t>HBVDNA</w:t>
      </w:r>
      <w:r>
        <w:rPr>
          <w:rFonts w:ascii="Times New Roman" w:eastAsia="Times New Roman" w:hAnsi="Times New Roman"/>
          <w:spacing w:val="-13"/>
        </w:rPr>
        <w:t xml:space="preserve"> </w:t>
      </w:r>
      <w:r>
        <w:t>不能检出</w:t>
      </w:r>
      <w:r>
        <w:rPr>
          <w:rFonts w:ascii="Calibri" w:eastAsia="Calibri" w:hAnsi="Calibri"/>
          <w:vertAlign w:val="superscript"/>
        </w:rPr>
        <w:t>[50-52,</w:t>
      </w:r>
      <w:r>
        <w:rPr>
          <w:rFonts w:ascii="Calibri" w:eastAsia="Calibri" w:hAnsi="Calibri"/>
          <w:spacing w:val="-16"/>
          <w:vertAlign w:val="baseline"/>
        </w:rPr>
        <w:t xml:space="preserve"> </w:t>
      </w:r>
      <w:r>
        <w:rPr>
          <w:rFonts w:ascii="Calibri" w:eastAsia="Calibri" w:hAnsi="Calibri"/>
          <w:spacing w:val="15"/>
          <w:vertAlign w:val="superscript"/>
        </w:rPr>
        <w:t>54</w:t>
      </w:r>
      <w:r>
        <w:rPr>
          <w:rFonts w:ascii="Calibri" w:eastAsia="Calibri" w:hAnsi="Calibri"/>
          <w:spacing w:val="14"/>
          <w:vertAlign w:val="superscript"/>
        </w:rPr>
        <w:t>]</w:t>
      </w:r>
      <w:r>
        <w:rPr>
          <w:spacing w:val="15"/>
          <w:vertAlign w:val="baseline"/>
        </w:rPr>
        <w:t>（</w:t>
      </w:r>
      <w:r>
        <w:rPr>
          <w:rFonts w:ascii="Times New Roman" w:eastAsia="Times New Roman" w:hAnsi="Times New Roman"/>
          <w:i/>
          <w:spacing w:val="15"/>
          <w:vertAlign w:val="baseline"/>
        </w:rPr>
        <w:t>II</w:t>
      </w:r>
      <w:r>
        <w:rPr>
          <w:spacing w:val="-90"/>
          <w:vertAlign w:val="baseline"/>
        </w:rPr>
        <w:t>）</w:t>
      </w:r>
      <w:r>
        <w:rPr>
          <w:spacing w:val="-10"/>
          <w:vertAlign w:val="baseline"/>
        </w:rPr>
        <w:t>。 其中治</w:t>
      </w:r>
      <w:r>
        <w:rPr>
          <w:spacing w:val="-12"/>
          <w:vertAlign w:val="baseline"/>
        </w:rPr>
        <w:t xml:space="preserve">疗前 </w:t>
      </w:r>
      <w:r>
        <w:rPr>
          <w:rFonts w:ascii="Times New Roman" w:eastAsia="Times New Roman" w:hAnsi="Times New Roman"/>
          <w:vertAlign w:val="baseline"/>
        </w:rPr>
        <w:t>ALT</w:t>
      </w:r>
      <w:r>
        <w:rPr>
          <w:vertAlign w:val="baseline"/>
        </w:rPr>
        <w:t>、</w:t>
      </w:r>
      <w:r>
        <w:rPr>
          <w:rFonts w:ascii="Times New Roman" w:eastAsia="Times New Roman" w:hAnsi="Times New Roman"/>
          <w:vertAlign w:val="baseline"/>
        </w:rPr>
        <w:t xml:space="preserve">HBV DNA </w:t>
      </w:r>
      <w:r>
        <w:rPr>
          <w:spacing w:val="-9"/>
          <w:vertAlign w:val="baseline"/>
        </w:rPr>
        <w:t xml:space="preserve">水平和 </w:t>
      </w:r>
      <w:r>
        <w:rPr>
          <w:rFonts w:ascii="Times New Roman" w:eastAsia="Times New Roman" w:hAnsi="Times New Roman"/>
          <w:vertAlign w:val="baseline"/>
        </w:rPr>
        <w:t xml:space="preserve">HBV </w:t>
      </w:r>
      <w:r>
        <w:rPr>
          <w:vertAlign w:val="baseline"/>
        </w:rPr>
        <w:t>基因型，是预测疗效的重要因素</w:t>
      </w:r>
      <w:r>
        <w:rPr>
          <w:rFonts w:ascii="Calibri" w:eastAsia="Calibri" w:hAnsi="Calibri"/>
          <w:vertAlign w:val="superscript"/>
        </w:rPr>
        <w:t>[55,</w:t>
      </w:r>
      <w:r>
        <w:rPr>
          <w:rFonts w:ascii="Calibri" w:eastAsia="Calibri" w:hAnsi="Calibri"/>
          <w:spacing w:val="-5"/>
          <w:vertAlign w:val="baseline"/>
        </w:rPr>
        <w:t xml:space="preserve"> </w:t>
      </w:r>
      <w:r>
        <w:rPr>
          <w:rFonts w:ascii="Calibri" w:eastAsia="Calibri" w:hAnsi="Calibri"/>
          <w:vertAlign w:val="superscript"/>
        </w:rPr>
        <w:t>56]</w:t>
      </w:r>
      <w:r>
        <w:rPr>
          <w:rFonts w:ascii="Calibri" w:eastAsia="Calibri" w:hAnsi="Calibri"/>
          <w:spacing w:val="40"/>
          <w:vertAlign w:val="baseline"/>
        </w:rPr>
        <w:t xml:space="preserve"> </w:t>
      </w:r>
      <w:r>
        <w:rPr>
          <w:rFonts w:ascii="Malgun Gothic" w:eastAsia="Malgun Gothic" w:hAnsi="Malgun Gothic"/>
          <w:b/>
          <w:sz w:val="22"/>
          <w:vertAlign w:val="baseline"/>
        </w:rPr>
        <w:t>。</w:t>
      </w:r>
    </w:p>
    <w:p>
      <w:pPr>
        <w:pStyle w:val="BodyText"/>
        <w:spacing w:before="164" w:line="417" w:lineRule="auto"/>
        <w:ind w:right="298" w:firstLine="312"/>
      </w:pPr>
      <w:r>
        <w:rPr>
          <w:spacing w:val="-9"/>
        </w:rPr>
        <w:t xml:space="preserve">有研究表明，在 </w:t>
      </w:r>
      <w:r>
        <w:rPr>
          <w:rFonts w:ascii="Times New Roman" w:eastAsia="Times New Roman" w:hAnsi="Times New Roman"/>
          <w:spacing w:val="-2"/>
        </w:rPr>
        <w:t>PEG</w:t>
      </w:r>
      <w:r>
        <w:rPr>
          <w:rFonts w:ascii="Times New Roman" w:eastAsia="Times New Roman" w:hAnsi="Times New Roman"/>
          <w:spacing w:val="-12"/>
        </w:rPr>
        <w:t xml:space="preserve"> </w:t>
      </w:r>
      <w:r>
        <w:rPr>
          <w:rFonts w:ascii="Times New Roman" w:eastAsia="Times New Roman" w:hAnsi="Times New Roman"/>
          <w:spacing w:val="-2"/>
        </w:rPr>
        <w:t>IFN-</w:t>
      </w:r>
      <w:r>
        <w:rPr>
          <w:rFonts w:ascii="Symbol" w:eastAsia="Symbol" w:hAnsi="Symbol"/>
          <w:spacing w:val="-2"/>
        </w:rPr>
        <w:sym w:font="Symbol" w:char="F061"/>
      </w:r>
      <w:r>
        <w:rPr>
          <w:rFonts w:ascii="Times New Roman" w:eastAsia="Times New Roman" w:hAnsi="Times New Roman"/>
          <w:spacing w:val="-2"/>
        </w:rPr>
        <w:t>2a</w:t>
      </w:r>
      <w:r>
        <w:rPr>
          <w:rFonts w:ascii="Times New Roman" w:eastAsia="Times New Roman" w:hAnsi="Times New Roman"/>
          <w:spacing w:val="45"/>
        </w:rPr>
        <w:t xml:space="preserve"> </w:t>
      </w:r>
      <w:r>
        <w:rPr>
          <w:spacing w:val="-7"/>
        </w:rPr>
        <w:t xml:space="preserve">治疗过程中，定量检测 </w:t>
      </w:r>
      <w:r>
        <w:rPr>
          <w:rFonts w:ascii="Times New Roman" w:eastAsia="Times New Roman" w:hAnsi="Times New Roman"/>
          <w:spacing w:val="-2"/>
        </w:rPr>
        <w:t>HBsAg</w:t>
      </w:r>
      <w:r>
        <w:rPr>
          <w:rFonts w:ascii="Times New Roman" w:eastAsia="Times New Roman" w:hAnsi="Times New Roman"/>
          <w:spacing w:val="-4"/>
        </w:rPr>
        <w:t xml:space="preserve"> </w:t>
      </w:r>
      <w:r>
        <w:rPr>
          <w:spacing w:val="-15"/>
        </w:rPr>
        <w:t xml:space="preserve">水平或 </w:t>
      </w:r>
      <w:r>
        <w:rPr>
          <w:rFonts w:ascii="Times New Roman" w:eastAsia="Times New Roman" w:hAnsi="Times New Roman"/>
          <w:spacing w:val="-2"/>
        </w:rPr>
        <w:t>HBeAg</w:t>
      </w:r>
      <w:r>
        <w:rPr>
          <w:rFonts w:ascii="Times New Roman" w:eastAsia="Times New Roman" w:hAnsi="Times New Roman"/>
          <w:spacing w:val="-4"/>
        </w:rPr>
        <w:t xml:space="preserve"> </w:t>
      </w:r>
      <w:r>
        <w:rPr>
          <w:spacing w:val="-2"/>
        </w:rPr>
        <w:t>水平对治疗</w:t>
      </w:r>
      <w:r>
        <w:rPr>
          <w:spacing w:val="-2"/>
        </w:rPr>
        <w:t>应答有较好预测作用</w:t>
      </w:r>
      <w:r>
        <w:rPr>
          <w:rFonts w:ascii="Calibri" w:eastAsia="Calibri" w:hAnsi="Calibri"/>
          <w:spacing w:val="-2"/>
          <w:vertAlign w:val="superscript"/>
        </w:rPr>
        <w:t>[57-59]</w:t>
      </w:r>
      <w:r>
        <w:rPr>
          <w:spacing w:val="-2"/>
          <w:vertAlign w:val="baseline"/>
        </w:rPr>
        <w:t>。</w:t>
      </w:r>
    </w:p>
    <w:p>
      <w:pPr>
        <w:pStyle w:val="BodyText"/>
        <w:spacing w:line="269" w:lineRule="exact"/>
      </w:pPr>
      <w:r>
        <w:rPr>
          <w:rFonts w:ascii="Times New Roman" w:eastAsia="Times New Roman"/>
        </w:rPr>
        <w:t>(</w:t>
      </w:r>
      <w:r>
        <w:t>二</w:t>
      </w:r>
      <w:r>
        <w:rPr>
          <w:rFonts w:ascii="Times New Roman" w:eastAsia="Times New Roman"/>
          <w:spacing w:val="26"/>
        </w:rPr>
        <w:t xml:space="preserve">) </w:t>
      </w:r>
      <w:r>
        <w:rPr>
          <w:spacing w:val="-1"/>
        </w:rPr>
        <w:t>干扰素治疗的监测和随访</w:t>
      </w:r>
    </w:p>
    <w:p>
      <w:pPr>
        <w:pStyle w:val="BodyText"/>
        <w:spacing w:before="6"/>
        <w:ind w:left="0"/>
        <w:rPr>
          <w:sz w:val="15"/>
        </w:rPr>
      </w:pPr>
    </w:p>
    <w:p>
      <w:pPr>
        <w:pStyle w:val="BodyText"/>
        <w:spacing w:line="417" w:lineRule="auto"/>
        <w:ind w:right="310" w:firstLine="540"/>
        <w:jc w:val="both"/>
      </w:pPr>
      <w:r>
        <w:t>治疗前应检查：</w:t>
      </w:r>
      <w:r>
        <w:rPr>
          <w:rFonts w:ascii="Times New Roman" w:eastAsia="Times New Roman"/>
        </w:rPr>
        <w:t>(1)</w:t>
      </w:r>
      <w:r>
        <w:rPr>
          <w:rFonts w:ascii="Times New Roman" w:eastAsia="Times New Roman"/>
          <w:spacing w:val="-14"/>
        </w:rPr>
        <w:t xml:space="preserve"> </w:t>
      </w:r>
      <w:r>
        <w:rPr>
          <w:spacing w:val="-3"/>
        </w:rPr>
        <w:t xml:space="preserve">生化学指标，包括 </w:t>
      </w:r>
      <w:r>
        <w:rPr>
          <w:rFonts w:ascii="Times New Roman" w:eastAsia="Times New Roman"/>
        </w:rPr>
        <w:t>ALT</w:t>
      </w:r>
      <w:r>
        <w:rPr>
          <w:spacing w:val="-52"/>
        </w:rPr>
        <w:t>、</w:t>
      </w:r>
      <w:r>
        <w:rPr>
          <w:rFonts w:ascii="Times New Roman" w:eastAsia="Times New Roman"/>
        </w:rPr>
        <w:t>AST</w:t>
      </w:r>
      <w:r>
        <w:t>、胆红素、白蛋白及肾功能；</w:t>
      </w:r>
      <w:r>
        <w:rPr>
          <w:rFonts w:ascii="Times New Roman" w:eastAsia="Times New Roman"/>
        </w:rPr>
        <w:t>(2)</w:t>
      </w:r>
      <w:r>
        <w:rPr>
          <w:rFonts w:ascii="Times New Roman" w:eastAsia="Times New Roman"/>
          <w:spacing w:val="7"/>
        </w:rPr>
        <w:t xml:space="preserve"> </w:t>
      </w:r>
      <w:r>
        <w:t>血</w:t>
      </w:r>
      <w:r>
        <w:rPr>
          <w:spacing w:val="-7"/>
        </w:rPr>
        <w:t>常规、尿常规、血糖及甲状腺功能；</w:t>
      </w:r>
      <w:r>
        <w:rPr>
          <w:rFonts w:ascii="Times New Roman" w:eastAsia="Times New Roman"/>
          <w:spacing w:val="-2"/>
        </w:rPr>
        <w:t>(3)</w:t>
      </w:r>
      <w:r>
        <w:rPr>
          <w:rFonts w:ascii="Times New Roman" w:eastAsia="Times New Roman"/>
          <w:spacing w:val="-12"/>
        </w:rPr>
        <w:t xml:space="preserve"> </w:t>
      </w:r>
      <w:r>
        <w:rPr>
          <w:spacing w:val="-5"/>
        </w:rPr>
        <w:t xml:space="preserve">病毒学标志，包括 </w:t>
      </w:r>
      <w:r>
        <w:rPr>
          <w:rFonts w:ascii="Times New Roman" w:eastAsia="Times New Roman"/>
          <w:spacing w:val="-2"/>
        </w:rPr>
        <w:t>HBsAg</w:t>
      </w:r>
      <w:r>
        <w:rPr>
          <w:spacing w:val="-65"/>
        </w:rPr>
        <w:t>、</w:t>
      </w:r>
      <w:r>
        <w:rPr>
          <w:rFonts w:ascii="Times New Roman" w:eastAsia="Times New Roman"/>
          <w:spacing w:val="-2"/>
        </w:rPr>
        <w:t>HBeAg</w:t>
      </w:r>
      <w:r>
        <w:rPr>
          <w:spacing w:val="-34"/>
        </w:rPr>
        <w:t>、抗</w:t>
      </w:r>
      <w:r>
        <w:rPr>
          <w:rFonts w:ascii="Times New Roman" w:eastAsia="Times New Roman"/>
          <w:spacing w:val="-2"/>
        </w:rPr>
        <w:t xml:space="preserve">-HBe </w:t>
      </w:r>
      <w:r>
        <w:rPr>
          <w:spacing w:val="-14"/>
        </w:rPr>
        <w:t xml:space="preserve">和 </w:t>
      </w:r>
      <w:r>
        <w:rPr>
          <w:rFonts w:ascii="Times New Roman" w:eastAsia="Times New Roman"/>
          <w:spacing w:val="-2"/>
        </w:rPr>
        <w:t xml:space="preserve">HBV </w:t>
      </w:r>
      <w:r>
        <w:rPr>
          <w:rFonts w:ascii="Times New Roman" w:eastAsia="Times New Roman"/>
        </w:rPr>
        <w:t>DNA</w:t>
      </w:r>
      <w:r>
        <w:rPr>
          <w:rFonts w:ascii="Times New Roman" w:eastAsia="Times New Roman"/>
          <w:spacing w:val="-18"/>
        </w:rPr>
        <w:t xml:space="preserve"> </w:t>
      </w:r>
      <w:r>
        <w:t>的基线状态或水平；</w:t>
      </w:r>
      <w:r>
        <w:rPr>
          <w:rFonts w:ascii="Times New Roman" w:eastAsia="Times New Roman"/>
        </w:rPr>
        <w:t>(4)</w:t>
      </w:r>
      <w:r>
        <w:rPr>
          <w:rFonts w:ascii="Times New Roman" w:eastAsia="Times New Roman"/>
          <w:spacing w:val="30"/>
        </w:rPr>
        <w:t xml:space="preserve"> </w:t>
      </w:r>
      <w:r>
        <w:t>对于中年以上患者，应作心电图检查和测血压；</w:t>
      </w:r>
      <w:r>
        <w:rPr>
          <w:rFonts w:ascii="Times New Roman" w:eastAsia="Times New Roman"/>
        </w:rPr>
        <w:t>(5)</w:t>
      </w:r>
      <w:r>
        <w:rPr>
          <w:rFonts w:ascii="Times New Roman" w:eastAsia="Times New Roman"/>
          <w:spacing w:val="37"/>
        </w:rPr>
        <w:t xml:space="preserve"> </w:t>
      </w:r>
      <w:r>
        <w:rPr>
          <w:spacing w:val="-3"/>
        </w:rPr>
        <w:t>排除自身</w:t>
      </w:r>
    </w:p>
    <w:p>
      <w:pPr>
        <w:spacing w:after="0" w:line="417" w:lineRule="auto"/>
        <w:jc w:val="both"/>
        <w:sectPr>
          <w:footerReference w:type="default" r:id="rId13"/>
          <w:pgSz w:w="11910" w:h="16840"/>
          <w:pgMar w:top="1460" w:right="1500" w:bottom="1380" w:left="1640" w:header="0" w:footer="1189"/>
          <w:pgNumType w:start="10"/>
          <w:cols w:space="708"/>
        </w:sectPr>
      </w:pPr>
    </w:p>
    <w:p>
      <w:pPr>
        <w:pStyle w:val="BodyText"/>
        <w:spacing w:before="63"/>
      </w:pPr>
      <w:r>
        <w:t>免疫性疾病；</w:t>
      </w:r>
      <w:r>
        <w:rPr>
          <w:rFonts w:ascii="Times New Roman" w:eastAsia="Times New Roman"/>
        </w:rPr>
        <w:t>(6)</w:t>
      </w:r>
      <w:r>
        <w:rPr>
          <w:rFonts w:ascii="Times New Roman" w:eastAsia="Times New Roman"/>
          <w:spacing w:val="52"/>
        </w:rPr>
        <w:t xml:space="preserve"> </w:t>
      </w:r>
      <w:r>
        <w:t xml:space="preserve">尿人绒毛膜促性腺激素 </w:t>
      </w:r>
      <w:r>
        <w:rPr>
          <w:rFonts w:ascii="Times New Roman" w:eastAsia="Times New Roman"/>
        </w:rPr>
        <w:t>(HCG)</w:t>
      </w:r>
      <w:r>
        <w:rPr>
          <w:rFonts w:ascii="Times New Roman" w:eastAsia="Times New Roman"/>
          <w:spacing w:val="53"/>
        </w:rPr>
        <w:t xml:space="preserve"> </w:t>
      </w:r>
      <w:r>
        <w:rPr>
          <w:spacing w:val="-2"/>
        </w:rPr>
        <w:t>检测以排除妊娠。</w:t>
      </w:r>
    </w:p>
    <w:p>
      <w:pPr>
        <w:pStyle w:val="BodyText"/>
        <w:spacing w:before="6"/>
        <w:ind w:left="0"/>
        <w:rPr>
          <w:sz w:val="15"/>
        </w:rPr>
      </w:pPr>
    </w:p>
    <w:p>
      <w:pPr>
        <w:pStyle w:val="BodyText"/>
        <w:spacing w:before="1" w:line="417" w:lineRule="auto"/>
        <w:ind w:right="205" w:firstLine="539"/>
      </w:pPr>
      <w:r>
        <w:rPr>
          <w:spacing w:val="1"/>
        </w:rPr>
        <w:t>治疗过程中应检查：</w:t>
      </w:r>
      <w:r>
        <w:rPr>
          <w:rFonts w:ascii="Times New Roman" w:eastAsia="Times New Roman"/>
        </w:rPr>
        <w:t xml:space="preserve">(1)  </w:t>
      </w:r>
      <w:r>
        <w:rPr>
          <w:spacing w:val="-7"/>
        </w:rPr>
        <w:t xml:space="preserve">开始治疗后的第 </w:t>
      </w:r>
      <w:r>
        <w:rPr>
          <w:rFonts w:ascii="Times New Roman" w:eastAsia="Times New Roman"/>
        </w:rPr>
        <w:t xml:space="preserve">1 </w:t>
      </w:r>
      <w:r>
        <w:rPr>
          <w:spacing w:val="-9"/>
        </w:rPr>
        <w:t xml:space="preserve">个月，应每 </w:t>
      </w:r>
      <w:r>
        <w:rPr>
          <w:rFonts w:ascii="Times New Roman" w:eastAsia="Times New Roman"/>
        </w:rPr>
        <w:t xml:space="preserve">1~2 </w:t>
      </w:r>
      <w:r>
        <w:rPr>
          <w:spacing w:val="-13"/>
        </w:rPr>
        <w:t xml:space="preserve">周检查 </w:t>
      </w:r>
      <w:r>
        <w:rPr>
          <w:rFonts w:ascii="Times New Roman" w:eastAsia="Times New Roman"/>
        </w:rPr>
        <w:t xml:space="preserve">1 </w:t>
      </w:r>
      <w:r>
        <w:t>次血常规，以后</w:t>
      </w:r>
      <w:r>
        <w:rPr>
          <w:spacing w:val="-9"/>
        </w:rPr>
        <w:t xml:space="preserve">每月检查 </w:t>
      </w:r>
      <w:r>
        <w:rPr>
          <w:rFonts w:ascii="Times New Roman" w:eastAsia="Times New Roman"/>
        </w:rPr>
        <w:t xml:space="preserve">1 </w:t>
      </w:r>
      <w:r>
        <w:rPr>
          <w:spacing w:val="3"/>
        </w:rPr>
        <w:t>次，直至治疗结束；</w:t>
      </w:r>
      <w:r>
        <w:rPr>
          <w:rFonts w:ascii="Times New Roman" w:eastAsia="Times New Roman"/>
        </w:rPr>
        <w:t>(2)</w:t>
      </w:r>
      <w:r>
        <w:rPr>
          <w:rFonts w:ascii="Times New Roman" w:eastAsia="Times New Roman"/>
          <w:spacing w:val="1"/>
        </w:rPr>
        <w:t xml:space="preserve">  </w:t>
      </w:r>
      <w:r>
        <w:rPr>
          <w:spacing w:val="-4"/>
        </w:rPr>
        <w:t xml:space="preserve">生化学指标，包括 </w:t>
      </w:r>
      <w:r>
        <w:rPr>
          <w:rFonts w:ascii="Times New Roman" w:eastAsia="Times New Roman"/>
        </w:rPr>
        <w:t>A</w:t>
      </w:r>
      <w:r>
        <w:rPr>
          <w:rFonts w:ascii="Times New Roman" w:eastAsia="Times New Roman"/>
          <w:spacing w:val="-1"/>
        </w:rPr>
        <w:t>L</w:t>
      </w:r>
      <w:r>
        <w:rPr>
          <w:rFonts w:ascii="Times New Roman" w:eastAsia="Times New Roman"/>
        </w:rPr>
        <w:t>T</w:t>
      </w:r>
      <w:r>
        <w:rPr>
          <w:spacing w:val="3"/>
        </w:rPr>
        <w:t>、</w:t>
      </w:r>
      <w:r>
        <w:rPr>
          <w:rFonts w:ascii="Times New Roman" w:eastAsia="Times New Roman"/>
          <w:spacing w:val="-1"/>
        </w:rPr>
        <w:t>AS</w:t>
      </w:r>
      <w:r>
        <w:rPr>
          <w:rFonts w:ascii="Times New Roman" w:eastAsia="Times New Roman"/>
        </w:rPr>
        <w:t>T</w:t>
      </w:r>
      <w:r>
        <w:rPr>
          <w:rFonts w:ascii="Times New Roman" w:eastAsia="Times New Roman"/>
          <w:spacing w:val="-1"/>
        </w:rPr>
        <w:t xml:space="preserve"> </w:t>
      </w:r>
      <w:r>
        <w:rPr>
          <w:spacing w:val="-4"/>
        </w:rPr>
        <w:t xml:space="preserve">等，治疗开始后每月 </w:t>
      </w:r>
      <w:r>
        <w:rPr>
          <w:rFonts w:ascii="Times New Roman" w:eastAsia="Times New Roman"/>
        </w:rPr>
        <w:t>1</w:t>
      </w:r>
      <w:r>
        <w:rPr>
          <w:spacing w:val="-11"/>
        </w:rPr>
        <w:t xml:space="preserve">次，连续 </w:t>
      </w:r>
      <w:r>
        <w:rPr>
          <w:rFonts w:ascii="Times New Roman" w:eastAsia="Times New Roman"/>
        </w:rPr>
        <w:t xml:space="preserve">3 </w:t>
      </w:r>
      <w:r>
        <w:rPr>
          <w:spacing w:val="-5"/>
        </w:rPr>
        <w:t xml:space="preserve">次，以后随病情改善可每 </w:t>
      </w:r>
      <w:r>
        <w:rPr>
          <w:rFonts w:ascii="Times New Roman" w:eastAsia="Times New Roman"/>
        </w:rPr>
        <w:t xml:space="preserve">3 </w:t>
      </w:r>
      <w:r>
        <w:rPr>
          <w:spacing w:val="-18"/>
        </w:rPr>
        <w:t xml:space="preserve">个月 </w:t>
      </w:r>
      <w:r>
        <w:rPr>
          <w:rFonts w:ascii="Times New Roman" w:eastAsia="Times New Roman"/>
        </w:rPr>
        <w:t xml:space="preserve">1 </w:t>
      </w:r>
      <w:r>
        <w:rPr>
          <w:spacing w:val="-19"/>
        </w:rPr>
        <w:t>次；</w:t>
      </w:r>
      <w:r>
        <w:rPr>
          <w:rFonts w:ascii="Times New Roman" w:eastAsia="Times New Roman"/>
        </w:rPr>
        <w:t xml:space="preserve">(3)  </w:t>
      </w:r>
      <w:r>
        <w:rPr>
          <w:spacing w:val="-5"/>
        </w:rPr>
        <w:t xml:space="preserve">病毒学标志，治疗开始后每 </w:t>
      </w:r>
      <w:r>
        <w:rPr>
          <w:rFonts w:ascii="Times New Roman" w:eastAsia="Times New Roman"/>
        </w:rPr>
        <w:t xml:space="preserve">3 </w:t>
      </w:r>
      <w:r>
        <w:t>个月检</w:t>
      </w:r>
      <w:r>
        <w:rPr>
          <w:spacing w:val="-27"/>
        </w:rPr>
        <w:t xml:space="preserve">测 </w:t>
      </w:r>
      <w:r>
        <w:rPr>
          <w:rFonts w:ascii="Times New Roman" w:eastAsia="Times New Roman"/>
        </w:rPr>
        <w:t xml:space="preserve">1 </w:t>
      </w:r>
      <w:r>
        <w:rPr>
          <w:spacing w:val="-27"/>
        </w:rPr>
        <w:t xml:space="preserve">次 </w:t>
      </w:r>
      <w:r>
        <w:rPr>
          <w:rFonts w:ascii="Times New Roman" w:eastAsia="Times New Roman"/>
          <w:spacing w:val="-1"/>
        </w:rPr>
        <w:t>HBsAg</w:t>
      </w:r>
      <w:r>
        <w:t>、</w:t>
      </w:r>
      <w:r>
        <w:rPr>
          <w:rFonts w:ascii="Times New Roman" w:eastAsia="Times New Roman"/>
        </w:rPr>
        <w:t>HB</w:t>
      </w:r>
      <w:r>
        <w:rPr>
          <w:rFonts w:ascii="Times New Roman" w:eastAsia="Times New Roman"/>
          <w:spacing w:val="-1"/>
        </w:rPr>
        <w:t>e</w:t>
      </w:r>
      <w:r>
        <w:rPr>
          <w:rFonts w:ascii="Times New Roman" w:eastAsia="Times New Roman"/>
        </w:rPr>
        <w:t>Ag</w:t>
      </w:r>
      <w:r>
        <w:t>、抗</w:t>
      </w:r>
      <w:r>
        <w:rPr>
          <w:rFonts w:ascii="Times New Roman" w:eastAsia="Times New Roman"/>
        </w:rPr>
        <w:t xml:space="preserve">-HBe </w:t>
      </w:r>
      <w:r>
        <w:rPr>
          <w:spacing w:val="-27"/>
        </w:rPr>
        <w:t xml:space="preserve">和 </w:t>
      </w:r>
      <w:r>
        <w:rPr>
          <w:rFonts w:ascii="Times New Roman" w:eastAsia="Times New Roman"/>
          <w:spacing w:val="-1"/>
        </w:rPr>
        <w:t>HB</w:t>
      </w:r>
      <w:r>
        <w:rPr>
          <w:rFonts w:ascii="Times New Roman" w:eastAsia="Times New Roman"/>
        </w:rPr>
        <w:t>V</w:t>
      </w:r>
      <w:r>
        <w:rPr>
          <w:rFonts w:ascii="Times New Roman" w:eastAsia="Times New Roman"/>
          <w:spacing w:val="-1"/>
        </w:rPr>
        <w:t xml:space="preserve"> DNA</w:t>
      </w:r>
      <w:r>
        <w:rPr>
          <w:spacing w:val="-36"/>
        </w:rPr>
        <w:t>；</w:t>
      </w:r>
      <w:r>
        <w:rPr>
          <w:rFonts w:ascii="Times New Roman" w:eastAsia="Times New Roman"/>
        </w:rPr>
        <w:t xml:space="preserve">(4)  </w:t>
      </w:r>
      <w:r>
        <w:rPr>
          <w:spacing w:val="-11"/>
        </w:rPr>
        <w:t xml:space="preserve">其他，每 </w:t>
      </w:r>
      <w:r>
        <w:rPr>
          <w:rFonts w:ascii="Times New Roman" w:eastAsia="Times New Roman"/>
        </w:rPr>
        <w:t xml:space="preserve">3 </w:t>
      </w:r>
      <w:r>
        <w:rPr>
          <w:spacing w:val="-11"/>
        </w:rPr>
        <w:t xml:space="preserve">个月检测 </w:t>
      </w:r>
      <w:r>
        <w:rPr>
          <w:rFonts w:ascii="Times New Roman" w:eastAsia="Times New Roman"/>
        </w:rPr>
        <w:t xml:space="preserve">1 </w:t>
      </w:r>
      <w:r>
        <w:t>次甲状腺功能、</w:t>
      </w:r>
      <w:r>
        <w:rPr>
          <w:spacing w:val="1"/>
        </w:rPr>
        <w:t>血糖和尿常规等指标；如治疗前就已存在甲状腺功能异常或已患糖尿病者，应先用药物控制甲状腺功能异常或糖尿病，然后再开始干扰素治疗，同时应每月检查甲状腺功能和血糖</w:t>
      </w:r>
      <w:r>
        <w:rPr>
          <w:spacing w:val="-8"/>
        </w:rPr>
        <w:t>水平；</w:t>
      </w:r>
      <w:r>
        <w:rPr>
          <w:rFonts w:ascii="Times New Roman" w:eastAsia="Times New Roman"/>
        </w:rPr>
        <w:t>(5)</w:t>
      </w:r>
      <w:r>
        <w:rPr>
          <w:rFonts w:ascii="Times New Roman" w:eastAsia="Times New Roman"/>
          <w:spacing w:val="2"/>
        </w:rPr>
        <w:t xml:space="preserve">  </w:t>
      </w:r>
      <w:r>
        <w:rPr>
          <w:spacing w:val="4"/>
        </w:rPr>
        <w:t>应定期评估精神状态，对出现明显抑郁症和有自杀倾向的患者，应立即停药并密切监护。</w:t>
      </w:r>
    </w:p>
    <w:p>
      <w:pPr>
        <w:pStyle w:val="BodyText"/>
        <w:spacing w:line="268" w:lineRule="exact"/>
        <w:ind w:left="265"/>
        <w:rPr>
          <w:rFonts w:ascii="Calibri" w:eastAsia="Calibri"/>
        </w:rPr>
      </w:pPr>
      <w:r>
        <w:rPr>
          <w:rFonts w:ascii="Times New Roman" w:eastAsia="Times New Roman"/>
        </w:rPr>
        <w:t>(</w:t>
      </w:r>
      <w:r>
        <w:t>三</w:t>
      </w:r>
      <w:r>
        <w:rPr>
          <w:rFonts w:ascii="Times New Roman" w:eastAsia="Times New Roman"/>
          <w:spacing w:val="26"/>
        </w:rPr>
        <w:t xml:space="preserve">) </w:t>
      </w:r>
      <w:r>
        <w:t>干扰素的不良反应及其处理</w:t>
      </w:r>
      <w:r>
        <w:rPr>
          <w:rFonts w:ascii="Calibri" w:eastAsia="Calibri"/>
          <w:spacing w:val="-4"/>
          <w:vertAlign w:val="superscript"/>
        </w:rPr>
        <w:t>[51]</w:t>
      </w:r>
    </w:p>
    <w:p>
      <w:pPr>
        <w:pStyle w:val="BodyText"/>
        <w:spacing w:before="3"/>
        <w:ind w:left="0"/>
        <w:rPr>
          <w:rFonts w:ascii="Calibri"/>
          <w:sz w:val="16"/>
        </w:rPr>
      </w:pPr>
    </w:p>
    <w:p>
      <w:pPr>
        <w:pStyle w:val="ListParagraph"/>
        <w:numPr>
          <w:ilvl w:val="0"/>
          <w:numId w:val="8"/>
        </w:numPr>
        <w:tabs>
          <w:tab w:val="left" w:pos="323"/>
          <w:tab w:val="left" w:pos="1962"/>
        </w:tabs>
        <w:spacing w:before="0" w:after="0" w:line="240" w:lineRule="auto"/>
        <w:ind w:left="322" w:right="362" w:hanging="323"/>
        <w:jc w:val="right"/>
        <w:rPr>
          <w:sz w:val="21"/>
        </w:rPr>
      </w:pPr>
      <w:r>
        <w:rPr>
          <w:sz w:val="21"/>
        </w:rPr>
        <w:t>流感样症候</w:t>
      </w:r>
      <w:r>
        <w:rPr>
          <w:spacing w:val="-10"/>
          <w:sz w:val="21"/>
        </w:rPr>
        <w:t>群</w:t>
      </w:r>
      <w:r>
        <w:rPr>
          <w:sz w:val="21"/>
        </w:rPr>
        <w:tab/>
        <w:t>表现为发热、寒战、头痛、肌肉酸痛和乏力等，可在睡前注</w:t>
      </w:r>
      <w:r>
        <w:rPr>
          <w:spacing w:val="-10"/>
          <w:sz w:val="21"/>
        </w:rPr>
        <w:t>射</w:t>
      </w:r>
    </w:p>
    <w:p>
      <w:pPr>
        <w:pStyle w:val="BodyText"/>
        <w:spacing w:before="6"/>
        <w:ind w:left="0"/>
        <w:rPr>
          <w:sz w:val="15"/>
        </w:rPr>
      </w:pPr>
    </w:p>
    <w:p>
      <w:pPr>
        <w:pStyle w:val="BodyText"/>
      </w:pPr>
      <w:r>
        <w:rPr>
          <w:rFonts w:ascii="Times New Roman" w:eastAsia="Times New Roman" w:hAnsi="Times New Roman"/>
        </w:rPr>
        <w:t>IFN-</w:t>
      </w:r>
      <w:r>
        <w:rPr>
          <w:rFonts w:ascii="Symbol" w:eastAsia="Symbol" w:hAnsi="Symbol"/>
        </w:rPr>
        <w:sym w:font="Symbol" w:char="F061"/>
      </w:r>
      <w:r>
        <w:rPr>
          <w:spacing w:val="-1"/>
        </w:rPr>
        <w:t>，或在注射干扰素同时服用解热镇痛药。</w:t>
      </w:r>
    </w:p>
    <w:p>
      <w:pPr>
        <w:pStyle w:val="ListParagraph"/>
        <w:numPr>
          <w:ilvl w:val="0"/>
          <w:numId w:val="8"/>
        </w:numPr>
        <w:tabs>
          <w:tab w:val="left" w:pos="896"/>
        </w:tabs>
        <w:spacing w:before="199" w:after="0" w:line="415" w:lineRule="auto"/>
        <w:ind w:left="160" w:right="274" w:firstLine="420"/>
        <w:jc w:val="both"/>
        <w:rPr>
          <w:sz w:val="21"/>
        </w:rPr>
      </w:pPr>
      <w:r>
        <w:rPr>
          <w:sz w:val="21"/>
        </w:rPr>
        <w:t>一过性外周血细胞减少</w:t>
      </w:r>
      <w:r>
        <w:rPr>
          <w:spacing w:val="80"/>
          <w:w w:val="150"/>
          <w:sz w:val="21"/>
        </w:rPr>
        <w:t xml:space="preserve"> </w:t>
      </w:r>
      <w:r>
        <w:rPr>
          <w:spacing w:val="-1"/>
          <w:sz w:val="21"/>
        </w:rPr>
        <w:t xml:space="preserve">主要表现为外周血白细胞 </w:t>
      </w:r>
      <w:r>
        <w:rPr>
          <w:rFonts w:ascii="Times New Roman" w:eastAsia="Times New Roman" w:hAnsi="Times New Roman"/>
          <w:sz w:val="21"/>
        </w:rPr>
        <w:t>(</w:t>
      </w:r>
      <w:r>
        <w:rPr>
          <w:sz w:val="21"/>
        </w:rPr>
        <w:t>中性粒细胞</w:t>
      </w:r>
      <w:r>
        <w:rPr>
          <w:rFonts w:ascii="Times New Roman" w:eastAsia="Times New Roman" w:hAnsi="Times New Roman"/>
          <w:spacing w:val="20"/>
          <w:sz w:val="21"/>
        </w:rPr>
        <w:t xml:space="preserve">) </w:t>
      </w:r>
      <w:r>
        <w:rPr>
          <w:sz w:val="21"/>
        </w:rPr>
        <w:t>和血小板减少。</w:t>
      </w:r>
      <w:r>
        <w:rPr>
          <w:spacing w:val="-2"/>
          <w:sz w:val="21"/>
        </w:rPr>
        <w:t xml:space="preserve">如中性粒细胞绝对计数 </w:t>
      </w:r>
      <w:r>
        <w:rPr>
          <w:rFonts w:ascii="Times New Roman" w:eastAsia="Times New Roman" w:hAnsi="Times New Roman"/>
          <w:sz w:val="21"/>
        </w:rPr>
        <w:t>≤0.75×10</w:t>
      </w:r>
      <w:r>
        <w:rPr>
          <w:rFonts w:ascii="Times New Roman" w:eastAsia="Times New Roman" w:hAnsi="Times New Roman"/>
          <w:position w:val="6"/>
          <w:sz w:val="14"/>
        </w:rPr>
        <w:t>9</w:t>
      </w:r>
      <w:r>
        <w:rPr>
          <w:rFonts w:ascii="Times New Roman" w:eastAsia="Times New Roman" w:hAnsi="Times New Roman"/>
          <w:sz w:val="21"/>
        </w:rPr>
        <w:t xml:space="preserve">/L </w:t>
      </w:r>
      <w:r>
        <w:rPr>
          <w:sz w:val="21"/>
        </w:rPr>
        <w:t xml:space="preserve">和（或）血小板 </w:t>
      </w:r>
      <w:r>
        <w:rPr>
          <w:rFonts w:ascii="Times New Roman" w:eastAsia="Times New Roman" w:hAnsi="Times New Roman"/>
          <w:sz w:val="21"/>
        </w:rPr>
        <w:t>&lt; 50×10</w:t>
      </w:r>
      <w:r>
        <w:rPr>
          <w:rFonts w:ascii="Times New Roman" w:eastAsia="Times New Roman" w:hAnsi="Times New Roman"/>
          <w:position w:val="6"/>
          <w:sz w:val="14"/>
        </w:rPr>
        <w:t>9</w:t>
      </w:r>
      <w:r>
        <w:rPr>
          <w:rFonts w:ascii="Times New Roman" w:eastAsia="Times New Roman" w:hAnsi="Times New Roman"/>
          <w:sz w:val="21"/>
        </w:rPr>
        <w:t>/L</w:t>
      </w:r>
      <w:r>
        <w:rPr>
          <w:spacing w:val="-6"/>
          <w:sz w:val="21"/>
        </w:rPr>
        <w:t xml:space="preserve">，应降低 </w:t>
      </w:r>
      <w:r>
        <w:rPr>
          <w:rFonts w:ascii="Times New Roman" w:eastAsia="Times New Roman" w:hAnsi="Times New Roman"/>
          <w:sz w:val="21"/>
        </w:rPr>
        <w:t xml:space="preserve">IFN-α </w:t>
      </w:r>
      <w:r>
        <w:rPr>
          <w:sz w:val="21"/>
        </w:rPr>
        <w:t>剂量；</w:t>
      </w:r>
      <w:r>
        <w:rPr>
          <w:rFonts w:ascii="Times New Roman" w:eastAsia="Times New Roman" w:hAnsi="Times New Roman"/>
          <w:sz w:val="21"/>
        </w:rPr>
        <w:t>1~2</w:t>
      </w:r>
      <w:r>
        <w:rPr>
          <w:sz w:val="21"/>
        </w:rPr>
        <w:t xml:space="preserve">周后复查，如恢复，则逐渐增加至原量。如中性粒细胞绝对计数 </w:t>
      </w:r>
      <w:r>
        <w:rPr>
          <w:rFonts w:ascii="Times New Roman" w:eastAsia="Times New Roman" w:hAnsi="Times New Roman"/>
          <w:sz w:val="21"/>
        </w:rPr>
        <w:t>≤0.5×10</w:t>
      </w:r>
      <w:r>
        <w:rPr>
          <w:rFonts w:ascii="Times New Roman" w:eastAsia="Times New Roman" w:hAnsi="Times New Roman"/>
          <w:position w:val="6"/>
          <w:sz w:val="14"/>
        </w:rPr>
        <w:t>9</w:t>
      </w:r>
      <w:r>
        <w:rPr>
          <w:rFonts w:ascii="Times New Roman" w:eastAsia="Times New Roman" w:hAnsi="Times New Roman"/>
          <w:sz w:val="21"/>
        </w:rPr>
        <w:t xml:space="preserve">/L </w:t>
      </w:r>
      <w:r>
        <w:rPr>
          <w:sz w:val="21"/>
        </w:rPr>
        <w:t>和（或）血小</w:t>
      </w:r>
      <w:r>
        <w:rPr>
          <w:spacing w:val="-14"/>
          <w:sz w:val="21"/>
        </w:rPr>
        <w:t xml:space="preserve">板 </w:t>
      </w:r>
      <w:r>
        <w:rPr>
          <w:rFonts w:ascii="Times New Roman" w:eastAsia="Times New Roman" w:hAnsi="Times New Roman"/>
          <w:spacing w:val="8"/>
          <w:sz w:val="21"/>
        </w:rPr>
        <w:t xml:space="preserve">&lt; </w:t>
      </w:r>
      <w:r>
        <w:rPr>
          <w:rFonts w:ascii="Times New Roman" w:eastAsia="Times New Roman" w:hAnsi="Times New Roman"/>
          <w:sz w:val="21"/>
        </w:rPr>
        <w:t>30×10</w:t>
      </w:r>
      <w:r>
        <w:rPr>
          <w:rFonts w:ascii="Times New Roman" w:eastAsia="Times New Roman" w:hAnsi="Times New Roman"/>
          <w:position w:val="6"/>
          <w:sz w:val="14"/>
        </w:rPr>
        <w:t>9</w:t>
      </w:r>
      <w:r>
        <w:rPr>
          <w:rFonts w:ascii="Times New Roman" w:eastAsia="Times New Roman" w:hAnsi="Times New Roman"/>
          <w:sz w:val="21"/>
        </w:rPr>
        <w:t>/L</w:t>
      </w:r>
      <w:r>
        <w:rPr>
          <w:spacing w:val="8"/>
          <w:sz w:val="21"/>
        </w:rPr>
        <w:t>， 则应停药。对中性粒细胞明显降低者， 可试用粒细胞集落刺激因子</w:t>
      </w:r>
      <w:r>
        <w:rPr>
          <w:sz w:val="21"/>
        </w:rPr>
        <w:t xml:space="preserve"> </w:t>
      </w:r>
      <w:r>
        <w:rPr>
          <w:rFonts w:ascii="Times New Roman" w:eastAsia="Times New Roman" w:hAnsi="Times New Roman"/>
          <w:sz w:val="21"/>
        </w:rPr>
        <w:t>(G-CSF)</w:t>
      </w:r>
      <w:r>
        <w:rPr>
          <w:rFonts w:ascii="Times New Roman" w:eastAsia="Times New Roman" w:hAnsi="Times New Roman"/>
          <w:spacing w:val="40"/>
          <w:sz w:val="21"/>
        </w:rPr>
        <w:t xml:space="preserve"> </w:t>
      </w:r>
      <w:r>
        <w:rPr>
          <w:sz w:val="21"/>
        </w:rPr>
        <w:t xml:space="preserve">或粒细胞巨噬细胞集落刺激因子 </w:t>
      </w:r>
      <w:r>
        <w:rPr>
          <w:rFonts w:ascii="Times New Roman" w:eastAsia="Times New Roman" w:hAnsi="Times New Roman"/>
          <w:sz w:val="21"/>
        </w:rPr>
        <w:t>(GM-CSF</w:t>
      </w:r>
      <w:r>
        <w:rPr>
          <w:rFonts w:ascii="Times New Roman" w:eastAsia="Times New Roman" w:hAnsi="Times New Roman"/>
          <w:spacing w:val="25"/>
          <w:sz w:val="21"/>
        </w:rPr>
        <w:t xml:space="preserve">) </w:t>
      </w:r>
      <w:r>
        <w:rPr>
          <w:sz w:val="21"/>
        </w:rPr>
        <w:t xml:space="preserve">治疗 </w:t>
      </w:r>
      <w:r>
        <w:rPr>
          <w:rFonts w:ascii="Times New Roman" w:eastAsia="Times New Roman" w:hAnsi="Times New Roman"/>
          <w:sz w:val="21"/>
        </w:rPr>
        <w:t>(</w:t>
      </w:r>
      <w:r>
        <w:rPr>
          <w:sz w:val="22"/>
        </w:rPr>
        <w:t>Ⅲ</w:t>
      </w:r>
      <w:r>
        <w:rPr>
          <w:rFonts w:ascii="Times New Roman" w:eastAsia="Times New Roman" w:hAnsi="Times New Roman"/>
          <w:sz w:val="21"/>
        </w:rPr>
        <w:t>)</w:t>
      </w:r>
      <w:r>
        <w:rPr>
          <w:sz w:val="21"/>
        </w:rPr>
        <w:t>。</w:t>
      </w:r>
    </w:p>
    <w:p>
      <w:pPr>
        <w:pStyle w:val="ListParagraph"/>
        <w:numPr>
          <w:ilvl w:val="0"/>
          <w:numId w:val="8"/>
        </w:numPr>
        <w:tabs>
          <w:tab w:val="left" w:pos="898"/>
        </w:tabs>
        <w:spacing w:before="0" w:after="0" w:line="417" w:lineRule="auto"/>
        <w:ind w:left="160" w:right="310" w:firstLine="420"/>
        <w:jc w:val="both"/>
        <w:rPr>
          <w:sz w:val="21"/>
        </w:rPr>
      </w:pPr>
      <w:r>
        <w:rPr>
          <w:sz w:val="21"/>
        </w:rPr>
        <w:t>精神异常</w:t>
      </w:r>
      <w:r>
        <w:rPr>
          <w:spacing w:val="80"/>
          <w:w w:val="150"/>
          <w:sz w:val="21"/>
        </w:rPr>
        <w:t xml:space="preserve"> </w:t>
      </w:r>
      <w:r>
        <w:rPr>
          <w:sz w:val="21"/>
        </w:rPr>
        <w:t>可表现为抑郁、妄想、重度焦虑等精神病症状。对症状严重者，应及</w:t>
      </w:r>
      <w:r>
        <w:rPr>
          <w:spacing w:val="-11"/>
          <w:sz w:val="21"/>
        </w:rPr>
        <w:t xml:space="preserve">时停用 </w:t>
      </w:r>
      <w:r>
        <w:rPr>
          <w:rFonts w:ascii="Times New Roman" w:eastAsia="Times New Roman" w:hAnsi="Times New Roman"/>
          <w:sz w:val="21"/>
        </w:rPr>
        <w:t>IFN-</w:t>
      </w:r>
      <w:r>
        <w:rPr>
          <w:rFonts w:ascii="Symbol" w:eastAsia="Symbol" w:hAnsi="Symbol"/>
          <w:sz w:val="21"/>
        </w:rPr>
        <w:sym w:font="Symbol" w:char="F061"/>
      </w:r>
      <w:r>
        <w:rPr>
          <w:sz w:val="21"/>
        </w:rPr>
        <w:t>，必要时会同神经精神科医师进一步诊治。</w:t>
      </w:r>
    </w:p>
    <w:p>
      <w:pPr>
        <w:pStyle w:val="ListParagraph"/>
        <w:numPr>
          <w:ilvl w:val="0"/>
          <w:numId w:val="8"/>
        </w:numPr>
        <w:tabs>
          <w:tab w:val="left" w:pos="896"/>
        </w:tabs>
        <w:spacing w:before="0" w:after="0" w:line="417" w:lineRule="auto"/>
        <w:ind w:left="160" w:right="310" w:firstLine="420"/>
        <w:jc w:val="both"/>
        <w:rPr>
          <w:sz w:val="21"/>
        </w:rPr>
      </w:pPr>
      <w:r>
        <w:rPr>
          <w:spacing w:val="-1"/>
          <w:sz w:val="21"/>
        </w:rPr>
        <w:t xml:space="preserve">自身免疫性疾病 一些患者可出现自身抗体，仅少部分患者出现甲状腺疾病 </w:t>
      </w:r>
      <w:r>
        <w:rPr>
          <w:rFonts w:ascii="Times New Roman" w:eastAsia="Times New Roman"/>
          <w:sz w:val="21"/>
        </w:rPr>
        <w:t>(</w:t>
      </w:r>
      <w:r>
        <w:rPr>
          <w:sz w:val="21"/>
        </w:rPr>
        <w:t>甲状</w:t>
      </w:r>
      <w:r>
        <w:rPr>
          <w:spacing w:val="-2"/>
          <w:sz w:val="21"/>
        </w:rPr>
        <w:t>腺功能减退或亢进</w:t>
      </w:r>
      <w:r>
        <w:rPr>
          <w:rFonts w:ascii="Times New Roman" w:eastAsia="Times New Roman"/>
          <w:spacing w:val="-2"/>
          <w:sz w:val="21"/>
        </w:rPr>
        <w:t>)</w:t>
      </w:r>
      <w:r>
        <w:rPr>
          <w:spacing w:val="-2"/>
          <w:sz w:val="21"/>
        </w:rPr>
        <w:t>、糖尿病、血小板减少、银屑病、白斑、类风湿关节炎和系统性红斑狼</w:t>
      </w:r>
      <w:r>
        <w:rPr>
          <w:spacing w:val="-2"/>
          <w:sz w:val="21"/>
        </w:rPr>
        <w:t>疮样综合征等，应请相关科室医师会诊共同诊治，严重者应停药。</w:t>
      </w:r>
    </w:p>
    <w:p>
      <w:pPr>
        <w:pStyle w:val="ListParagraph"/>
        <w:numPr>
          <w:ilvl w:val="0"/>
          <w:numId w:val="8"/>
        </w:numPr>
        <w:tabs>
          <w:tab w:val="left" w:pos="896"/>
          <w:tab w:val="left" w:pos="3082"/>
        </w:tabs>
        <w:spacing w:before="0" w:after="0" w:line="417" w:lineRule="auto"/>
        <w:ind w:left="160" w:right="205" w:firstLine="420"/>
        <w:jc w:val="left"/>
        <w:rPr>
          <w:sz w:val="21"/>
        </w:rPr>
      </w:pPr>
      <w:r>
        <w:rPr>
          <w:spacing w:val="-2"/>
          <w:sz w:val="21"/>
        </w:rPr>
        <w:t>其</w:t>
      </w:r>
      <w:r>
        <w:rPr>
          <w:spacing w:val="-2"/>
          <w:sz w:val="21"/>
        </w:rPr>
        <w:t>他</w:t>
      </w:r>
      <w:r>
        <w:rPr>
          <w:spacing w:val="-2"/>
          <w:sz w:val="21"/>
        </w:rPr>
        <w:t>少</w:t>
      </w:r>
      <w:r>
        <w:rPr>
          <w:spacing w:val="-2"/>
          <w:sz w:val="21"/>
        </w:rPr>
        <w:t>见</w:t>
      </w:r>
      <w:r>
        <w:rPr>
          <w:spacing w:val="-2"/>
          <w:sz w:val="21"/>
        </w:rPr>
        <w:t>的</w:t>
      </w:r>
      <w:r>
        <w:rPr>
          <w:spacing w:val="-2"/>
          <w:sz w:val="21"/>
        </w:rPr>
        <w:t>不</w:t>
      </w:r>
      <w:r>
        <w:rPr>
          <w:spacing w:val="-2"/>
          <w:sz w:val="21"/>
        </w:rPr>
        <w:t>良</w:t>
      </w:r>
      <w:r>
        <w:rPr>
          <w:spacing w:val="-2"/>
          <w:sz w:val="21"/>
        </w:rPr>
        <w:t>反</w:t>
      </w:r>
      <w:r>
        <w:rPr>
          <w:spacing w:val="-2"/>
          <w:sz w:val="21"/>
        </w:rPr>
        <w:t>应</w:t>
      </w:r>
      <w:r>
        <w:rPr>
          <w:sz w:val="21"/>
        </w:rPr>
        <w:tab/>
        <w:t>包括肾脏损害</w:t>
      </w:r>
      <w:r>
        <w:rPr>
          <w:spacing w:val="-27"/>
          <w:sz w:val="21"/>
        </w:rPr>
        <w:t xml:space="preserve"> </w:t>
      </w:r>
      <w:r>
        <w:rPr>
          <w:rFonts w:ascii="Times New Roman" w:eastAsia="Times New Roman"/>
          <w:sz w:val="21"/>
        </w:rPr>
        <w:t>(</w:t>
      </w:r>
      <w:r>
        <w:rPr>
          <w:sz w:val="21"/>
        </w:rPr>
        <w:t>间质性肾炎、</w:t>
      </w:r>
      <w:r>
        <w:rPr>
          <w:sz w:val="21"/>
        </w:rPr>
        <w:t>肾病综合征和急性肾衰竭等</w:t>
      </w:r>
      <w:r>
        <w:rPr>
          <w:rFonts w:ascii="Times New Roman" w:eastAsia="Times New Roman"/>
          <w:sz w:val="21"/>
        </w:rPr>
        <w:t>)</w:t>
      </w:r>
      <w:r>
        <w:rPr>
          <w:sz w:val="21"/>
        </w:rPr>
        <w:t xml:space="preserve">、心血管并发症 </w:t>
      </w:r>
      <w:r>
        <w:rPr>
          <w:rFonts w:ascii="Times New Roman" w:eastAsia="Times New Roman"/>
          <w:sz w:val="21"/>
        </w:rPr>
        <w:t>(</w:t>
      </w:r>
      <w:r>
        <w:rPr>
          <w:sz w:val="21"/>
        </w:rPr>
        <w:t>心律失常、缺血性心脏病和心肌病等</w:t>
      </w:r>
      <w:r>
        <w:rPr>
          <w:rFonts w:ascii="Times New Roman" w:eastAsia="Times New Roman"/>
          <w:sz w:val="21"/>
        </w:rPr>
        <w:t>)</w:t>
      </w:r>
      <w:r>
        <w:rPr>
          <w:sz w:val="21"/>
        </w:rPr>
        <w:t>、视网膜病变、听力下降和间质性肺</w:t>
      </w:r>
      <w:r>
        <w:rPr>
          <w:spacing w:val="-2"/>
          <w:sz w:val="21"/>
        </w:rPr>
        <w:t>炎</w:t>
      </w:r>
      <w:r>
        <w:rPr>
          <w:spacing w:val="-2"/>
          <w:sz w:val="21"/>
        </w:rPr>
        <w:t>等</w:t>
      </w:r>
      <w:r>
        <w:rPr>
          <w:spacing w:val="-2"/>
          <w:sz w:val="21"/>
        </w:rPr>
        <w:t>，</w:t>
      </w:r>
      <w:r>
        <w:rPr>
          <w:spacing w:val="-2"/>
          <w:sz w:val="21"/>
        </w:rPr>
        <w:t>应</w:t>
      </w:r>
      <w:r>
        <w:rPr>
          <w:spacing w:val="-2"/>
          <w:sz w:val="21"/>
        </w:rPr>
        <w:t>停</w:t>
      </w:r>
      <w:r>
        <w:rPr>
          <w:spacing w:val="-2"/>
          <w:sz w:val="21"/>
        </w:rPr>
        <w:t>止</w:t>
      </w:r>
      <w:r>
        <w:rPr>
          <w:spacing w:val="-2"/>
          <w:sz w:val="21"/>
        </w:rPr>
        <w:t>干</w:t>
      </w:r>
      <w:r>
        <w:rPr>
          <w:spacing w:val="-2"/>
          <w:sz w:val="21"/>
        </w:rPr>
        <w:t>扰</w:t>
      </w:r>
      <w:r>
        <w:rPr>
          <w:spacing w:val="-2"/>
          <w:sz w:val="21"/>
        </w:rPr>
        <w:t>素</w:t>
      </w:r>
      <w:r>
        <w:rPr>
          <w:spacing w:val="-2"/>
          <w:sz w:val="21"/>
        </w:rPr>
        <w:t>治</w:t>
      </w:r>
      <w:r>
        <w:rPr>
          <w:spacing w:val="-2"/>
          <w:sz w:val="21"/>
        </w:rPr>
        <w:t>疗</w:t>
      </w:r>
      <w:r>
        <w:rPr>
          <w:spacing w:val="-2"/>
          <w:sz w:val="21"/>
        </w:rPr>
        <w:t>。</w:t>
      </w:r>
    </w:p>
    <w:p>
      <w:pPr>
        <w:pStyle w:val="BodyText"/>
        <w:spacing w:line="269" w:lineRule="exact"/>
      </w:pPr>
      <w:r>
        <w:rPr>
          <w:rFonts w:ascii="Times New Roman" w:eastAsia="Times New Roman"/>
        </w:rPr>
        <w:t>(</w:t>
      </w:r>
      <w:r>
        <w:t>四</w:t>
      </w:r>
      <w:r>
        <w:rPr>
          <w:rFonts w:ascii="Times New Roman" w:eastAsia="Times New Roman"/>
          <w:spacing w:val="26"/>
        </w:rPr>
        <w:t xml:space="preserve">) </w:t>
      </w:r>
      <w:r>
        <w:rPr>
          <w:spacing w:val="-2"/>
        </w:rPr>
        <w:t>干扰素治疗的禁忌证</w:t>
      </w:r>
    </w:p>
    <w:p>
      <w:pPr>
        <w:pStyle w:val="BodyText"/>
        <w:spacing w:before="187" w:line="417" w:lineRule="auto"/>
        <w:ind w:right="274" w:firstLine="525"/>
      </w:pPr>
      <w:r>
        <w:rPr>
          <w:spacing w:val="-2"/>
        </w:rPr>
        <w:t xml:space="preserve">干扰素治疗的绝对禁忌证包括：妊娠、精神病史 </w:t>
      </w:r>
      <w:r>
        <w:rPr>
          <w:rFonts w:ascii="Times New Roman" w:eastAsia="Times New Roman"/>
        </w:rPr>
        <w:t>(</w:t>
      </w:r>
      <w:r>
        <w:t>如严重抑郁症</w:t>
      </w:r>
      <w:r>
        <w:rPr>
          <w:rFonts w:ascii="Times New Roman" w:eastAsia="Times New Roman"/>
        </w:rPr>
        <w:t>)</w:t>
      </w:r>
      <w:r>
        <w:t>、未能控制的癫痫、</w:t>
      </w:r>
      <w:r>
        <w:rPr>
          <w:spacing w:val="-2"/>
        </w:rPr>
        <w:t>未戒断的酗酒</w:t>
      </w:r>
      <w:r>
        <w:rPr>
          <w:rFonts w:ascii="Times New Roman" w:eastAsia="Times New Roman"/>
          <w:spacing w:val="-2"/>
        </w:rPr>
        <w:t>/</w:t>
      </w:r>
      <w:r>
        <w:rPr>
          <w:spacing w:val="-2"/>
        </w:rPr>
        <w:t>吸毒者、未经控制的自身免疫性疾病、失代偿期肝硬化、有症状的心脏病。</w:t>
      </w:r>
    </w:p>
    <w:p>
      <w:pPr>
        <w:pStyle w:val="BodyText"/>
        <w:spacing w:line="269" w:lineRule="exact"/>
        <w:ind w:left="685"/>
      </w:pPr>
      <w:r>
        <w:rPr>
          <w:spacing w:val="-3"/>
        </w:rPr>
        <w:t>干扰素治疗的相对禁忌证包括：甲状腺疾病、视网膜病、银屑病、既往抑郁症史，未</w:t>
      </w:r>
    </w:p>
    <w:p>
      <w:pPr>
        <w:pStyle w:val="BodyText"/>
        <w:spacing w:before="6"/>
        <w:ind w:left="0"/>
        <w:rPr>
          <w:sz w:val="15"/>
        </w:rPr>
        <w:sectPr>
          <w:footerReference w:type="default" r:id="rId14"/>
          <w:pgSz w:w="11910" w:h="16840"/>
          <w:pgMar w:top="1460" w:right="1500" w:bottom="1380" w:left="1640" w:header="0" w:footer="1189"/>
          <w:pgNumType w:start="11"/>
          <w:cols w:space="708"/>
        </w:sectPr>
      </w:pPr>
    </w:p>
    <w:p>
      <w:pPr>
        <w:pStyle w:val="BodyText"/>
        <w:ind w:left="0" w:right="310"/>
        <w:jc w:val="right"/>
        <w:rPr>
          <w:rFonts w:ascii="Symbol" w:hAnsi="Symbol"/>
        </w:rPr>
      </w:pPr>
      <w:r>
        <w:rPr>
          <w:spacing w:val="1"/>
        </w:rPr>
        <w:t xml:space="preserve">控制的糖尿病、高血压，治疗前中性粒细胞计数 </w:t>
      </w:r>
      <w:r>
        <w:rPr>
          <w:rFonts w:ascii="Times New Roman" w:hAnsi="Times New Roman"/>
        </w:rPr>
        <w:t>&lt;1.0</w:t>
      </w:r>
      <w:r>
        <w:rPr>
          <w:rFonts w:ascii="Times New Roman" w:hAnsi="Times New Roman"/>
          <w:spacing w:val="18"/>
        </w:rPr>
        <w:t xml:space="preserve"> </w:t>
      </w:r>
      <w:r>
        <w:rPr>
          <w:rFonts w:ascii="Symbol" w:hAnsi="Symbol"/>
        </w:rPr>
        <w:sym w:font="Symbol" w:char="F0B4"/>
      </w:r>
      <w:r>
        <w:rPr>
          <w:rFonts w:ascii="Times New Roman" w:hAnsi="Times New Roman"/>
          <w:spacing w:val="18"/>
        </w:rPr>
        <w:t xml:space="preserve"> </w:t>
      </w:r>
      <w:r>
        <w:rPr>
          <w:rFonts w:ascii="Times New Roman" w:hAnsi="Times New Roman"/>
        </w:rPr>
        <w:t>10</w:t>
      </w:r>
      <w:r>
        <w:rPr>
          <w:rFonts w:ascii="Times New Roman" w:hAnsi="Times New Roman"/>
          <w:position w:val="6"/>
          <w:sz w:val="14"/>
        </w:rPr>
        <w:t>9</w:t>
      </w:r>
      <w:r>
        <w:rPr>
          <w:rFonts w:ascii="Times New Roman" w:hAnsi="Times New Roman"/>
        </w:rPr>
        <w:t>/L</w:t>
      </w:r>
      <w:r>
        <w:rPr>
          <w:rFonts w:ascii="Times New Roman" w:hAnsi="Times New Roman"/>
          <w:spacing w:val="12"/>
        </w:rPr>
        <w:t xml:space="preserve"> </w:t>
      </w:r>
      <w:r>
        <w:t>和（或）</w:t>
      </w:r>
      <w:r>
        <w:rPr>
          <w:spacing w:val="6"/>
        </w:rPr>
        <w:t xml:space="preserve">血小板计数 </w:t>
      </w:r>
      <w:r>
        <w:rPr>
          <w:rFonts w:ascii="Times New Roman" w:hAnsi="Times New Roman"/>
        </w:rPr>
        <w:t>&lt;50</w:t>
      </w:r>
      <w:r>
        <w:rPr>
          <w:rFonts w:ascii="Times New Roman" w:hAnsi="Times New Roman"/>
          <w:spacing w:val="18"/>
        </w:rPr>
        <w:t xml:space="preserve"> </w:t>
      </w:r>
      <w:r>
        <w:rPr>
          <w:rFonts w:ascii="Symbol" w:hAnsi="Symbol"/>
          <w:spacing w:val="-10"/>
        </w:rPr>
        <w:sym w:font="Symbol" w:char="F0B4"/>
      </w:r>
    </w:p>
    <w:p>
      <w:pPr>
        <w:spacing w:after="0"/>
        <w:jc w:val="right"/>
        <w:rPr>
          <w:rFonts w:ascii="Symbol" w:hAnsi="Symbol"/>
        </w:rPr>
        <w:sectPr>
          <w:footerReference w:type="default" r:id="rId15"/>
          <w:type w:val="nextPage"/>
          <w:pgSz w:w="11910" w:h="16840"/>
          <w:pgMar w:top="1460" w:right="1500" w:bottom="1380" w:left="1640" w:header="0" w:footer="1189"/>
          <w:pgNumType w:start="12"/>
          <w:cols w:space="708"/>
          <w:titlePg w:val="0"/>
        </w:sectPr>
      </w:pPr>
    </w:p>
    <w:p>
      <w:pPr>
        <w:pStyle w:val="BodyText"/>
        <w:spacing w:before="82"/>
      </w:pPr>
      <w:r>
        <w:rPr>
          <w:rFonts w:ascii="Times New Roman" w:eastAsia="Times New Roman" w:hAnsi="Times New Roman"/>
        </w:rPr>
        <w:t>10</w:t>
      </w:r>
      <w:r>
        <w:rPr>
          <w:rFonts w:ascii="Times New Roman" w:eastAsia="Times New Roman" w:hAnsi="Times New Roman"/>
          <w:position w:val="6"/>
          <w:sz w:val="14"/>
        </w:rPr>
        <w:t>9</w:t>
      </w:r>
      <w:r>
        <w:rPr>
          <w:rFonts w:ascii="Times New Roman" w:eastAsia="Times New Roman" w:hAnsi="Times New Roman"/>
        </w:rPr>
        <w:t>/L</w:t>
      </w:r>
      <w:r>
        <w:t>，总胆红素</w:t>
      </w:r>
      <w:r>
        <w:rPr>
          <w:rFonts w:ascii="Symbol" w:eastAsia="Symbol" w:hAnsi="Symbol"/>
        </w:rPr>
        <w:sym w:font="Symbol" w:char="F03E"/>
      </w:r>
      <w:r>
        <w:rPr>
          <w:rFonts w:ascii="Times New Roman" w:eastAsia="Times New Roman" w:hAnsi="Times New Roman"/>
        </w:rPr>
        <w:t>51</w:t>
      </w:r>
      <w:r>
        <w:rPr>
          <w:rFonts w:ascii="Times New Roman" w:eastAsia="Times New Roman" w:hAnsi="Times New Roman"/>
          <w:spacing w:val="-2"/>
        </w:rPr>
        <w:t xml:space="preserve"> </w:t>
      </w:r>
      <w:r>
        <w:rPr>
          <w:rFonts w:ascii="Symbol" w:eastAsia="Symbol" w:hAnsi="Symbol"/>
        </w:rPr>
        <w:sym w:font="Symbol" w:char="F06D"/>
      </w:r>
      <w:r>
        <w:rPr>
          <w:rFonts w:ascii="Times New Roman" w:eastAsia="Times New Roman" w:hAnsi="Times New Roman"/>
        </w:rPr>
        <w:t>mol/L</w:t>
      </w:r>
      <w:r>
        <w:t>（</w:t>
      </w:r>
      <w:r>
        <w:rPr>
          <w:spacing w:val="-9"/>
        </w:rPr>
        <w:t>特别是以间接胆红素为主者。</w:t>
      </w:r>
      <w:r>
        <w:rPr>
          <w:spacing w:val="-10"/>
        </w:rPr>
        <w:t>）</w:t>
      </w:r>
    </w:p>
    <w:p>
      <w:pPr>
        <w:pStyle w:val="BodyText"/>
        <w:spacing w:before="3"/>
        <w:ind w:left="0"/>
        <w:rPr>
          <w:sz w:val="22"/>
        </w:rPr>
      </w:pPr>
    </w:p>
    <w:p>
      <w:pPr>
        <w:pStyle w:val="Heading1"/>
      </w:pPr>
      <w:r>
        <w:t>十二、核苷（酸）</w:t>
      </w:r>
      <w:r>
        <w:rPr>
          <w:spacing w:val="-2"/>
        </w:rPr>
        <w:t>类似物治疗</w:t>
      </w:r>
    </w:p>
    <w:p>
      <w:pPr>
        <w:pStyle w:val="BodyText"/>
        <w:spacing w:before="152"/>
        <w:ind w:left="580"/>
      </w:pPr>
      <w:r>
        <w:t>（一）</w:t>
      </w:r>
      <w:r>
        <w:rPr>
          <w:spacing w:val="-5"/>
        </w:rPr>
        <w:t xml:space="preserve">目前已应用于临床的抗 </w:t>
      </w:r>
      <w:r>
        <w:t>HBV</w:t>
      </w:r>
      <w:r>
        <w:rPr>
          <w:spacing w:val="-18"/>
        </w:rPr>
        <w:t xml:space="preserve"> 核苷</w:t>
      </w:r>
      <w:r>
        <w:t>（酸）</w:t>
      </w:r>
      <w:r>
        <w:rPr>
          <w:spacing w:val="-8"/>
        </w:rPr>
        <w:t xml:space="preserve">类似物药物有 </w:t>
      </w:r>
      <w:r>
        <w:t>5</w:t>
      </w:r>
      <w:r>
        <w:rPr>
          <w:spacing w:val="-13"/>
        </w:rPr>
        <w:t xml:space="preserve"> 种，我国已上市 </w:t>
      </w:r>
      <w:r>
        <w:t>4</w:t>
      </w:r>
      <w:r>
        <w:rPr>
          <w:spacing w:val="-22"/>
        </w:rPr>
        <w:t xml:space="preserve"> 种。</w:t>
      </w:r>
    </w:p>
    <w:p>
      <w:pPr>
        <w:pStyle w:val="BodyText"/>
        <w:spacing w:before="6"/>
        <w:ind w:left="0"/>
        <w:rPr>
          <w:sz w:val="15"/>
        </w:rPr>
      </w:pPr>
    </w:p>
    <w:p>
      <w:pPr>
        <w:pStyle w:val="ListParagraph"/>
        <w:numPr>
          <w:ilvl w:val="0"/>
          <w:numId w:val="7"/>
        </w:numPr>
        <w:tabs>
          <w:tab w:val="left" w:pos="843"/>
        </w:tabs>
        <w:spacing w:before="0" w:after="0" w:line="240" w:lineRule="auto"/>
        <w:ind w:left="842" w:right="0" w:hanging="263"/>
        <w:jc w:val="left"/>
        <w:rPr>
          <w:sz w:val="21"/>
        </w:rPr>
      </w:pPr>
      <w:r>
        <w:rPr>
          <w:sz w:val="21"/>
        </w:rPr>
        <w:t>拉米夫定（</w:t>
      </w:r>
      <w:r>
        <w:rPr>
          <w:rFonts w:ascii="Times New Roman" w:eastAsia="Times New Roman"/>
          <w:sz w:val="21"/>
        </w:rPr>
        <w:t>lamivudine</w:t>
      </w:r>
      <w:r>
        <w:rPr>
          <w:spacing w:val="-1"/>
          <w:sz w:val="21"/>
        </w:rPr>
        <w:t xml:space="preserve">， </w:t>
      </w:r>
      <w:r>
        <w:rPr>
          <w:rFonts w:ascii="Times New Roman" w:eastAsia="Times New Roman"/>
          <w:spacing w:val="-4"/>
          <w:sz w:val="21"/>
        </w:rPr>
        <w:t>LAM</w:t>
      </w:r>
      <w:r>
        <w:rPr>
          <w:spacing w:val="-4"/>
          <w:sz w:val="21"/>
        </w:rPr>
        <w:t>）</w:t>
      </w:r>
    </w:p>
    <w:p>
      <w:pPr>
        <w:pStyle w:val="BodyText"/>
        <w:spacing w:before="7"/>
        <w:ind w:left="0"/>
        <w:rPr>
          <w:sz w:val="15"/>
        </w:rPr>
      </w:pPr>
    </w:p>
    <w:p>
      <w:pPr>
        <w:pStyle w:val="BodyText"/>
        <w:spacing w:line="417" w:lineRule="auto"/>
        <w:ind w:right="310" w:firstLine="384"/>
      </w:pPr>
      <w:r>
        <w:rPr>
          <w:spacing w:val="-2"/>
        </w:rPr>
        <w:t xml:space="preserve">国内外随机对照临床试验结果表明，每日 </w:t>
      </w:r>
      <w:r>
        <w:rPr>
          <w:rFonts w:ascii="Times New Roman" w:eastAsia="Times New Roman"/>
        </w:rPr>
        <w:t xml:space="preserve">1 </w:t>
      </w:r>
      <w:r>
        <w:rPr>
          <w:spacing w:val="-8"/>
        </w:rPr>
        <w:t xml:space="preserve">次口服 </w:t>
      </w:r>
      <w:r>
        <w:rPr>
          <w:rFonts w:ascii="Times New Roman" w:eastAsia="Times New Roman"/>
        </w:rPr>
        <w:t xml:space="preserve">100 mg </w:t>
      </w:r>
      <w:r>
        <w:rPr>
          <w:spacing w:val="-4"/>
        </w:rPr>
        <w:t xml:space="preserve">拉米夫定可明显抑制 </w:t>
      </w:r>
      <w:r>
        <w:rPr>
          <w:rFonts w:ascii="Times New Roman" w:eastAsia="Times New Roman"/>
        </w:rPr>
        <w:t>HBV DNA</w:t>
      </w:r>
      <w:r>
        <w:rPr>
          <w:rFonts w:ascii="Times New Roman" w:eastAsia="Times New Roman"/>
          <w:spacing w:val="-14"/>
        </w:rPr>
        <w:t xml:space="preserve"> </w:t>
      </w:r>
      <w:r>
        <w:t>水平</w:t>
      </w:r>
      <w:r>
        <w:rPr>
          <w:rFonts w:ascii="Times New Roman" w:eastAsia="Times New Roman"/>
          <w:spacing w:val="-7"/>
        </w:rPr>
        <w:t xml:space="preserve">; </w:t>
      </w:r>
      <w:r>
        <w:rPr>
          <w:rFonts w:ascii="Times New Roman" w:eastAsia="Times New Roman"/>
        </w:rPr>
        <w:t>HBeAg</w:t>
      </w:r>
      <w:r>
        <w:rPr>
          <w:rFonts w:ascii="Times New Roman" w:eastAsia="Times New Roman"/>
          <w:spacing w:val="-13"/>
        </w:rPr>
        <w:t xml:space="preserve"> </w:t>
      </w:r>
      <w:r>
        <w:rPr>
          <w:spacing w:val="-3"/>
        </w:rPr>
        <w:t xml:space="preserve">血清学转换率随治疗时间延长而提高，治疗 </w:t>
      </w:r>
      <w:r>
        <w:rPr>
          <w:rFonts w:ascii="Times New Roman" w:eastAsia="Times New Roman"/>
        </w:rPr>
        <w:t>1</w:t>
      </w:r>
      <w:r>
        <w:t>、</w:t>
      </w:r>
      <w:r>
        <w:rPr>
          <w:rFonts w:ascii="Times New Roman" w:eastAsia="Times New Roman"/>
        </w:rPr>
        <w:t>2</w:t>
      </w:r>
      <w:r>
        <w:t>、</w:t>
      </w:r>
      <w:r>
        <w:rPr>
          <w:rFonts w:ascii="Times New Roman" w:eastAsia="Times New Roman"/>
        </w:rPr>
        <w:t>3</w:t>
      </w:r>
      <w:r>
        <w:t>、</w:t>
      </w:r>
      <w:r>
        <w:rPr>
          <w:rFonts w:ascii="Times New Roman" w:eastAsia="Times New Roman"/>
        </w:rPr>
        <w:t>4</w:t>
      </w:r>
      <w:r>
        <w:rPr>
          <w:rFonts w:ascii="Times New Roman" w:eastAsia="Times New Roman"/>
          <w:spacing w:val="-13"/>
        </w:rPr>
        <w:t xml:space="preserve"> </w:t>
      </w:r>
      <w:r>
        <w:rPr>
          <w:spacing w:val="-27"/>
        </w:rPr>
        <w:t xml:space="preserve">和 </w:t>
      </w:r>
      <w:r>
        <w:rPr>
          <w:rFonts w:ascii="Times New Roman" w:eastAsia="Times New Roman"/>
        </w:rPr>
        <w:t>5</w:t>
      </w:r>
      <w:r>
        <w:rPr>
          <w:rFonts w:ascii="Times New Roman" w:eastAsia="Times New Roman"/>
          <w:spacing w:val="-13"/>
        </w:rPr>
        <w:t xml:space="preserve"> </w:t>
      </w:r>
      <w:r>
        <w:t xml:space="preserve">年时分别为 </w:t>
      </w:r>
      <w:r>
        <w:rPr>
          <w:rFonts w:ascii="Times New Roman" w:eastAsia="Times New Roman"/>
          <w:spacing w:val="-2"/>
        </w:rPr>
        <w:t>16%</w:t>
      </w:r>
      <w:r>
        <w:rPr>
          <w:spacing w:val="-2"/>
        </w:rPr>
        <w:t>、</w:t>
      </w:r>
      <w:r>
        <w:rPr>
          <w:rFonts w:ascii="Times New Roman" w:eastAsia="Times New Roman"/>
          <w:spacing w:val="-2"/>
        </w:rPr>
        <w:t>17%</w:t>
      </w:r>
      <w:r>
        <w:rPr>
          <w:spacing w:val="-2"/>
        </w:rPr>
        <w:t>、</w:t>
      </w:r>
      <w:r>
        <w:rPr>
          <w:rFonts w:ascii="Times New Roman" w:eastAsia="Times New Roman"/>
          <w:spacing w:val="-2"/>
        </w:rPr>
        <w:t>23%</w:t>
      </w:r>
      <w:r>
        <w:rPr>
          <w:spacing w:val="-2"/>
        </w:rPr>
        <w:t>、</w:t>
      </w:r>
      <w:r>
        <w:rPr>
          <w:rFonts w:ascii="Times New Roman" w:eastAsia="Times New Roman"/>
          <w:spacing w:val="-2"/>
        </w:rPr>
        <w:t>28</w:t>
      </w:r>
      <w:r>
        <w:rPr>
          <w:spacing w:val="-18"/>
        </w:rPr>
        <w:t xml:space="preserve">％和 </w:t>
      </w:r>
      <w:r>
        <w:rPr>
          <w:rFonts w:ascii="Times New Roman" w:eastAsia="Times New Roman"/>
          <w:spacing w:val="-2"/>
        </w:rPr>
        <w:t>35</w:t>
      </w:r>
      <w:r>
        <w:rPr>
          <w:spacing w:val="-2"/>
        </w:rPr>
        <w:t>％</w:t>
      </w:r>
      <w:r>
        <w:rPr>
          <w:rFonts w:ascii="Calibri" w:eastAsia="Calibri"/>
          <w:spacing w:val="-2"/>
          <w:vertAlign w:val="superscript"/>
        </w:rPr>
        <w:t>[60]</w:t>
      </w:r>
      <w:r>
        <w:rPr>
          <w:spacing w:val="-12"/>
          <w:vertAlign w:val="baseline"/>
        </w:rPr>
        <w:t xml:space="preserve">；治疗前 </w:t>
      </w:r>
      <w:r>
        <w:rPr>
          <w:rFonts w:ascii="Times New Roman" w:eastAsia="Times New Roman"/>
          <w:spacing w:val="-2"/>
          <w:vertAlign w:val="baseline"/>
        </w:rPr>
        <w:t>ALT</w:t>
      </w:r>
      <w:r>
        <w:rPr>
          <w:rFonts w:ascii="Times New Roman" w:eastAsia="Times New Roman"/>
          <w:spacing w:val="3"/>
          <w:vertAlign w:val="baseline"/>
        </w:rPr>
        <w:t xml:space="preserve"> </w:t>
      </w:r>
      <w:r>
        <w:rPr>
          <w:spacing w:val="-8"/>
          <w:vertAlign w:val="baseline"/>
        </w:rPr>
        <w:t xml:space="preserve">水平较高者，其 </w:t>
      </w:r>
      <w:r>
        <w:rPr>
          <w:rFonts w:ascii="Times New Roman" w:eastAsia="Times New Roman"/>
          <w:spacing w:val="-2"/>
          <w:vertAlign w:val="baseline"/>
        </w:rPr>
        <w:t>HBeAg</w:t>
      </w:r>
      <w:r>
        <w:rPr>
          <w:rFonts w:ascii="Times New Roman" w:eastAsia="Times New Roman"/>
          <w:spacing w:val="3"/>
          <w:vertAlign w:val="baseline"/>
        </w:rPr>
        <w:t xml:space="preserve"> </w:t>
      </w:r>
      <w:r>
        <w:rPr>
          <w:spacing w:val="-3"/>
          <w:vertAlign w:val="baseline"/>
        </w:rPr>
        <w:t>血清学转换率较高</w:t>
      </w:r>
    </w:p>
    <w:p>
      <w:pPr>
        <w:pStyle w:val="BodyText"/>
        <w:spacing w:line="417" w:lineRule="auto"/>
        <w:ind w:right="309"/>
      </w:pPr>
      <w:r>
        <w:rPr>
          <w:rFonts w:ascii="Calibri" w:eastAsia="Calibri"/>
          <w:spacing w:val="-4"/>
          <w:vertAlign w:val="superscript"/>
        </w:rPr>
        <w:t>[61-64]</w:t>
      </w:r>
      <w:r>
        <w:rPr>
          <w:spacing w:val="-4"/>
          <w:vertAlign w:val="baseline"/>
        </w:rPr>
        <w:t>。随机双盲临床试验表明，慢性乙型肝炎伴明显肝纤维化和代偿期肝硬化患者经拉米夫</w:t>
      </w:r>
      <w:r>
        <w:rPr>
          <w:spacing w:val="-8"/>
          <w:vertAlign w:val="baseline"/>
        </w:rPr>
        <w:t xml:space="preserve">定治疗 </w:t>
      </w:r>
      <w:r>
        <w:rPr>
          <w:rFonts w:ascii="Times New Roman" w:eastAsia="Times New Roman"/>
          <w:vertAlign w:val="baseline"/>
        </w:rPr>
        <w:t xml:space="preserve">3 </w:t>
      </w:r>
      <w:r>
        <w:rPr>
          <w:vertAlign w:val="baseline"/>
        </w:rPr>
        <w:t>年可延缓疾病进展、降低肝功能失代偿及肝癌的发生率</w:t>
      </w:r>
      <w:r>
        <w:rPr>
          <w:rFonts w:ascii="Calibri" w:eastAsia="Calibri"/>
          <w:vertAlign w:val="superscript"/>
        </w:rPr>
        <w:t>[65,</w:t>
      </w:r>
      <w:r>
        <w:rPr>
          <w:rFonts w:ascii="Calibri" w:eastAsia="Calibri"/>
          <w:spacing w:val="-4"/>
          <w:vertAlign w:val="baseline"/>
        </w:rPr>
        <w:t xml:space="preserve"> </w:t>
      </w:r>
      <w:r>
        <w:rPr>
          <w:rFonts w:ascii="Calibri" w:eastAsia="Calibri"/>
          <w:vertAlign w:val="superscript"/>
        </w:rPr>
        <w:t>66]</w:t>
      </w:r>
      <w:r>
        <w:rPr>
          <w:vertAlign w:val="baseline"/>
        </w:rPr>
        <w:t>。失代偿期肝硬化患</w:t>
      </w:r>
      <w:r>
        <w:rPr>
          <w:spacing w:val="-4"/>
          <w:vertAlign w:val="baseline"/>
        </w:rPr>
        <w:t>者经拉米夫定治疗后也能改善肝功能，延长生存期</w:t>
      </w:r>
      <w:r>
        <w:rPr>
          <w:rFonts w:ascii="Calibri" w:eastAsia="Calibri"/>
          <w:spacing w:val="-4"/>
          <w:vertAlign w:val="superscript"/>
        </w:rPr>
        <w:t>[67-69]</w:t>
      </w:r>
      <w:r>
        <w:rPr>
          <w:spacing w:val="-4"/>
          <w:vertAlign w:val="baseline"/>
        </w:rPr>
        <w:t>。国外研究结果显示，拉米夫定治疗</w:t>
      </w:r>
      <w:r>
        <w:rPr>
          <w:vertAlign w:val="baseline"/>
        </w:rPr>
        <w:t>儿童慢性乙型肝炎的疗效与成人相似，安全性良好</w:t>
      </w:r>
      <w:r>
        <w:rPr>
          <w:rFonts w:ascii="Calibri" w:eastAsia="Calibri"/>
          <w:vertAlign w:val="superscript"/>
        </w:rPr>
        <w:t>[70,</w:t>
      </w:r>
      <w:r>
        <w:rPr>
          <w:rFonts w:ascii="Calibri" w:eastAsia="Calibri"/>
          <w:spacing w:val="-16"/>
          <w:vertAlign w:val="baseline"/>
        </w:rPr>
        <w:t xml:space="preserve"> </w:t>
      </w:r>
      <w:r>
        <w:rPr>
          <w:rFonts w:ascii="Calibri" w:eastAsia="Calibri"/>
          <w:vertAlign w:val="superscript"/>
        </w:rPr>
        <w:t>71]</w:t>
      </w:r>
      <w:r>
        <w:rPr>
          <w:vertAlign w:val="baseline"/>
        </w:rPr>
        <w:t>。我国临床研究也显示相似的临床</w:t>
      </w:r>
      <w:r>
        <w:rPr>
          <w:spacing w:val="-2"/>
          <w:vertAlign w:val="baseline"/>
        </w:rPr>
        <w:t>疗效和安全性</w:t>
      </w:r>
      <w:r>
        <w:rPr>
          <w:rFonts w:ascii="Calibri" w:eastAsia="Calibri"/>
          <w:spacing w:val="-2"/>
          <w:vertAlign w:val="superscript"/>
        </w:rPr>
        <w:t>[72]</w:t>
      </w:r>
      <w:r>
        <w:rPr>
          <w:spacing w:val="-2"/>
          <w:vertAlign w:val="baseline"/>
        </w:rPr>
        <w:t>。</w:t>
      </w:r>
    </w:p>
    <w:p>
      <w:pPr>
        <w:pStyle w:val="BodyText"/>
        <w:spacing w:line="417" w:lineRule="auto"/>
        <w:ind w:right="297" w:firstLine="420"/>
      </w:pPr>
      <w:r>
        <w:rPr>
          <w:spacing w:val="-4"/>
        </w:rPr>
        <w:t>拉米夫定不良反应发生率低，安全性类似安慰剂。随治疗时间延长，病毒耐药突变的发</w:t>
      </w:r>
      <w:r>
        <w:t xml:space="preserve">生率增高 </w:t>
      </w:r>
      <w:r>
        <w:rPr>
          <w:rFonts w:ascii="Times New Roman" w:eastAsia="Times New Roman"/>
        </w:rPr>
        <w:t>(</w:t>
      </w:r>
      <w:r>
        <w:rPr>
          <w:spacing w:val="-16"/>
        </w:rPr>
        <w:t xml:space="preserve">第 </w:t>
      </w:r>
      <w:r>
        <w:rPr>
          <w:rFonts w:ascii="Times New Roman" w:eastAsia="Times New Roman"/>
        </w:rPr>
        <w:t>1</w:t>
      </w:r>
      <w:r>
        <w:t>、</w:t>
      </w:r>
      <w:r>
        <w:rPr>
          <w:rFonts w:ascii="Times New Roman" w:eastAsia="Times New Roman"/>
        </w:rPr>
        <w:t>2</w:t>
      </w:r>
      <w:r>
        <w:t>、</w:t>
      </w:r>
      <w:r>
        <w:rPr>
          <w:rFonts w:ascii="Times New Roman" w:eastAsia="Times New Roman"/>
        </w:rPr>
        <w:t>3</w:t>
      </w:r>
      <w:r>
        <w:t>、</w:t>
      </w:r>
      <w:r>
        <w:rPr>
          <w:rFonts w:ascii="Times New Roman" w:eastAsia="Times New Roman"/>
        </w:rPr>
        <w:t xml:space="preserve">4 </w:t>
      </w:r>
      <w:r>
        <w:rPr>
          <w:spacing w:val="-7"/>
        </w:rPr>
        <w:t xml:space="preserve">年分别为 </w:t>
      </w:r>
      <w:r>
        <w:rPr>
          <w:rFonts w:ascii="Times New Roman" w:eastAsia="Times New Roman"/>
        </w:rPr>
        <w:t>14%</w:t>
      </w:r>
      <w:r>
        <w:t>、</w:t>
      </w:r>
      <w:r>
        <w:rPr>
          <w:rFonts w:ascii="Times New Roman" w:eastAsia="Times New Roman"/>
        </w:rPr>
        <w:t>38%</w:t>
      </w:r>
      <w:r>
        <w:t>、</w:t>
      </w:r>
      <w:r>
        <w:rPr>
          <w:rFonts w:ascii="Times New Roman" w:eastAsia="Times New Roman"/>
        </w:rPr>
        <w:t>49%</w:t>
      </w:r>
      <w:r>
        <w:rPr>
          <w:spacing w:val="-16"/>
        </w:rPr>
        <w:t xml:space="preserve">和 </w:t>
      </w:r>
      <w:r>
        <w:rPr>
          <w:rFonts w:ascii="Times New Roman" w:eastAsia="Times New Roman"/>
        </w:rPr>
        <w:t>66%)</w:t>
      </w:r>
      <w:r>
        <w:rPr>
          <w:rFonts w:ascii="Calibri" w:eastAsia="Calibri"/>
          <w:position w:val="6"/>
          <w:sz w:val="14"/>
        </w:rPr>
        <w:t>[60, 72, 73]</w:t>
      </w:r>
      <w:r>
        <w:t>。</w:t>
      </w:r>
    </w:p>
    <w:p>
      <w:pPr>
        <w:pStyle w:val="ListParagraph"/>
        <w:numPr>
          <w:ilvl w:val="0"/>
          <w:numId w:val="7"/>
        </w:numPr>
        <w:tabs>
          <w:tab w:val="left" w:pos="739"/>
        </w:tabs>
        <w:spacing w:before="0" w:after="0" w:line="269" w:lineRule="exact"/>
        <w:ind w:left="738" w:right="0" w:hanging="159"/>
        <w:jc w:val="left"/>
        <w:rPr>
          <w:rFonts w:ascii="Times New Roman" w:eastAsia="Times New Roman"/>
          <w:sz w:val="21"/>
        </w:rPr>
      </w:pPr>
      <w:r>
        <w:rPr>
          <w:spacing w:val="-1"/>
          <w:sz w:val="21"/>
        </w:rPr>
        <w:t xml:space="preserve">阿德福韦酯 </w:t>
      </w:r>
      <w:r>
        <w:rPr>
          <w:rFonts w:ascii="Times New Roman" w:eastAsia="Times New Roman"/>
          <w:sz w:val="21"/>
        </w:rPr>
        <w:t xml:space="preserve">(adefovir dipivoxil, </w:t>
      </w:r>
      <w:r>
        <w:rPr>
          <w:rFonts w:ascii="Times New Roman" w:eastAsia="Times New Roman"/>
          <w:spacing w:val="-4"/>
          <w:sz w:val="21"/>
        </w:rPr>
        <w:t>ADV)</w:t>
      </w:r>
    </w:p>
    <w:p>
      <w:pPr>
        <w:pStyle w:val="BodyText"/>
        <w:spacing w:before="198" w:line="417" w:lineRule="auto"/>
        <w:ind w:right="194" w:firstLine="420"/>
      </w:pPr>
      <w:r>
        <w:t>国内外随机双盲临床试验表明，</w:t>
      </w:r>
      <w:r>
        <w:rPr>
          <w:rFonts w:ascii="Times New Roman" w:eastAsia="Times New Roman"/>
          <w:spacing w:val="-1"/>
        </w:rPr>
        <w:t>HBeAg</w:t>
      </w:r>
      <w:r>
        <w:t>阳性慢性乙型肝炎患者口服阿德福韦酯可明显</w:t>
      </w:r>
      <w:r>
        <w:t xml:space="preserve"> 抑制</w:t>
      </w:r>
      <w:r>
        <w:rPr>
          <w:rFonts w:ascii="Times New Roman" w:eastAsia="Times New Roman"/>
          <w:spacing w:val="-1"/>
        </w:rPr>
        <w:t>HB</w:t>
      </w:r>
      <w:r>
        <w:rPr>
          <w:rFonts w:ascii="Times New Roman" w:eastAsia="Times New Roman"/>
        </w:rPr>
        <w:t>V</w:t>
      </w:r>
      <w:r>
        <w:rPr>
          <w:rFonts w:ascii="Times New Roman" w:eastAsia="Times New Roman"/>
          <w:spacing w:val="-1"/>
        </w:rPr>
        <w:t xml:space="preserve"> </w:t>
      </w:r>
      <w:r>
        <w:rPr>
          <w:rFonts w:ascii="Times New Roman" w:eastAsia="Times New Roman"/>
        </w:rPr>
        <w:t>D</w:t>
      </w:r>
      <w:r>
        <w:rPr>
          <w:rFonts w:ascii="Times New Roman" w:eastAsia="Times New Roman"/>
          <w:spacing w:val="-1"/>
        </w:rPr>
        <w:t>NA</w:t>
      </w:r>
      <w:r>
        <w:t>复制</w:t>
      </w:r>
      <w:r>
        <w:rPr>
          <w:rFonts w:ascii="Calibri" w:eastAsia="Calibri"/>
          <w:vertAlign w:val="superscript"/>
        </w:rPr>
        <w:t>[</w:t>
      </w:r>
      <w:r>
        <w:rPr>
          <w:rFonts w:ascii="Calibri" w:eastAsia="Calibri"/>
          <w:spacing w:val="-1"/>
          <w:vertAlign w:val="superscript"/>
        </w:rPr>
        <w:t>7</w:t>
      </w:r>
      <w:r>
        <w:rPr>
          <w:rFonts w:ascii="Calibri" w:eastAsia="Calibri"/>
          <w:vertAlign w:val="superscript"/>
        </w:rPr>
        <w:t>4,</w:t>
      </w:r>
      <w:r>
        <w:rPr>
          <w:rFonts w:ascii="Calibri" w:eastAsia="Calibri"/>
          <w:spacing w:val="-16"/>
          <w:vertAlign w:val="baseline"/>
        </w:rPr>
        <w:t xml:space="preserve"> </w:t>
      </w:r>
      <w:r>
        <w:rPr>
          <w:rFonts w:ascii="Calibri" w:eastAsia="Calibri"/>
          <w:vertAlign w:val="superscript"/>
        </w:rPr>
        <w:t>75</w:t>
      </w:r>
      <w:r>
        <w:rPr>
          <w:rFonts w:ascii="Calibri" w:eastAsia="Calibri"/>
          <w:spacing w:val="-1"/>
          <w:vertAlign w:val="superscript"/>
        </w:rPr>
        <w:t>]</w:t>
      </w:r>
      <w:r>
        <w:rPr>
          <w:vertAlign w:val="baseline"/>
        </w:rPr>
        <w:t>、 促进</w:t>
      </w:r>
      <w:r>
        <w:rPr>
          <w:rFonts w:ascii="Times New Roman" w:eastAsia="Times New Roman"/>
          <w:spacing w:val="-1"/>
          <w:vertAlign w:val="baseline"/>
        </w:rPr>
        <w:t>ALT</w:t>
      </w:r>
      <w:r>
        <w:rPr>
          <w:vertAlign w:val="baseline"/>
        </w:rPr>
        <w:t>复常、改善肝组织炎症坏死和纤维化</w:t>
      </w:r>
      <w:r>
        <w:rPr>
          <w:rFonts w:ascii="Calibri" w:eastAsia="Calibri"/>
          <w:vertAlign w:val="superscript"/>
        </w:rPr>
        <w:t>[</w:t>
      </w:r>
      <w:r>
        <w:rPr>
          <w:rFonts w:ascii="Calibri" w:eastAsia="Calibri"/>
          <w:spacing w:val="-1"/>
          <w:vertAlign w:val="superscript"/>
        </w:rPr>
        <w:t>7</w:t>
      </w:r>
      <w:r>
        <w:rPr>
          <w:rFonts w:ascii="Calibri" w:eastAsia="Calibri"/>
          <w:vertAlign w:val="superscript"/>
        </w:rPr>
        <w:t>6]</w:t>
      </w:r>
      <w:r>
        <w:rPr>
          <w:vertAlign w:val="baseline"/>
        </w:rPr>
        <w:t>。对</w:t>
      </w:r>
      <w:r>
        <w:rPr>
          <w:rFonts w:ascii="Times New Roman" w:eastAsia="Times New Roman"/>
          <w:spacing w:val="-1"/>
          <w:vertAlign w:val="baseline"/>
        </w:rPr>
        <w:t>HBeAg</w:t>
      </w:r>
      <w:r>
        <w:rPr>
          <w:vertAlign w:val="baseline"/>
        </w:rPr>
        <w:t>阳性患者治疗</w:t>
      </w:r>
      <w:r>
        <w:rPr>
          <w:rFonts w:ascii="Times New Roman" w:eastAsia="Times New Roman"/>
          <w:vertAlign w:val="baseline"/>
        </w:rPr>
        <w:t>1</w:t>
      </w:r>
      <w:r>
        <w:rPr>
          <w:vertAlign w:val="baseline"/>
        </w:rPr>
        <w:t>、</w:t>
      </w:r>
      <w:r>
        <w:rPr>
          <w:rFonts w:ascii="Times New Roman" w:eastAsia="Times New Roman"/>
          <w:vertAlign w:val="baseline"/>
        </w:rPr>
        <w:t>2</w:t>
      </w:r>
      <w:r>
        <w:rPr>
          <w:vertAlign w:val="baseline"/>
        </w:rPr>
        <w:t>、</w:t>
      </w:r>
      <w:r>
        <w:rPr>
          <w:rFonts w:ascii="Times New Roman" w:eastAsia="Times New Roman"/>
          <w:vertAlign w:val="baseline"/>
        </w:rPr>
        <w:t>3</w:t>
      </w:r>
      <w:r>
        <w:rPr>
          <w:vertAlign w:val="baseline"/>
        </w:rPr>
        <w:t>年时，</w:t>
      </w:r>
      <w:r>
        <w:rPr>
          <w:rFonts w:ascii="Times New Roman" w:eastAsia="Times New Roman"/>
          <w:spacing w:val="-1"/>
          <w:vertAlign w:val="baseline"/>
        </w:rPr>
        <w:t>HB</w:t>
      </w:r>
      <w:r>
        <w:rPr>
          <w:rFonts w:ascii="Times New Roman" w:eastAsia="Times New Roman"/>
          <w:vertAlign w:val="baseline"/>
        </w:rPr>
        <w:t>V</w:t>
      </w:r>
      <w:r>
        <w:rPr>
          <w:rFonts w:ascii="Times New Roman" w:eastAsia="Times New Roman"/>
          <w:spacing w:val="-1"/>
          <w:vertAlign w:val="baseline"/>
        </w:rPr>
        <w:t xml:space="preserve"> </w:t>
      </w:r>
      <w:r>
        <w:rPr>
          <w:rFonts w:ascii="Times New Roman" w:eastAsia="Times New Roman"/>
          <w:vertAlign w:val="baseline"/>
        </w:rPr>
        <w:t>D</w:t>
      </w:r>
      <w:r>
        <w:rPr>
          <w:rFonts w:ascii="Times New Roman" w:eastAsia="Times New Roman"/>
          <w:spacing w:val="-1"/>
          <w:vertAlign w:val="baseline"/>
        </w:rPr>
        <w:t>NA&lt;100</w:t>
      </w:r>
      <w:r>
        <w:rPr>
          <w:rFonts w:ascii="Times New Roman" w:eastAsia="Times New Roman"/>
          <w:vertAlign w:val="baseline"/>
        </w:rPr>
        <w:t>0</w:t>
      </w:r>
      <w:r>
        <w:rPr>
          <w:rFonts w:ascii="Times New Roman" w:eastAsia="Times New Roman"/>
          <w:spacing w:val="-1"/>
          <w:vertAlign w:val="baseline"/>
        </w:rPr>
        <w:t xml:space="preserve">  </w:t>
      </w:r>
      <w:r>
        <w:rPr>
          <w:vertAlign w:val="baseline"/>
        </w:rPr>
        <w:t>拷贝</w:t>
      </w:r>
      <w:r>
        <w:rPr>
          <w:rFonts w:ascii="Times New Roman" w:eastAsia="Times New Roman"/>
          <w:vertAlign w:val="baseline"/>
        </w:rPr>
        <w:t>/</w:t>
      </w:r>
      <w:r>
        <w:rPr>
          <w:rFonts w:ascii="Times New Roman" w:eastAsia="Times New Roman"/>
          <w:spacing w:val="-1"/>
          <w:vertAlign w:val="baseline"/>
        </w:rPr>
        <w:t>m</w:t>
      </w:r>
      <w:r>
        <w:rPr>
          <w:rFonts w:ascii="Times New Roman" w:eastAsia="Times New Roman"/>
          <w:vertAlign w:val="baseline"/>
        </w:rPr>
        <w:t>L</w:t>
      </w:r>
      <w:r>
        <w:rPr>
          <w:vertAlign w:val="baseline"/>
        </w:rPr>
        <w:t>者分别为</w:t>
      </w:r>
      <w:r>
        <w:rPr>
          <w:rFonts w:ascii="Times New Roman" w:eastAsia="Times New Roman"/>
          <w:vertAlign w:val="baseline"/>
        </w:rPr>
        <w:t>28%</w:t>
      </w:r>
      <w:r>
        <w:rPr>
          <w:vertAlign w:val="baseline"/>
        </w:rPr>
        <w:t>、</w:t>
      </w:r>
      <w:r>
        <w:rPr>
          <w:rFonts w:ascii="Times New Roman" w:eastAsia="Times New Roman"/>
          <w:vertAlign w:val="baseline"/>
        </w:rPr>
        <w:t>45%</w:t>
      </w:r>
      <w:r>
        <w:rPr>
          <w:vertAlign w:val="baseline"/>
        </w:rPr>
        <w:t>和</w:t>
      </w:r>
      <w:r>
        <w:rPr>
          <w:rFonts w:ascii="Times New Roman" w:eastAsia="Times New Roman"/>
          <w:vertAlign w:val="baseline"/>
        </w:rPr>
        <w:t>56%</w:t>
      </w:r>
      <w:r>
        <w:rPr>
          <w:vertAlign w:val="baseline"/>
        </w:rPr>
        <w:t>，</w:t>
      </w:r>
      <w:r>
        <w:rPr>
          <w:rFonts w:ascii="Times New Roman" w:eastAsia="Times New Roman"/>
          <w:vertAlign w:val="baseline"/>
        </w:rPr>
        <w:t>HB</w:t>
      </w:r>
      <w:r>
        <w:rPr>
          <w:rFonts w:ascii="Times New Roman" w:eastAsia="Times New Roman"/>
          <w:spacing w:val="-1"/>
          <w:vertAlign w:val="baseline"/>
        </w:rPr>
        <w:t>e</w:t>
      </w:r>
      <w:r>
        <w:rPr>
          <w:rFonts w:ascii="Times New Roman" w:eastAsia="Times New Roman"/>
          <w:vertAlign w:val="baseline"/>
        </w:rPr>
        <w:t>Ag</w:t>
      </w:r>
      <w:r>
        <w:rPr>
          <w:vertAlign w:val="baseline"/>
        </w:rPr>
        <w:t>血清学转换率分别为</w:t>
      </w:r>
      <w:r>
        <w:rPr>
          <w:rFonts w:ascii="Times New Roman" w:eastAsia="Times New Roman"/>
          <w:vertAlign w:val="baseline"/>
        </w:rPr>
        <w:t>12%</w:t>
      </w:r>
      <w:r>
        <w:rPr>
          <w:vertAlign w:val="baseline"/>
        </w:rPr>
        <w:t>、</w:t>
      </w:r>
      <w:r>
        <w:rPr>
          <w:rFonts w:ascii="Times New Roman" w:eastAsia="Times New Roman"/>
          <w:vertAlign w:val="baseline"/>
        </w:rPr>
        <w:t>29%</w:t>
      </w:r>
      <w:r>
        <w:rPr>
          <w:vertAlign w:val="baseline"/>
        </w:rPr>
        <w:t>和</w:t>
      </w:r>
      <w:r>
        <w:rPr>
          <w:rFonts w:ascii="Times New Roman" w:eastAsia="Times New Roman"/>
          <w:vertAlign w:val="baseline"/>
        </w:rPr>
        <w:t>43%</w:t>
      </w:r>
      <w:r>
        <w:rPr>
          <w:vertAlign w:val="baseline"/>
        </w:rPr>
        <w:t>；耐药率分别为</w:t>
      </w:r>
      <w:r>
        <w:rPr>
          <w:rFonts w:ascii="Times New Roman" w:eastAsia="Times New Roman"/>
          <w:vertAlign w:val="baseline"/>
        </w:rPr>
        <w:t>0%</w:t>
      </w:r>
      <w:r>
        <w:rPr>
          <w:vertAlign w:val="baseline"/>
        </w:rPr>
        <w:t>、</w:t>
      </w:r>
      <w:r>
        <w:rPr>
          <w:rFonts w:ascii="Times New Roman" w:eastAsia="Times New Roman"/>
          <w:vertAlign w:val="baseline"/>
        </w:rPr>
        <w:t>1.6%</w:t>
      </w:r>
      <w:r>
        <w:rPr>
          <w:vertAlign w:val="baseline"/>
        </w:rPr>
        <w:t>和</w:t>
      </w:r>
      <w:r>
        <w:rPr>
          <w:rFonts w:ascii="Times New Roman" w:eastAsia="Times New Roman"/>
          <w:vertAlign w:val="baseline"/>
        </w:rPr>
        <w:t>3.1%</w:t>
      </w:r>
      <w:r>
        <w:rPr>
          <w:rFonts w:ascii="Calibri" w:eastAsia="Calibri"/>
          <w:position w:val="6"/>
          <w:sz w:val="14"/>
          <w:vertAlign w:val="baseline"/>
        </w:rPr>
        <w:t>[</w:t>
      </w:r>
      <w:r>
        <w:rPr>
          <w:rFonts w:ascii="Calibri" w:eastAsia="Calibri"/>
          <w:spacing w:val="-1"/>
          <w:position w:val="6"/>
          <w:sz w:val="14"/>
          <w:vertAlign w:val="baseline"/>
        </w:rPr>
        <w:t>7</w:t>
      </w:r>
      <w:r>
        <w:rPr>
          <w:rFonts w:ascii="Calibri" w:eastAsia="Calibri"/>
          <w:position w:val="6"/>
          <w:sz w:val="14"/>
          <w:vertAlign w:val="baseline"/>
        </w:rPr>
        <w:t>6]</w:t>
      </w:r>
      <w:r>
        <w:rPr>
          <w:vertAlign w:val="baseline"/>
        </w:rPr>
        <w:t>。对</w:t>
      </w:r>
      <w:r>
        <w:rPr>
          <w:rFonts w:ascii="Times New Roman" w:eastAsia="Times New Roman"/>
          <w:spacing w:val="-1"/>
          <w:vertAlign w:val="baseline"/>
        </w:rPr>
        <w:t>HBeAg</w:t>
      </w:r>
      <w:r>
        <w:rPr>
          <w:vertAlign w:val="baseline"/>
        </w:rPr>
        <w:t>阴性患者治疗</w:t>
      </w:r>
      <w:r>
        <w:rPr>
          <w:rFonts w:ascii="Times New Roman" w:eastAsia="Times New Roman"/>
          <w:vertAlign w:val="baseline"/>
        </w:rPr>
        <w:t>5</w:t>
      </w:r>
      <w:r>
        <w:rPr>
          <w:vertAlign w:val="baseline"/>
        </w:rPr>
        <w:t>年，</w:t>
      </w:r>
      <w:r>
        <w:rPr>
          <w:rFonts w:ascii="Times New Roman" w:eastAsia="Times New Roman"/>
          <w:spacing w:val="-1"/>
          <w:vertAlign w:val="baseline"/>
        </w:rPr>
        <w:t>HB</w:t>
      </w:r>
      <w:r>
        <w:rPr>
          <w:rFonts w:ascii="Times New Roman" w:eastAsia="Times New Roman"/>
          <w:vertAlign w:val="baseline"/>
        </w:rPr>
        <w:t>V</w:t>
      </w:r>
      <w:r>
        <w:rPr>
          <w:rFonts w:ascii="Times New Roman" w:eastAsia="Times New Roman"/>
          <w:spacing w:val="-1"/>
          <w:vertAlign w:val="baseline"/>
        </w:rPr>
        <w:t xml:space="preserve"> </w:t>
      </w:r>
      <w:r>
        <w:rPr>
          <w:rFonts w:ascii="Times New Roman" w:eastAsia="Times New Roman"/>
          <w:vertAlign w:val="baseline"/>
        </w:rPr>
        <w:t>D</w:t>
      </w:r>
      <w:r>
        <w:rPr>
          <w:rFonts w:ascii="Times New Roman" w:eastAsia="Times New Roman"/>
          <w:spacing w:val="-1"/>
          <w:vertAlign w:val="baseline"/>
        </w:rPr>
        <w:t>NA&lt;100</w:t>
      </w:r>
      <w:r>
        <w:rPr>
          <w:rFonts w:ascii="Times New Roman" w:eastAsia="Times New Roman"/>
          <w:vertAlign w:val="baseline"/>
        </w:rPr>
        <w:t>0</w:t>
      </w:r>
      <w:r>
        <w:rPr>
          <w:rFonts w:ascii="Times New Roman" w:eastAsia="Times New Roman"/>
          <w:spacing w:val="-1"/>
          <w:vertAlign w:val="baseline"/>
        </w:rPr>
        <w:t xml:space="preserve">  </w:t>
      </w:r>
      <w:r>
        <w:rPr>
          <w:vertAlign w:val="baseline"/>
        </w:rPr>
        <w:t>拷贝</w:t>
      </w:r>
      <w:r>
        <w:rPr>
          <w:rFonts w:ascii="Times New Roman" w:eastAsia="Times New Roman"/>
          <w:vertAlign w:val="baseline"/>
        </w:rPr>
        <w:t>/</w:t>
      </w:r>
      <w:r>
        <w:rPr>
          <w:rFonts w:ascii="Times New Roman" w:eastAsia="Times New Roman"/>
          <w:spacing w:val="-1"/>
          <w:vertAlign w:val="baseline"/>
        </w:rPr>
        <w:t>m</w:t>
      </w:r>
      <w:r>
        <w:rPr>
          <w:rFonts w:ascii="Times New Roman" w:eastAsia="Times New Roman"/>
          <w:vertAlign w:val="baseline"/>
        </w:rPr>
        <w:t>L</w:t>
      </w:r>
      <w:r>
        <w:rPr>
          <w:vertAlign w:val="baseline"/>
        </w:rPr>
        <w:t>者为</w:t>
      </w:r>
      <w:r>
        <w:rPr>
          <w:rFonts w:ascii="Times New Roman" w:eastAsia="Times New Roman"/>
          <w:vertAlign w:val="baseline"/>
        </w:rPr>
        <w:t>67%</w:t>
      </w:r>
      <w:r>
        <w:rPr>
          <w:vertAlign w:val="baseline"/>
        </w:rPr>
        <w:t>、</w:t>
      </w:r>
      <w:r>
        <w:rPr>
          <w:rFonts w:ascii="Times New Roman" w:eastAsia="Times New Roman"/>
          <w:spacing w:val="-1"/>
          <w:vertAlign w:val="baseline"/>
        </w:rPr>
        <w:t>ALT</w:t>
      </w:r>
      <w:r>
        <w:rPr>
          <w:vertAlign w:val="baseline"/>
        </w:rPr>
        <w:t>复常率为</w:t>
      </w:r>
      <w:r>
        <w:rPr>
          <w:rFonts w:ascii="Times New Roman" w:eastAsia="Times New Roman"/>
          <w:vertAlign w:val="baseline"/>
        </w:rPr>
        <w:t>69%</w:t>
      </w:r>
      <w:r>
        <w:rPr>
          <w:vertAlign w:val="baseline"/>
        </w:rPr>
        <w:t>；治疗</w:t>
      </w:r>
      <w:r>
        <w:rPr>
          <w:rFonts w:ascii="Times New Roman" w:eastAsia="Times New Roman"/>
          <w:vertAlign w:val="baseline"/>
        </w:rPr>
        <w:t>4</w:t>
      </w:r>
      <w:r>
        <w:rPr>
          <w:vertAlign w:val="baseline"/>
        </w:rPr>
        <w:t>年、</w:t>
      </w:r>
      <w:r>
        <w:rPr>
          <w:rFonts w:ascii="Times New Roman" w:eastAsia="Times New Roman"/>
          <w:vertAlign w:val="baseline"/>
        </w:rPr>
        <w:t>5</w:t>
      </w:r>
      <w:r>
        <w:rPr>
          <w:vertAlign w:val="baseline"/>
        </w:rPr>
        <w:t>年时，有肝脏炎症坏死和纤维化程度改善者分别为</w:t>
      </w:r>
      <w:r>
        <w:rPr>
          <w:rFonts w:ascii="Times New Roman" w:eastAsia="Times New Roman"/>
          <w:vertAlign w:val="baseline"/>
        </w:rPr>
        <w:t>83%</w:t>
      </w:r>
      <w:r>
        <w:rPr>
          <w:vertAlign w:val="baseline"/>
        </w:rPr>
        <w:t>和</w:t>
      </w:r>
      <w:r>
        <w:rPr>
          <w:rFonts w:ascii="Times New Roman" w:eastAsia="Times New Roman"/>
          <w:vertAlign w:val="baseline"/>
        </w:rPr>
        <w:t>73%</w:t>
      </w:r>
      <w:r>
        <w:rPr>
          <w:vertAlign w:val="baseline"/>
        </w:rPr>
        <w:t>；治疗</w:t>
      </w:r>
      <w:r>
        <w:rPr>
          <w:rFonts w:ascii="Times New Roman" w:eastAsia="Times New Roman"/>
          <w:vertAlign w:val="baseline"/>
        </w:rPr>
        <w:t>5</w:t>
      </w:r>
      <w:r>
        <w:rPr>
          <w:vertAlign w:val="baseline"/>
        </w:rPr>
        <w:t>年时患者的累积耐药基因突变</w:t>
      </w:r>
      <w:r>
        <w:rPr>
          <w:spacing w:val="-7"/>
          <w:vertAlign w:val="baseline"/>
        </w:rPr>
        <w:t>发生率为</w:t>
      </w:r>
      <w:r>
        <w:rPr>
          <w:rFonts w:ascii="Times New Roman" w:eastAsia="Times New Roman"/>
          <w:vertAlign w:val="baseline"/>
        </w:rPr>
        <w:t>29%</w:t>
      </w:r>
      <w:r>
        <w:rPr>
          <w:spacing w:val="-16"/>
          <w:vertAlign w:val="baseline"/>
        </w:rPr>
        <w:t>、病毒学耐药发生率为</w:t>
      </w:r>
      <w:r>
        <w:rPr>
          <w:rFonts w:ascii="Times New Roman" w:eastAsia="Times New Roman"/>
          <w:vertAlign w:val="baseline"/>
        </w:rPr>
        <w:t>20%</w:t>
      </w:r>
      <w:r>
        <w:rPr>
          <w:spacing w:val="-17"/>
          <w:vertAlign w:val="baseline"/>
        </w:rPr>
        <w:t>、临床耐药发生率为</w:t>
      </w:r>
      <w:r>
        <w:rPr>
          <w:rFonts w:ascii="Times New Roman" w:eastAsia="Times New Roman"/>
          <w:vertAlign w:val="baseline"/>
        </w:rPr>
        <w:t>11%</w:t>
      </w:r>
      <w:r>
        <w:rPr>
          <w:spacing w:val="-11"/>
          <w:vertAlign w:val="baseline"/>
        </w:rPr>
        <w:t>；轻度肌酐升高者为</w:t>
      </w:r>
      <w:r>
        <w:rPr>
          <w:rFonts w:ascii="Times New Roman" w:eastAsia="Times New Roman"/>
          <w:vertAlign w:val="baseline"/>
        </w:rPr>
        <w:t>3%</w:t>
      </w:r>
      <w:r>
        <w:rPr>
          <w:rFonts w:ascii="Calibri" w:eastAsia="Calibri"/>
          <w:position w:val="6"/>
          <w:sz w:val="14"/>
          <w:vertAlign w:val="baseline"/>
        </w:rPr>
        <w:t>[</w:t>
      </w:r>
      <w:r>
        <w:rPr>
          <w:rFonts w:ascii="Calibri" w:eastAsia="Calibri"/>
          <w:spacing w:val="-1"/>
          <w:position w:val="6"/>
          <w:sz w:val="14"/>
          <w:vertAlign w:val="baseline"/>
        </w:rPr>
        <w:t>7</w:t>
      </w:r>
      <w:r>
        <w:rPr>
          <w:rFonts w:ascii="Calibri" w:eastAsia="Calibri"/>
          <w:position w:val="6"/>
          <w:sz w:val="14"/>
          <w:vertAlign w:val="baseline"/>
        </w:rPr>
        <w:t>7-79</w:t>
      </w:r>
      <w:r>
        <w:rPr>
          <w:rFonts w:ascii="Calibri" w:eastAsia="Calibri"/>
          <w:spacing w:val="-1"/>
          <w:position w:val="6"/>
          <w:sz w:val="14"/>
          <w:vertAlign w:val="baseline"/>
        </w:rPr>
        <w:t>]</w:t>
      </w:r>
      <w:r>
        <w:rPr>
          <w:spacing w:val="-13"/>
          <w:vertAlign w:val="baseline"/>
        </w:rPr>
        <w:t>。</w:t>
      </w:r>
    </w:p>
    <w:p>
      <w:pPr>
        <w:pStyle w:val="BodyText"/>
        <w:spacing w:line="417" w:lineRule="auto"/>
        <w:ind w:right="303" w:firstLine="420"/>
        <w:jc w:val="both"/>
      </w:pPr>
      <w:r>
        <w:t>阿德福韦酯联合拉米夫定，对于拉米夫定耐药的慢性乙型肝炎能有效抑制</w:t>
      </w:r>
      <w:r>
        <w:rPr>
          <w:rFonts w:ascii="Times New Roman" w:eastAsia="Times New Roman"/>
        </w:rPr>
        <w:t>HBV</w:t>
      </w:r>
      <w:r>
        <w:rPr>
          <w:rFonts w:ascii="Times New Roman" w:eastAsia="Times New Roman"/>
          <w:spacing w:val="-14"/>
        </w:rPr>
        <w:t xml:space="preserve"> </w:t>
      </w:r>
      <w:r>
        <w:rPr>
          <w:rFonts w:ascii="Times New Roman" w:eastAsia="Times New Roman"/>
        </w:rPr>
        <w:t>DNA</w:t>
      </w:r>
      <w:r>
        <w:t>、</w:t>
      </w:r>
      <w:r>
        <w:rPr>
          <w:spacing w:val="-2"/>
        </w:rPr>
        <w:t>促进</w:t>
      </w:r>
      <w:r>
        <w:rPr>
          <w:rFonts w:ascii="Times New Roman" w:eastAsia="Times New Roman"/>
          <w:spacing w:val="-2"/>
        </w:rPr>
        <w:t>ALT</w:t>
      </w:r>
      <w:r>
        <w:rPr>
          <w:spacing w:val="-2"/>
        </w:rPr>
        <w:t>复常，且联合用药者对阿德福韦酯的耐药发生率更低</w:t>
      </w:r>
      <w:r>
        <w:rPr>
          <w:rFonts w:ascii="Calibri" w:eastAsia="Calibri"/>
          <w:spacing w:val="-2"/>
          <w:vertAlign w:val="superscript"/>
        </w:rPr>
        <w:t>[80-82]</w:t>
      </w:r>
      <w:r>
        <w:rPr>
          <w:spacing w:val="-2"/>
          <w:vertAlign w:val="baseline"/>
        </w:rPr>
        <w:t>。多项研究结果显示，对</w:t>
      </w:r>
      <w:r>
        <w:rPr>
          <w:spacing w:val="-2"/>
          <w:vertAlign w:val="baseline"/>
        </w:rPr>
        <w:t>发生拉米夫定耐药的代偿期和失代偿期肝硬化患者，联合阿德福韦酯治疗均有效</w:t>
      </w:r>
      <w:r>
        <w:rPr>
          <w:rFonts w:ascii="Calibri" w:eastAsia="Calibri"/>
          <w:spacing w:val="-2"/>
          <w:vertAlign w:val="superscript"/>
        </w:rPr>
        <w:t>[83-86]</w:t>
      </w:r>
      <w:r>
        <w:rPr>
          <w:spacing w:val="-2"/>
          <w:vertAlign w:val="baseline"/>
        </w:rPr>
        <w:t>。</w:t>
      </w:r>
    </w:p>
    <w:p>
      <w:pPr>
        <w:pStyle w:val="ListParagraph"/>
        <w:numPr>
          <w:ilvl w:val="0"/>
          <w:numId w:val="7"/>
        </w:numPr>
        <w:tabs>
          <w:tab w:val="left" w:pos="739"/>
        </w:tabs>
        <w:spacing w:before="0" w:after="0" w:line="269" w:lineRule="exact"/>
        <w:ind w:left="738" w:right="0" w:hanging="159"/>
        <w:jc w:val="left"/>
        <w:rPr>
          <w:rFonts w:ascii="Times New Roman" w:eastAsia="Times New Roman"/>
          <w:sz w:val="21"/>
        </w:rPr>
      </w:pPr>
      <w:r>
        <w:rPr>
          <w:spacing w:val="-1"/>
          <w:sz w:val="21"/>
        </w:rPr>
        <w:t xml:space="preserve">恩替卡韦 </w:t>
      </w:r>
      <w:r>
        <w:rPr>
          <w:rFonts w:ascii="Times New Roman" w:eastAsia="Times New Roman"/>
          <w:sz w:val="21"/>
        </w:rPr>
        <w:t xml:space="preserve">(entecavir, </w:t>
      </w:r>
      <w:r>
        <w:rPr>
          <w:rFonts w:ascii="Times New Roman" w:eastAsia="Times New Roman"/>
          <w:spacing w:val="-4"/>
          <w:sz w:val="21"/>
        </w:rPr>
        <w:t>ETV)</w:t>
      </w:r>
    </w:p>
    <w:p>
      <w:pPr>
        <w:pStyle w:val="BodyText"/>
        <w:spacing w:before="197" w:line="417" w:lineRule="auto"/>
        <w:ind w:right="192" w:firstLine="420"/>
        <w:jc w:val="both"/>
      </w:pPr>
      <w:r>
        <w:t xml:space="preserve">一项随机双盲对照临床试验表明，对于 </w:t>
      </w:r>
      <w:r>
        <w:rPr>
          <w:rFonts w:ascii="Times New Roman" w:eastAsia="Times New Roman"/>
        </w:rPr>
        <w:t>HBeAg</w:t>
      </w:r>
      <w:r>
        <w:rPr>
          <w:rFonts w:ascii="Times New Roman" w:eastAsia="Times New Roman"/>
          <w:spacing w:val="40"/>
        </w:rPr>
        <w:t xml:space="preserve"> </w:t>
      </w:r>
      <w:r>
        <w:t xml:space="preserve">阳性慢性乙肝患者，恩替卡韦治疗 </w:t>
      </w:r>
      <w:r>
        <w:rPr>
          <w:rFonts w:ascii="Times New Roman" w:eastAsia="Times New Roman"/>
        </w:rPr>
        <w:t>48</w:t>
      </w:r>
      <w:r>
        <w:rPr>
          <w:spacing w:val="-9"/>
        </w:rPr>
        <w:t xml:space="preserve">周时 </w:t>
      </w:r>
      <w:r>
        <w:rPr>
          <w:rFonts w:ascii="Times New Roman" w:eastAsia="Times New Roman"/>
        </w:rPr>
        <w:t>HBV</w:t>
      </w:r>
      <w:r>
        <w:rPr>
          <w:rFonts w:ascii="Times New Roman" w:eastAsia="Times New Roman"/>
          <w:spacing w:val="-13"/>
        </w:rPr>
        <w:t xml:space="preserve"> </w:t>
      </w:r>
      <w:r>
        <w:rPr>
          <w:rFonts w:ascii="Times New Roman" w:eastAsia="Times New Roman"/>
        </w:rPr>
        <w:t>DNA</w:t>
      </w:r>
      <w:r>
        <w:rPr>
          <w:rFonts w:ascii="Times New Roman" w:eastAsia="Times New Roman"/>
          <w:spacing w:val="-5"/>
        </w:rPr>
        <w:t xml:space="preserve"> </w:t>
      </w:r>
      <w:r>
        <w:rPr>
          <w:spacing w:val="-7"/>
        </w:rPr>
        <w:t xml:space="preserve">下降至 </w:t>
      </w:r>
      <w:r>
        <w:rPr>
          <w:rFonts w:ascii="Times New Roman" w:eastAsia="Times New Roman"/>
        </w:rPr>
        <w:t>300</w:t>
      </w:r>
      <w:r>
        <w:rPr>
          <w:rFonts w:ascii="Times New Roman" w:eastAsia="Times New Roman"/>
          <w:spacing w:val="13"/>
        </w:rPr>
        <w:t xml:space="preserve"> </w:t>
      </w:r>
      <w:r>
        <w:t>拷贝</w:t>
      </w:r>
      <w:r>
        <w:rPr>
          <w:rFonts w:ascii="Times New Roman" w:eastAsia="Times New Roman"/>
        </w:rPr>
        <w:t>/mL</w:t>
      </w:r>
      <w:r>
        <w:rPr>
          <w:rFonts w:ascii="Times New Roman" w:eastAsia="Times New Roman"/>
          <w:spacing w:val="12"/>
        </w:rPr>
        <w:t xml:space="preserve"> </w:t>
      </w:r>
      <w:r>
        <w:rPr>
          <w:spacing w:val="-6"/>
        </w:rPr>
        <w:t xml:space="preserve">以下者为 </w:t>
      </w:r>
      <w:r>
        <w:rPr>
          <w:rFonts w:ascii="Times New Roman" w:eastAsia="Times New Roman"/>
        </w:rPr>
        <w:t>67%</w:t>
      </w:r>
      <w:r>
        <w:t>、</w:t>
      </w:r>
      <w:r>
        <w:rPr>
          <w:rFonts w:ascii="Times New Roman" w:eastAsia="Times New Roman"/>
        </w:rPr>
        <w:t>ALT</w:t>
      </w:r>
      <w:r>
        <w:rPr>
          <w:rFonts w:ascii="Times New Roman" w:eastAsia="Times New Roman"/>
          <w:spacing w:val="12"/>
        </w:rPr>
        <w:t xml:space="preserve"> </w:t>
      </w:r>
      <w:r>
        <w:rPr>
          <w:spacing w:val="-6"/>
        </w:rPr>
        <w:t xml:space="preserve">复常者为 </w:t>
      </w:r>
      <w:r>
        <w:rPr>
          <w:rFonts w:ascii="Times New Roman" w:eastAsia="Times New Roman"/>
        </w:rPr>
        <w:t>68%</w:t>
      </w:r>
      <w:r>
        <w:t>、有肝组织学改善</w:t>
      </w:r>
      <w:r>
        <w:rPr>
          <w:spacing w:val="-14"/>
        </w:rPr>
        <w:t xml:space="preserve">者为 </w:t>
      </w:r>
      <w:r>
        <w:rPr>
          <w:rFonts w:ascii="Times New Roman" w:eastAsia="Times New Roman"/>
          <w:spacing w:val="-2"/>
        </w:rPr>
        <w:t>72%</w:t>
      </w:r>
      <w:r>
        <w:rPr>
          <w:spacing w:val="-12"/>
        </w:rPr>
        <w:t xml:space="preserve">，均优于接受拉米夫定治疗者；但两组 </w:t>
      </w:r>
      <w:r>
        <w:rPr>
          <w:rFonts w:ascii="Times New Roman" w:eastAsia="Times New Roman"/>
          <w:spacing w:val="-2"/>
        </w:rPr>
        <w:t>HBeAg</w:t>
      </w:r>
      <w:r>
        <w:rPr>
          <w:rFonts w:ascii="Times New Roman" w:eastAsia="Times New Roman"/>
          <w:spacing w:val="15"/>
        </w:rPr>
        <w:t xml:space="preserve"> </w:t>
      </w:r>
      <w:r>
        <w:rPr>
          <w:spacing w:val="-2"/>
        </w:rPr>
        <w:t>血清转换率相似（</w:t>
      </w:r>
      <w:r>
        <w:rPr>
          <w:rFonts w:ascii="Times New Roman" w:eastAsia="Times New Roman"/>
          <w:spacing w:val="-2"/>
        </w:rPr>
        <w:t>21%</w:t>
      </w:r>
      <w:r>
        <w:rPr>
          <w:spacing w:val="-19"/>
        </w:rPr>
        <w:t xml:space="preserve">和 </w:t>
      </w:r>
      <w:r>
        <w:rPr>
          <w:rFonts w:ascii="Times New Roman" w:eastAsia="Times New Roman"/>
          <w:spacing w:val="-2"/>
        </w:rPr>
        <w:t>18%</w:t>
      </w:r>
      <w:r>
        <w:rPr>
          <w:spacing w:val="-2"/>
        </w:rPr>
        <w:t>）</w:t>
      </w:r>
      <w:r>
        <w:rPr>
          <w:rFonts w:ascii="Calibri" w:eastAsia="Calibri"/>
          <w:spacing w:val="-2"/>
          <w:vertAlign w:val="superscript"/>
        </w:rPr>
        <w:t>[87]</w:t>
      </w:r>
      <w:r>
        <w:rPr>
          <w:spacing w:val="-10"/>
          <w:vertAlign w:val="baseline"/>
        </w:rPr>
        <w:t>。</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https://d.book118.com/375101010240011113</w:t>
        </w:r>
      </w:hyperlink>
    </w:p>
    <w:p>
      <w:pPr>
        <w:spacing w:after="0" w:line="417" w:lineRule="auto"/>
        <w:jc w:val="both"/>
      </w:pPr>
    </w:p>
    <w:sectPr>
      <w:footerReference w:type="default" r:id="rId17"/>
      <w:pgSz w:w="11910" w:h="16840"/>
      <w:pgMar w:top="1440" w:right="1500" w:bottom="1380" w:left="1640" w:header="0" w:footer="1189"/>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Malgun Gothic">
    <w:altName w:val="Malgun Gothic"/>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 w:name="Century Gothic">
    <w:altName w:val="Century Gothic"/>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16pt;height:12pt;margin-top:771.03pt;margin-left:290.15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6pt;height:12pt;margin-top:771.03pt;margin-left:290.15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16pt;height:12pt;margin-top:771.03pt;margin-left:290.15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16pt;height:12pt;margin-top:771.03pt;margin-left:290.15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6pt;height:12pt;margin-top:771.03pt;margin-left:290.15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16pt;height:12pt;margin-top:771.03pt;margin-left:290.15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16pt;height:12pt;margin-top:771.03pt;margin-left:290.15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16pt;height:12pt;margin-top:771.03pt;margin-left:290.15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6pt;height:12pt;margin-top:771.03pt;margin-left:290.15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16pt;height:12pt;margin-top:771.03pt;margin-left:290.15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6pt;height:12pt;margin-top:771.03pt;margin-left:290.15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16pt;height:12pt;margin-top:771.03pt;margin-left:290.15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6pt;height:12pt;margin-top:771.03pt;margin-left:290.15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FC416D"/>
    <w:multiLevelType w:val="hybridMultilevel"/>
    <w:tmpl w:val="00000000"/>
    <w:lvl w:ilvl="0">
      <w:start w:val="1"/>
      <w:numFmt w:val="decimal"/>
      <w:lvlText w:val="%1."/>
      <w:lvlJc w:val="left"/>
      <w:pPr>
        <w:ind w:left="835" w:hanging="316"/>
        <w:jc w:val="left"/>
      </w:pPr>
      <w:rPr>
        <w:rFonts w:ascii="Times New Roman" w:eastAsia="Times New Roman" w:hAnsi="Times New Roman" w:cs="Times New Roman" w:hint="default"/>
        <w:b w:val="0"/>
        <w:bCs w:val="0"/>
        <w:i w:val="0"/>
        <w:iCs w:val="0"/>
        <w:spacing w:val="-105"/>
        <w:w w:val="100"/>
        <w:sz w:val="19"/>
        <w:szCs w:val="19"/>
        <w:lang w:val="en-US" w:eastAsia="zh-CN" w:bidi="ar-SA"/>
      </w:rPr>
    </w:lvl>
    <w:lvl w:ilvl="1">
      <w:start w:val="1"/>
      <w:numFmt w:val="decimal"/>
      <w:lvlText w:val="%2."/>
      <w:lvlJc w:val="left"/>
      <w:pPr>
        <w:ind w:left="1015" w:hanging="316"/>
        <w:jc w:val="left"/>
      </w:pPr>
      <w:rPr>
        <w:rFonts w:ascii="Times New Roman" w:eastAsia="Times New Roman" w:hAnsi="Times New Roman" w:cs="Times New Roman" w:hint="default"/>
        <w:b w:val="0"/>
        <w:bCs w:val="0"/>
        <w:i w:val="0"/>
        <w:iCs w:val="0"/>
        <w:spacing w:val="-104"/>
        <w:w w:val="100"/>
        <w:sz w:val="19"/>
        <w:szCs w:val="19"/>
        <w:lang w:val="en-US" w:eastAsia="zh-CN" w:bidi="ar-SA"/>
      </w:rPr>
    </w:lvl>
    <w:lvl w:ilvl="2">
      <w:start w:val="0"/>
      <w:numFmt w:val="bullet"/>
      <w:lvlText w:val="•"/>
      <w:lvlJc w:val="left"/>
      <w:pPr>
        <w:ind w:left="1880" w:hanging="316"/>
      </w:pPr>
      <w:rPr>
        <w:rFonts w:hint="default"/>
        <w:lang w:val="en-US" w:eastAsia="zh-CN" w:bidi="ar-SA"/>
      </w:rPr>
    </w:lvl>
    <w:lvl w:ilvl="3">
      <w:start w:val="0"/>
      <w:numFmt w:val="bullet"/>
      <w:lvlText w:val="•"/>
      <w:lvlJc w:val="left"/>
      <w:pPr>
        <w:ind w:left="2741" w:hanging="316"/>
      </w:pPr>
      <w:rPr>
        <w:rFonts w:hint="default"/>
        <w:lang w:val="en-US" w:eastAsia="zh-CN" w:bidi="ar-SA"/>
      </w:rPr>
    </w:lvl>
    <w:lvl w:ilvl="4">
      <w:start w:val="0"/>
      <w:numFmt w:val="bullet"/>
      <w:lvlText w:val="•"/>
      <w:lvlJc w:val="left"/>
      <w:pPr>
        <w:ind w:left="3602" w:hanging="316"/>
      </w:pPr>
      <w:rPr>
        <w:rFonts w:hint="default"/>
        <w:lang w:val="en-US" w:eastAsia="zh-CN" w:bidi="ar-SA"/>
      </w:rPr>
    </w:lvl>
    <w:lvl w:ilvl="5">
      <w:start w:val="0"/>
      <w:numFmt w:val="bullet"/>
      <w:lvlText w:val="•"/>
      <w:lvlJc w:val="left"/>
      <w:pPr>
        <w:ind w:left="4462" w:hanging="316"/>
      </w:pPr>
      <w:rPr>
        <w:rFonts w:hint="default"/>
        <w:lang w:val="en-US" w:eastAsia="zh-CN" w:bidi="ar-SA"/>
      </w:rPr>
    </w:lvl>
    <w:lvl w:ilvl="6">
      <w:start w:val="0"/>
      <w:numFmt w:val="bullet"/>
      <w:lvlText w:val="•"/>
      <w:lvlJc w:val="left"/>
      <w:pPr>
        <w:ind w:left="5323" w:hanging="316"/>
      </w:pPr>
      <w:rPr>
        <w:rFonts w:hint="default"/>
        <w:lang w:val="en-US" w:eastAsia="zh-CN" w:bidi="ar-SA"/>
      </w:rPr>
    </w:lvl>
    <w:lvl w:ilvl="7">
      <w:start w:val="0"/>
      <w:numFmt w:val="bullet"/>
      <w:lvlText w:val="•"/>
      <w:lvlJc w:val="left"/>
      <w:pPr>
        <w:ind w:left="6184" w:hanging="316"/>
      </w:pPr>
      <w:rPr>
        <w:rFonts w:hint="default"/>
        <w:lang w:val="en-US" w:eastAsia="zh-CN" w:bidi="ar-SA"/>
      </w:rPr>
    </w:lvl>
    <w:lvl w:ilvl="8">
      <w:start w:val="0"/>
      <w:numFmt w:val="bullet"/>
      <w:lvlText w:val="•"/>
      <w:lvlJc w:val="left"/>
      <w:pPr>
        <w:ind w:left="7044" w:hanging="316"/>
      </w:pPr>
      <w:rPr>
        <w:rFonts w:hint="default"/>
        <w:lang w:val="en-US" w:eastAsia="zh-CN" w:bidi="ar-SA"/>
      </w:rPr>
    </w:lvl>
  </w:abstractNum>
  <w:abstractNum w:abstractNumId="1">
    <w:nsid w:val="0960E22D"/>
    <w:multiLevelType w:val="hybridMultilevel"/>
    <w:tmpl w:val="00000000"/>
    <w:lvl w:ilvl="0">
      <w:start w:val="1"/>
      <w:numFmt w:val="decimal"/>
      <w:lvlText w:val="%1."/>
      <w:lvlJc w:val="left"/>
      <w:pPr>
        <w:ind w:left="902" w:hanging="323"/>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1686" w:hanging="323"/>
      </w:pPr>
      <w:rPr>
        <w:rFonts w:hint="default"/>
        <w:lang w:val="en-US" w:eastAsia="zh-CN" w:bidi="ar-SA"/>
      </w:rPr>
    </w:lvl>
    <w:lvl w:ilvl="2">
      <w:start w:val="0"/>
      <w:numFmt w:val="bullet"/>
      <w:lvlText w:val="•"/>
      <w:lvlJc w:val="left"/>
      <w:pPr>
        <w:ind w:left="2473" w:hanging="323"/>
      </w:pPr>
      <w:rPr>
        <w:rFonts w:hint="default"/>
        <w:lang w:val="en-US" w:eastAsia="zh-CN" w:bidi="ar-SA"/>
      </w:rPr>
    </w:lvl>
    <w:lvl w:ilvl="3">
      <w:start w:val="0"/>
      <w:numFmt w:val="bullet"/>
      <w:lvlText w:val="•"/>
      <w:lvlJc w:val="left"/>
      <w:pPr>
        <w:ind w:left="3259" w:hanging="323"/>
      </w:pPr>
      <w:rPr>
        <w:rFonts w:hint="default"/>
        <w:lang w:val="en-US" w:eastAsia="zh-CN" w:bidi="ar-SA"/>
      </w:rPr>
    </w:lvl>
    <w:lvl w:ilvl="4">
      <w:start w:val="0"/>
      <w:numFmt w:val="bullet"/>
      <w:lvlText w:val="•"/>
      <w:lvlJc w:val="left"/>
      <w:pPr>
        <w:ind w:left="4046" w:hanging="323"/>
      </w:pPr>
      <w:rPr>
        <w:rFonts w:hint="default"/>
        <w:lang w:val="en-US" w:eastAsia="zh-CN" w:bidi="ar-SA"/>
      </w:rPr>
    </w:lvl>
    <w:lvl w:ilvl="5">
      <w:start w:val="0"/>
      <w:numFmt w:val="bullet"/>
      <w:lvlText w:val="•"/>
      <w:lvlJc w:val="left"/>
      <w:pPr>
        <w:ind w:left="4833" w:hanging="323"/>
      </w:pPr>
      <w:rPr>
        <w:rFonts w:hint="default"/>
        <w:lang w:val="en-US" w:eastAsia="zh-CN" w:bidi="ar-SA"/>
      </w:rPr>
    </w:lvl>
    <w:lvl w:ilvl="6">
      <w:start w:val="0"/>
      <w:numFmt w:val="bullet"/>
      <w:lvlText w:val="•"/>
      <w:lvlJc w:val="left"/>
      <w:pPr>
        <w:ind w:left="5619" w:hanging="323"/>
      </w:pPr>
      <w:rPr>
        <w:rFonts w:hint="default"/>
        <w:lang w:val="en-US" w:eastAsia="zh-CN" w:bidi="ar-SA"/>
      </w:rPr>
    </w:lvl>
    <w:lvl w:ilvl="7">
      <w:start w:val="0"/>
      <w:numFmt w:val="bullet"/>
      <w:lvlText w:val="•"/>
      <w:lvlJc w:val="left"/>
      <w:pPr>
        <w:ind w:left="6406" w:hanging="323"/>
      </w:pPr>
      <w:rPr>
        <w:rFonts w:hint="default"/>
        <w:lang w:val="en-US" w:eastAsia="zh-CN" w:bidi="ar-SA"/>
      </w:rPr>
    </w:lvl>
    <w:lvl w:ilvl="8">
      <w:start w:val="0"/>
      <w:numFmt w:val="bullet"/>
      <w:lvlText w:val="•"/>
      <w:lvlJc w:val="left"/>
      <w:pPr>
        <w:ind w:left="7192" w:hanging="323"/>
      </w:pPr>
      <w:rPr>
        <w:rFonts w:hint="default"/>
        <w:lang w:val="en-US" w:eastAsia="zh-CN" w:bidi="ar-SA"/>
      </w:rPr>
    </w:lvl>
  </w:abstractNum>
  <w:abstractNum w:abstractNumId="2">
    <w:nsid w:val="16FB494B"/>
    <w:multiLevelType w:val="hybridMultilevel"/>
    <w:tmpl w:val="00000000"/>
    <w:lvl w:ilvl="0">
      <w:start w:val="1"/>
      <w:numFmt w:val="decimal"/>
      <w:lvlText w:val="%1."/>
      <w:lvlJc w:val="left"/>
      <w:pPr>
        <w:ind w:left="864" w:hanging="42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650" w:hanging="420"/>
      </w:pPr>
      <w:rPr>
        <w:rFonts w:hint="default"/>
        <w:lang w:val="en-US" w:eastAsia="zh-CN" w:bidi="ar-SA"/>
      </w:rPr>
    </w:lvl>
    <w:lvl w:ilvl="2">
      <w:start w:val="0"/>
      <w:numFmt w:val="bullet"/>
      <w:lvlText w:val="•"/>
      <w:lvlJc w:val="left"/>
      <w:pPr>
        <w:ind w:left="2441" w:hanging="420"/>
      </w:pPr>
      <w:rPr>
        <w:rFonts w:hint="default"/>
        <w:lang w:val="en-US" w:eastAsia="zh-CN" w:bidi="ar-SA"/>
      </w:rPr>
    </w:lvl>
    <w:lvl w:ilvl="3">
      <w:start w:val="0"/>
      <w:numFmt w:val="bullet"/>
      <w:lvlText w:val="•"/>
      <w:lvlJc w:val="left"/>
      <w:pPr>
        <w:ind w:left="3231" w:hanging="420"/>
      </w:pPr>
      <w:rPr>
        <w:rFonts w:hint="default"/>
        <w:lang w:val="en-US" w:eastAsia="zh-CN" w:bidi="ar-SA"/>
      </w:rPr>
    </w:lvl>
    <w:lvl w:ilvl="4">
      <w:start w:val="0"/>
      <w:numFmt w:val="bullet"/>
      <w:lvlText w:val="•"/>
      <w:lvlJc w:val="left"/>
      <w:pPr>
        <w:ind w:left="4022" w:hanging="420"/>
      </w:pPr>
      <w:rPr>
        <w:rFonts w:hint="default"/>
        <w:lang w:val="en-US" w:eastAsia="zh-CN" w:bidi="ar-SA"/>
      </w:rPr>
    </w:lvl>
    <w:lvl w:ilvl="5">
      <w:start w:val="0"/>
      <w:numFmt w:val="bullet"/>
      <w:lvlText w:val="•"/>
      <w:lvlJc w:val="left"/>
      <w:pPr>
        <w:ind w:left="4813" w:hanging="420"/>
      </w:pPr>
      <w:rPr>
        <w:rFonts w:hint="default"/>
        <w:lang w:val="en-US" w:eastAsia="zh-CN" w:bidi="ar-SA"/>
      </w:rPr>
    </w:lvl>
    <w:lvl w:ilvl="6">
      <w:start w:val="0"/>
      <w:numFmt w:val="bullet"/>
      <w:lvlText w:val="•"/>
      <w:lvlJc w:val="left"/>
      <w:pPr>
        <w:ind w:left="5603" w:hanging="420"/>
      </w:pPr>
      <w:rPr>
        <w:rFonts w:hint="default"/>
        <w:lang w:val="en-US" w:eastAsia="zh-CN" w:bidi="ar-SA"/>
      </w:rPr>
    </w:lvl>
    <w:lvl w:ilvl="7">
      <w:start w:val="0"/>
      <w:numFmt w:val="bullet"/>
      <w:lvlText w:val="•"/>
      <w:lvlJc w:val="left"/>
      <w:pPr>
        <w:ind w:left="6394" w:hanging="420"/>
      </w:pPr>
      <w:rPr>
        <w:rFonts w:hint="default"/>
        <w:lang w:val="en-US" w:eastAsia="zh-CN" w:bidi="ar-SA"/>
      </w:rPr>
    </w:lvl>
    <w:lvl w:ilvl="8">
      <w:start w:val="0"/>
      <w:numFmt w:val="bullet"/>
      <w:lvlText w:val="•"/>
      <w:lvlJc w:val="left"/>
      <w:pPr>
        <w:ind w:left="7184" w:hanging="420"/>
      </w:pPr>
      <w:rPr>
        <w:rFonts w:hint="default"/>
        <w:lang w:val="en-US" w:eastAsia="zh-CN" w:bidi="ar-SA"/>
      </w:rPr>
    </w:lvl>
  </w:abstractNum>
  <w:abstractNum w:abstractNumId="3">
    <w:nsid w:val="1833D762"/>
    <w:multiLevelType w:val="hybridMultilevel"/>
    <w:tmpl w:val="00000000"/>
    <w:lvl w:ilvl="0">
      <w:start w:val="1"/>
      <w:numFmt w:val="decimal"/>
      <w:lvlText w:val="%1."/>
      <w:lvlJc w:val="left"/>
      <w:pPr>
        <w:ind w:left="1015" w:hanging="316"/>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1794" w:hanging="316"/>
      </w:pPr>
      <w:rPr>
        <w:rFonts w:hint="default"/>
        <w:lang w:val="en-US" w:eastAsia="zh-CN" w:bidi="ar-SA"/>
      </w:rPr>
    </w:lvl>
    <w:lvl w:ilvl="2">
      <w:start w:val="0"/>
      <w:numFmt w:val="bullet"/>
      <w:lvlText w:val="•"/>
      <w:lvlJc w:val="left"/>
      <w:pPr>
        <w:ind w:left="2569" w:hanging="316"/>
      </w:pPr>
      <w:rPr>
        <w:rFonts w:hint="default"/>
        <w:lang w:val="en-US" w:eastAsia="zh-CN" w:bidi="ar-SA"/>
      </w:rPr>
    </w:lvl>
    <w:lvl w:ilvl="3">
      <w:start w:val="0"/>
      <w:numFmt w:val="bullet"/>
      <w:lvlText w:val="•"/>
      <w:lvlJc w:val="left"/>
      <w:pPr>
        <w:ind w:left="3343" w:hanging="316"/>
      </w:pPr>
      <w:rPr>
        <w:rFonts w:hint="default"/>
        <w:lang w:val="en-US" w:eastAsia="zh-CN" w:bidi="ar-SA"/>
      </w:rPr>
    </w:lvl>
    <w:lvl w:ilvl="4">
      <w:start w:val="0"/>
      <w:numFmt w:val="bullet"/>
      <w:lvlText w:val="•"/>
      <w:lvlJc w:val="left"/>
      <w:pPr>
        <w:ind w:left="4118" w:hanging="316"/>
      </w:pPr>
      <w:rPr>
        <w:rFonts w:hint="default"/>
        <w:lang w:val="en-US" w:eastAsia="zh-CN" w:bidi="ar-SA"/>
      </w:rPr>
    </w:lvl>
    <w:lvl w:ilvl="5">
      <w:start w:val="0"/>
      <w:numFmt w:val="bullet"/>
      <w:lvlText w:val="•"/>
      <w:lvlJc w:val="left"/>
      <w:pPr>
        <w:ind w:left="4893" w:hanging="316"/>
      </w:pPr>
      <w:rPr>
        <w:rFonts w:hint="default"/>
        <w:lang w:val="en-US" w:eastAsia="zh-CN" w:bidi="ar-SA"/>
      </w:rPr>
    </w:lvl>
    <w:lvl w:ilvl="6">
      <w:start w:val="0"/>
      <w:numFmt w:val="bullet"/>
      <w:lvlText w:val="•"/>
      <w:lvlJc w:val="left"/>
      <w:pPr>
        <w:ind w:left="5667" w:hanging="316"/>
      </w:pPr>
      <w:rPr>
        <w:rFonts w:hint="default"/>
        <w:lang w:val="en-US" w:eastAsia="zh-CN" w:bidi="ar-SA"/>
      </w:rPr>
    </w:lvl>
    <w:lvl w:ilvl="7">
      <w:start w:val="0"/>
      <w:numFmt w:val="bullet"/>
      <w:lvlText w:val="•"/>
      <w:lvlJc w:val="left"/>
      <w:pPr>
        <w:ind w:left="6442" w:hanging="316"/>
      </w:pPr>
      <w:rPr>
        <w:rFonts w:hint="default"/>
        <w:lang w:val="en-US" w:eastAsia="zh-CN" w:bidi="ar-SA"/>
      </w:rPr>
    </w:lvl>
    <w:lvl w:ilvl="8">
      <w:start w:val="0"/>
      <w:numFmt w:val="bullet"/>
      <w:lvlText w:val="•"/>
      <w:lvlJc w:val="left"/>
      <w:pPr>
        <w:ind w:left="7216" w:hanging="316"/>
      </w:pPr>
      <w:rPr>
        <w:rFonts w:hint="default"/>
        <w:lang w:val="en-US" w:eastAsia="zh-CN" w:bidi="ar-SA"/>
      </w:rPr>
    </w:lvl>
  </w:abstractNum>
  <w:abstractNum w:abstractNumId="4">
    <w:nsid w:val="2B3B136D"/>
    <w:multiLevelType w:val="hybridMultilevel"/>
    <w:tmpl w:val="00000000"/>
    <w:lvl w:ilvl="0">
      <w:start w:val="1"/>
      <w:numFmt w:val="decimal"/>
      <w:lvlText w:val="%1."/>
      <w:lvlJc w:val="left"/>
      <w:pPr>
        <w:ind w:left="160" w:hanging="159"/>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1020" w:hanging="159"/>
      </w:pPr>
      <w:rPr>
        <w:rFonts w:hint="default"/>
        <w:lang w:val="en-US" w:eastAsia="zh-CN" w:bidi="ar-SA"/>
      </w:rPr>
    </w:lvl>
    <w:lvl w:ilvl="2">
      <w:start w:val="0"/>
      <w:numFmt w:val="bullet"/>
      <w:lvlText w:val="•"/>
      <w:lvlJc w:val="left"/>
      <w:pPr>
        <w:ind w:left="1881" w:hanging="159"/>
      </w:pPr>
      <w:rPr>
        <w:rFonts w:hint="default"/>
        <w:lang w:val="en-US" w:eastAsia="zh-CN" w:bidi="ar-SA"/>
      </w:rPr>
    </w:lvl>
    <w:lvl w:ilvl="3">
      <w:start w:val="0"/>
      <w:numFmt w:val="bullet"/>
      <w:lvlText w:val="•"/>
      <w:lvlJc w:val="left"/>
      <w:pPr>
        <w:ind w:left="2741" w:hanging="159"/>
      </w:pPr>
      <w:rPr>
        <w:rFonts w:hint="default"/>
        <w:lang w:val="en-US" w:eastAsia="zh-CN" w:bidi="ar-SA"/>
      </w:rPr>
    </w:lvl>
    <w:lvl w:ilvl="4">
      <w:start w:val="0"/>
      <w:numFmt w:val="bullet"/>
      <w:lvlText w:val="•"/>
      <w:lvlJc w:val="left"/>
      <w:pPr>
        <w:ind w:left="3602" w:hanging="159"/>
      </w:pPr>
      <w:rPr>
        <w:rFonts w:hint="default"/>
        <w:lang w:val="en-US" w:eastAsia="zh-CN" w:bidi="ar-SA"/>
      </w:rPr>
    </w:lvl>
    <w:lvl w:ilvl="5">
      <w:start w:val="0"/>
      <w:numFmt w:val="bullet"/>
      <w:lvlText w:val="•"/>
      <w:lvlJc w:val="left"/>
      <w:pPr>
        <w:ind w:left="4463" w:hanging="159"/>
      </w:pPr>
      <w:rPr>
        <w:rFonts w:hint="default"/>
        <w:lang w:val="en-US" w:eastAsia="zh-CN" w:bidi="ar-SA"/>
      </w:rPr>
    </w:lvl>
    <w:lvl w:ilvl="6">
      <w:start w:val="0"/>
      <w:numFmt w:val="bullet"/>
      <w:lvlText w:val="•"/>
      <w:lvlJc w:val="left"/>
      <w:pPr>
        <w:ind w:left="5323" w:hanging="159"/>
      </w:pPr>
      <w:rPr>
        <w:rFonts w:hint="default"/>
        <w:lang w:val="en-US" w:eastAsia="zh-CN" w:bidi="ar-SA"/>
      </w:rPr>
    </w:lvl>
    <w:lvl w:ilvl="7">
      <w:start w:val="0"/>
      <w:numFmt w:val="bullet"/>
      <w:lvlText w:val="•"/>
      <w:lvlJc w:val="left"/>
      <w:pPr>
        <w:ind w:left="6184" w:hanging="159"/>
      </w:pPr>
      <w:rPr>
        <w:rFonts w:hint="default"/>
        <w:lang w:val="en-US" w:eastAsia="zh-CN" w:bidi="ar-SA"/>
      </w:rPr>
    </w:lvl>
    <w:lvl w:ilvl="8">
      <w:start w:val="0"/>
      <w:numFmt w:val="bullet"/>
      <w:lvlText w:val="•"/>
      <w:lvlJc w:val="left"/>
      <w:pPr>
        <w:ind w:left="7044" w:hanging="159"/>
      </w:pPr>
      <w:rPr>
        <w:rFonts w:hint="default"/>
        <w:lang w:val="en-US" w:eastAsia="zh-CN" w:bidi="ar-SA"/>
      </w:rPr>
    </w:lvl>
  </w:abstractNum>
  <w:abstractNum w:abstractNumId="5">
    <w:nsid w:val="33BC4CA3"/>
    <w:multiLevelType w:val="hybridMultilevel"/>
    <w:tmpl w:val="00000000"/>
    <w:lvl w:ilvl="0">
      <w:start w:val="1"/>
      <w:numFmt w:val="decimal"/>
      <w:lvlText w:val="%1."/>
      <w:lvlJc w:val="left"/>
      <w:pPr>
        <w:ind w:left="160" w:hanging="316"/>
        <w:jc w:val="left"/>
      </w:pPr>
      <w:rPr>
        <w:rFonts w:ascii="Times New Roman" w:eastAsia="Times New Roman" w:hAnsi="Times New Roman" w:cs="Times New Roman" w:hint="default"/>
        <w:b w:val="0"/>
        <w:bCs w:val="0"/>
        <w:i w:val="0"/>
        <w:iCs w:val="0"/>
        <w:spacing w:val="-29"/>
        <w:w w:val="100"/>
        <w:sz w:val="19"/>
        <w:szCs w:val="19"/>
        <w:lang w:val="en-US" w:eastAsia="zh-CN" w:bidi="ar-SA"/>
      </w:rPr>
    </w:lvl>
    <w:lvl w:ilvl="1">
      <w:start w:val="0"/>
      <w:numFmt w:val="bullet"/>
      <w:lvlText w:val="•"/>
      <w:lvlJc w:val="left"/>
      <w:pPr>
        <w:ind w:left="1020" w:hanging="316"/>
      </w:pPr>
      <w:rPr>
        <w:rFonts w:hint="default"/>
        <w:lang w:val="en-US" w:eastAsia="zh-CN" w:bidi="ar-SA"/>
      </w:rPr>
    </w:lvl>
    <w:lvl w:ilvl="2">
      <w:start w:val="0"/>
      <w:numFmt w:val="bullet"/>
      <w:lvlText w:val="•"/>
      <w:lvlJc w:val="left"/>
      <w:pPr>
        <w:ind w:left="1881" w:hanging="316"/>
      </w:pPr>
      <w:rPr>
        <w:rFonts w:hint="default"/>
        <w:lang w:val="en-US" w:eastAsia="zh-CN" w:bidi="ar-SA"/>
      </w:rPr>
    </w:lvl>
    <w:lvl w:ilvl="3">
      <w:start w:val="0"/>
      <w:numFmt w:val="bullet"/>
      <w:lvlText w:val="•"/>
      <w:lvlJc w:val="left"/>
      <w:pPr>
        <w:ind w:left="2741" w:hanging="316"/>
      </w:pPr>
      <w:rPr>
        <w:rFonts w:hint="default"/>
        <w:lang w:val="en-US" w:eastAsia="zh-CN" w:bidi="ar-SA"/>
      </w:rPr>
    </w:lvl>
    <w:lvl w:ilvl="4">
      <w:start w:val="0"/>
      <w:numFmt w:val="bullet"/>
      <w:lvlText w:val="•"/>
      <w:lvlJc w:val="left"/>
      <w:pPr>
        <w:ind w:left="3602" w:hanging="316"/>
      </w:pPr>
      <w:rPr>
        <w:rFonts w:hint="default"/>
        <w:lang w:val="en-US" w:eastAsia="zh-CN" w:bidi="ar-SA"/>
      </w:rPr>
    </w:lvl>
    <w:lvl w:ilvl="5">
      <w:start w:val="0"/>
      <w:numFmt w:val="bullet"/>
      <w:lvlText w:val="•"/>
      <w:lvlJc w:val="left"/>
      <w:pPr>
        <w:ind w:left="4463" w:hanging="316"/>
      </w:pPr>
      <w:rPr>
        <w:rFonts w:hint="default"/>
        <w:lang w:val="en-US" w:eastAsia="zh-CN" w:bidi="ar-SA"/>
      </w:rPr>
    </w:lvl>
    <w:lvl w:ilvl="6">
      <w:start w:val="0"/>
      <w:numFmt w:val="bullet"/>
      <w:lvlText w:val="•"/>
      <w:lvlJc w:val="left"/>
      <w:pPr>
        <w:ind w:left="5323" w:hanging="316"/>
      </w:pPr>
      <w:rPr>
        <w:rFonts w:hint="default"/>
        <w:lang w:val="en-US" w:eastAsia="zh-CN" w:bidi="ar-SA"/>
      </w:rPr>
    </w:lvl>
    <w:lvl w:ilvl="7">
      <w:start w:val="0"/>
      <w:numFmt w:val="bullet"/>
      <w:lvlText w:val="•"/>
      <w:lvlJc w:val="left"/>
      <w:pPr>
        <w:ind w:left="6184" w:hanging="316"/>
      </w:pPr>
      <w:rPr>
        <w:rFonts w:hint="default"/>
        <w:lang w:val="en-US" w:eastAsia="zh-CN" w:bidi="ar-SA"/>
      </w:rPr>
    </w:lvl>
    <w:lvl w:ilvl="8">
      <w:start w:val="0"/>
      <w:numFmt w:val="bullet"/>
      <w:lvlText w:val="•"/>
      <w:lvlJc w:val="left"/>
      <w:pPr>
        <w:ind w:left="7044" w:hanging="316"/>
      </w:pPr>
      <w:rPr>
        <w:rFonts w:hint="default"/>
        <w:lang w:val="en-US" w:eastAsia="zh-CN" w:bidi="ar-SA"/>
      </w:rPr>
    </w:lvl>
  </w:abstractNum>
  <w:abstractNum w:abstractNumId="6">
    <w:nsid w:val="4381FDBB"/>
    <w:multiLevelType w:val="hybridMultilevel"/>
    <w:tmpl w:val="00000000"/>
    <w:lvl w:ilvl="0">
      <w:start w:val="1"/>
      <w:numFmt w:val="decimal"/>
      <w:lvlText w:val="%1."/>
      <w:lvlJc w:val="left"/>
      <w:pPr>
        <w:ind w:left="896" w:hanging="317"/>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1686" w:hanging="317"/>
      </w:pPr>
      <w:rPr>
        <w:rFonts w:hint="default"/>
        <w:lang w:val="en-US" w:eastAsia="zh-CN" w:bidi="ar-SA"/>
      </w:rPr>
    </w:lvl>
    <w:lvl w:ilvl="2">
      <w:start w:val="0"/>
      <w:numFmt w:val="bullet"/>
      <w:lvlText w:val="•"/>
      <w:lvlJc w:val="left"/>
      <w:pPr>
        <w:ind w:left="2473" w:hanging="317"/>
      </w:pPr>
      <w:rPr>
        <w:rFonts w:hint="default"/>
        <w:lang w:val="en-US" w:eastAsia="zh-CN" w:bidi="ar-SA"/>
      </w:rPr>
    </w:lvl>
    <w:lvl w:ilvl="3">
      <w:start w:val="0"/>
      <w:numFmt w:val="bullet"/>
      <w:lvlText w:val="•"/>
      <w:lvlJc w:val="left"/>
      <w:pPr>
        <w:ind w:left="3259" w:hanging="317"/>
      </w:pPr>
      <w:rPr>
        <w:rFonts w:hint="default"/>
        <w:lang w:val="en-US" w:eastAsia="zh-CN" w:bidi="ar-SA"/>
      </w:rPr>
    </w:lvl>
    <w:lvl w:ilvl="4">
      <w:start w:val="0"/>
      <w:numFmt w:val="bullet"/>
      <w:lvlText w:val="•"/>
      <w:lvlJc w:val="left"/>
      <w:pPr>
        <w:ind w:left="4046" w:hanging="317"/>
      </w:pPr>
      <w:rPr>
        <w:rFonts w:hint="default"/>
        <w:lang w:val="en-US" w:eastAsia="zh-CN" w:bidi="ar-SA"/>
      </w:rPr>
    </w:lvl>
    <w:lvl w:ilvl="5">
      <w:start w:val="0"/>
      <w:numFmt w:val="bullet"/>
      <w:lvlText w:val="•"/>
      <w:lvlJc w:val="left"/>
      <w:pPr>
        <w:ind w:left="4833" w:hanging="317"/>
      </w:pPr>
      <w:rPr>
        <w:rFonts w:hint="default"/>
        <w:lang w:val="en-US" w:eastAsia="zh-CN" w:bidi="ar-SA"/>
      </w:rPr>
    </w:lvl>
    <w:lvl w:ilvl="6">
      <w:start w:val="0"/>
      <w:numFmt w:val="bullet"/>
      <w:lvlText w:val="•"/>
      <w:lvlJc w:val="left"/>
      <w:pPr>
        <w:ind w:left="5619" w:hanging="317"/>
      </w:pPr>
      <w:rPr>
        <w:rFonts w:hint="default"/>
        <w:lang w:val="en-US" w:eastAsia="zh-CN" w:bidi="ar-SA"/>
      </w:rPr>
    </w:lvl>
    <w:lvl w:ilvl="7">
      <w:start w:val="0"/>
      <w:numFmt w:val="bullet"/>
      <w:lvlText w:val="•"/>
      <w:lvlJc w:val="left"/>
      <w:pPr>
        <w:ind w:left="6406" w:hanging="317"/>
      </w:pPr>
      <w:rPr>
        <w:rFonts w:hint="default"/>
        <w:lang w:val="en-US" w:eastAsia="zh-CN" w:bidi="ar-SA"/>
      </w:rPr>
    </w:lvl>
    <w:lvl w:ilvl="8">
      <w:start w:val="0"/>
      <w:numFmt w:val="bullet"/>
      <w:lvlText w:val="•"/>
      <w:lvlJc w:val="left"/>
      <w:pPr>
        <w:ind w:left="7192" w:hanging="317"/>
      </w:pPr>
      <w:rPr>
        <w:rFonts w:hint="default"/>
        <w:lang w:val="en-US" w:eastAsia="zh-CN" w:bidi="ar-SA"/>
      </w:rPr>
    </w:lvl>
  </w:abstractNum>
  <w:abstractNum w:abstractNumId="7">
    <w:nsid w:val="47F1029B"/>
    <w:multiLevelType w:val="hybridMultilevel"/>
    <w:tmpl w:val="00000000"/>
    <w:lvl w:ilvl="0">
      <w:start w:val="1"/>
      <w:numFmt w:val="decimal"/>
      <w:lvlText w:val="%1."/>
      <w:lvlJc w:val="left"/>
      <w:pPr>
        <w:ind w:left="896" w:hanging="317"/>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1686" w:hanging="317"/>
      </w:pPr>
      <w:rPr>
        <w:rFonts w:hint="default"/>
        <w:lang w:val="en-US" w:eastAsia="zh-CN" w:bidi="ar-SA"/>
      </w:rPr>
    </w:lvl>
    <w:lvl w:ilvl="2">
      <w:start w:val="0"/>
      <w:numFmt w:val="bullet"/>
      <w:lvlText w:val="•"/>
      <w:lvlJc w:val="left"/>
      <w:pPr>
        <w:ind w:left="2473" w:hanging="317"/>
      </w:pPr>
      <w:rPr>
        <w:rFonts w:hint="default"/>
        <w:lang w:val="en-US" w:eastAsia="zh-CN" w:bidi="ar-SA"/>
      </w:rPr>
    </w:lvl>
    <w:lvl w:ilvl="3">
      <w:start w:val="0"/>
      <w:numFmt w:val="bullet"/>
      <w:lvlText w:val="•"/>
      <w:lvlJc w:val="left"/>
      <w:pPr>
        <w:ind w:left="3259" w:hanging="317"/>
      </w:pPr>
      <w:rPr>
        <w:rFonts w:hint="default"/>
        <w:lang w:val="en-US" w:eastAsia="zh-CN" w:bidi="ar-SA"/>
      </w:rPr>
    </w:lvl>
    <w:lvl w:ilvl="4">
      <w:start w:val="0"/>
      <w:numFmt w:val="bullet"/>
      <w:lvlText w:val="•"/>
      <w:lvlJc w:val="left"/>
      <w:pPr>
        <w:ind w:left="4046" w:hanging="317"/>
      </w:pPr>
      <w:rPr>
        <w:rFonts w:hint="default"/>
        <w:lang w:val="en-US" w:eastAsia="zh-CN" w:bidi="ar-SA"/>
      </w:rPr>
    </w:lvl>
    <w:lvl w:ilvl="5">
      <w:start w:val="0"/>
      <w:numFmt w:val="bullet"/>
      <w:lvlText w:val="•"/>
      <w:lvlJc w:val="left"/>
      <w:pPr>
        <w:ind w:left="4833" w:hanging="317"/>
      </w:pPr>
      <w:rPr>
        <w:rFonts w:hint="default"/>
        <w:lang w:val="en-US" w:eastAsia="zh-CN" w:bidi="ar-SA"/>
      </w:rPr>
    </w:lvl>
    <w:lvl w:ilvl="6">
      <w:start w:val="0"/>
      <w:numFmt w:val="bullet"/>
      <w:lvlText w:val="•"/>
      <w:lvlJc w:val="left"/>
      <w:pPr>
        <w:ind w:left="5619" w:hanging="317"/>
      </w:pPr>
      <w:rPr>
        <w:rFonts w:hint="default"/>
        <w:lang w:val="en-US" w:eastAsia="zh-CN" w:bidi="ar-SA"/>
      </w:rPr>
    </w:lvl>
    <w:lvl w:ilvl="7">
      <w:start w:val="0"/>
      <w:numFmt w:val="bullet"/>
      <w:lvlText w:val="•"/>
      <w:lvlJc w:val="left"/>
      <w:pPr>
        <w:ind w:left="6406" w:hanging="317"/>
      </w:pPr>
      <w:rPr>
        <w:rFonts w:hint="default"/>
        <w:lang w:val="en-US" w:eastAsia="zh-CN" w:bidi="ar-SA"/>
      </w:rPr>
    </w:lvl>
    <w:lvl w:ilvl="8">
      <w:start w:val="0"/>
      <w:numFmt w:val="bullet"/>
      <w:lvlText w:val="•"/>
      <w:lvlJc w:val="left"/>
      <w:pPr>
        <w:ind w:left="7192" w:hanging="317"/>
      </w:pPr>
      <w:rPr>
        <w:rFonts w:hint="default"/>
        <w:lang w:val="en-US" w:eastAsia="zh-CN" w:bidi="ar-SA"/>
      </w:rPr>
    </w:lvl>
  </w:abstractNum>
  <w:abstractNum w:abstractNumId="8">
    <w:nsid w:val="49A630D4"/>
    <w:multiLevelType w:val="hybridMultilevel"/>
    <w:tmpl w:val="00000000"/>
    <w:lvl w:ilvl="0">
      <w:start w:val="1"/>
      <w:numFmt w:val="decimal"/>
      <w:lvlText w:val="%1."/>
      <w:lvlJc w:val="left"/>
      <w:pPr>
        <w:ind w:left="842"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632" w:hanging="263"/>
      </w:pPr>
      <w:rPr>
        <w:rFonts w:hint="default"/>
        <w:lang w:val="en-US" w:eastAsia="zh-CN" w:bidi="ar-SA"/>
      </w:rPr>
    </w:lvl>
    <w:lvl w:ilvl="2">
      <w:start w:val="0"/>
      <w:numFmt w:val="bullet"/>
      <w:lvlText w:val="•"/>
      <w:lvlJc w:val="left"/>
      <w:pPr>
        <w:ind w:left="2425" w:hanging="263"/>
      </w:pPr>
      <w:rPr>
        <w:rFonts w:hint="default"/>
        <w:lang w:val="en-US" w:eastAsia="zh-CN" w:bidi="ar-SA"/>
      </w:rPr>
    </w:lvl>
    <w:lvl w:ilvl="3">
      <w:start w:val="0"/>
      <w:numFmt w:val="bullet"/>
      <w:lvlText w:val="•"/>
      <w:lvlJc w:val="left"/>
      <w:pPr>
        <w:ind w:left="3217" w:hanging="263"/>
      </w:pPr>
      <w:rPr>
        <w:rFonts w:hint="default"/>
        <w:lang w:val="en-US" w:eastAsia="zh-CN" w:bidi="ar-SA"/>
      </w:rPr>
    </w:lvl>
    <w:lvl w:ilvl="4">
      <w:start w:val="0"/>
      <w:numFmt w:val="bullet"/>
      <w:lvlText w:val="•"/>
      <w:lvlJc w:val="left"/>
      <w:pPr>
        <w:ind w:left="4010" w:hanging="263"/>
      </w:pPr>
      <w:rPr>
        <w:rFonts w:hint="default"/>
        <w:lang w:val="en-US" w:eastAsia="zh-CN" w:bidi="ar-SA"/>
      </w:rPr>
    </w:lvl>
    <w:lvl w:ilvl="5">
      <w:start w:val="0"/>
      <w:numFmt w:val="bullet"/>
      <w:lvlText w:val="•"/>
      <w:lvlJc w:val="left"/>
      <w:pPr>
        <w:ind w:left="4803" w:hanging="263"/>
      </w:pPr>
      <w:rPr>
        <w:rFonts w:hint="default"/>
        <w:lang w:val="en-US" w:eastAsia="zh-CN" w:bidi="ar-SA"/>
      </w:rPr>
    </w:lvl>
    <w:lvl w:ilvl="6">
      <w:start w:val="0"/>
      <w:numFmt w:val="bullet"/>
      <w:lvlText w:val="•"/>
      <w:lvlJc w:val="left"/>
      <w:pPr>
        <w:ind w:left="5595" w:hanging="263"/>
      </w:pPr>
      <w:rPr>
        <w:rFonts w:hint="default"/>
        <w:lang w:val="en-US" w:eastAsia="zh-CN" w:bidi="ar-SA"/>
      </w:rPr>
    </w:lvl>
    <w:lvl w:ilvl="7">
      <w:start w:val="0"/>
      <w:numFmt w:val="bullet"/>
      <w:lvlText w:val="•"/>
      <w:lvlJc w:val="left"/>
      <w:pPr>
        <w:ind w:left="6388" w:hanging="263"/>
      </w:pPr>
      <w:rPr>
        <w:rFonts w:hint="default"/>
        <w:lang w:val="en-US" w:eastAsia="zh-CN" w:bidi="ar-SA"/>
      </w:rPr>
    </w:lvl>
    <w:lvl w:ilvl="8">
      <w:start w:val="0"/>
      <w:numFmt w:val="bullet"/>
      <w:lvlText w:val="•"/>
      <w:lvlJc w:val="left"/>
      <w:pPr>
        <w:ind w:left="7180" w:hanging="263"/>
      </w:pPr>
      <w:rPr>
        <w:rFonts w:hint="default"/>
        <w:lang w:val="en-US" w:eastAsia="zh-CN" w:bidi="ar-SA"/>
      </w:rPr>
    </w:lvl>
  </w:abstractNum>
  <w:abstractNum w:abstractNumId="9">
    <w:nsid w:val="4ABC2E09"/>
    <w:multiLevelType w:val="hybridMultilevel"/>
    <w:tmpl w:val="00000000"/>
    <w:lvl w:ilvl="0">
      <w:start w:val="1"/>
      <w:numFmt w:val="decimal"/>
      <w:lvlText w:val="%1."/>
      <w:lvlJc w:val="left"/>
      <w:pPr>
        <w:ind w:left="896" w:hanging="316"/>
        <w:jc w:val="left"/>
      </w:pPr>
      <w:rPr>
        <w:rFonts w:ascii="Times New Roman" w:eastAsia="Times New Roman" w:hAnsi="Times New Roman" w:cs="Times New Roman" w:hint="default"/>
        <w:b w:val="0"/>
        <w:bCs w:val="0"/>
        <w:i w:val="0"/>
        <w:iCs w:val="0"/>
        <w:spacing w:val="-33"/>
        <w:w w:val="100"/>
        <w:sz w:val="19"/>
        <w:szCs w:val="19"/>
        <w:lang w:val="en-US" w:eastAsia="zh-CN" w:bidi="ar-SA"/>
      </w:rPr>
    </w:lvl>
    <w:lvl w:ilvl="1">
      <w:start w:val="1"/>
      <w:numFmt w:val="decimal"/>
      <w:lvlText w:val="%2."/>
      <w:lvlJc w:val="left"/>
      <w:pPr>
        <w:ind w:left="1015" w:hanging="316"/>
        <w:jc w:val="left"/>
      </w:pPr>
      <w:rPr>
        <w:rFonts w:ascii="Times New Roman" w:eastAsia="Times New Roman" w:hAnsi="Times New Roman" w:cs="Times New Roman" w:hint="default"/>
        <w:b w:val="0"/>
        <w:bCs w:val="0"/>
        <w:i w:val="0"/>
        <w:iCs w:val="0"/>
        <w:spacing w:val="-12"/>
        <w:w w:val="100"/>
        <w:sz w:val="19"/>
        <w:szCs w:val="19"/>
        <w:lang w:val="en-US" w:eastAsia="zh-CN" w:bidi="ar-SA"/>
      </w:rPr>
    </w:lvl>
    <w:lvl w:ilvl="2">
      <w:start w:val="0"/>
      <w:numFmt w:val="bullet"/>
      <w:lvlText w:val="•"/>
      <w:lvlJc w:val="left"/>
      <w:pPr>
        <w:ind w:left="1880" w:hanging="316"/>
      </w:pPr>
      <w:rPr>
        <w:rFonts w:hint="default"/>
        <w:lang w:val="en-US" w:eastAsia="zh-CN" w:bidi="ar-SA"/>
      </w:rPr>
    </w:lvl>
    <w:lvl w:ilvl="3">
      <w:start w:val="0"/>
      <w:numFmt w:val="bullet"/>
      <w:lvlText w:val="•"/>
      <w:lvlJc w:val="left"/>
      <w:pPr>
        <w:ind w:left="2741" w:hanging="316"/>
      </w:pPr>
      <w:rPr>
        <w:rFonts w:hint="default"/>
        <w:lang w:val="en-US" w:eastAsia="zh-CN" w:bidi="ar-SA"/>
      </w:rPr>
    </w:lvl>
    <w:lvl w:ilvl="4">
      <w:start w:val="0"/>
      <w:numFmt w:val="bullet"/>
      <w:lvlText w:val="•"/>
      <w:lvlJc w:val="left"/>
      <w:pPr>
        <w:ind w:left="3602" w:hanging="316"/>
      </w:pPr>
      <w:rPr>
        <w:rFonts w:hint="default"/>
        <w:lang w:val="en-US" w:eastAsia="zh-CN" w:bidi="ar-SA"/>
      </w:rPr>
    </w:lvl>
    <w:lvl w:ilvl="5">
      <w:start w:val="0"/>
      <w:numFmt w:val="bullet"/>
      <w:lvlText w:val="•"/>
      <w:lvlJc w:val="left"/>
      <w:pPr>
        <w:ind w:left="4462" w:hanging="316"/>
      </w:pPr>
      <w:rPr>
        <w:rFonts w:hint="default"/>
        <w:lang w:val="en-US" w:eastAsia="zh-CN" w:bidi="ar-SA"/>
      </w:rPr>
    </w:lvl>
    <w:lvl w:ilvl="6">
      <w:start w:val="0"/>
      <w:numFmt w:val="bullet"/>
      <w:lvlText w:val="•"/>
      <w:lvlJc w:val="left"/>
      <w:pPr>
        <w:ind w:left="5323" w:hanging="316"/>
      </w:pPr>
      <w:rPr>
        <w:rFonts w:hint="default"/>
        <w:lang w:val="en-US" w:eastAsia="zh-CN" w:bidi="ar-SA"/>
      </w:rPr>
    </w:lvl>
    <w:lvl w:ilvl="7">
      <w:start w:val="0"/>
      <w:numFmt w:val="bullet"/>
      <w:lvlText w:val="•"/>
      <w:lvlJc w:val="left"/>
      <w:pPr>
        <w:ind w:left="6184" w:hanging="316"/>
      </w:pPr>
      <w:rPr>
        <w:rFonts w:hint="default"/>
        <w:lang w:val="en-US" w:eastAsia="zh-CN" w:bidi="ar-SA"/>
      </w:rPr>
    </w:lvl>
    <w:lvl w:ilvl="8">
      <w:start w:val="0"/>
      <w:numFmt w:val="bullet"/>
      <w:lvlText w:val="•"/>
      <w:lvlJc w:val="left"/>
      <w:pPr>
        <w:ind w:left="7044" w:hanging="316"/>
      </w:pPr>
      <w:rPr>
        <w:rFonts w:hint="default"/>
        <w:lang w:val="en-US" w:eastAsia="zh-CN" w:bidi="ar-SA"/>
      </w:rPr>
    </w:lvl>
  </w:abstractNum>
  <w:abstractNum w:abstractNumId="10">
    <w:nsid w:val="55B5DDAB"/>
    <w:multiLevelType w:val="hybridMultilevel"/>
    <w:tmpl w:val="00000000"/>
    <w:lvl w:ilvl="0">
      <w:start w:val="1"/>
      <w:numFmt w:val="decimal"/>
      <w:lvlText w:val="%1."/>
      <w:lvlJc w:val="left"/>
      <w:pPr>
        <w:ind w:left="371" w:hanging="212"/>
        <w:jc w:val="left"/>
      </w:pPr>
      <w:rPr>
        <w:rFonts w:hint="default"/>
        <w:w w:val="83"/>
        <w:lang w:val="en-US" w:eastAsia="zh-CN" w:bidi="ar-SA"/>
      </w:rPr>
    </w:lvl>
    <w:lvl w:ilvl="1">
      <w:start w:val="1"/>
      <w:numFmt w:val="decimal"/>
      <w:lvlText w:val="%2."/>
      <w:lvlJc w:val="left"/>
      <w:pPr>
        <w:ind w:left="100" w:hanging="316"/>
        <w:jc w:val="left"/>
      </w:pPr>
      <w:rPr>
        <w:rFonts w:ascii="Times New Roman" w:eastAsia="Times New Roman" w:hAnsi="Times New Roman" w:cs="Times New Roman" w:hint="default"/>
        <w:b w:val="0"/>
        <w:bCs w:val="0"/>
        <w:i w:val="0"/>
        <w:iCs w:val="0"/>
        <w:spacing w:val="-16"/>
        <w:w w:val="100"/>
        <w:sz w:val="19"/>
        <w:szCs w:val="19"/>
        <w:lang w:val="en-US" w:eastAsia="zh-CN" w:bidi="ar-SA"/>
      </w:rPr>
    </w:lvl>
    <w:lvl w:ilvl="2">
      <w:start w:val="0"/>
      <w:numFmt w:val="bullet"/>
      <w:lvlText w:val="•"/>
      <w:lvlJc w:val="left"/>
      <w:pPr>
        <w:ind w:left="1311" w:hanging="316"/>
      </w:pPr>
      <w:rPr>
        <w:rFonts w:hint="default"/>
        <w:lang w:val="en-US" w:eastAsia="zh-CN" w:bidi="ar-SA"/>
      </w:rPr>
    </w:lvl>
    <w:lvl w:ilvl="3">
      <w:start w:val="0"/>
      <w:numFmt w:val="bullet"/>
      <w:lvlText w:val="•"/>
      <w:lvlJc w:val="left"/>
      <w:pPr>
        <w:ind w:left="2243" w:hanging="316"/>
      </w:pPr>
      <w:rPr>
        <w:rFonts w:hint="default"/>
        <w:lang w:val="en-US" w:eastAsia="zh-CN" w:bidi="ar-SA"/>
      </w:rPr>
    </w:lvl>
    <w:lvl w:ilvl="4">
      <w:start w:val="0"/>
      <w:numFmt w:val="bullet"/>
      <w:lvlText w:val="•"/>
      <w:lvlJc w:val="left"/>
      <w:pPr>
        <w:ind w:left="3175" w:hanging="316"/>
      </w:pPr>
      <w:rPr>
        <w:rFonts w:hint="default"/>
        <w:lang w:val="en-US" w:eastAsia="zh-CN" w:bidi="ar-SA"/>
      </w:rPr>
    </w:lvl>
    <w:lvl w:ilvl="5">
      <w:start w:val="0"/>
      <w:numFmt w:val="bullet"/>
      <w:lvlText w:val="•"/>
      <w:lvlJc w:val="left"/>
      <w:pPr>
        <w:ind w:left="4107" w:hanging="316"/>
      </w:pPr>
      <w:rPr>
        <w:rFonts w:hint="default"/>
        <w:lang w:val="en-US" w:eastAsia="zh-CN" w:bidi="ar-SA"/>
      </w:rPr>
    </w:lvl>
    <w:lvl w:ilvl="6">
      <w:start w:val="0"/>
      <w:numFmt w:val="bullet"/>
      <w:lvlText w:val="•"/>
      <w:lvlJc w:val="left"/>
      <w:pPr>
        <w:ind w:left="5038" w:hanging="316"/>
      </w:pPr>
      <w:rPr>
        <w:rFonts w:hint="default"/>
        <w:lang w:val="en-US" w:eastAsia="zh-CN" w:bidi="ar-SA"/>
      </w:rPr>
    </w:lvl>
    <w:lvl w:ilvl="7">
      <w:start w:val="0"/>
      <w:numFmt w:val="bullet"/>
      <w:lvlText w:val="•"/>
      <w:lvlJc w:val="left"/>
      <w:pPr>
        <w:ind w:left="5970" w:hanging="316"/>
      </w:pPr>
      <w:rPr>
        <w:rFonts w:hint="default"/>
        <w:lang w:val="en-US" w:eastAsia="zh-CN" w:bidi="ar-SA"/>
      </w:rPr>
    </w:lvl>
    <w:lvl w:ilvl="8">
      <w:start w:val="0"/>
      <w:numFmt w:val="bullet"/>
      <w:lvlText w:val="•"/>
      <w:lvlJc w:val="left"/>
      <w:pPr>
        <w:ind w:left="6902" w:hanging="316"/>
      </w:pPr>
      <w:rPr>
        <w:rFonts w:hint="default"/>
        <w:lang w:val="en-US" w:eastAsia="zh-CN" w:bidi="ar-SA"/>
      </w:rPr>
    </w:lvl>
  </w:abstractNum>
  <w:abstractNum w:abstractNumId="11">
    <w:nsid w:val="617C8FF8"/>
    <w:multiLevelType w:val="hybridMultilevel"/>
    <w:tmpl w:val="00000000"/>
    <w:lvl w:ilvl="0">
      <w:start w:val="1"/>
      <w:numFmt w:val="decimal"/>
      <w:lvlText w:val="%1."/>
      <w:lvlJc w:val="left"/>
      <w:pPr>
        <w:ind w:left="896" w:hanging="316"/>
        <w:jc w:val="left"/>
      </w:pPr>
      <w:rPr>
        <w:rFonts w:ascii="Times New Roman" w:eastAsia="Times New Roman" w:hAnsi="Times New Roman" w:cs="Times New Roman" w:hint="default"/>
        <w:b w:val="0"/>
        <w:bCs w:val="0"/>
        <w:i w:val="0"/>
        <w:iCs w:val="0"/>
        <w:spacing w:val="-33"/>
        <w:w w:val="100"/>
        <w:sz w:val="19"/>
        <w:szCs w:val="19"/>
        <w:lang w:val="en-US" w:eastAsia="zh-CN" w:bidi="ar-SA"/>
      </w:rPr>
    </w:lvl>
    <w:lvl w:ilvl="1">
      <w:start w:val="1"/>
      <w:numFmt w:val="decimal"/>
      <w:lvlText w:val="%2."/>
      <w:lvlJc w:val="left"/>
      <w:pPr>
        <w:ind w:left="1015" w:hanging="316"/>
        <w:jc w:val="left"/>
      </w:pPr>
      <w:rPr>
        <w:rFonts w:ascii="Times New Roman" w:eastAsia="Times New Roman" w:hAnsi="Times New Roman" w:cs="Times New Roman" w:hint="default"/>
        <w:b w:val="0"/>
        <w:bCs w:val="0"/>
        <w:i w:val="0"/>
        <w:iCs w:val="0"/>
        <w:spacing w:val="-12"/>
        <w:w w:val="100"/>
        <w:sz w:val="19"/>
        <w:szCs w:val="19"/>
        <w:lang w:val="en-US" w:eastAsia="zh-CN" w:bidi="ar-SA"/>
      </w:rPr>
    </w:lvl>
    <w:lvl w:ilvl="2">
      <w:start w:val="0"/>
      <w:numFmt w:val="bullet"/>
      <w:lvlText w:val="•"/>
      <w:lvlJc w:val="left"/>
      <w:pPr>
        <w:ind w:left="1880" w:hanging="316"/>
      </w:pPr>
      <w:rPr>
        <w:rFonts w:hint="default"/>
        <w:lang w:val="en-US" w:eastAsia="zh-CN" w:bidi="ar-SA"/>
      </w:rPr>
    </w:lvl>
    <w:lvl w:ilvl="3">
      <w:start w:val="0"/>
      <w:numFmt w:val="bullet"/>
      <w:lvlText w:val="•"/>
      <w:lvlJc w:val="left"/>
      <w:pPr>
        <w:ind w:left="2741" w:hanging="316"/>
      </w:pPr>
      <w:rPr>
        <w:rFonts w:hint="default"/>
        <w:lang w:val="en-US" w:eastAsia="zh-CN" w:bidi="ar-SA"/>
      </w:rPr>
    </w:lvl>
    <w:lvl w:ilvl="4">
      <w:start w:val="0"/>
      <w:numFmt w:val="bullet"/>
      <w:lvlText w:val="•"/>
      <w:lvlJc w:val="left"/>
      <w:pPr>
        <w:ind w:left="3602" w:hanging="316"/>
      </w:pPr>
      <w:rPr>
        <w:rFonts w:hint="default"/>
        <w:lang w:val="en-US" w:eastAsia="zh-CN" w:bidi="ar-SA"/>
      </w:rPr>
    </w:lvl>
    <w:lvl w:ilvl="5">
      <w:start w:val="0"/>
      <w:numFmt w:val="bullet"/>
      <w:lvlText w:val="•"/>
      <w:lvlJc w:val="left"/>
      <w:pPr>
        <w:ind w:left="4462" w:hanging="316"/>
      </w:pPr>
      <w:rPr>
        <w:rFonts w:hint="default"/>
        <w:lang w:val="en-US" w:eastAsia="zh-CN" w:bidi="ar-SA"/>
      </w:rPr>
    </w:lvl>
    <w:lvl w:ilvl="6">
      <w:start w:val="0"/>
      <w:numFmt w:val="bullet"/>
      <w:lvlText w:val="•"/>
      <w:lvlJc w:val="left"/>
      <w:pPr>
        <w:ind w:left="5323" w:hanging="316"/>
      </w:pPr>
      <w:rPr>
        <w:rFonts w:hint="default"/>
        <w:lang w:val="en-US" w:eastAsia="zh-CN" w:bidi="ar-SA"/>
      </w:rPr>
    </w:lvl>
    <w:lvl w:ilvl="7">
      <w:start w:val="0"/>
      <w:numFmt w:val="bullet"/>
      <w:lvlText w:val="•"/>
      <w:lvlJc w:val="left"/>
      <w:pPr>
        <w:ind w:left="6184" w:hanging="316"/>
      </w:pPr>
      <w:rPr>
        <w:rFonts w:hint="default"/>
        <w:lang w:val="en-US" w:eastAsia="zh-CN" w:bidi="ar-SA"/>
      </w:rPr>
    </w:lvl>
    <w:lvl w:ilvl="8">
      <w:start w:val="0"/>
      <w:numFmt w:val="bullet"/>
      <w:lvlText w:val="•"/>
      <w:lvlJc w:val="left"/>
      <w:pPr>
        <w:ind w:left="7044" w:hanging="316"/>
      </w:pPr>
      <w:rPr>
        <w:rFonts w:hint="default"/>
        <w:lang w:val="en-US" w:eastAsia="zh-CN" w:bidi="ar-SA"/>
      </w:rPr>
    </w:lvl>
  </w:abstractNum>
  <w:abstractNum w:abstractNumId="12">
    <w:nsid w:val="620385E5"/>
    <w:multiLevelType w:val="hybridMultilevel"/>
    <w:tmpl w:val="00000000"/>
    <w:lvl w:ilvl="0">
      <w:start w:val="1"/>
      <w:numFmt w:val="decimal"/>
      <w:lvlText w:val="[%1]"/>
      <w:lvlJc w:val="left"/>
      <w:pPr>
        <w:ind w:left="700" w:hanging="540"/>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1506" w:hanging="540"/>
      </w:pPr>
      <w:rPr>
        <w:rFonts w:hint="default"/>
        <w:lang w:val="en-US" w:eastAsia="zh-CN" w:bidi="ar-SA"/>
      </w:rPr>
    </w:lvl>
    <w:lvl w:ilvl="2">
      <w:start w:val="0"/>
      <w:numFmt w:val="bullet"/>
      <w:lvlText w:val="•"/>
      <w:lvlJc w:val="left"/>
      <w:pPr>
        <w:ind w:left="2313" w:hanging="540"/>
      </w:pPr>
      <w:rPr>
        <w:rFonts w:hint="default"/>
        <w:lang w:val="en-US" w:eastAsia="zh-CN" w:bidi="ar-SA"/>
      </w:rPr>
    </w:lvl>
    <w:lvl w:ilvl="3">
      <w:start w:val="0"/>
      <w:numFmt w:val="bullet"/>
      <w:lvlText w:val="•"/>
      <w:lvlJc w:val="left"/>
      <w:pPr>
        <w:ind w:left="3119" w:hanging="540"/>
      </w:pPr>
      <w:rPr>
        <w:rFonts w:hint="default"/>
        <w:lang w:val="en-US" w:eastAsia="zh-CN" w:bidi="ar-SA"/>
      </w:rPr>
    </w:lvl>
    <w:lvl w:ilvl="4">
      <w:start w:val="0"/>
      <w:numFmt w:val="bullet"/>
      <w:lvlText w:val="•"/>
      <w:lvlJc w:val="left"/>
      <w:pPr>
        <w:ind w:left="3926" w:hanging="540"/>
      </w:pPr>
      <w:rPr>
        <w:rFonts w:hint="default"/>
        <w:lang w:val="en-US" w:eastAsia="zh-CN" w:bidi="ar-SA"/>
      </w:rPr>
    </w:lvl>
    <w:lvl w:ilvl="5">
      <w:start w:val="0"/>
      <w:numFmt w:val="bullet"/>
      <w:lvlText w:val="•"/>
      <w:lvlJc w:val="left"/>
      <w:pPr>
        <w:ind w:left="4733" w:hanging="540"/>
      </w:pPr>
      <w:rPr>
        <w:rFonts w:hint="default"/>
        <w:lang w:val="en-US" w:eastAsia="zh-CN" w:bidi="ar-SA"/>
      </w:rPr>
    </w:lvl>
    <w:lvl w:ilvl="6">
      <w:start w:val="0"/>
      <w:numFmt w:val="bullet"/>
      <w:lvlText w:val="•"/>
      <w:lvlJc w:val="left"/>
      <w:pPr>
        <w:ind w:left="5539" w:hanging="540"/>
      </w:pPr>
      <w:rPr>
        <w:rFonts w:hint="default"/>
        <w:lang w:val="en-US" w:eastAsia="zh-CN" w:bidi="ar-SA"/>
      </w:rPr>
    </w:lvl>
    <w:lvl w:ilvl="7">
      <w:start w:val="0"/>
      <w:numFmt w:val="bullet"/>
      <w:lvlText w:val="•"/>
      <w:lvlJc w:val="left"/>
      <w:pPr>
        <w:ind w:left="6346" w:hanging="540"/>
      </w:pPr>
      <w:rPr>
        <w:rFonts w:hint="default"/>
        <w:lang w:val="en-US" w:eastAsia="zh-CN" w:bidi="ar-SA"/>
      </w:rPr>
    </w:lvl>
    <w:lvl w:ilvl="8">
      <w:start w:val="0"/>
      <w:numFmt w:val="bullet"/>
      <w:lvlText w:val="•"/>
      <w:lvlJc w:val="left"/>
      <w:pPr>
        <w:ind w:left="7152" w:hanging="540"/>
      </w:pPr>
      <w:rPr>
        <w:rFonts w:hint="default"/>
        <w:lang w:val="en-US" w:eastAsia="zh-CN" w:bidi="ar-SA"/>
      </w:rPr>
    </w:lvl>
  </w:abstractNum>
  <w:abstractNum w:abstractNumId="13">
    <w:nsid w:val="7FAB7820"/>
    <w:multiLevelType w:val="hybridMultilevel"/>
    <w:tmpl w:val="00000000"/>
    <w:lvl w:ilvl="0">
      <w:start w:val="1"/>
      <w:numFmt w:val="decimal"/>
      <w:lvlText w:val="（%1）"/>
      <w:lvlJc w:val="left"/>
      <w:pPr>
        <w:ind w:left="1166" w:hanging="52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920" w:hanging="526"/>
      </w:pPr>
      <w:rPr>
        <w:rFonts w:hint="default"/>
        <w:lang w:val="en-US" w:eastAsia="zh-CN" w:bidi="ar-SA"/>
      </w:rPr>
    </w:lvl>
    <w:lvl w:ilvl="2">
      <w:start w:val="0"/>
      <w:numFmt w:val="bullet"/>
      <w:lvlText w:val="•"/>
      <w:lvlJc w:val="left"/>
      <w:pPr>
        <w:ind w:left="2681" w:hanging="526"/>
      </w:pPr>
      <w:rPr>
        <w:rFonts w:hint="default"/>
        <w:lang w:val="en-US" w:eastAsia="zh-CN" w:bidi="ar-SA"/>
      </w:rPr>
    </w:lvl>
    <w:lvl w:ilvl="3">
      <w:start w:val="0"/>
      <w:numFmt w:val="bullet"/>
      <w:lvlText w:val="•"/>
      <w:lvlJc w:val="left"/>
      <w:pPr>
        <w:ind w:left="3441" w:hanging="526"/>
      </w:pPr>
      <w:rPr>
        <w:rFonts w:hint="default"/>
        <w:lang w:val="en-US" w:eastAsia="zh-CN" w:bidi="ar-SA"/>
      </w:rPr>
    </w:lvl>
    <w:lvl w:ilvl="4">
      <w:start w:val="0"/>
      <w:numFmt w:val="bullet"/>
      <w:lvlText w:val="•"/>
      <w:lvlJc w:val="left"/>
      <w:pPr>
        <w:ind w:left="4202" w:hanging="526"/>
      </w:pPr>
      <w:rPr>
        <w:rFonts w:hint="default"/>
        <w:lang w:val="en-US" w:eastAsia="zh-CN" w:bidi="ar-SA"/>
      </w:rPr>
    </w:lvl>
    <w:lvl w:ilvl="5">
      <w:start w:val="0"/>
      <w:numFmt w:val="bullet"/>
      <w:lvlText w:val="•"/>
      <w:lvlJc w:val="left"/>
      <w:pPr>
        <w:ind w:left="4963" w:hanging="526"/>
      </w:pPr>
      <w:rPr>
        <w:rFonts w:hint="default"/>
        <w:lang w:val="en-US" w:eastAsia="zh-CN" w:bidi="ar-SA"/>
      </w:rPr>
    </w:lvl>
    <w:lvl w:ilvl="6">
      <w:start w:val="0"/>
      <w:numFmt w:val="bullet"/>
      <w:lvlText w:val="•"/>
      <w:lvlJc w:val="left"/>
      <w:pPr>
        <w:ind w:left="5723" w:hanging="526"/>
      </w:pPr>
      <w:rPr>
        <w:rFonts w:hint="default"/>
        <w:lang w:val="en-US" w:eastAsia="zh-CN" w:bidi="ar-SA"/>
      </w:rPr>
    </w:lvl>
    <w:lvl w:ilvl="7">
      <w:start w:val="0"/>
      <w:numFmt w:val="bullet"/>
      <w:lvlText w:val="•"/>
      <w:lvlJc w:val="left"/>
      <w:pPr>
        <w:ind w:left="6484" w:hanging="526"/>
      </w:pPr>
      <w:rPr>
        <w:rFonts w:hint="default"/>
        <w:lang w:val="en-US" w:eastAsia="zh-CN" w:bidi="ar-SA"/>
      </w:rPr>
    </w:lvl>
    <w:lvl w:ilvl="8">
      <w:start w:val="0"/>
      <w:numFmt w:val="bullet"/>
      <w:lvlText w:val="•"/>
      <w:lvlJc w:val="left"/>
      <w:pPr>
        <w:ind w:left="7244" w:hanging="526"/>
      </w:pPr>
      <w:rPr>
        <w:rFonts w:hint="default"/>
        <w:lang w:val="en-US" w:eastAsia="zh-CN" w:bidi="ar-SA"/>
      </w:rPr>
    </w:lvl>
  </w:abstractNum>
  <w:num w:numId="1">
    <w:abstractNumId w:val="7"/>
  </w:num>
  <w:num w:numId="2">
    <w:abstractNumId w:val="12"/>
  </w:num>
  <w:num w:numId="3">
    <w:abstractNumId w:val="2"/>
  </w:num>
  <w:num w:numId="4">
    <w:abstractNumId w:val="4"/>
  </w:num>
  <w:num w:numId="5">
    <w:abstractNumId w:val="3"/>
  </w:num>
  <w:num w:numId="6">
    <w:abstractNumId w:val="10"/>
  </w:num>
  <w:num w:numId="7">
    <w:abstractNumId w:val="8"/>
  </w:num>
  <w:num w:numId="8">
    <w:abstractNumId w:val="1"/>
  </w:num>
  <w:num w:numId="9">
    <w:abstractNumId w:val="13"/>
  </w:num>
  <w:num w:numId="10">
    <w:abstractNumId w:val="5"/>
  </w:num>
  <w:num w:numId="11">
    <w:abstractNumId w:val="0"/>
  </w:num>
  <w:num w:numId="12">
    <w:abstractNumId w:val="9"/>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60"/>
      <w:outlineLvl w:val="0"/>
    </w:pPr>
    <w:rPr>
      <w:rFonts w:ascii="Microsoft JhengHei" w:eastAsia="Microsoft JhengHei" w:hAnsi="Microsoft JhengHei" w:cs="Microsoft JhengHei"/>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60"/>
    </w:pPr>
    <w:rPr>
      <w:rFonts w:ascii="宋体" w:eastAsia="宋体" w:hAnsi="宋体" w:cs="宋体"/>
      <w:sz w:val="21"/>
      <w:szCs w:val="21"/>
      <w:lang w:val="en-US" w:eastAsia="zh-CN" w:bidi="ar-SA"/>
    </w:rPr>
  </w:style>
  <w:style w:type="paragraph" w:styleId="ListParagraph">
    <w:name w:val="List Paragraph"/>
    <w:basedOn w:val="Normal"/>
    <w:uiPriority w:val="1"/>
    <w:qFormat/>
    <w:pPr>
      <w:spacing w:before="2"/>
      <w:ind w:left="700" w:right="297" w:hanging="540"/>
      <w:jc w:val="both"/>
    </w:pPr>
    <w:rPr>
      <w:rFonts w:ascii="宋体" w:eastAsia="宋体" w:hAnsi="宋体" w:cs="宋体"/>
      <w:lang w:val="en-US" w:eastAsia="zh-CN" w:bidi="ar-SA"/>
    </w:rPr>
  </w:style>
  <w:style w:type="paragraph" w:customStyle="1" w:styleId="TableParagraph">
    <w:name w:val="Table Paragraph"/>
    <w:basedOn w:val="Normal"/>
    <w:uiPriority w:val="1"/>
    <w:qFormat/>
    <w:pPr>
      <w:spacing w:before="4" w:line="288" w:lineRule="exact"/>
      <w:ind w:left="108"/>
    </w:pPr>
    <w:rPr>
      <w:rFonts w:ascii="宋体" w:eastAsia="宋体" w:hAnsi="宋体" w:cs="宋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hyperlink" Target="https://d.book118.com/375101010240011113" TargetMode="External" /><Relationship Id="rId17" Type="http://schemas.openxmlformats.org/officeDocument/2006/relationships/footer" Target="footer1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2024-03-01T04:01:14Z</dcterms:created>
  <dcterms:modified xsi:type="dcterms:W3CDTF">2024-03-01T04:01:14Z</dcterms:modified>
</cp:coreProperties>
</file>