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DNA、RNA疫苗项目招商引资风险评估报告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91" w:history="1">
        <w:r>
          <w:rPr>
            <w:rFonts w:ascii="仿宋" w:eastAsia="仿宋" w:hAnsi="仿宋" w:cs="仿宋" w:hint="eastAsia"/>
            <w:lang w:eastAsia="zh-CN"/>
          </w:rPr>
          <w:t>概论</w:t>
        </w:r>
        <w:r>
          <w:tab/>
        </w:r>
        <w:r>
          <w:fldChar w:fldCharType="begin"/>
        </w:r>
        <w:r>
          <w:instrText xml:space="preserve"> PAGEREF _Toc4491 \h </w:instrText>
        </w:r>
        <w:r>
          <w:fldChar w:fldCharType="separate"/>
        </w:r>
        <w:r>
          <w:t>3</w:t>
        </w:r>
        <w:r>
          <w:fldChar w:fldCharType="end"/>
        </w:r>
      </w:hyperlink>
    </w:p>
    <w:p>
      <w:pPr>
        <w:pStyle w:val="TOC1"/>
        <w:tabs>
          <w:tab w:val="right" w:leader="dot" w:pos="8306"/>
        </w:tabs>
      </w:pPr>
      <w:hyperlink w:anchor="_Toc17293" w:history="1">
        <w:r>
          <w:rPr>
            <w:rFonts w:ascii="仿宋" w:eastAsia="仿宋" w:hAnsi="仿宋" w:cs="仿宋" w:hint="eastAsia"/>
            <w:lang w:eastAsia="zh-CN"/>
          </w:rPr>
          <w:t>一、DNA、RNA疫苗项目建设背景</w:t>
        </w:r>
        <w:r>
          <w:tab/>
        </w:r>
        <w:r>
          <w:fldChar w:fldCharType="begin"/>
        </w:r>
        <w:r>
          <w:instrText xml:space="preserve"> PAGEREF _Toc17293 \h </w:instrText>
        </w:r>
        <w:r>
          <w:fldChar w:fldCharType="separate"/>
        </w:r>
        <w:r>
          <w:t>3</w:t>
        </w:r>
        <w:r>
          <w:fldChar w:fldCharType="end"/>
        </w:r>
      </w:hyperlink>
    </w:p>
    <w:p>
      <w:pPr>
        <w:pStyle w:val="TOC2"/>
        <w:tabs>
          <w:tab w:val="right" w:leader="dot" w:pos="8306"/>
        </w:tabs>
      </w:pPr>
      <w:hyperlink w:anchor="_Toc29827" w:history="1">
        <w:r>
          <w:rPr>
            <w:rFonts w:ascii="仿宋" w:eastAsia="仿宋" w:hAnsi="仿宋" w:cs="仿宋" w:hint="eastAsia"/>
            <w:lang w:eastAsia="zh-CN"/>
          </w:rPr>
          <w:t>(一)、DNA、RNA疫苗项目承办单位背景分析</w:t>
        </w:r>
        <w:r>
          <w:tab/>
        </w:r>
        <w:r>
          <w:fldChar w:fldCharType="begin"/>
        </w:r>
        <w:r>
          <w:instrText xml:space="preserve"> PAGEREF _Toc29827 \h </w:instrText>
        </w:r>
        <w:r>
          <w:fldChar w:fldCharType="separate"/>
        </w:r>
        <w:r>
          <w:t>3</w:t>
        </w:r>
        <w:r>
          <w:fldChar w:fldCharType="end"/>
        </w:r>
      </w:hyperlink>
    </w:p>
    <w:p>
      <w:pPr>
        <w:pStyle w:val="TOC2"/>
        <w:tabs>
          <w:tab w:val="right" w:leader="dot" w:pos="8306"/>
        </w:tabs>
      </w:pPr>
      <w:hyperlink w:anchor="_Toc5153" w:history="1">
        <w:r>
          <w:rPr>
            <w:rFonts w:ascii="仿宋" w:eastAsia="仿宋" w:hAnsi="仿宋" w:cs="仿宋" w:hint="eastAsia"/>
            <w:lang w:eastAsia="zh-CN"/>
          </w:rPr>
          <w:t>(二)、产业政策及发展规划</w:t>
        </w:r>
        <w:r>
          <w:tab/>
        </w:r>
        <w:r>
          <w:fldChar w:fldCharType="begin"/>
        </w:r>
        <w:r>
          <w:instrText xml:space="preserve"> PAGEREF _Toc5153 \h </w:instrText>
        </w:r>
        <w:r>
          <w:fldChar w:fldCharType="separate"/>
        </w:r>
        <w:r>
          <w:t>4</w:t>
        </w:r>
        <w:r>
          <w:fldChar w:fldCharType="end"/>
        </w:r>
      </w:hyperlink>
    </w:p>
    <w:p>
      <w:pPr>
        <w:pStyle w:val="TOC2"/>
        <w:tabs>
          <w:tab w:val="right" w:leader="dot" w:pos="8306"/>
        </w:tabs>
      </w:pPr>
      <w:hyperlink w:anchor="_Toc18297" w:history="1">
        <w:r>
          <w:rPr>
            <w:rFonts w:ascii="仿宋" w:eastAsia="仿宋" w:hAnsi="仿宋" w:cs="仿宋" w:hint="eastAsia"/>
            <w:lang w:eastAsia="zh-CN"/>
          </w:rPr>
          <w:t>(三)、DNA、RNA疫苗项目建设对区域经济的影响</w:t>
        </w:r>
        <w:r>
          <w:tab/>
        </w:r>
        <w:r>
          <w:fldChar w:fldCharType="begin"/>
        </w:r>
        <w:r>
          <w:instrText xml:space="preserve"> PAGEREF _Toc18297 \h </w:instrText>
        </w:r>
        <w:r>
          <w:fldChar w:fldCharType="separate"/>
        </w:r>
        <w:r>
          <w:t>5</w:t>
        </w:r>
        <w:r>
          <w:fldChar w:fldCharType="end"/>
        </w:r>
      </w:hyperlink>
    </w:p>
    <w:p>
      <w:pPr>
        <w:pStyle w:val="TOC2"/>
        <w:tabs>
          <w:tab w:val="right" w:leader="dot" w:pos="8306"/>
        </w:tabs>
      </w:pPr>
      <w:hyperlink w:anchor="_Toc14789" w:history="1">
        <w:r>
          <w:rPr>
            <w:rFonts w:ascii="仿宋" w:eastAsia="仿宋" w:hAnsi="仿宋" w:cs="仿宋" w:hint="eastAsia"/>
            <w:lang w:eastAsia="zh-CN"/>
          </w:rPr>
          <w:t>(四)、DNA、RNA疫苗项目必要性分析</w:t>
        </w:r>
        <w:r>
          <w:tab/>
        </w:r>
        <w:r>
          <w:fldChar w:fldCharType="begin"/>
        </w:r>
        <w:r>
          <w:instrText xml:space="preserve"> PAGEREF _Toc14789 \h </w:instrText>
        </w:r>
        <w:r>
          <w:fldChar w:fldCharType="separate"/>
        </w:r>
        <w:r>
          <w:t>6</w:t>
        </w:r>
        <w:r>
          <w:fldChar w:fldCharType="end"/>
        </w:r>
      </w:hyperlink>
    </w:p>
    <w:p>
      <w:pPr>
        <w:pStyle w:val="TOC1"/>
        <w:tabs>
          <w:tab w:val="right" w:leader="dot" w:pos="8306"/>
        </w:tabs>
      </w:pPr>
      <w:hyperlink w:anchor="_Toc13589" w:history="1">
        <w:r>
          <w:rPr>
            <w:rFonts w:ascii="仿宋" w:eastAsia="仿宋" w:hAnsi="仿宋" w:cs="仿宋" w:hint="eastAsia"/>
            <w:lang w:eastAsia="zh-CN"/>
          </w:rPr>
          <w:t>二、DNA、RNA疫苗项目选址研究</w:t>
        </w:r>
        <w:r>
          <w:tab/>
        </w:r>
        <w:r>
          <w:fldChar w:fldCharType="begin"/>
        </w:r>
        <w:r>
          <w:instrText xml:space="preserve"> PAGEREF _Toc13589 \h </w:instrText>
        </w:r>
        <w:r>
          <w:fldChar w:fldCharType="separate"/>
        </w:r>
        <w:r>
          <w:t>8</w:t>
        </w:r>
        <w:r>
          <w:fldChar w:fldCharType="end"/>
        </w:r>
      </w:hyperlink>
    </w:p>
    <w:p>
      <w:pPr>
        <w:pStyle w:val="TOC2"/>
        <w:tabs>
          <w:tab w:val="right" w:leader="dot" w:pos="8306"/>
        </w:tabs>
      </w:pPr>
      <w:hyperlink w:anchor="_Toc9977" w:history="1">
        <w:r>
          <w:rPr>
            <w:rFonts w:ascii="仿宋" w:eastAsia="仿宋" w:hAnsi="仿宋" w:cs="仿宋" w:hint="eastAsia"/>
            <w:lang w:eastAsia="zh-CN"/>
          </w:rPr>
          <w:t>(一)、DNA、RNA疫苗项目选址的指导原则</w:t>
        </w:r>
        <w:r>
          <w:tab/>
        </w:r>
        <w:r>
          <w:fldChar w:fldCharType="begin"/>
        </w:r>
        <w:r>
          <w:instrText xml:space="preserve"> PAGEREF _Toc9977 \h </w:instrText>
        </w:r>
        <w:r>
          <w:fldChar w:fldCharType="separate"/>
        </w:r>
        <w:r>
          <w:t>8</w:t>
        </w:r>
        <w:r>
          <w:fldChar w:fldCharType="end"/>
        </w:r>
      </w:hyperlink>
    </w:p>
    <w:p>
      <w:pPr>
        <w:pStyle w:val="TOC2"/>
        <w:tabs>
          <w:tab w:val="right" w:leader="dot" w:pos="8306"/>
        </w:tabs>
      </w:pPr>
      <w:hyperlink w:anchor="_Toc22144" w:history="1">
        <w:r>
          <w:rPr>
            <w:rFonts w:ascii="仿宋" w:eastAsia="仿宋" w:hAnsi="仿宋" w:cs="仿宋" w:hint="eastAsia"/>
            <w:lang w:eastAsia="zh-CN"/>
          </w:rPr>
          <w:t>(二)、DNA、RNA疫苗项目选址</w:t>
        </w:r>
        <w:r>
          <w:tab/>
        </w:r>
        <w:r>
          <w:fldChar w:fldCharType="begin"/>
        </w:r>
        <w:r>
          <w:instrText xml:space="preserve"> PAGEREF _Toc22144 \h </w:instrText>
        </w:r>
        <w:r>
          <w:fldChar w:fldCharType="separate"/>
        </w:r>
        <w:r>
          <w:t>9</w:t>
        </w:r>
        <w:r>
          <w:fldChar w:fldCharType="end"/>
        </w:r>
      </w:hyperlink>
    </w:p>
    <w:p>
      <w:pPr>
        <w:pStyle w:val="TOC2"/>
        <w:tabs>
          <w:tab w:val="right" w:leader="dot" w:pos="8306"/>
        </w:tabs>
      </w:pPr>
      <w:hyperlink w:anchor="_Toc26178" w:history="1">
        <w:r>
          <w:rPr>
            <w:rFonts w:ascii="仿宋" w:eastAsia="仿宋" w:hAnsi="仿宋" w:cs="仿宋" w:hint="eastAsia"/>
            <w:lang w:eastAsia="zh-CN"/>
          </w:rPr>
          <w:t>(三)、建设环境与条件分析</w:t>
        </w:r>
        <w:r>
          <w:tab/>
        </w:r>
        <w:r>
          <w:fldChar w:fldCharType="begin"/>
        </w:r>
        <w:r>
          <w:instrText xml:space="preserve"> PAGEREF _Toc26178 \h </w:instrText>
        </w:r>
        <w:r>
          <w:fldChar w:fldCharType="separate"/>
        </w:r>
        <w:r>
          <w:t>10</w:t>
        </w:r>
        <w:r>
          <w:fldChar w:fldCharType="end"/>
        </w:r>
      </w:hyperlink>
    </w:p>
    <w:p>
      <w:pPr>
        <w:pStyle w:val="TOC2"/>
        <w:tabs>
          <w:tab w:val="right" w:leader="dot" w:pos="8306"/>
        </w:tabs>
      </w:pPr>
      <w:hyperlink w:anchor="_Toc4645" w:history="1">
        <w:r>
          <w:rPr>
            <w:rFonts w:ascii="仿宋" w:eastAsia="仿宋" w:hAnsi="仿宋" w:cs="仿宋" w:hint="eastAsia"/>
            <w:lang w:eastAsia="zh-CN"/>
          </w:rPr>
          <w:t>(四)、土地使用控制标准</w:t>
        </w:r>
        <w:r>
          <w:tab/>
        </w:r>
        <w:r>
          <w:fldChar w:fldCharType="begin"/>
        </w:r>
        <w:r>
          <w:instrText xml:space="preserve"> PAGEREF _Toc4645 \h </w:instrText>
        </w:r>
        <w:r>
          <w:fldChar w:fldCharType="separate"/>
        </w:r>
        <w:r>
          <w:t>10</w:t>
        </w:r>
        <w:r>
          <w:fldChar w:fldCharType="end"/>
        </w:r>
      </w:hyperlink>
    </w:p>
    <w:p>
      <w:pPr>
        <w:pStyle w:val="TOC2"/>
        <w:tabs>
          <w:tab w:val="right" w:leader="dot" w:pos="8306"/>
        </w:tabs>
      </w:pPr>
      <w:hyperlink w:anchor="_Toc6772" w:history="1">
        <w:r>
          <w:rPr>
            <w:rFonts w:ascii="仿宋" w:eastAsia="仿宋" w:hAnsi="仿宋" w:cs="仿宋" w:hint="eastAsia"/>
            <w:lang w:eastAsia="zh-CN"/>
          </w:rPr>
          <w:t>(五)、土地利用的总体需求</w:t>
        </w:r>
        <w:r>
          <w:tab/>
        </w:r>
        <w:r>
          <w:fldChar w:fldCharType="begin"/>
        </w:r>
        <w:r>
          <w:instrText xml:space="preserve"> PAGEREF _Toc6772 \h </w:instrText>
        </w:r>
        <w:r>
          <w:fldChar w:fldCharType="separate"/>
        </w:r>
        <w:r>
          <w:t>10</w:t>
        </w:r>
        <w:r>
          <w:fldChar w:fldCharType="end"/>
        </w:r>
      </w:hyperlink>
    </w:p>
    <w:p>
      <w:pPr>
        <w:pStyle w:val="TOC2"/>
        <w:tabs>
          <w:tab w:val="right" w:leader="dot" w:pos="8306"/>
        </w:tabs>
      </w:pPr>
      <w:hyperlink w:anchor="_Toc17748" w:history="1">
        <w:r>
          <w:rPr>
            <w:rFonts w:ascii="仿宋" w:eastAsia="仿宋" w:hAnsi="仿宋" w:cs="仿宋" w:hint="eastAsia"/>
            <w:lang w:eastAsia="zh-CN"/>
          </w:rPr>
          <w:t>(六)、用地效率提升策略</w:t>
        </w:r>
        <w:r>
          <w:tab/>
        </w:r>
        <w:r>
          <w:fldChar w:fldCharType="begin"/>
        </w:r>
        <w:r>
          <w:instrText xml:space="preserve"> PAGEREF _Toc17748 \h </w:instrText>
        </w:r>
        <w:r>
          <w:fldChar w:fldCharType="separate"/>
        </w:r>
        <w:r>
          <w:t>11</w:t>
        </w:r>
        <w:r>
          <w:fldChar w:fldCharType="end"/>
        </w:r>
      </w:hyperlink>
    </w:p>
    <w:p>
      <w:pPr>
        <w:pStyle w:val="TOC2"/>
        <w:tabs>
          <w:tab w:val="right" w:leader="dot" w:pos="8306"/>
        </w:tabs>
      </w:pPr>
      <w:hyperlink w:anchor="_Toc572" w:history="1">
        <w:r>
          <w:rPr>
            <w:rFonts w:ascii="仿宋" w:eastAsia="仿宋" w:hAnsi="仿宋" w:cs="仿宋" w:hint="eastAsia"/>
            <w:lang w:eastAsia="zh-CN"/>
          </w:rPr>
          <w:t>(七)、总体布局与规划方案</w:t>
        </w:r>
        <w:r>
          <w:tab/>
        </w:r>
        <w:r>
          <w:fldChar w:fldCharType="begin"/>
        </w:r>
        <w:r>
          <w:instrText xml:space="preserve"> PAGEREF _Toc572 \h </w:instrText>
        </w:r>
        <w:r>
          <w:fldChar w:fldCharType="separate"/>
        </w:r>
        <w:r>
          <w:t>11</w:t>
        </w:r>
        <w:r>
          <w:fldChar w:fldCharType="end"/>
        </w:r>
      </w:hyperlink>
    </w:p>
    <w:p>
      <w:pPr>
        <w:pStyle w:val="TOC2"/>
        <w:tabs>
          <w:tab w:val="right" w:leader="dot" w:pos="8306"/>
        </w:tabs>
      </w:pPr>
      <w:hyperlink w:anchor="_Toc14365" w:history="1">
        <w:r>
          <w:rPr>
            <w:rFonts w:ascii="仿宋" w:eastAsia="仿宋" w:hAnsi="仿宋" w:cs="仿宋" w:hint="eastAsia"/>
            <w:lang w:eastAsia="zh-CN"/>
          </w:rPr>
          <w:t>(八)、物流与运输系统设计</w:t>
        </w:r>
        <w:r>
          <w:tab/>
        </w:r>
        <w:r>
          <w:fldChar w:fldCharType="begin"/>
        </w:r>
        <w:r>
          <w:instrText xml:space="preserve"> PAGEREF _Toc14365 \h </w:instrText>
        </w:r>
        <w:r>
          <w:fldChar w:fldCharType="separate"/>
        </w:r>
        <w:r>
          <w:t>13</w:t>
        </w:r>
        <w:r>
          <w:fldChar w:fldCharType="end"/>
        </w:r>
      </w:hyperlink>
    </w:p>
    <w:p>
      <w:pPr>
        <w:pStyle w:val="TOC2"/>
        <w:tabs>
          <w:tab w:val="right" w:leader="dot" w:pos="8306"/>
        </w:tabs>
      </w:pPr>
      <w:hyperlink w:anchor="_Toc8479" w:history="1">
        <w:r>
          <w:rPr>
            <w:rFonts w:ascii="仿宋" w:eastAsia="仿宋" w:hAnsi="仿宋" w:cs="仿宋" w:hint="eastAsia"/>
            <w:lang w:eastAsia="zh-CN"/>
          </w:rPr>
          <w:t>(九)、选址方案的综合评估</w:t>
        </w:r>
        <w:r>
          <w:tab/>
        </w:r>
        <w:r>
          <w:fldChar w:fldCharType="begin"/>
        </w:r>
        <w:r>
          <w:instrText xml:space="preserve"> PAGEREF _Toc8479 \h </w:instrText>
        </w:r>
        <w:r>
          <w:fldChar w:fldCharType="separate"/>
        </w:r>
        <w:r>
          <w:t>14</w:t>
        </w:r>
        <w:r>
          <w:fldChar w:fldCharType="end"/>
        </w:r>
      </w:hyperlink>
    </w:p>
    <w:p>
      <w:pPr>
        <w:pStyle w:val="TOC1"/>
        <w:tabs>
          <w:tab w:val="right" w:leader="dot" w:pos="8306"/>
        </w:tabs>
      </w:pPr>
      <w:hyperlink w:anchor="_Toc5341" w:history="1">
        <w:r>
          <w:rPr>
            <w:rFonts w:ascii="仿宋" w:eastAsia="仿宋" w:hAnsi="仿宋" w:cs="仿宋" w:hint="eastAsia"/>
            <w:lang w:eastAsia="zh-CN"/>
          </w:rPr>
          <w:t>三、DNA、RNA疫苗项目工程设计研究</w:t>
        </w:r>
        <w:r>
          <w:tab/>
        </w:r>
        <w:r>
          <w:fldChar w:fldCharType="begin"/>
        </w:r>
        <w:r>
          <w:instrText xml:space="preserve"> PAGEREF _Toc5341 \h </w:instrText>
        </w:r>
        <w:r>
          <w:fldChar w:fldCharType="separate"/>
        </w:r>
        <w:r>
          <w:t>16</w:t>
        </w:r>
        <w:r>
          <w:fldChar w:fldCharType="end"/>
        </w:r>
      </w:hyperlink>
    </w:p>
    <w:p>
      <w:pPr>
        <w:pStyle w:val="TOC2"/>
        <w:tabs>
          <w:tab w:val="right" w:leader="dot" w:pos="8306"/>
        </w:tabs>
      </w:pPr>
      <w:hyperlink w:anchor="_Toc326" w:history="1">
        <w:r>
          <w:rPr>
            <w:rFonts w:ascii="仿宋" w:eastAsia="仿宋" w:hAnsi="仿宋" w:cs="仿宋" w:hint="eastAsia"/>
            <w:lang w:eastAsia="zh-CN"/>
          </w:rPr>
          <w:t>(一)、建筑工程设计原则</w:t>
        </w:r>
        <w:r>
          <w:tab/>
        </w:r>
        <w:r>
          <w:fldChar w:fldCharType="begin"/>
        </w:r>
        <w:r>
          <w:instrText xml:space="preserve"> PAGEREF _Toc326 \h </w:instrText>
        </w:r>
        <w:r>
          <w:fldChar w:fldCharType="separate"/>
        </w:r>
        <w:r>
          <w:t>16</w:t>
        </w:r>
        <w:r>
          <w:fldChar w:fldCharType="end"/>
        </w:r>
      </w:hyperlink>
    </w:p>
    <w:p>
      <w:pPr>
        <w:pStyle w:val="TOC2"/>
        <w:tabs>
          <w:tab w:val="right" w:leader="dot" w:pos="8306"/>
        </w:tabs>
      </w:pPr>
      <w:hyperlink w:anchor="_Toc10577" w:history="1">
        <w:r>
          <w:rPr>
            <w:rFonts w:ascii="仿宋" w:eastAsia="仿宋" w:hAnsi="仿宋" w:cs="仿宋" w:hint="eastAsia"/>
            <w:lang w:eastAsia="zh-CN"/>
          </w:rPr>
          <w:t>(二)、DNA、RNA疫苗项目工程建设标准规范</w:t>
        </w:r>
        <w:r>
          <w:tab/>
        </w:r>
        <w:r>
          <w:fldChar w:fldCharType="begin"/>
        </w:r>
        <w:r>
          <w:instrText xml:space="preserve"> PAGEREF _Toc10577 \h </w:instrText>
        </w:r>
        <w:r>
          <w:fldChar w:fldCharType="separate"/>
        </w:r>
        <w:r>
          <w:t>17</w:t>
        </w:r>
        <w:r>
          <w:fldChar w:fldCharType="end"/>
        </w:r>
      </w:hyperlink>
    </w:p>
    <w:p>
      <w:pPr>
        <w:pStyle w:val="TOC2"/>
        <w:tabs>
          <w:tab w:val="right" w:leader="dot" w:pos="8306"/>
        </w:tabs>
      </w:pPr>
      <w:hyperlink w:anchor="_Toc23757" w:history="1">
        <w:r>
          <w:rPr>
            <w:rFonts w:ascii="仿宋" w:eastAsia="仿宋" w:hAnsi="仿宋" w:cs="仿宋" w:hint="eastAsia"/>
            <w:lang w:eastAsia="zh-CN"/>
          </w:rPr>
          <w:t>(三)、DNA、RNA疫苗项目总平面设计要求</w:t>
        </w:r>
        <w:r>
          <w:tab/>
        </w:r>
        <w:r>
          <w:fldChar w:fldCharType="begin"/>
        </w:r>
        <w:r>
          <w:instrText xml:space="preserve"> PAGEREF _Toc23757 \h </w:instrText>
        </w:r>
        <w:r>
          <w:fldChar w:fldCharType="separate"/>
        </w:r>
        <w:r>
          <w:t>18</w:t>
        </w:r>
        <w:r>
          <w:fldChar w:fldCharType="end"/>
        </w:r>
      </w:hyperlink>
    </w:p>
    <w:p>
      <w:pPr>
        <w:pStyle w:val="TOC2"/>
        <w:tabs>
          <w:tab w:val="right" w:leader="dot" w:pos="8306"/>
        </w:tabs>
      </w:pPr>
      <w:hyperlink w:anchor="_Toc9519" w:history="1">
        <w:r>
          <w:rPr>
            <w:rFonts w:ascii="仿宋" w:eastAsia="仿宋" w:hAnsi="仿宋" w:cs="仿宋" w:hint="eastAsia"/>
            <w:lang w:eastAsia="zh-CN"/>
          </w:rPr>
          <w:t>(四)、建筑设计规范和标准</w:t>
        </w:r>
        <w:r>
          <w:tab/>
        </w:r>
        <w:r>
          <w:fldChar w:fldCharType="begin"/>
        </w:r>
        <w:r>
          <w:instrText xml:space="preserve"> PAGEREF _Toc9519 \h </w:instrText>
        </w:r>
        <w:r>
          <w:fldChar w:fldCharType="separate"/>
        </w:r>
        <w:r>
          <w:t>19</w:t>
        </w:r>
        <w:r>
          <w:fldChar w:fldCharType="end"/>
        </w:r>
      </w:hyperlink>
    </w:p>
    <w:p>
      <w:pPr>
        <w:pStyle w:val="TOC2"/>
        <w:tabs>
          <w:tab w:val="right" w:leader="dot" w:pos="8306"/>
        </w:tabs>
      </w:pPr>
      <w:hyperlink w:anchor="_Toc12917" w:history="1">
        <w:r>
          <w:rPr>
            <w:rFonts w:ascii="仿宋" w:eastAsia="仿宋" w:hAnsi="仿宋" w:cs="仿宋" w:hint="eastAsia"/>
            <w:lang w:eastAsia="zh-CN"/>
          </w:rPr>
          <w:t>(五)、土建工程设计年限及安全等级</w:t>
        </w:r>
        <w:r>
          <w:tab/>
        </w:r>
        <w:r>
          <w:fldChar w:fldCharType="begin"/>
        </w:r>
        <w:r>
          <w:instrText xml:space="preserve"> PAGEREF _Toc12917 \h </w:instrText>
        </w:r>
        <w:r>
          <w:fldChar w:fldCharType="separate"/>
        </w:r>
        <w:r>
          <w:t>20</w:t>
        </w:r>
        <w:r>
          <w:fldChar w:fldCharType="end"/>
        </w:r>
      </w:hyperlink>
    </w:p>
    <w:p>
      <w:pPr>
        <w:pStyle w:val="TOC2"/>
        <w:tabs>
          <w:tab w:val="right" w:leader="dot" w:pos="8306"/>
        </w:tabs>
      </w:pPr>
      <w:hyperlink w:anchor="_Toc27282" w:history="1">
        <w:r>
          <w:rPr>
            <w:rFonts w:ascii="仿宋" w:eastAsia="仿宋" w:hAnsi="仿宋" w:cs="仿宋" w:hint="eastAsia"/>
            <w:lang w:eastAsia="zh-CN"/>
          </w:rPr>
          <w:t>(六)、建筑工程设计总体要求</w:t>
        </w:r>
        <w:r>
          <w:tab/>
        </w:r>
        <w:r>
          <w:fldChar w:fldCharType="begin"/>
        </w:r>
        <w:r>
          <w:instrText xml:space="preserve"> PAGEREF _Toc27282 \h </w:instrText>
        </w:r>
        <w:r>
          <w:fldChar w:fldCharType="separate"/>
        </w:r>
        <w:r>
          <w:t>21</w:t>
        </w:r>
        <w:r>
          <w:fldChar w:fldCharType="end"/>
        </w:r>
      </w:hyperlink>
    </w:p>
    <w:p>
      <w:pPr>
        <w:pStyle w:val="TOC2"/>
        <w:tabs>
          <w:tab w:val="right" w:leader="dot" w:pos="8306"/>
        </w:tabs>
      </w:pPr>
      <w:hyperlink w:anchor="_Toc10463" w:history="1">
        <w:r>
          <w:rPr>
            <w:rFonts w:ascii="仿宋" w:eastAsia="仿宋" w:hAnsi="仿宋" w:cs="仿宋" w:hint="eastAsia"/>
            <w:lang w:eastAsia="zh-CN"/>
          </w:rPr>
          <w:t>(七)、土建工程建设指标</w:t>
        </w:r>
        <w:r>
          <w:tab/>
        </w:r>
        <w:r>
          <w:fldChar w:fldCharType="begin"/>
        </w:r>
        <w:r>
          <w:instrText xml:space="preserve"> PAGEREF _Toc10463 \h </w:instrText>
        </w:r>
        <w:r>
          <w:fldChar w:fldCharType="separate"/>
        </w:r>
        <w:r>
          <w:t>22</w:t>
        </w:r>
        <w:r>
          <w:fldChar w:fldCharType="end"/>
        </w:r>
      </w:hyperlink>
    </w:p>
    <w:p>
      <w:pPr>
        <w:pStyle w:val="TOC1"/>
        <w:tabs>
          <w:tab w:val="right" w:leader="dot" w:pos="8306"/>
        </w:tabs>
      </w:pPr>
      <w:hyperlink w:anchor="_Toc26300" w:history="1">
        <w:r>
          <w:rPr>
            <w:rFonts w:ascii="仿宋" w:eastAsia="仿宋" w:hAnsi="仿宋" w:cs="仿宋" w:hint="eastAsia"/>
            <w:lang w:eastAsia="zh-CN"/>
          </w:rPr>
          <w:t>四、风险性分析</w:t>
        </w:r>
        <w:r>
          <w:tab/>
        </w:r>
        <w:r>
          <w:fldChar w:fldCharType="begin"/>
        </w:r>
        <w:r>
          <w:instrText xml:space="preserve"> PAGEREF _Toc26300 \h </w:instrText>
        </w:r>
        <w:r>
          <w:fldChar w:fldCharType="separate"/>
        </w:r>
        <w:r>
          <w:t>23</w:t>
        </w:r>
        <w:r>
          <w:fldChar w:fldCharType="end"/>
        </w:r>
      </w:hyperlink>
    </w:p>
    <w:p>
      <w:pPr>
        <w:pStyle w:val="TOC2"/>
        <w:tabs>
          <w:tab w:val="right" w:leader="dot" w:pos="8306"/>
        </w:tabs>
      </w:pPr>
      <w:hyperlink w:anchor="_Toc31940" w:history="1">
        <w:r>
          <w:rPr>
            <w:rFonts w:ascii="仿宋" w:eastAsia="仿宋" w:hAnsi="仿宋" w:cs="仿宋" w:hint="eastAsia"/>
            <w:lang w:eastAsia="zh-CN"/>
          </w:rPr>
          <w:t>(一)、风险识别与评估</w:t>
        </w:r>
        <w:r>
          <w:tab/>
        </w:r>
        <w:r>
          <w:fldChar w:fldCharType="begin"/>
        </w:r>
        <w:r>
          <w:instrText xml:space="preserve"> PAGEREF _Toc31940 \h </w:instrText>
        </w:r>
        <w:r>
          <w:fldChar w:fldCharType="separate"/>
        </w:r>
        <w:r>
          <w:t>23</w:t>
        </w:r>
        <w:r>
          <w:fldChar w:fldCharType="end"/>
        </w:r>
      </w:hyperlink>
    </w:p>
    <w:p>
      <w:pPr>
        <w:pStyle w:val="TOC2"/>
        <w:tabs>
          <w:tab w:val="right" w:leader="dot" w:pos="8306"/>
        </w:tabs>
      </w:pPr>
      <w:hyperlink w:anchor="_Toc24063" w:history="1">
        <w:r>
          <w:rPr>
            <w:rFonts w:ascii="仿宋" w:eastAsia="仿宋" w:hAnsi="仿宋" w:cs="仿宋" w:hint="eastAsia"/>
            <w:lang w:eastAsia="zh-CN"/>
          </w:rPr>
          <w:t>(二)、风险类型及分类</w:t>
        </w:r>
        <w:r>
          <w:tab/>
        </w:r>
        <w:r>
          <w:fldChar w:fldCharType="begin"/>
        </w:r>
        <w:r>
          <w:instrText xml:space="preserve"> PAGEREF _Toc24063 \h </w:instrText>
        </w:r>
        <w:r>
          <w:fldChar w:fldCharType="separate"/>
        </w:r>
        <w:r>
          <w:t>25</w:t>
        </w:r>
        <w:r>
          <w:fldChar w:fldCharType="end"/>
        </w:r>
      </w:hyperlink>
    </w:p>
    <w:p>
      <w:pPr>
        <w:pStyle w:val="TOC2"/>
        <w:tabs>
          <w:tab w:val="right" w:leader="dot" w:pos="8306"/>
        </w:tabs>
      </w:pPr>
      <w:hyperlink w:anchor="_Toc22979" w:history="1">
        <w:r>
          <w:rPr>
            <w:rFonts w:ascii="仿宋" w:eastAsia="仿宋" w:hAnsi="仿宋" w:cs="仿宋" w:hint="eastAsia"/>
            <w:lang w:eastAsia="zh-CN"/>
          </w:rPr>
          <w:t>(三)、技术风险及应对措施</w:t>
        </w:r>
        <w:r>
          <w:tab/>
        </w:r>
        <w:r>
          <w:fldChar w:fldCharType="begin"/>
        </w:r>
        <w:r>
          <w:instrText xml:space="preserve"> PAGEREF _Toc22979 \h </w:instrText>
        </w:r>
        <w:r>
          <w:fldChar w:fldCharType="separate"/>
        </w:r>
        <w:r>
          <w:t>29</w:t>
        </w:r>
        <w:r>
          <w:fldChar w:fldCharType="end"/>
        </w:r>
      </w:hyperlink>
    </w:p>
    <w:p>
      <w:pPr>
        <w:pStyle w:val="TOC2"/>
        <w:tabs>
          <w:tab w:val="right" w:leader="dot" w:pos="8306"/>
        </w:tabs>
      </w:pPr>
      <w:hyperlink w:anchor="_Toc11208" w:history="1">
        <w:r>
          <w:rPr>
            <w:rFonts w:ascii="仿宋" w:eastAsia="仿宋" w:hAnsi="仿宋" w:cs="仿宋" w:hint="eastAsia"/>
            <w:lang w:eastAsia="zh-CN"/>
          </w:rPr>
          <w:t>(四)、市场风险及应对策略</w:t>
        </w:r>
        <w:r>
          <w:tab/>
        </w:r>
        <w:r>
          <w:fldChar w:fldCharType="begin"/>
        </w:r>
        <w:r>
          <w:instrText xml:space="preserve"> PAGEREF _Toc11208 \h </w:instrText>
        </w:r>
        <w:r>
          <w:fldChar w:fldCharType="separate"/>
        </w:r>
        <w:r>
          <w:t>31</w:t>
        </w:r>
        <w:r>
          <w:fldChar w:fldCharType="end"/>
        </w:r>
      </w:hyperlink>
    </w:p>
    <w:p>
      <w:pPr>
        <w:pStyle w:val="TOC2"/>
        <w:tabs>
          <w:tab w:val="right" w:leader="dot" w:pos="8306"/>
        </w:tabs>
      </w:pPr>
      <w:hyperlink w:anchor="_Toc15031" w:history="1">
        <w:r>
          <w:rPr>
            <w:rFonts w:ascii="仿宋" w:eastAsia="仿宋" w:hAnsi="仿宋" w:cs="仿宋" w:hint="eastAsia"/>
            <w:lang w:eastAsia="zh-CN"/>
          </w:rPr>
          <w:t>(五)、管理风险及规避方法</w:t>
        </w:r>
        <w:r>
          <w:tab/>
        </w:r>
        <w:r>
          <w:fldChar w:fldCharType="begin"/>
        </w:r>
        <w:r>
          <w:instrText xml:space="preserve"> PAGEREF _Toc15031 \h </w:instrText>
        </w:r>
        <w:r>
          <w:fldChar w:fldCharType="separate"/>
        </w:r>
        <w:r>
          <w:t>33</w:t>
        </w:r>
        <w:r>
          <w:fldChar w:fldCharType="end"/>
        </w:r>
      </w:hyperlink>
    </w:p>
    <w:p>
      <w:pPr>
        <w:pStyle w:val="TOC2"/>
        <w:tabs>
          <w:tab w:val="right" w:leader="dot" w:pos="8306"/>
        </w:tabs>
      </w:pPr>
      <w:hyperlink w:anchor="_Toc16415" w:history="1">
        <w:r>
          <w:rPr>
            <w:rFonts w:ascii="仿宋" w:eastAsia="仿宋" w:hAnsi="仿宋" w:cs="仿宋" w:hint="eastAsia"/>
            <w:lang w:eastAsia="zh-CN"/>
          </w:rPr>
          <w:t>(六)、财务风险及防范措施</w:t>
        </w:r>
        <w:r>
          <w:tab/>
        </w:r>
        <w:r>
          <w:fldChar w:fldCharType="begin"/>
        </w:r>
        <w:r>
          <w:instrText xml:space="preserve"> PAGEREF _Toc16415 \h </w:instrText>
        </w:r>
        <w:r>
          <w:fldChar w:fldCharType="separate"/>
        </w:r>
        <w:r>
          <w:t>36</w:t>
        </w:r>
        <w:r>
          <w:fldChar w:fldCharType="end"/>
        </w:r>
      </w:hyperlink>
    </w:p>
    <w:p>
      <w:pPr>
        <w:pStyle w:val="TOC2"/>
        <w:tabs>
          <w:tab w:val="right" w:leader="dot" w:pos="8306"/>
        </w:tabs>
      </w:pPr>
      <w:hyperlink w:anchor="_Toc5563" w:history="1">
        <w:r>
          <w:rPr>
            <w:rFonts w:ascii="仿宋" w:eastAsia="仿宋" w:hAnsi="仿宋" w:cs="仿宋" w:hint="eastAsia"/>
            <w:lang w:eastAsia="zh-CN"/>
          </w:rPr>
          <w:t>(七)、DNA、RNA疫苗项目建设风险及控制手段</w:t>
        </w:r>
        <w:r>
          <w:tab/>
        </w:r>
        <w:r>
          <w:fldChar w:fldCharType="begin"/>
        </w:r>
        <w:r>
          <w:instrText xml:space="preserve"> PAGEREF _Toc5563 \h </w:instrText>
        </w:r>
        <w:r>
          <w:fldChar w:fldCharType="separate"/>
        </w:r>
        <w:r>
          <w:t>38</w:t>
        </w:r>
        <w:r>
          <w:fldChar w:fldCharType="end"/>
        </w:r>
      </w:hyperlink>
    </w:p>
    <w:p>
      <w:pPr>
        <w:pStyle w:val="TOC2"/>
        <w:tabs>
          <w:tab w:val="right" w:leader="dot" w:pos="8306"/>
        </w:tabs>
      </w:pPr>
      <w:hyperlink w:anchor="_Toc11806" w:history="1">
        <w:r>
          <w:rPr>
            <w:rFonts w:ascii="仿宋" w:eastAsia="仿宋" w:hAnsi="仿宋" w:cs="仿宋" w:hint="eastAsia"/>
            <w:lang w:eastAsia="zh-CN"/>
          </w:rPr>
          <w:t>(八)、环境风险及安全防范</w:t>
        </w:r>
        <w:r>
          <w:tab/>
        </w:r>
        <w:r>
          <w:fldChar w:fldCharType="begin"/>
        </w:r>
        <w:r>
          <w:instrText xml:space="preserve"> PAGEREF _Toc11806 \h </w:instrText>
        </w:r>
        <w:r>
          <w:fldChar w:fldCharType="separate"/>
        </w:r>
        <w:r>
          <w:t>40</w:t>
        </w:r>
        <w:r>
          <w:fldChar w:fldCharType="end"/>
        </w:r>
      </w:hyperlink>
    </w:p>
    <w:p>
      <w:pPr>
        <w:pStyle w:val="TOC2"/>
        <w:tabs>
          <w:tab w:val="right" w:leader="dot" w:pos="8306"/>
        </w:tabs>
      </w:pPr>
      <w:hyperlink w:anchor="_Toc31039" w:history="1">
        <w:r>
          <w:rPr>
            <w:rFonts w:ascii="仿宋" w:eastAsia="仿宋" w:hAnsi="仿宋" w:cs="仿宋" w:hint="eastAsia"/>
            <w:lang w:eastAsia="zh-CN"/>
          </w:rPr>
          <w:t>(九)、风险综合评估与决策分析</w:t>
        </w:r>
        <w:r>
          <w:tab/>
        </w:r>
        <w:r>
          <w:fldChar w:fldCharType="begin"/>
        </w:r>
        <w:r>
          <w:instrText xml:space="preserve"> PAGEREF _Toc31039 \h </w:instrText>
        </w:r>
        <w:r>
          <w:fldChar w:fldCharType="separate"/>
        </w:r>
        <w:r>
          <w:t>42</w:t>
        </w:r>
        <w:r>
          <w:fldChar w:fldCharType="end"/>
        </w:r>
      </w:hyperlink>
    </w:p>
    <w:p>
      <w:pPr>
        <w:pStyle w:val="TOC2"/>
        <w:tabs>
          <w:tab w:val="right" w:leader="dot" w:pos="8306"/>
        </w:tabs>
      </w:pPr>
      <w:hyperlink w:anchor="_Toc31533" w:history="1">
        <w:r>
          <w:rPr>
            <w:rFonts w:ascii="仿宋" w:eastAsia="仿宋" w:hAnsi="仿宋" w:cs="仿宋" w:hint="eastAsia"/>
            <w:lang w:eastAsia="zh-CN"/>
          </w:rPr>
          <w:t>(十)、风险管理计划与控制方案</w:t>
        </w:r>
        <w:r>
          <w:tab/>
        </w:r>
        <w:r>
          <w:fldChar w:fldCharType="begin"/>
        </w:r>
        <w:r>
          <w:instrText xml:space="preserve"> PAGEREF _Toc31533 \h </w:instrText>
        </w:r>
        <w:r>
          <w:fldChar w:fldCharType="separate"/>
        </w:r>
        <w:r>
          <w:t>43</w:t>
        </w:r>
        <w:r>
          <w:fldChar w:fldCharType="end"/>
        </w:r>
      </w:hyperlink>
    </w:p>
    <w:p>
      <w:pPr>
        <w:pStyle w:val="TOC1"/>
        <w:tabs>
          <w:tab w:val="right" w:leader="dot" w:pos="8306"/>
        </w:tabs>
      </w:pPr>
      <w:hyperlink w:anchor="_Toc10976" w:history="1">
        <w:r>
          <w:rPr>
            <w:rFonts w:ascii="仿宋" w:eastAsia="仿宋" w:hAnsi="仿宋" w:cs="仿宋" w:hint="eastAsia"/>
            <w:lang w:eastAsia="zh-CN"/>
          </w:rPr>
          <w:t>五、生产安全保护</w:t>
        </w:r>
        <w:r>
          <w:tab/>
        </w:r>
        <w:r>
          <w:fldChar w:fldCharType="begin"/>
        </w:r>
        <w:r>
          <w:instrText xml:space="preserve"> PAGEREF _Toc10976 \h </w:instrText>
        </w:r>
        <w:r>
          <w:fldChar w:fldCharType="separate"/>
        </w:r>
        <w:r>
          <w:t>45</w:t>
        </w:r>
        <w:r>
          <w:fldChar w:fldCharType="end"/>
        </w:r>
      </w:hyperlink>
    </w:p>
    <w:p>
      <w:pPr>
        <w:pStyle w:val="TOC2"/>
        <w:tabs>
          <w:tab w:val="right" w:leader="dot" w:pos="8306"/>
        </w:tabs>
      </w:pPr>
      <w:hyperlink w:anchor="_Toc7426" w:history="1">
        <w:r>
          <w:rPr>
            <w:rFonts w:ascii="仿宋" w:eastAsia="仿宋" w:hAnsi="仿宋" w:cs="仿宋" w:hint="eastAsia"/>
            <w:lang w:eastAsia="zh-CN"/>
          </w:rPr>
          <w:t>(一)、生产安全管理制度</w:t>
        </w:r>
        <w:r>
          <w:tab/>
        </w:r>
        <w:r>
          <w:fldChar w:fldCharType="begin"/>
        </w:r>
        <w:r>
          <w:instrText xml:space="preserve"> PAGEREF _Toc7426 \h </w:instrText>
        </w:r>
        <w:r>
          <w:fldChar w:fldCharType="separate"/>
        </w:r>
        <w:r>
          <w:t>45</w:t>
        </w:r>
        <w:r>
          <w:fldChar w:fldCharType="end"/>
        </w:r>
      </w:hyperlink>
    </w:p>
    <w:p>
      <w:pPr>
        <w:pStyle w:val="TOC2"/>
        <w:tabs>
          <w:tab w:val="right" w:leader="dot" w:pos="8306"/>
        </w:tabs>
      </w:pPr>
      <w:hyperlink w:anchor="_Toc7646" w:history="1">
        <w:r>
          <w:rPr>
            <w:rFonts w:ascii="仿宋" w:eastAsia="仿宋" w:hAnsi="仿宋" w:cs="仿宋" w:hint="eastAsia"/>
            <w:lang w:eastAsia="zh-CN"/>
          </w:rPr>
          <w:t>(二)、安全生产责任制</w:t>
        </w:r>
        <w:r>
          <w:tab/>
        </w:r>
        <w:r>
          <w:fldChar w:fldCharType="begin"/>
        </w:r>
        <w:r>
          <w:instrText xml:space="preserve"> PAGEREF _Toc7646 \h </w:instrText>
        </w:r>
        <w:r>
          <w:fldChar w:fldCharType="separate"/>
        </w:r>
        <w:r>
          <w:t>46</w:t>
        </w:r>
        <w:r>
          <w:fldChar w:fldCharType="end"/>
        </w:r>
      </w:hyperlink>
    </w:p>
    <w:p>
      <w:pPr>
        <w:pStyle w:val="TOC2"/>
        <w:tabs>
          <w:tab w:val="right" w:leader="dot" w:pos="8306"/>
        </w:tabs>
      </w:pPr>
      <w:hyperlink w:anchor="_Toc17587" w:history="1">
        <w:r>
          <w:rPr>
            <w:rFonts w:ascii="仿宋" w:eastAsia="仿宋" w:hAnsi="仿宋" w:cs="仿宋" w:hint="eastAsia"/>
            <w:lang w:eastAsia="zh-CN"/>
          </w:rPr>
          <w:t>(三)、安全培训与教育</w:t>
        </w:r>
        <w:r>
          <w:tab/>
        </w:r>
        <w:r>
          <w:fldChar w:fldCharType="begin"/>
        </w:r>
        <w:r>
          <w:instrText xml:space="preserve"> PAGEREF _Toc17587 \h </w:instrText>
        </w:r>
        <w:r>
          <w:fldChar w:fldCharType="separate"/>
        </w:r>
        <w:r>
          <w:t>46</w:t>
        </w:r>
        <w:r>
          <w:fldChar w:fldCharType="end"/>
        </w:r>
      </w:hyperlink>
    </w:p>
    <w:p>
      <w:pPr>
        <w:pStyle w:val="TOC2"/>
        <w:tabs>
          <w:tab w:val="right" w:leader="dot" w:pos="8306"/>
        </w:tabs>
      </w:pPr>
      <w:hyperlink w:anchor="_Toc1638" w:history="1">
        <w:r>
          <w:rPr>
            <w:rFonts w:ascii="仿宋" w:eastAsia="仿宋" w:hAnsi="仿宋" w:cs="仿宋" w:hint="eastAsia"/>
            <w:lang w:eastAsia="zh-CN"/>
          </w:rPr>
          <w:t>(四)、安全检查与隐患排查</w:t>
        </w:r>
        <w:r>
          <w:tab/>
        </w:r>
        <w:r>
          <w:fldChar w:fldCharType="begin"/>
        </w:r>
        <w:r>
          <w:instrText xml:space="preserve"> PAGEREF _Toc1638 \h </w:instrText>
        </w:r>
        <w:r>
          <w:fldChar w:fldCharType="separate"/>
        </w:r>
        <w:r>
          <w:t>46</w:t>
        </w:r>
        <w:r>
          <w:fldChar w:fldCharType="end"/>
        </w:r>
      </w:hyperlink>
    </w:p>
    <w:p>
      <w:pPr>
        <w:pStyle w:val="TOC2"/>
        <w:tabs>
          <w:tab w:val="right" w:leader="dot" w:pos="8306"/>
        </w:tabs>
      </w:pPr>
      <w:hyperlink w:anchor="_Toc18278" w:history="1">
        <w:r>
          <w:rPr>
            <w:rFonts w:ascii="仿宋" w:eastAsia="仿宋" w:hAnsi="仿宋" w:cs="仿宋" w:hint="eastAsia"/>
            <w:lang w:eastAsia="zh-CN"/>
          </w:rPr>
          <w:t>(五)、安全防范措施</w:t>
        </w:r>
        <w:r>
          <w:tab/>
        </w:r>
        <w:r>
          <w:fldChar w:fldCharType="begin"/>
        </w:r>
        <w:r>
          <w:instrText xml:space="preserve"> PAGEREF _Toc18278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47" w:history="1">
        <w:r>
          <w:rPr>
            <w:rFonts w:ascii="仿宋" w:eastAsia="仿宋" w:hAnsi="仿宋" w:cs="仿宋" w:hint="eastAsia"/>
            <w:lang w:eastAsia="zh-CN"/>
          </w:rPr>
          <w:t>(六)、应急救援与事故处理</w:t>
        </w:r>
        <w:r>
          <w:tab/>
        </w:r>
        <w:r>
          <w:fldChar w:fldCharType="begin"/>
        </w:r>
        <w:r>
          <w:instrText xml:space="preserve"> PAGEREF _Toc14347 \h </w:instrText>
        </w:r>
        <w:r>
          <w:fldChar w:fldCharType="separate"/>
        </w:r>
        <w:r>
          <w:t>47</w:t>
        </w:r>
        <w:r>
          <w:fldChar w:fldCharType="end"/>
        </w:r>
      </w:hyperlink>
    </w:p>
    <w:p>
      <w:pPr>
        <w:pStyle w:val="TOC2"/>
        <w:tabs>
          <w:tab w:val="right" w:leader="dot" w:pos="8306"/>
        </w:tabs>
      </w:pPr>
      <w:hyperlink w:anchor="_Toc14683" w:history="1">
        <w:r>
          <w:rPr>
            <w:rFonts w:ascii="仿宋" w:eastAsia="仿宋" w:hAnsi="仿宋" w:cs="仿宋" w:hint="eastAsia"/>
            <w:lang w:eastAsia="zh-CN"/>
          </w:rPr>
          <w:t>(七)、职业健康与安全管理体系</w:t>
        </w:r>
        <w:r>
          <w:tab/>
        </w:r>
        <w:r>
          <w:fldChar w:fldCharType="begin"/>
        </w:r>
        <w:r>
          <w:instrText xml:space="preserve"> PAGEREF _Toc14683 \h </w:instrText>
        </w:r>
        <w:r>
          <w:fldChar w:fldCharType="separate"/>
        </w:r>
        <w:r>
          <w:t>47</w:t>
        </w:r>
        <w:r>
          <w:fldChar w:fldCharType="end"/>
        </w:r>
      </w:hyperlink>
    </w:p>
    <w:p>
      <w:pPr>
        <w:pStyle w:val="TOC2"/>
        <w:tabs>
          <w:tab w:val="right" w:leader="dot" w:pos="8306"/>
        </w:tabs>
      </w:pPr>
      <w:hyperlink w:anchor="_Toc12577" w:history="1">
        <w:r>
          <w:rPr>
            <w:rFonts w:ascii="仿宋" w:eastAsia="仿宋" w:hAnsi="仿宋" w:cs="仿宋" w:hint="eastAsia"/>
            <w:lang w:eastAsia="zh-CN"/>
          </w:rPr>
          <w:t>(八)、劳动保护用品与设备</w:t>
        </w:r>
        <w:r>
          <w:tab/>
        </w:r>
        <w:r>
          <w:fldChar w:fldCharType="begin"/>
        </w:r>
        <w:r>
          <w:instrText xml:space="preserve"> PAGEREF _Toc12577 \h </w:instrText>
        </w:r>
        <w:r>
          <w:fldChar w:fldCharType="separate"/>
        </w:r>
        <w:r>
          <w:t>47</w:t>
        </w:r>
        <w:r>
          <w:fldChar w:fldCharType="end"/>
        </w:r>
      </w:hyperlink>
    </w:p>
    <w:p>
      <w:pPr>
        <w:pStyle w:val="TOC2"/>
        <w:tabs>
          <w:tab w:val="right" w:leader="dot" w:pos="8306"/>
        </w:tabs>
      </w:pPr>
      <w:hyperlink w:anchor="_Toc13921" w:history="1">
        <w:r>
          <w:rPr>
            <w:rFonts w:ascii="仿宋" w:eastAsia="仿宋" w:hAnsi="仿宋" w:cs="仿宋" w:hint="eastAsia"/>
            <w:lang w:eastAsia="zh-CN"/>
          </w:rPr>
          <w:t>(九)、危险源管理与控制</w:t>
        </w:r>
        <w:r>
          <w:tab/>
        </w:r>
        <w:r>
          <w:fldChar w:fldCharType="begin"/>
        </w:r>
        <w:r>
          <w:instrText xml:space="preserve"> PAGEREF _Toc13921 \h </w:instrText>
        </w:r>
        <w:r>
          <w:fldChar w:fldCharType="separate"/>
        </w:r>
        <w:r>
          <w:t>48</w:t>
        </w:r>
        <w:r>
          <w:fldChar w:fldCharType="end"/>
        </w:r>
      </w:hyperlink>
    </w:p>
    <w:p>
      <w:pPr>
        <w:pStyle w:val="TOC2"/>
        <w:tabs>
          <w:tab w:val="right" w:leader="dot" w:pos="8306"/>
        </w:tabs>
      </w:pPr>
      <w:hyperlink w:anchor="_Toc472" w:history="1">
        <w:r>
          <w:rPr>
            <w:rFonts w:ascii="仿宋" w:eastAsia="仿宋" w:hAnsi="仿宋" w:cs="仿宋" w:hint="eastAsia"/>
            <w:lang w:eastAsia="zh-CN"/>
          </w:rPr>
          <w:t>(十)、安全生产标准化建设</w:t>
        </w:r>
        <w:r>
          <w:tab/>
        </w:r>
        <w:r>
          <w:fldChar w:fldCharType="begin"/>
        </w:r>
        <w:r>
          <w:instrText xml:space="preserve"> PAGEREF _Toc472 \h </w:instrText>
        </w:r>
        <w:r>
          <w:fldChar w:fldCharType="separate"/>
        </w:r>
        <w:r>
          <w:t>48</w:t>
        </w:r>
        <w:r>
          <w:fldChar w:fldCharType="end"/>
        </w:r>
      </w:hyperlink>
    </w:p>
    <w:p>
      <w:pPr>
        <w:pStyle w:val="TOC1"/>
        <w:tabs>
          <w:tab w:val="right" w:leader="dot" w:pos="8306"/>
        </w:tabs>
      </w:pPr>
      <w:hyperlink w:anchor="_Toc27393" w:history="1">
        <w:r>
          <w:rPr>
            <w:rFonts w:ascii="仿宋" w:eastAsia="仿宋" w:hAnsi="仿宋" w:cs="仿宋" w:hint="eastAsia"/>
            <w:lang w:eastAsia="zh-CN"/>
          </w:rPr>
          <w:t>六、经济效益分析</w:t>
        </w:r>
        <w:r>
          <w:tab/>
        </w:r>
        <w:r>
          <w:fldChar w:fldCharType="begin"/>
        </w:r>
        <w:r>
          <w:instrText xml:space="preserve"> PAGEREF _Toc27393 \h </w:instrText>
        </w:r>
        <w:r>
          <w:fldChar w:fldCharType="separate"/>
        </w:r>
        <w:r>
          <w:t>48</w:t>
        </w:r>
        <w:r>
          <w:fldChar w:fldCharType="end"/>
        </w:r>
      </w:hyperlink>
    </w:p>
    <w:p>
      <w:pPr>
        <w:pStyle w:val="TOC2"/>
        <w:tabs>
          <w:tab w:val="right" w:leader="dot" w:pos="8306"/>
        </w:tabs>
      </w:pPr>
      <w:hyperlink w:anchor="_Toc30024" w:history="1">
        <w:r>
          <w:rPr>
            <w:rFonts w:ascii="仿宋" w:eastAsia="仿宋" w:hAnsi="仿宋" w:cs="仿宋" w:hint="eastAsia"/>
            <w:lang w:eastAsia="zh-CN"/>
          </w:rPr>
          <w:t>(一)、经济评价综述</w:t>
        </w:r>
        <w:r>
          <w:tab/>
        </w:r>
        <w:r>
          <w:fldChar w:fldCharType="begin"/>
        </w:r>
        <w:r>
          <w:instrText xml:space="preserve"> PAGEREF _Toc30024 \h </w:instrText>
        </w:r>
        <w:r>
          <w:fldChar w:fldCharType="separate"/>
        </w:r>
        <w:r>
          <w:t>48</w:t>
        </w:r>
        <w:r>
          <w:fldChar w:fldCharType="end"/>
        </w:r>
      </w:hyperlink>
    </w:p>
    <w:p>
      <w:pPr>
        <w:pStyle w:val="TOC2"/>
        <w:tabs>
          <w:tab w:val="right" w:leader="dot" w:pos="8306"/>
        </w:tabs>
      </w:pPr>
      <w:hyperlink w:anchor="_Toc19420" w:history="1">
        <w:r>
          <w:rPr>
            <w:rFonts w:ascii="仿宋" w:eastAsia="仿宋" w:hAnsi="仿宋" w:cs="仿宋" w:hint="eastAsia"/>
            <w:lang w:eastAsia="zh-CN"/>
          </w:rPr>
          <w:t>(二)、经济评价财务测算</w:t>
        </w:r>
        <w:r>
          <w:tab/>
        </w:r>
        <w:r>
          <w:fldChar w:fldCharType="begin"/>
        </w:r>
        <w:r>
          <w:instrText xml:space="preserve"> PAGEREF _Toc19420 \h </w:instrText>
        </w:r>
        <w:r>
          <w:fldChar w:fldCharType="separate"/>
        </w:r>
        <w:r>
          <w:t>49</w:t>
        </w:r>
        <w:r>
          <w:fldChar w:fldCharType="end"/>
        </w:r>
      </w:hyperlink>
    </w:p>
    <w:p>
      <w:pPr>
        <w:pStyle w:val="TOC2"/>
        <w:tabs>
          <w:tab w:val="right" w:leader="dot" w:pos="8306"/>
        </w:tabs>
      </w:pPr>
      <w:hyperlink w:anchor="_Toc21458" w:history="1">
        <w:r>
          <w:rPr>
            <w:rFonts w:ascii="仿宋" w:eastAsia="仿宋" w:hAnsi="仿宋" w:cs="仿宋" w:hint="eastAsia"/>
            <w:lang w:eastAsia="zh-CN"/>
          </w:rPr>
          <w:t>(三)、DNA、RNA疫苗项目盈利能力分析</w:t>
        </w:r>
        <w:r>
          <w:tab/>
        </w:r>
        <w:r>
          <w:fldChar w:fldCharType="begin"/>
        </w:r>
        <w:r>
          <w:instrText xml:space="preserve"> PAGEREF _Toc21458 \h </w:instrText>
        </w:r>
        <w:r>
          <w:fldChar w:fldCharType="separate"/>
        </w:r>
        <w:r>
          <w:t>51</w:t>
        </w:r>
        <w:r>
          <w:fldChar w:fldCharType="end"/>
        </w:r>
      </w:hyperlink>
    </w:p>
    <w:p>
      <w:pPr>
        <w:pStyle w:val="TOC1"/>
        <w:tabs>
          <w:tab w:val="right" w:leader="dot" w:pos="8306"/>
        </w:tabs>
      </w:pPr>
      <w:hyperlink w:anchor="_Toc5388" w:history="1">
        <w:r>
          <w:rPr>
            <w:rFonts w:ascii="仿宋" w:eastAsia="仿宋" w:hAnsi="仿宋" w:cs="仿宋" w:hint="eastAsia"/>
            <w:lang w:eastAsia="zh-CN"/>
          </w:rPr>
          <w:t>七、工艺原则</w:t>
        </w:r>
        <w:r>
          <w:tab/>
        </w:r>
        <w:r>
          <w:fldChar w:fldCharType="begin"/>
        </w:r>
        <w:r>
          <w:instrText xml:space="preserve"> PAGEREF _Toc5388 \h </w:instrText>
        </w:r>
        <w:r>
          <w:fldChar w:fldCharType="separate"/>
        </w:r>
        <w:r>
          <w:t>51</w:t>
        </w:r>
        <w:r>
          <w:fldChar w:fldCharType="end"/>
        </w:r>
      </w:hyperlink>
    </w:p>
    <w:p>
      <w:pPr>
        <w:pStyle w:val="TOC2"/>
        <w:tabs>
          <w:tab w:val="right" w:leader="dot" w:pos="8306"/>
        </w:tabs>
      </w:pPr>
      <w:hyperlink w:anchor="_Toc4474" w:history="1">
        <w:r>
          <w:rPr>
            <w:rFonts w:ascii="仿宋" w:eastAsia="仿宋" w:hAnsi="仿宋" w:cs="仿宋" w:hint="eastAsia"/>
            <w:lang w:eastAsia="zh-CN"/>
          </w:rPr>
          <w:t>(一)、DNA、RNA疫苗项目建设期的原材料及辅助材料供应概述</w:t>
        </w:r>
        <w:r>
          <w:tab/>
        </w:r>
        <w:r>
          <w:fldChar w:fldCharType="begin"/>
        </w:r>
        <w:r>
          <w:instrText xml:space="preserve"> PAGEREF _Toc4474 \h </w:instrText>
        </w:r>
        <w:r>
          <w:fldChar w:fldCharType="separate"/>
        </w:r>
        <w:r>
          <w:t>51</w:t>
        </w:r>
        <w:r>
          <w:fldChar w:fldCharType="end"/>
        </w:r>
      </w:hyperlink>
    </w:p>
    <w:p>
      <w:pPr>
        <w:pStyle w:val="TOC2"/>
        <w:tabs>
          <w:tab w:val="right" w:leader="dot" w:pos="8306"/>
        </w:tabs>
      </w:pPr>
      <w:hyperlink w:anchor="_Toc14735" w:history="1">
        <w:r>
          <w:rPr>
            <w:rFonts w:ascii="仿宋" w:eastAsia="仿宋" w:hAnsi="仿宋" w:cs="仿宋" w:hint="eastAsia"/>
            <w:lang w:eastAsia="zh-CN"/>
          </w:rPr>
          <w:t>(二)、DNA、RNA疫苗项目运营期原辅材料采购及管理</w:t>
        </w:r>
        <w:r>
          <w:tab/>
        </w:r>
        <w:r>
          <w:fldChar w:fldCharType="begin"/>
        </w:r>
        <w:r>
          <w:instrText xml:space="preserve"> PAGEREF _Toc14735 \h </w:instrText>
        </w:r>
        <w:r>
          <w:fldChar w:fldCharType="separate"/>
        </w:r>
        <w:r>
          <w:t>52</w:t>
        </w:r>
        <w:r>
          <w:fldChar w:fldCharType="end"/>
        </w:r>
      </w:hyperlink>
    </w:p>
    <w:p>
      <w:pPr>
        <w:pStyle w:val="TOC2"/>
        <w:tabs>
          <w:tab w:val="right" w:leader="dot" w:pos="8306"/>
        </w:tabs>
      </w:pPr>
      <w:hyperlink w:anchor="_Toc4137" w:history="1">
        <w:r>
          <w:rPr>
            <w:rFonts w:ascii="仿宋" w:eastAsia="仿宋" w:hAnsi="仿宋" w:cs="仿宋" w:hint="eastAsia"/>
            <w:lang w:eastAsia="zh-CN"/>
          </w:rPr>
          <w:t>(三)、技术管理特点</w:t>
        </w:r>
        <w:r>
          <w:tab/>
        </w:r>
        <w:r>
          <w:fldChar w:fldCharType="begin"/>
        </w:r>
        <w:r>
          <w:instrText xml:space="preserve"> PAGEREF _Toc4137 \h </w:instrText>
        </w:r>
        <w:r>
          <w:fldChar w:fldCharType="separate"/>
        </w:r>
        <w:r>
          <w:t>53</w:t>
        </w:r>
        <w:r>
          <w:fldChar w:fldCharType="end"/>
        </w:r>
      </w:hyperlink>
    </w:p>
    <w:p>
      <w:pPr>
        <w:pStyle w:val="TOC2"/>
        <w:tabs>
          <w:tab w:val="right" w:leader="dot" w:pos="8306"/>
        </w:tabs>
      </w:pPr>
      <w:hyperlink w:anchor="_Toc27391" w:history="1">
        <w:r>
          <w:rPr>
            <w:rFonts w:ascii="仿宋" w:eastAsia="仿宋" w:hAnsi="仿宋" w:cs="仿宋" w:hint="eastAsia"/>
            <w:lang w:eastAsia="zh-CN"/>
          </w:rPr>
          <w:t>(四)、DNA、RNA疫苗项目工艺技术设计方案</w:t>
        </w:r>
        <w:r>
          <w:tab/>
        </w:r>
        <w:r>
          <w:fldChar w:fldCharType="begin"/>
        </w:r>
        <w:r>
          <w:instrText xml:space="preserve"> PAGEREF _Toc27391 \h </w:instrText>
        </w:r>
        <w:r>
          <w:fldChar w:fldCharType="separate"/>
        </w:r>
        <w:r>
          <w:t>54</w:t>
        </w:r>
        <w:r>
          <w:fldChar w:fldCharType="end"/>
        </w:r>
      </w:hyperlink>
    </w:p>
    <w:p>
      <w:pPr>
        <w:pStyle w:val="TOC2"/>
        <w:tabs>
          <w:tab w:val="right" w:leader="dot" w:pos="8306"/>
        </w:tabs>
      </w:pPr>
      <w:hyperlink w:anchor="_Toc7422" w:history="1">
        <w:r>
          <w:rPr>
            <w:rFonts w:ascii="仿宋" w:eastAsia="仿宋" w:hAnsi="仿宋" w:cs="仿宋" w:hint="eastAsia"/>
            <w:lang w:eastAsia="zh-CN"/>
          </w:rPr>
          <w:t>(五)、DNA、RNA疫苗项目设备选型及配置方案</w:t>
        </w:r>
        <w:r>
          <w:tab/>
        </w:r>
        <w:r>
          <w:fldChar w:fldCharType="begin"/>
        </w:r>
        <w:r>
          <w:instrText xml:space="preserve"> PAGEREF _Toc7422 \h </w:instrText>
        </w:r>
        <w:r>
          <w:fldChar w:fldCharType="separate"/>
        </w:r>
        <w:r>
          <w:t>56</w:t>
        </w:r>
        <w:r>
          <w:fldChar w:fldCharType="end"/>
        </w:r>
      </w:hyperlink>
    </w:p>
    <w:p>
      <w:pPr>
        <w:pStyle w:val="TOC1"/>
        <w:tabs>
          <w:tab w:val="right" w:leader="dot" w:pos="8306"/>
        </w:tabs>
      </w:pPr>
      <w:hyperlink w:anchor="_Toc25644" w:history="1">
        <w:r>
          <w:rPr>
            <w:rFonts w:ascii="仿宋" w:eastAsia="仿宋" w:hAnsi="仿宋" w:cs="仿宋" w:hint="eastAsia"/>
            <w:lang w:eastAsia="zh-CN"/>
          </w:rPr>
          <w:t>八、DNA、RNA疫苗项目投资方案分析</w:t>
        </w:r>
        <w:r>
          <w:tab/>
        </w:r>
        <w:r>
          <w:fldChar w:fldCharType="begin"/>
        </w:r>
        <w:r>
          <w:instrText xml:space="preserve"> PAGEREF _Toc25644 \h </w:instrText>
        </w:r>
        <w:r>
          <w:fldChar w:fldCharType="separate"/>
        </w:r>
        <w:r>
          <w:t>58</w:t>
        </w:r>
        <w:r>
          <w:fldChar w:fldCharType="end"/>
        </w:r>
      </w:hyperlink>
    </w:p>
    <w:p>
      <w:pPr>
        <w:pStyle w:val="TOC2"/>
        <w:tabs>
          <w:tab w:val="right" w:leader="dot" w:pos="8306"/>
        </w:tabs>
      </w:pPr>
      <w:hyperlink w:anchor="_Toc18705" w:history="1">
        <w:r>
          <w:rPr>
            <w:rFonts w:ascii="仿宋" w:eastAsia="仿宋" w:hAnsi="仿宋" w:cs="仿宋" w:hint="eastAsia"/>
            <w:lang w:eastAsia="zh-CN"/>
          </w:rPr>
          <w:t>(一)、DNA、RNA疫苗项目估算说明</w:t>
        </w:r>
        <w:r>
          <w:tab/>
        </w:r>
        <w:r>
          <w:fldChar w:fldCharType="begin"/>
        </w:r>
        <w:r>
          <w:instrText xml:space="preserve"> PAGEREF _Toc18705 \h </w:instrText>
        </w:r>
        <w:r>
          <w:fldChar w:fldCharType="separate"/>
        </w:r>
        <w:r>
          <w:t>58</w:t>
        </w:r>
        <w:r>
          <w:fldChar w:fldCharType="end"/>
        </w:r>
      </w:hyperlink>
    </w:p>
    <w:p>
      <w:pPr>
        <w:pStyle w:val="TOC2"/>
        <w:tabs>
          <w:tab w:val="right" w:leader="dot" w:pos="8306"/>
        </w:tabs>
      </w:pPr>
      <w:hyperlink w:anchor="_Toc13643" w:history="1">
        <w:r>
          <w:rPr>
            <w:rFonts w:ascii="仿宋" w:eastAsia="仿宋" w:hAnsi="仿宋" w:cs="仿宋" w:hint="eastAsia"/>
            <w:lang w:eastAsia="zh-CN"/>
          </w:rPr>
          <w:t>(二)、DNA、RNA疫苗项目总投资估算</w:t>
        </w:r>
        <w:r>
          <w:tab/>
        </w:r>
        <w:r>
          <w:fldChar w:fldCharType="begin"/>
        </w:r>
        <w:r>
          <w:instrText xml:space="preserve"> PAGEREF _Toc13643 \h </w:instrText>
        </w:r>
        <w:r>
          <w:fldChar w:fldCharType="separate"/>
        </w:r>
        <w:r>
          <w:t>58</w:t>
        </w:r>
        <w:r>
          <w:fldChar w:fldCharType="end"/>
        </w:r>
      </w:hyperlink>
    </w:p>
    <w:p>
      <w:pPr>
        <w:pStyle w:val="TOC2"/>
        <w:tabs>
          <w:tab w:val="right" w:leader="dot" w:pos="8306"/>
        </w:tabs>
      </w:pPr>
      <w:hyperlink w:anchor="_Toc335" w:history="1">
        <w:r>
          <w:rPr>
            <w:rFonts w:ascii="仿宋" w:eastAsia="仿宋" w:hAnsi="仿宋" w:cs="仿宋" w:hint="eastAsia"/>
            <w:lang w:eastAsia="zh-CN"/>
          </w:rPr>
          <w:t>(三)、资金筹措</w:t>
        </w:r>
        <w:r>
          <w:tab/>
        </w:r>
        <w:r>
          <w:fldChar w:fldCharType="begin"/>
        </w:r>
        <w:r>
          <w:instrText xml:space="preserve"> PAGEREF _Toc335 \h </w:instrText>
        </w:r>
        <w:r>
          <w:fldChar w:fldCharType="separate"/>
        </w:r>
        <w:r>
          <w:t>60</w:t>
        </w:r>
        <w:r>
          <w:fldChar w:fldCharType="end"/>
        </w:r>
      </w:hyperlink>
    </w:p>
    <w:p>
      <w:pPr>
        <w:pStyle w:val="TOC1"/>
        <w:tabs>
          <w:tab w:val="right" w:leader="dot" w:pos="8306"/>
        </w:tabs>
      </w:pPr>
      <w:hyperlink w:anchor="_Toc1753" w:history="1">
        <w:r>
          <w:rPr>
            <w:rFonts w:ascii="仿宋" w:eastAsia="仿宋" w:hAnsi="仿宋" w:cs="仿宋" w:hint="eastAsia"/>
            <w:lang w:eastAsia="zh-CN"/>
          </w:rPr>
          <w:t>九、DNA、RNA疫苗项目可行性研究</w:t>
        </w:r>
        <w:r>
          <w:tab/>
        </w:r>
        <w:r>
          <w:fldChar w:fldCharType="begin"/>
        </w:r>
        <w:r>
          <w:instrText xml:space="preserve"> PAGEREF _Toc1753 \h </w:instrText>
        </w:r>
        <w:r>
          <w:fldChar w:fldCharType="separate"/>
        </w:r>
        <w:r>
          <w:t>60</w:t>
        </w:r>
        <w:r>
          <w:fldChar w:fldCharType="end"/>
        </w:r>
      </w:hyperlink>
    </w:p>
    <w:p>
      <w:pPr>
        <w:pStyle w:val="TOC2"/>
        <w:tabs>
          <w:tab w:val="right" w:leader="dot" w:pos="8306"/>
        </w:tabs>
      </w:pPr>
      <w:hyperlink w:anchor="_Toc9831" w:history="1">
        <w:r>
          <w:rPr>
            <w:rFonts w:ascii="仿宋" w:eastAsia="仿宋" w:hAnsi="仿宋" w:cs="仿宋" w:hint="eastAsia"/>
            <w:lang w:eastAsia="zh-CN"/>
          </w:rPr>
          <w:t>(一)、市场可行性</w:t>
        </w:r>
        <w:r>
          <w:tab/>
        </w:r>
        <w:r>
          <w:fldChar w:fldCharType="begin"/>
        </w:r>
        <w:r>
          <w:instrText xml:space="preserve"> PAGEREF _Toc9831 \h </w:instrText>
        </w:r>
        <w:r>
          <w:fldChar w:fldCharType="separate"/>
        </w:r>
        <w:r>
          <w:t>60</w:t>
        </w:r>
        <w:r>
          <w:fldChar w:fldCharType="end"/>
        </w:r>
      </w:hyperlink>
    </w:p>
    <w:p>
      <w:pPr>
        <w:pStyle w:val="TOC2"/>
        <w:tabs>
          <w:tab w:val="right" w:leader="dot" w:pos="8306"/>
        </w:tabs>
      </w:pPr>
      <w:hyperlink w:anchor="_Toc12392" w:history="1">
        <w:r>
          <w:rPr>
            <w:rFonts w:ascii="仿宋" w:eastAsia="仿宋" w:hAnsi="仿宋" w:cs="仿宋" w:hint="eastAsia"/>
            <w:lang w:eastAsia="zh-CN"/>
          </w:rPr>
          <w:t>(二)、技术可行性</w:t>
        </w:r>
        <w:r>
          <w:tab/>
        </w:r>
        <w:r>
          <w:fldChar w:fldCharType="begin"/>
        </w:r>
        <w:r>
          <w:instrText xml:space="preserve"> PAGEREF _Toc12392 \h </w:instrText>
        </w:r>
        <w:r>
          <w:fldChar w:fldCharType="separate"/>
        </w:r>
        <w:r>
          <w:t>61</w:t>
        </w:r>
        <w:r>
          <w:fldChar w:fldCharType="end"/>
        </w:r>
      </w:hyperlink>
    </w:p>
    <w:p>
      <w:pPr>
        <w:pStyle w:val="TOC2"/>
        <w:tabs>
          <w:tab w:val="right" w:leader="dot" w:pos="8306"/>
        </w:tabs>
      </w:pPr>
      <w:hyperlink w:anchor="_Toc11480" w:history="1">
        <w:r>
          <w:rPr>
            <w:rFonts w:ascii="仿宋" w:eastAsia="仿宋" w:hAnsi="仿宋" w:cs="仿宋" w:hint="eastAsia"/>
            <w:lang w:eastAsia="zh-CN"/>
          </w:rPr>
          <w:t>(三)、财务可行性</w:t>
        </w:r>
        <w:r>
          <w:tab/>
        </w:r>
        <w:r>
          <w:fldChar w:fldCharType="begin"/>
        </w:r>
        <w:r>
          <w:instrText xml:space="preserve"> PAGEREF _Toc11480 \h </w:instrText>
        </w:r>
        <w:r>
          <w:fldChar w:fldCharType="separate"/>
        </w:r>
        <w:r>
          <w:t>63</w:t>
        </w:r>
        <w:r>
          <w:fldChar w:fldCharType="end"/>
        </w:r>
      </w:hyperlink>
    </w:p>
    <w:p>
      <w:pPr>
        <w:pStyle w:val="TOC1"/>
        <w:tabs>
          <w:tab w:val="right" w:leader="dot" w:pos="8306"/>
        </w:tabs>
      </w:pPr>
      <w:hyperlink w:anchor="_Toc10980" w:history="1">
        <w:r>
          <w:rPr>
            <w:rFonts w:ascii="仿宋" w:eastAsia="仿宋" w:hAnsi="仿宋" w:cs="仿宋" w:hint="eastAsia"/>
            <w:lang w:eastAsia="zh-CN"/>
          </w:rPr>
          <w:t>十、质量管理体系</w:t>
        </w:r>
        <w:r>
          <w:tab/>
        </w:r>
        <w:r>
          <w:fldChar w:fldCharType="begin"/>
        </w:r>
        <w:r>
          <w:instrText xml:space="preserve"> PAGEREF _Toc10980 \h </w:instrText>
        </w:r>
        <w:r>
          <w:fldChar w:fldCharType="separate"/>
        </w:r>
        <w:r>
          <w:t>64</w:t>
        </w:r>
        <w:r>
          <w:fldChar w:fldCharType="end"/>
        </w:r>
      </w:hyperlink>
    </w:p>
    <w:p>
      <w:pPr>
        <w:pStyle w:val="TOC2"/>
        <w:tabs>
          <w:tab w:val="right" w:leader="dot" w:pos="8306"/>
        </w:tabs>
      </w:pPr>
      <w:hyperlink w:anchor="_Toc20120" w:history="1">
        <w:r>
          <w:rPr>
            <w:rFonts w:ascii="仿宋" w:eastAsia="仿宋" w:hAnsi="仿宋" w:cs="仿宋" w:hint="eastAsia"/>
            <w:lang w:eastAsia="zh-CN"/>
          </w:rPr>
          <w:t>(一)、质量管理体系概述</w:t>
        </w:r>
        <w:r>
          <w:tab/>
        </w:r>
        <w:r>
          <w:fldChar w:fldCharType="begin"/>
        </w:r>
        <w:r>
          <w:instrText xml:space="preserve"> PAGEREF _Toc20120 \h </w:instrText>
        </w:r>
        <w:r>
          <w:fldChar w:fldCharType="separate"/>
        </w:r>
        <w:r>
          <w:t>64</w:t>
        </w:r>
        <w:r>
          <w:fldChar w:fldCharType="end"/>
        </w:r>
      </w:hyperlink>
    </w:p>
    <w:p>
      <w:pPr>
        <w:pStyle w:val="TOC2"/>
        <w:tabs>
          <w:tab w:val="right" w:leader="dot" w:pos="8306"/>
        </w:tabs>
      </w:pPr>
      <w:hyperlink w:anchor="_Toc25123" w:history="1">
        <w:r>
          <w:rPr>
            <w:rFonts w:ascii="仿宋" w:eastAsia="仿宋" w:hAnsi="仿宋" w:cs="仿宋" w:hint="eastAsia"/>
            <w:lang w:eastAsia="zh-CN"/>
          </w:rPr>
          <w:t>(二)、质量方针与目标</w:t>
        </w:r>
        <w:r>
          <w:tab/>
        </w:r>
        <w:r>
          <w:fldChar w:fldCharType="begin"/>
        </w:r>
        <w:r>
          <w:instrText xml:space="preserve"> PAGEREF _Toc25123 \h </w:instrText>
        </w:r>
        <w:r>
          <w:fldChar w:fldCharType="separate"/>
        </w:r>
        <w:r>
          <w:t>67</w:t>
        </w:r>
        <w:r>
          <w:fldChar w:fldCharType="end"/>
        </w:r>
      </w:hyperlink>
    </w:p>
    <w:p>
      <w:pPr>
        <w:pStyle w:val="TOC2"/>
        <w:tabs>
          <w:tab w:val="right" w:leader="dot" w:pos="8306"/>
        </w:tabs>
      </w:pPr>
      <w:hyperlink w:anchor="_Toc25340" w:history="1">
        <w:r>
          <w:rPr>
            <w:rFonts w:ascii="仿宋" w:eastAsia="仿宋" w:hAnsi="仿宋" w:cs="仿宋" w:hint="eastAsia"/>
            <w:lang w:eastAsia="zh-CN"/>
          </w:rPr>
          <w:t>(三)、质量管理责任</w:t>
        </w:r>
        <w:r>
          <w:tab/>
        </w:r>
        <w:r>
          <w:fldChar w:fldCharType="begin"/>
        </w:r>
        <w:r>
          <w:instrText xml:space="preserve"> PAGEREF _Toc25340 \h </w:instrText>
        </w:r>
        <w:r>
          <w:fldChar w:fldCharType="separate"/>
        </w:r>
        <w:r>
          <w:t>68</w:t>
        </w:r>
        <w:r>
          <w:fldChar w:fldCharType="end"/>
        </w:r>
      </w:hyperlink>
    </w:p>
    <w:p>
      <w:pPr>
        <w:pStyle w:val="TOC2"/>
        <w:tabs>
          <w:tab w:val="right" w:leader="dot" w:pos="8306"/>
        </w:tabs>
      </w:pPr>
      <w:hyperlink w:anchor="_Toc18354" w:history="1">
        <w:r>
          <w:rPr>
            <w:rFonts w:ascii="仿宋" w:eastAsia="仿宋" w:hAnsi="仿宋" w:cs="仿宋" w:hint="eastAsia"/>
            <w:lang w:eastAsia="zh-CN"/>
          </w:rPr>
          <w:t>(四)、质量管理程序</w:t>
        </w:r>
        <w:r>
          <w:tab/>
        </w:r>
        <w:r>
          <w:fldChar w:fldCharType="begin"/>
        </w:r>
        <w:r>
          <w:instrText xml:space="preserve"> PAGEREF _Toc18354 \h </w:instrText>
        </w:r>
        <w:r>
          <w:fldChar w:fldCharType="separate"/>
        </w:r>
        <w:r>
          <w:t>70</w:t>
        </w:r>
        <w:r>
          <w:fldChar w:fldCharType="end"/>
        </w:r>
      </w:hyperlink>
    </w:p>
    <w:p>
      <w:pPr>
        <w:pStyle w:val="TOC2"/>
        <w:tabs>
          <w:tab w:val="right" w:leader="dot" w:pos="8306"/>
        </w:tabs>
      </w:pPr>
      <w:hyperlink w:anchor="_Toc22207" w:history="1">
        <w:r>
          <w:rPr>
            <w:rFonts w:ascii="仿宋" w:eastAsia="仿宋" w:hAnsi="仿宋" w:cs="仿宋" w:hint="eastAsia"/>
            <w:lang w:eastAsia="zh-CN"/>
          </w:rPr>
          <w:t>(五)、质量监控与改进</w:t>
        </w:r>
        <w:r>
          <w:tab/>
        </w:r>
        <w:r>
          <w:fldChar w:fldCharType="begin"/>
        </w:r>
        <w:r>
          <w:instrText xml:space="preserve"> PAGEREF _Toc22207 \h </w:instrText>
        </w:r>
        <w:r>
          <w:fldChar w:fldCharType="separate"/>
        </w:r>
        <w:r>
          <w:t>71</w:t>
        </w:r>
        <w:r>
          <w:fldChar w:fldCharType="end"/>
        </w:r>
      </w:hyperlink>
    </w:p>
    <w:p>
      <w:pPr>
        <w:pStyle w:val="TOC1"/>
        <w:tabs>
          <w:tab w:val="right" w:leader="dot" w:pos="8306"/>
        </w:tabs>
      </w:pPr>
      <w:hyperlink w:anchor="_Toc22842" w:history="1">
        <w:r>
          <w:rPr>
            <w:rFonts w:ascii="仿宋" w:eastAsia="仿宋" w:hAnsi="仿宋" w:cs="仿宋" w:hint="eastAsia"/>
            <w:lang w:eastAsia="zh-CN"/>
          </w:rPr>
          <w:t>十一、DNA、RNA疫苗项目招投标方案</w:t>
        </w:r>
        <w:r>
          <w:tab/>
        </w:r>
        <w:r>
          <w:fldChar w:fldCharType="begin"/>
        </w:r>
        <w:r>
          <w:instrText xml:space="preserve"> PAGEREF _Toc22842 \h </w:instrText>
        </w:r>
        <w:r>
          <w:fldChar w:fldCharType="separate"/>
        </w:r>
        <w:r>
          <w:t>73</w:t>
        </w:r>
        <w:r>
          <w:fldChar w:fldCharType="end"/>
        </w:r>
      </w:hyperlink>
    </w:p>
    <w:p>
      <w:pPr>
        <w:pStyle w:val="TOC2"/>
        <w:tabs>
          <w:tab w:val="right" w:leader="dot" w:pos="8306"/>
        </w:tabs>
      </w:pPr>
      <w:hyperlink w:anchor="_Toc19801" w:history="1">
        <w:r>
          <w:rPr>
            <w:rFonts w:ascii="仿宋" w:eastAsia="仿宋" w:hAnsi="仿宋" w:cs="仿宋" w:hint="eastAsia"/>
            <w:lang w:eastAsia="zh-CN"/>
          </w:rPr>
          <w:t>(一)、招标依据和范围</w:t>
        </w:r>
        <w:r>
          <w:tab/>
        </w:r>
        <w:r>
          <w:fldChar w:fldCharType="begin"/>
        </w:r>
        <w:r>
          <w:instrText xml:space="preserve"> PAGEREF _Toc19801 \h </w:instrText>
        </w:r>
        <w:r>
          <w:fldChar w:fldCharType="separate"/>
        </w:r>
        <w:r>
          <w:t>73</w:t>
        </w:r>
        <w:r>
          <w:fldChar w:fldCharType="end"/>
        </w:r>
      </w:hyperlink>
    </w:p>
    <w:p>
      <w:pPr>
        <w:pStyle w:val="TOC2"/>
        <w:tabs>
          <w:tab w:val="right" w:leader="dot" w:pos="8306"/>
        </w:tabs>
      </w:pPr>
      <w:hyperlink w:anchor="_Toc7929" w:history="1">
        <w:r>
          <w:rPr>
            <w:rFonts w:ascii="仿宋" w:eastAsia="仿宋" w:hAnsi="仿宋" w:cs="仿宋" w:hint="eastAsia"/>
            <w:lang w:eastAsia="zh-CN"/>
          </w:rPr>
          <w:t>(二)、招标组织方式</w:t>
        </w:r>
        <w:r>
          <w:tab/>
        </w:r>
        <w:r>
          <w:fldChar w:fldCharType="begin"/>
        </w:r>
        <w:r>
          <w:instrText xml:space="preserve"> PAGEREF _Toc7929 \h </w:instrText>
        </w:r>
        <w:r>
          <w:fldChar w:fldCharType="separate"/>
        </w:r>
        <w:r>
          <w:t>74</w:t>
        </w:r>
        <w:r>
          <w:fldChar w:fldCharType="end"/>
        </w:r>
      </w:hyperlink>
    </w:p>
    <w:p>
      <w:pPr>
        <w:pStyle w:val="TOC2"/>
        <w:tabs>
          <w:tab w:val="right" w:leader="dot" w:pos="8306"/>
        </w:tabs>
      </w:pPr>
      <w:hyperlink w:anchor="_Toc32269" w:history="1">
        <w:r>
          <w:rPr>
            <w:rFonts w:ascii="仿宋" w:eastAsia="仿宋" w:hAnsi="仿宋" w:cs="仿宋" w:hint="eastAsia"/>
            <w:lang w:eastAsia="zh-CN"/>
          </w:rPr>
          <w:t>(三)、招标委员会的组织设立</w:t>
        </w:r>
        <w:r>
          <w:tab/>
        </w:r>
        <w:r>
          <w:fldChar w:fldCharType="begin"/>
        </w:r>
        <w:r>
          <w:instrText xml:space="preserve"> PAGEREF _Toc32269 \h </w:instrText>
        </w:r>
        <w:r>
          <w:fldChar w:fldCharType="separate"/>
        </w:r>
        <w:r>
          <w:t>75</w:t>
        </w:r>
        <w:r>
          <w:fldChar w:fldCharType="end"/>
        </w:r>
      </w:hyperlink>
    </w:p>
    <w:p>
      <w:pPr>
        <w:pStyle w:val="TOC2"/>
        <w:tabs>
          <w:tab w:val="right" w:leader="dot" w:pos="8306"/>
        </w:tabs>
      </w:pPr>
      <w:hyperlink w:anchor="_Toc2854" w:history="1">
        <w:r>
          <w:rPr>
            <w:rFonts w:ascii="仿宋" w:eastAsia="仿宋" w:hAnsi="仿宋" w:cs="仿宋" w:hint="eastAsia"/>
            <w:lang w:eastAsia="zh-CN"/>
          </w:rPr>
          <w:t>(四)、DNA、RNA疫苗项目招投标要求</w:t>
        </w:r>
        <w:r>
          <w:tab/>
        </w:r>
        <w:r>
          <w:fldChar w:fldCharType="begin"/>
        </w:r>
        <w:r>
          <w:instrText xml:space="preserve"> PAGEREF _Toc2854 \h </w:instrText>
        </w:r>
        <w:r>
          <w:fldChar w:fldCharType="separate"/>
        </w:r>
        <w:r>
          <w:t>76</w:t>
        </w:r>
        <w:r>
          <w:fldChar w:fldCharType="end"/>
        </w:r>
      </w:hyperlink>
    </w:p>
    <w:p>
      <w:pPr>
        <w:pStyle w:val="TOC2"/>
        <w:tabs>
          <w:tab w:val="right" w:leader="dot" w:pos="8306"/>
        </w:tabs>
      </w:pPr>
      <w:hyperlink w:anchor="_Toc12878" w:history="1">
        <w:r>
          <w:rPr>
            <w:rFonts w:ascii="仿宋" w:eastAsia="仿宋" w:hAnsi="仿宋" w:cs="仿宋" w:hint="eastAsia"/>
            <w:lang w:eastAsia="zh-CN"/>
          </w:rPr>
          <w:t>(五)、DNA、RNA疫苗项目招标方式和招标程序</w:t>
        </w:r>
        <w:r>
          <w:tab/>
        </w:r>
        <w:r>
          <w:fldChar w:fldCharType="begin"/>
        </w:r>
        <w:r>
          <w:instrText xml:space="preserve"> PAGEREF _Toc12878 \h </w:instrText>
        </w:r>
        <w:r>
          <w:fldChar w:fldCharType="separate"/>
        </w:r>
        <w:r>
          <w:t>77</w:t>
        </w:r>
        <w:r>
          <w:fldChar w:fldCharType="end"/>
        </w:r>
      </w:hyperlink>
    </w:p>
    <w:p>
      <w:pPr>
        <w:pStyle w:val="TOC2"/>
        <w:tabs>
          <w:tab w:val="right" w:leader="dot" w:pos="8306"/>
        </w:tabs>
      </w:pPr>
      <w:hyperlink w:anchor="_Toc10543" w:history="1">
        <w:r>
          <w:rPr>
            <w:rFonts w:ascii="仿宋" w:eastAsia="仿宋" w:hAnsi="仿宋" w:cs="仿宋" w:hint="eastAsia"/>
            <w:lang w:eastAsia="zh-CN"/>
          </w:rPr>
          <w:t>(六)、招标费用及信息发布</w:t>
        </w:r>
        <w:r>
          <w:tab/>
        </w:r>
        <w:r>
          <w:fldChar w:fldCharType="begin"/>
        </w:r>
        <w:r>
          <w:instrText xml:space="preserve"> PAGEREF _Toc10543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9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本文档，介绍项目DNA、RNA疫苗的招商引资。项目DNA、RNA疫苗是一项具有前瞻性的投资机会，专注于某一特定领域的创新性项目。本文档将展示项目DNA、RNA疫苗的市场前景、核心竞争优势以及预计收益，并提供详尽的风险分析和合作条件。请注意，本文档仅供学习交流之用，不可做为商业用途，请慎重对待。</w:t>
      </w:r>
    </w:p>
    <w:p>
      <w:pPr>
        <w:pStyle w:val="Heading1"/>
        <w:ind w:firstLine="560" w:firstLineChars="200"/>
        <w:rPr>
          <w:rFonts w:ascii="仿宋" w:eastAsia="仿宋" w:hAnsi="仿宋" w:cs="仿宋" w:hint="eastAsia"/>
          <w:sz w:val="28"/>
          <w:lang w:eastAsia="zh-CN"/>
        </w:rPr>
      </w:pPr>
      <w:bookmarkStart w:id="2" w:name="_Toc17293"/>
      <w:r>
        <w:rPr>
          <w:rFonts w:ascii="仿宋" w:eastAsia="仿宋" w:hAnsi="仿宋" w:cs="仿宋" w:hint="eastAsia"/>
          <w:sz w:val="28"/>
          <w:lang w:eastAsia="zh-CN"/>
        </w:rPr>
        <w:t>一、DNA、RNA疫苗项目建设背景</w:t>
      </w:r>
      <w:bookmarkEnd w:id="2"/>
    </w:p>
    <w:p>
      <w:pPr>
        <w:pStyle w:val="Heading2"/>
        <w:rPr>
          <w:rFonts w:ascii="仿宋" w:eastAsia="仿宋" w:hAnsi="仿宋" w:cs="仿宋" w:hint="eastAsia"/>
          <w:lang w:eastAsia="zh-CN"/>
        </w:rPr>
      </w:pPr>
      <w:bookmarkStart w:id="3" w:name="_Toc29827"/>
      <w:r>
        <w:rPr>
          <w:rFonts w:ascii="仿宋" w:eastAsia="仿宋" w:hAnsi="仿宋" w:cs="仿宋" w:hint="eastAsia"/>
          <w:lang w:eastAsia="zh-CN"/>
        </w:rPr>
        <w:t>(一)、DNA、RNA疫苗项目承办单位背景分析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全球领先的产品提供商，专注于不断创新和提供高品质服务以满足客户需求。我们坚守着“客户至上、品质关键、创新引领、共赢合作”的经营理念，将客户需求置于核心地位，采用高端精品战略，提供卓越的服务价值。我们强调“唯才是用，唯德重用”的人才理念，定制完美解决方案，满足高端市场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家高新技术企业，我们专注于产品设计与开发，自动化智能化工艺改造，以及产品生产线的设计与开发。通过与国内供应商广泛合作，我们提供全方位的信息化解决方案，致力成为信息化解决方案专业提供商。我们不断加强新产品的研发，优化产品结构以增强市场竞争力，受到广大客户好评。</w:t>
      </w:r>
    </w:p>
    <w:p>
      <w:pPr>
        <w:ind w:firstLine="560" w:firstLineChars="200"/>
        <w:rPr>
          <w:rFonts w:ascii="仿宋" w:eastAsia="仿宋" w:hAnsi="仿宋" w:cs="仿宋" w:hint="eastAsia"/>
          <w:sz w:val="28"/>
        </w:rPr>
      </w:pPr>
      <w:r>
        <w:rPr>
          <w:rFonts w:ascii="仿宋" w:eastAsia="仿宋" w:hAnsi="仿宋" w:cs="仿宋" w:hint="eastAsia"/>
          <w:sz w:val="28"/>
          <w:lang w:eastAsia="zh-CN"/>
        </w:rPr>
        <w:t>积年的经验积累让我们建立了稳定的原料供给和产品销售网络。我们强化企业管理水平，贯彻ISO9000标准，追求以质量求效益的发展之路，以确保企业的发展与产品质量、效益相统一。我们坚守可持续发展的原则，不断进行结构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展望未来，我们将立足先进制造业，提高技术能力，树立品牌，成为产业的领跑者和可信赖的合作伙伴。</w:t>
      </w:r>
    </w:p>
    <w:p>
      <w:pPr>
        <w:pStyle w:val="Heading2"/>
        <w:ind w:firstLine="560" w:firstLineChars="200"/>
        <w:rPr>
          <w:rFonts w:ascii="仿宋" w:eastAsia="仿宋" w:hAnsi="仿宋" w:cs="仿宋" w:hint="eastAsia"/>
          <w:sz w:val="28"/>
          <w:lang w:eastAsia="zh-CN"/>
        </w:rPr>
      </w:pPr>
      <w:bookmarkStart w:id="4" w:name="_Toc5153"/>
      <w:r>
        <w:rPr>
          <w:rFonts w:ascii="仿宋" w:eastAsia="仿宋" w:hAnsi="仿宋" w:cs="仿宋" w:hint="eastAsia"/>
          <w:sz w:val="28"/>
          <w:lang w:eastAsia="zh-CN"/>
        </w:rPr>
        <w:t>(二)、产业政策及发展规划</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产业政策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产业定位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明确定义XXX地区的核心产业领域，包括但不限于制造业、信息技术、绿色能源和服务业。产业定位应基于地区资源、市场需求和竞争优势。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投资激励</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制定激励政策，以吸引国内和国际投资者参与核心产业。这可以包括税收减免、贷款支持和研发资金。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产业发展规划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2.1 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明确制定XXX地区的产业发展目标，包括增加产出、提高生产效率、推动创新和创造就业机会。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2.1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鼓励技术创新和研发，以提高产业竞争力。这可以包括建立研究中心、提供创新资金和鼓励技术合作。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2.2 教育和培训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提供教育和培训计划，以培养技能工人和专业人才，以满足产业的需求。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环保政策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制定环保政策，以确保产业的可持续性和减少环境影响。这包括减少排放、提倡绿色生产和资源管理。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鼓励企业承担社会责任，包括员工福利、社区支持和公益活动。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监督和评估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建立监督和评估机制，以跟踪产业政策和规划的实施。这包括：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制定关键绩效指标和评估标准。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定期审查政策和规划的有效性。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收集利益相关者的反馈意见，以不断改进政策和规划。</w:t>
      </w:r>
    </w:p>
    <w:p>
      <w:pPr>
        <w:pStyle w:val="Heading2"/>
        <w:ind w:firstLine="560" w:firstLineChars="200"/>
        <w:rPr>
          <w:rFonts w:ascii="仿宋" w:eastAsia="仿宋" w:hAnsi="仿宋" w:cs="仿宋" w:hint="eastAsia"/>
          <w:sz w:val="28"/>
          <w:lang w:eastAsia="zh-CN"/>
        </w:rPr>
      </w:pPr>
      <w:bookmarkStart w:id="5" w:name="_Toc18297"/>
      <w:r>
        <w:rPr>
          <w:rFonts w:ascii="仿宋" w:eastAsia="仿宋" w:hAnsi="仿宋" w:cs="仿宋" w:hint="eastAsia"/>
          <w:sz w:val="28"/>
          <w:lang w:eastAsia="zh-CN"/>
        </w:rPr>
        <w:t>(三)、DNA、RNA疫苗项目建设对区域经济的影响</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农村产业振兴： DNA、RNA疫苗项目建设区域的工业经济发展将直接刺激农、副业的繁荣。随着农产品需求的增加，农民将受益于扩大生产规模，提高产品质量，以满足市场需求。这将有助于推动农村产业振兴，提高农产品的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2. 农业产业链延伸： 工业经济的发展与周边地区的农、副业之间将形成良性互动。农产品的加工、包装和销售将得到促进，从而延长了农业产业链，为农民提供了多样化的销售渠道，从而提高了他们的经济回报。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3. 降低市场风险： 工业DNA、RNA疫苗项目的引入可以减轻农民依赖传统农产品销售渠道的风险。由于DNA、RNA疫苗项目区域内的需求，农民可以多元化种植和养殖，减少了对单一市场的依赖，从而降低了市场波动对农民的不利影响。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促进农村经济发展： 通过增加农杂产品需求和提供农民更多的销售机会，工业经济的发展将带动周边农村经济的发展。这将有助于提高农民的生活水平，增加他们的收入，推动农村社区的可持续发展。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789"/>
      <w:r>
        <w:rPr>
          <w:rFonts w:ascii="仿宋" w:eastAsia="仿宋" w:hAnsi="仿宋" w:cs="仿宋" w:hint="eastAsia"/>
          <w:sz w:val="28"/>
          <w:lang w:eastAsia="zh-CN"/>
        </w:rPr>
        <w:t>(四)、DNA、RNA疫苗项目必要性分析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一、DNA、RNA疫苗项目背景介绍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科技的迅速发展和人们生活水平的提高，DNA、RNA疫苗行业在近年来得到了广泛关注和大力支持。DNA、RNA疫苗项目是在这样的背景下应运而生的，旨在解决当前DNA、RNA疫苗领域中的一些重要问题，提高DNA、RNA疫苗行业的整体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二、DNA、RNA疫苗项目实施的必要性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当前，DNA、RNA疫苗行业正面临着巨大的市场潜力，消费者对于高质量、高性能的DNA、RNA疫苗产品需求日益增长。通过本DNA、RNA疫苗项目的实施，可以满足市场对于高品质DNA、RNA疫苗产品的需求，推动行业的发展，为企业赢得更多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提升技术水平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本DNA、RNA疫苗项目将采用先进的DNA、RNA疫苗技术和设备，通过技术升级和创新，提升企业技术研发能力和生产效率。这将有助于企业在激烈的市场竞争中保持领先地位，推动整个行业的技术进步。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3. 优化资源配置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本DNA、RNA疫苗项目将在全国范围内进行资源整合和优化配置，充分利用各地的优势资源，降低生产成本。这将有助于提高企业的经济效益，增强企业的竞争力。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增强企业竞争力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通过本DNA、RNA疫苗项目的实施，企业将获得更多的发展机遇和空间，提高自身的核心竞争力和市场占有率。同时，本DNA、RNA疫苗项目还将为企业培养一批高素质的人才队伍，提升企业的综合实力。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三、DNA、RNA疫苗项目实施的条件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技术支持保障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本DNA、RNA疫苗项目将依托企业技术中心和产学研合作平台，加强与高校、科研院所的合作，引进和吸收国内外先进技术，为DNA、RNA疫苗项目的顺利实施提供有力的技术支持保障。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2. 资金保障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本DNA、RNA疫苗项目总投资预计为DNA、RNA疫苗万元，资金来源为企业自筹和银行贷款。企业将制定合理的资金使用计划，确保DNA、RNA疫苗项目的资金保障。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3. 人才保障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企业将加强人才引进和培养力度，通过内部培训和外部招聘的方式，组建一支高素质、专业化的人才队伍，为DNA、RNA疫苗项目的顺利实施提供人才保障。</w:t>
      </w:r>
    </w:p>
    <w:p>
      <w:pPr>
        <w:pStyle w:val="Heading1"/>
        <w:ind w:firstLine="560" w:firstLineChars="200"/>
        <w:rPr>
          <w:rFonts w:ascii="仿宋" w:eastAsia="仿宋" w:hAnsi="仿宋" w:cs="仿宋" w:hint="eastAsia"/>
          <w:sz w:val="28"/>
          <w:lang w:eastAsia="zh-CN"/>
        </w:rPr>
      </w:pPr>
      <w:bookmarkStart w:id="7" w:name="_Toc13589"/>
      <w:r>
        <w:rPr>
          <w:rFonts w:ascii="仿宋" w:eastAsia="仿宋" w:hAnsi="仿宋" w:cs="仿宋" w:hint="eastAsia"/>
          <w:sz w:val="28"/>
          <w:lang w:eastAsia="zh-CN"/>
        </w:rPr>
        <w:t>二、DNA、RNA疫苗项目选址研究</w:t>
      </w:r>
      <w:bookmarkEnd w:id="7"/>
    </w:p>
    <w:p>
      <w:pPr>
        <w:pStyle w:val="Heading2"/>
        <w:rPr>
          <w:rFonts w:ascii="仿宋" w:eastAsia="仿宋" w:hAnsi="仿宋" w:cs="仿宋" w:hint="eastAsia"/>
          <w:lang w:eastAsia="zh-CN"/>
        </w:rPr>
      </w:pPr>
      <w:bookmarkStart w:id="8" w:name="_Toc9977"/>
      <w:r>
        <w:rPr>
          <w:rFonts w:ascii="仿宋" w:eastAsia="仿宋" w:hAnsi="仿宋" w:cs="仿宋" w:hint="eastAsia"/>
          <w:lang w:eastAsia="zh-CN"/>
        </w:rPr>
        <w:t>(一)、DNA、RNA疫苗项目选址的指导原则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建设方案应当在满足DNA、RNA疫苗项目生产和安全要求的前提下，尽量整合建筑布局，并充分利用周边自然空间。此举旨在兼顾土地资源的有效使用，并切实遵循国家土地政策。具体而言，DNA、RNA疫苗项目策划需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优化建筑布局：力求将建筑设施合并，以减少土地占用面积。这或许需要采用多功能或多层次建筑的设计，以提高土地利用率。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充分利用自然环境：必须充分考虑周围的自然资源，如绿地、水体等自然元素，以减少对生态环境的干扰。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遵守国家政策：DNA、RNA疫苗项目选址和建设必须遵守国家土地管理政策，确保与规划和法规保持一致。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标准化布局：DNA、RNA疫苗项目的规划应遵循标准化要求，包括生产工艺流程和设施布局，以提高生产效率和产品质量。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综合环保：DNA、RNA疫苗项目选址和建设过程中，应全面考虑环境因素，包括采用环保设施、可持续资源利用和减少环境影响。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地理优势：根据DNA、RNA疫苗项目选址的地理位置，需合理规划，以减少运营成本，并确保物流便捷。</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社会责任：DNA、RNA疫苗项目规划需充分考虑对当地社区和社会的影响，采取措施确保DNA、RNA疫苗项目对当地社群和环境有积极贡献。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的目标是在不牺牲生产要求的前提下，综合考虑经济效益、生产需求和环境保护，以确保DNA、RNA疫苗项目的可持续发展并符合国家政策法规。DNA、RNA疫苗项目规划的具体细节应根据DNA、RNA疫苗项目需求和环境条件进行调整，以维护DNA、RNA疫苗项目的可持续性，并确保与国家政策法规的一致性。</w:t>
      </w:r>
    </w:p>
    <w:p>
      <w:pPr>
        <w:pStyle w:val="Heading2"/>
        <w:ind w:firstLine="560" w:firstLineChars="200"/>
        <w:rPr>
          <w:rFonts w:ascii="仿宋" w:eastAsia="仿宋" w:hAnsi="仿宋" w:cs="仿宋" w:hint="eastAsia"/>
          <w:sz w:val="28"/>
          <w:lang w:eastAsia="zh-CN"/>
        </w:rPr>
      </w:pPr>
      <w:bookmarkStart w:id="9" w:name="_Toc22144"/>
      <w:r>
        <w:rPr>
          <w:rFonts w:ascii="仿宋" w:eastAsia="仿宋" w:hAnsi="仿宋" w:cs="仿宋" w:hint="eastAsia"/>
          <w:sz w:val="28"/>
          <w:lang w:eastAsia="zh-CN"/>
        </w:rPr>
        <w:t>(二)、DNA、RNA疫苗项目选址</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DNA、RNA疫苗项目选址于XX新兴产业示范区，这一示范区已充分开发并利用了相当大的土地面积，呈现出独特的发展特色和竞争优势。仅在近年，该示范区的经济发展表现出相当的活力，财政收入不断攀升，内资投入不断增加，固定资产投资规模也逐渐扩大，出口总额呈现出可喜的增长趋势，同时已经累计完成了大规模的基础设施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这一示范区不仅地理位置优越，而且基础设施完备，配套设施齐全，交通便捷。</w:t>
      </w:r>
    </w:p>
    <w:p>
      <w:pPr>
        <w:pStyle w:val="Heading2"/>
        <w:ind w:firstLine="560" w:firstLineChars="200"/>
        <w:rPr>
          <w:rFonts w:ascii="仿宋" w:eastAsia="仿宋" w:hAnsi="仿宋" w:cs="仿宋" w:hint="eastAsia"/>
          <w:sz w:val="28"/>
          <w:lang w:eastAsia="zh-CN"/>
        </w:rPr>
      </w:pPr>
      <w:bookmarkStart w:id="10" w:name="_Toc26178"/>
      <w:r>
        <w:rPr>
          <w:rFonts w:ascii="仿宋" w:eastAsia="仿宋" w:hAnsi="仿宋" w:cs="仿宋" w:hint="eastAsia"/>
          <w:sz w:val="28"/>
          <w:lang w:eastAsia="zh-CN"/>
        </w:rPr>
        <w:t>(三)、建设环境与条件分析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产品品牌的竞争优势明显。品牌在现代商业中扮演着至关重要的角色，它是企业无形资产的一部分。随着DNA、RNA疫苗项目承办单位规模的逐渐扩大，公司将品牌打造视为一项系统性工程。通过广告宣传、参加各类国内展会，以及运用各种促销手段，我们将积极提高品牌的知名度。我们将秉承“质量至上、服务一流”的原则，不断提升产品的品质，以赢得消费者的信任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通过这些市场运作，我们不仅可以提高企业整体形象，还能够展现品牌的更大价值。在激烈的市场竞争中，强大的品牌影响力将帮助我们脱颖而出，吸引更多的顾客，实现可持续的商业成功。</w:t>
      </w:r>
    </w:p>
    <w:p>
      <w:pPr>
        <w:pStyle w:val="Heading2"/>
        <w:ind w:firstLine="560" w:firstLineChars="200"/>
        <w:rPr>
          <w:rFonts w:ascii="仿宋" w:eastAsia="仿宋" w:hAnsi="仿宋" w:cs="仿宋" w:hint="eastAsia"/>
          <w:sz w:val="28"/>
          <w:lang w:eastAsia="zh-CN"/>
        </w:rPr>
      </w:pPr>
      <w:bookmarkStart w:id="11" w:name="_Toc4645"/>
      <w:r>
        <w:rPr>
          <w:rFonts w:ascii="仿宋" w:eastAsia="仿宋" w:hAnsi="仿宋" w:cs="仿宋" w:hint="eastAsia"/>
          <w:sz w:val="28"/>
          <w:lang w:eastAsia="zh-CN"/>
        </w:rPr>
        <w:t>(四)、土地使用控制标准</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根据测算，投资DNA、RNA疫苗项目建筑系数符合产品制造行业建筑系 数≥30.00%的规定；同时，满足DNA、RNA疫苗项目建设地确定的“建筑系数≥40.00%”</w:t>
      </w:r>
    </w:p>
    <w:p>
      <w:pPr>
        <w:ind w:firstLine="560" w:firstLineChars="200"/>
        <w:rPr>
          <w:rFonts w:ascii="仿宋" w:eastAsia="仿宋" w:hAnsi="仿宋" w:cs="仿宋" w:hint="eastAsia"/>
          <w:sz w:val="28"/>
        </w:rPr>
      </w:pPr>
      <w:r>
        <w:rPr>
          <w:rFonts w:ascii="仿宋" w:eastAsia="仿宋" w:hAnsi="仿宋" w:cs="仿宋" w:hint="eastAsia"/>
          <w:sz w:val="28"/>
          <w:lang w:eastAsia="zh-CN"/>
        </w:rPr>
        <w:t>的具体要求。</w:t>
      </w:r>
    </w:p>
    <w:p>
      <w:pPr>
        <w:pStyle w:val="Heading2"/>
        <w:ind w:firstLine="560" w:firstLineChars="200"/>
        <w:rPr>
          <w:rFonts w:ascii="仿宋" w:eastAsia="仿宋" w:hAnsi="仿宋" w:cs="仿宋" w:hint="eastAsia"/>
          <w:sz w:val="28"/>
          <w:lang w:eastAsia="zh-CN"/>
        </w:rPr>
      </w:pPr>
      <w:bookmarkStart w:id="12" w:name="_Toc6772"/>
      <w:r>
        <w:rPr>
          <w:rFonts w:ascii="仿宋" w:eastAsia="仿宋" w:hAnsi="仿宋" w:cs="仿宋" w:hint="eastAsia"/>
          <w:sz w:val="28"/>
          <w:lang w:eastAsia="zh-CN"/>
        </w:rPr>
        <w:t>(五)、土地利用的总体需求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DNA、RNA疫苗项目的建设规划建筑系数为XX.XX%，建筑容积率为XX.XX，建设区域绿化覆盖率达到XX.XX%，固定资产投资强度为每亩XX万元。这些规划参数反映了DNA、RNA疫苗项目在土地利用、建筑布局和环境保护方面的充分考虑，以确保DNA、RNA疫苗项目的可持续发展并兼顾生态环境的保护。DNA、RNA疫苗项目的规划与布局将有助于最大限度地发挥土地资源，提高经济效益，同时保护生态环境，达到双赢的目标。</w:t>
      </w:r>
    </w:p>
    <w:p>
      <w:pPr>
        <w:pStyle w:val="Heading2"/>
        <w:ind w:firstLine="560" w:firstLineChars="200"/>
        <w:rPr>
          <w:rFonts w:ascii="仿宋" w:eastAsia="仿宋" w:hAnsi="仿宋" w:cs="仿宋" w:hint="eastAsia"/>
          <w:sz w:val="28"/>
          <w:lang w:eastAsia="zh-CN"/>
        </w:rPr>
      </w:pPr>
      <w:bookmarkStart w:id="13" w:name="_Toc17748"/>
      <w:r>
        <w:rPr>
          <w:rFonts w:ascii="仿宋" w:eastAsia="仿宋" w:hAnsi="仿宋" w:cs="仿宋" w:hint="eastAsia"/>
          <w:sz w:val="28"/>
          <w:lang w:eastAsia="zh-CN"/>
        </w:rPr>
        <w:t>(六)、用地效率提升策略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投资DNA、RNA疫苗项目在施工过程中坚决坚守专业化生产的原则。DNA、RNA疫苗项目承办单位自行负责主要的生产过程和关键工序的实施，确保了产品的质量和核心技术的自主掌握。与此同时，DNA、RNA疫苗项目还采用了外协和外购的方式来获取其他次要商品，以降低资源的重复投入。这一策略不仅有助于节省投资资金，还有助于有效利用资源，减少能源和土地资源的浪费，提高DNA、RNA疫苗项目的整体经济效益。</w:t>
      </w:r>
    </w:p>
    <w:p>
      <w:pPr>
        <w:pStyle w:val="Heading2"/>
        <w:ind w:firstLine="560" w:firstLineChars="200"/>
        <w:rPr>
          <w:rFonts w:ascii="仿宋" w:eastAsia="仿宋" w:hAnsi="仿宋" w:cs="仿宋" w:hint="eastAsia"/>
          <w:sz w:val="28"/>
          <w:lang w:eastAsia="zh-CN"/>
        </w:rPr>
      </w:pPr>
      <w:bookmarkStart w:id="14" w:name="_Toc572"/>
      <w:r>
        <w:rPr>
          <w:rFonts w:ascii="仿宋" w:eastAsia="仿宋" w:hAnsi="仿宋" w:cs="仿宋" w:hint="eastAsia"/>
          <w:sz w:val="28"/>
          <w:lang w:eastAsia="zh-CN"/>
        </w:rPr>
        <w:t>(七)、总体布局与规划方案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平面布置整体设计原则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平面布置中，应综合考虑用地紧缺、施工成本控制以及环境美化的要求。除了规划DNA、RNA疫苗项目建设区域，还要重点关注场区的周边环境。为了改善生产环境，DNA、RNA疫苗项目场区的围墙、沿街道路和可用空地可以用于绿化工作。这包括种植各类花卉、树木、草坪和常绿植被，以提高场区的美观度，增强员工的工作满意度，同时也有益于城市绿化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主要工程布局设计要求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场区的主干道宽度定为XX米，次干道宽度为XX米，人行道宽度维持在XX米。道路的设计应充分考虑转弯半径，以确保消防车辆可以顺畅通行，这通常需要XX米的半径。对于其他车辆通行路段，转弯半径可设定为XX米或XX米，以满足不同交通需求。所有道路都将采用坚固的混凝土路面，并将符合城市道路的标准和特点，以确保长期使用的质量和可维护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绿化设计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绿化设计是DNA、RNA疫苗项目建设中的重要组成部分，旨在改善和美化生产环境。DNA、RNA疫苗项目绿化应注重以下原则：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物种多样性：选择各类花卉、树木、草坪和常绿植物，以增加植被的多样性，提供更好的生态效益。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生长适应性：优先选择适应当地气候和土壤条件的植物，以确保植物的生长健康。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美化景观：通过精心设计和布局，创建宜人的景观，为员工提供休息和休闲的场所。</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生态保护：合理布置绿化，避免对周围自然生态系统产生负面影响。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辅助工程设计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辅助工程的设计是确保DNA、RNA疫苗项目建设运转顺利的关键。以下是辅助工程设计的要求：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道路设计：主干道和次干道应满足一定宽度标准，道路路缘石和转弯半径要符合安全和通行要求。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基础设施：确保基础设施的严格按照城市标准和要求建设，以满足DNA、RNA疫苗项目的用水、供电、通讯等需求。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安全设施：在DNA、RNA疫苗项目场区内设置必要的安全设施，如消防设备、紧急出口、疏散通道等，以确保员工的安全。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环保设施：采取措施确保DNA、RNA疫苗项目的环保合规，包括废物处理设施、污水处理设备等，以减少对环境的负面影响。</w:t>
      </w:r>
    </w:p>
    <w:p>
      <w:pPr>
        <w:pStyle w:val="Heading2"/>
        <w:ind w:firstLine="560" w:firstLineChars="200"/>
        <w:rPr>
          <w:rFonts w:ascii="仿宋" w:eastAsia="仿宋" w:hAnsi="仿宋" w:cs="仿宋" w:hint="eastAsia"/>
          <w:sz w:val="28"/>
          <w:lang w:eastAsia="zh-CN"/>
        </w:rPr>
      </w:pPr>
      <w:bookmarkStart w:id="15" w:name="_Toc14365"/>
      <w:r>
        <w:rPr>
          <w:rFonts w:ascii="仿宋" w:eastAsia="仿宋" w:hAnsi="仿宋" w:cs="仿宋" w:hint="eastAsia"/>
          <w:sz w:val="28"/>
          <w:lang w:eastAsia="zh-CN"/>
        </w:rPr>
        <w:t>(八)、物流与运输系统设计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物流与运输系统的设计对于DNA、RNA疫苗项目的成功运营至关重要。以下是物流与运输系统设计的关键考虑因素：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仓储和货物管理：建立合理的仓储系统，确保货物妥善存放、分类和管理。采用现代的库存管理技术，以降低库存成本和提高库存周转率。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运输网络规划：设计适当的运输网络，包括道路、铁路、航空和水路等多种运输方式。优化运输路线，降低物流成本。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物流信息系统：建立高效的物流信息系统，用于跟踪货物的流动、库存状况和订单处理。通过信息系统提高运营的可见性和透明度。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 配送策略：制定灵活的配送策略，以满足客户需求。考虑最后一英里配送，以提供快速、可靠的送货服务。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5. 货物包装和装卸：选择适当的货物包装方式，以确保货物在运输过程中不受损坏。实施高效的装卸操作，提高装卸效率。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安全和风险管理：采取措施确保货物在运输和仓储过程中的安全。建立应急计划，处理可能出现的风险和突发事件。</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环保和可持续性：考虑减少碳排放和环境影响的策略，采用环保的运输方式和包装材料，推动可持续发展。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运输合同和供应商管理：建立稳定的运输合同和供应商关系，确保供应链的稳定性和可靠性。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9. 成本控制：通过合理的成本分析和管理，降低物流和运输的成本，提高DNA、RNA疫苗项目的竞争力。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运输技术和装备：采用现代的运输技术和装备，提高运输效率和安全性。不断更新和维护运输设施，确保其正常运行。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综合考虑这些因素，设计一个高效、安全和可持续的物流与运输系统，将有助于DNA、RNA疫苗项目的成功实施和运营。</w:t>
      </w:r>
    </w:p>
    <w:p>
      <w:pPr>
        <w:pStyle w:val="Heading2"/>
        <w:ind w:firstLine="560" w:firstLineChars="200"/>
        <w:rPr>
          <w:rFonts w:ascii="仿宋" w:eastAsia="仿宋" w:hAnsi="仿宋" w:cs="仿宋" w:hint="eastAsia"/>
          <w:sz w:val="28"/>
          <w:lang w:eastAsia="zh-CN"/>
        </w:rPr>
      </w:pPr>
      <w:bookmarkStart w:id="16" w:name="_Toc8479"/>
      <w:r>
        <w:rPr>
          <w:rFonts w:ascii="仿宋" w:eastAsia="仿宋" w:hAnsi="仿宋" w:cs="仿宋" w:hint="eastAsia"/>
          <w:sz w:val="28"/>
          <w:lang w:eastAsia="zh-CN"/>
        </w:rPr>
        <w:t>(九)、选址方案的综合评估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该DNA、RNA疫苗项目选址的地理和自然环境条件都非常有利于DNA、RNA疫苗项目的建设和运营。以下是该地选址的主要优势：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地理位置：DNA、RNA疫苗项目选址地区没有自然保护区、风景名胜区或生活饮用水水源地等环境敏感目标。这降低了DNA、RNA疫苗项目建设过程中可能面临的法规和环境约束。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污染源：周边地区没有粉尘、有害气体、放射性物质或其他扩散性污染源。这有助于维护空气和土壤质量，降低环境风险。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地势和气象条件：DNA、RNA疫苗项目地区地势较为开阔，有利于大气污染物的扩散。地区大气环境质量良好，这有助于降低大气污染的影响。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基础设施和交通：DNA、RNA疫苗项目选址地区拥有较好的基础设施和交通条件。供电、供水、道路、照明、供汽、供气、通讯网络等设施齐备，为DNA、RNA疫苗项目建设和运营提供了便利条件。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生活设施：该地区的基础设施和生活设施配套完善，包括住房、医疗、教育和娱乐设施。这有助于吸引员工和提供他们所需的生活便利。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成本考量：DNA、RNA疫苗项目承办单位在选择DNA、RNA疫苗项目选址时充分考虑了多个因素，包括土地取得成本、劳动力成本、原料产地距离等。选址地区的条件有助于降低生产成本。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7. 供地政策和规划：DNA、RNA疫苗项目选址符合国家相关供地政策和规划要求，各项用地指标符合相关规定。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该DNA、RNA疫苗项目选址是经过仔细比选的，充分考虑了多个因素，为DNA、RNA疫苗项目提供了优越的建设和经营环境。DNA、RNA疫苗项目承办单位可以在这个地点充分发挥其优势，推动DNA、RNA疫苗项目的成功实施。</w:t>
      </w:r>
    </w:p>
    <w:p>
      <w:pPr>
        <w:pStyle w:val="Heading1"/>
        <w:ind w:firstLine="560" w:firstLineChars="200"/>
        <w:rPr>
          <w:rFonts w:ascii="仿宋" w:eastAsia="仿宋" w:hAnsi="仿宋" w:cs="仿宋" w:hint="eastAsia"/>
          <w:sz w:val="28"/>
          <w:lang w:eastAsia="zh-CN"/>
        </w:rPr>
      </w:pPr>
      <w:bookmarkStart w:id="17" w:name="_Toc5341"/>
      <w:r>
        <w:rPr>
          <w:rFonts w:ascii="仿宋" w:eastAsia="仿宋" w:hAnsi="仿宋" w:cs="仿宋" w:hint="eastAsia"/>
          <w:sz w:val="28"/>
          <w:lang w:eastAsia="zh-CN"/>
        </w:rPr>
        <w:t>三、DNA、RNA疫苗项目工程设计研究</w:t>
      </w:r>
      <w:bookmarkEnd w:id="17"/>
    </w:p>
    <w:p>
      <w:pPr>
        <w:pStyle w:val="Heading2"/>
        <w:rPr>
          <w:rFonts w:ascii="仿宋" w:eastAsia="仿宋" w:hAnsi="仿宋" w:cs="仿宋" w:hint="eastAsia"/>
          <w:lang w:eastAsia="zh-CN"/>
        </w:rPr>
      </w:pPr>
      <w:bookmarkStart w:id="18" w:name="_Toc326"/>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建筑工程设计原则是在规划和设计阶段明确的指导方针，以确保建筑物的安全性、功能性、美观性和可持续性。以下是一些常见的建筑工程设计原则：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安全性：建筑物的设计应优先考虑安全性。这包括建筑结构的抗震、抗风能力，消防系统的设置，以及建筑材料和施工质量的标准。安全性原则确保建筑在各种条件下都能安全运行。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功能性：建筑物的设计应满足其预定的功能需求。这需要详细了解建筑物的用途，以确保各个功能区域的合理布局和便捷的使用。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美观性：建筑物应具备良好的外观和空间设计。美观性原则关注建筑的外观、比例、材料选择和景观设计，以创造宜人的环境。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可持续性：可持续性原则要求建筑设计考虑对环境的影响，包括能源效率、水资源利用、废物管理和生态系统保护。建筑设计应尽量减少对环境的负面影响。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经济性：建筑物的设计应在预算内完成，并尽量降低建设和维护成本。这包括有效的空间利用、材料和技术的成本效益考量。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可访问性：建筑物应对所有人开放，包括老年人和残障人士。可访问性原则要求建筑设计考虑到所有人的需求，提供无障碍通道和设施。</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7.</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灵活性：建筑物的设计应具备一定的灵活性，以适应未来的变化和需求。这包括可变的室内布局和可扩展性的设计。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8. 区域环境适应性：建筑物应与其周围环境相协调。这包括建筑风格、材料和景观设计与当地文化和环境相契合。</w:t>
      </w:r>
    </w:p>
    <w:p>
      <w:pPr>
        <w:ind w:firstLine="560" w:firstLineChars="200"/>
        <w:rPr>
          <w:rFonts w:ascii="仿宋" w:eastAsia="仿宋" w:hAnsi="仿宋" w:cs="仿宋" w:hint="eastAsia"/>
          <w:sz w:val="28"/>
        </w:rPr>
      </w:pPr>
      <w:r>
        <w:rPr>
          <w:rFonts w:ascii="仿宋" w:eastAsia="仿宋" w:hAnsi="仿宋" w:cs="仿宋" w:hint="eastAsia"/>
          <w:sz w:val="28"/>
          <w:lang w:eastAsia="zh-CN"/>
        </w:rPr>
        <w:t>9. 可维护性：建筑物的设计应方便维护和维修。这涉及到材料的耐久性和易于维护的选择，以及设备的合理安排。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创新性：建筑设计可以尝试新的材料、技术和构想，以推动行业的发展。创新性原则鼓励不断寻求改进和新的解决方案。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这些原则通常在建筑工程设计的不同阶段得以体现，以确保最终建成的建筑物既满足功能需求，又具备安全性、美观性和可持续性。</w:t>
      </w:r>
    </w:p>
    <w:p>
      <w:pPr>
        <w:pStyle w:val="Heading2"/>
        <w:ind w:firstLine="560" w:firstLineChars="200"/>
        <w:rPr>
          <w:rFonts w:ascii="仿宋" w:eastAsia="仿宋" w:hAnsi="仿宋" w:cs="仿宋" w:hint="eastAsia"/>
          <w:sz w:val="28"/>
          <w:lang w:eastAsia="zh-CN"/>
        </w:rPr>
      </w:pPr>
      <w:bookmarkStart w:id="19" w:name="_Toc10577"/>
      <w:r>
        <w:rPr>
          <w:rFonts w:ascii="仿宋" w:eastAsia="仿宋" w:hAnsi="仿宋" w:cs="仿宋" w:hint="eastAsia"/>
          <w:sz w:val="28"/>
          <w:lang w:eastAsia="zh-CN"/>
        </w:rPr>
        <w:t>(二)、DNA、RNA疫苗项目工程建设标准规范</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工程建设标准规范是确保DNA、RNA疫苗项目建设过程中合理、高质量完成的指导性文件。这些标准规范通常由国家或地方政府、行业协会或专业机构制定，以确保DNA、RNA疫苗项目在安全、环保和质量方面达到特定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建筑设计规范：包括建筑结构设计、建筑材料选用、建筑布局等各方面的规范，以确保建筑物的安全性、美观性和功能性。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土建工程规范：包括土地开发、基础工程、地基处理等方面的规范，以确保土地和基础设施的稳定性和可持续性。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电气工程规范：包括电气设备选用、电线电缆布置、电气安全等方面的规范，以确保电气系统的安全和可靠性。</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给排水工程规范：包括供水系统、排水系统、污水处理等方面的规范，以确保供水和排水的高效运作和环保。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5. 暖通空调工程规范：包括采暖系统、通风系统、空调系统等方面的规范，以确保室内温度和空气质量的舒适性。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环境保护规范：包括噪音控制、大气排放、废物处理等方面的规范，以确保DNA、RNA疫苗项目建设过程对环境的最小影响。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安全规范：包括建设工程的安全管理、防火措施、紧急救援等方面的规范，以确保工程建设期间和后期的安全性。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质量管理规范：包括工程质量检验、验收标准、质量控制等方面的规范，以确保DNA、RNA疫苗项目建成后的质量可控和高水平。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9. 工程验收和监测规范：包括DNA、RNA疫苗项目工程的验收程序、监测要求和报告标准，以确保DNA、RNA疫苗项目符合规定的标准和质量。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这些标准规范的具体内容和适用范围会因DNA、RNA疫苗项目的性质和规模而异。DNA、RNA疫苗项目建设方应根据相关法规和政策，遵守适用的标准规范，并确保DNA、RNA疫苗项目的合规性和质量。</w:t>
      </w:r>
    </w:p>
    <w:p>
      <w:pPr>
        <w:pStyle w:val="Heading2"/>
        <w:ind w:firstLine="560" w:firstLineChars="200"/>
        <w:rPr>
          <w:rFonts w:ascii="仿宋" w:eastAsia="仿宋" w:hAnsi="仿宋" w:cs="仿宋" w:hint="eastAsia"/>
          <w:sz w:val="28"/>
          <w:lang w:eastAsia="zh-CN"/>
        </w:rPr>
      </w:pPr>
      <w:bookmarkStart w:id="20" w:name="_Toc23757"/>
      <w:r>
        <w:rPr>
          <w:rFonts w:ascii="仿宋" w:eastAsia="仿宋" w:hAnsi="仿宋" w:cs="仿宋" w:hint="eastAsia"/>
          <w:sz w:val="28"/>
          <w:lang w:eastAsia="zh-CN"/>
        </w:rPr>
        <w:t>(三)、DNA、RNA疫苗项目总平面设计要求</w:t>
      </w:r>
      <w:bookmarkEnd w:id="20"/>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DNA、RNA疫苗项目总平面设计的关键要求包括确定地块规划、合理的建筑布局、安全的道路和交通规划、精心设计的绿化方案、设施布置、环境保护、安全规划以及内部空间布局。这些要求将确保DNA、RNA疫苗项目的总体规划和布局满足法规要求、员工需求和环境保护标准，从而创造出一个安全、高效且令人愉悦的工作环境。</w:t>
      </w:r>
    </w:p>
    <w:p>
      <w:pPr>
        <w:pStyle w:val="Heading2"/>
        <w:ind w:firstLine="560" w:firstLineChars="200"/>
        <w:rPr>
          <w:rFonts w:ascii="仿宋" w:eastAsia="仿宋" w:hAnsi="仿宋" w:cs="仿宋" w:hint="eastAsia"/>
          <w:sz w:val="28"/>
          <w:lang w:eastAsia="zh-CN"/>
        </w:rPr>
      </w:pPr>
      <w:bookmarkStart w:id="21" w:name="_Toc9519"/>
      <w:r>
        <w:rPr>
          <w:rFonts w:ascii="仿宋" w:eastAsia="仿宋" w:hAnsi="仿宋" w:cs="仿宋" w:hint="eastAsia"/>
          <w:sz w:val="28"/>
          <w:lang w:eastAsia="zh-CN"/>
        </w:rPr>
        <w:t>(四)、建筑设计规范和标准</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是DNA、RNA疫苗项目建设中的重要参考依据，它们涵盖了建筑设计、施工、安全、环保等各个方面的具体要求。以下是一些常见的建筑设计规范和标准，不同国家和地区可能有不同的规范和标准，具体应根据DNA、RNA疫苗项目所在地的法规和要求来选择和遵守：</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建筑设计规范：规定了建筑物的结构、布局、功能分区、建筑材料、建筑高度、通风与采光等方面的设计要求。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建筑施工规范：包括建筑施工工艺、质量控制、施工工程验收等要求，确保施工过程安全和建筑质量可控。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建筑安全规范：关注建筑物的防火、抗震、逃生通道、电气安全等方面，确保建筑的安全性。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建筑环保规范：涵盖了建筑节能、绿色建筑、水资源利用、垃圾处理等环保要求，以降低对环境的影响。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建筑无障碍设计规范：为老年人和残疾人提供更好的建筑设施和通行条件，以确保社会的包容性。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建筑材料标准：规定了建筑材料的性能、质量、安全标准，以确保建筑材料的可靠性。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建筑节能标准：要求建筑在设计、施工和使用阶段都要尽量减少能源消耗，以提高能源利用效率。</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8. 土建工程规范：涵盖了土地利用、地基处理、地下管道、排水系统等土建工程的设计和施工要求。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以上是一些常见的建筑设计规范和标准，DNA、RNA疫苗项目的具体需求和地点将决定哪些规范和标准适用。建筑设计和施工团队应密切遵守相关规范和标准，以确保DNA、RNA疫苗项目的质量、安全和环保。</w:t>
      </w:r>
    </w:p>
    <w:p>
      <w:pPr>
        <w:pStyle w:val="Heading2"/>
        <w:ind w:firstLine="560" w:firstLineChars="200"/>
        <w:rPr>
          <w:rFonts w:ascii="仿宋" w:eastAsia="仿宋" w:hAnsi="仿宋" w:cs="仿宋" w:hint="eastAsia"/>
          <w:sz w:val="28"/>
          <w:lang w:eastAsia="zh-CN"/>
        </w:rPr>
      </w:pPr>
      <w:bookmarkStart w:id="22" w:name="_Toc12917"/>
      <w:r>
        <w:rPr>
          <w:rFonts w:ascii="仿宋" w:eastAsia="仿宋" w:hAnsi="仿宋" w:cs="仿宋" w:hint="eastAsia"/>
          <w:sz w:val="28"/>
          <w:lang w:eastAsia="zh-CN"/>
        </w:rPr>
        <w:t>(五)、土建工程设计年限及安全等级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是指工程在设计使用年限内应该满足的结构安全性、适用性和耐久性的要求。根据我国相关规定，土建工程的设计年限通常为50年。这意味着，在正常维护和保养的情况下，土建工程应在设计使用年限内保持其安全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然而，不同的土建工程类型和用途可能会有不同的设计年限。例如，普通住宅的设计年限通常为50年，但商业建筑和工业厂房的设计年限可能会更长或更短。因此，在设计土建工程时，应根据工程的实际需求和用途来确定其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二、土建工程安全等级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是指在设计过程中考虑到的地震烈度、风载、雪载等自然因素对建筑物的影响程度。根据我国相关规定，土建工程的安全等级应不低于二级。这意味着，建筑物应能够在不低于地震烈度二级或风载、雪载等自然因素的作用下保持其安全性和功能性。</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的确定不仅涉及到建筑物的安全性，还与建筑物的功能性密切相关。不同的建筑物可能有不同的使用功能和重要性，因此其安全等级也会有所不同。例如，商业建筑和工业厂房可能需要更高的安全等级来确保其生产安全和使用功能的正常发挥。</w:t>
      </w:r>
    </w:p>
    <w:p>
      <w:pPr>
        <w:pStyle w:val="Heading2"/>
        <w:ind w:firstLine="560" w:firstLineChars="200"/>
        <w:rPr>
          <w:rFonts w:ascii="仿宋" w:eastAsia="仿宋" w:hAnsi="仿宋" w:cs="仿宋" w:hint="eastAsia"/>
          <w:sz w:val="28"/>
          <w:lang w:eastAsia="zh-CN"/>
        </w:rPr>
      </w:pPr>
      <w:bookmarkStart w:id="23" w:name="_Toc27282"/>
      <w:r>
        <w:rPr>
          <w:rFonts w:ascii="仿宋" w:eastAsia="仿宋" w:hAnsi="仿宋" w:cs="仿宋" w:hint="eastAsia"/>
          <w:sz w:val="28"/>
          <w:lang w:eastAsia="zh-CN"/>
        </w:rPr>
        <w:t>(六)、建筑工程设计总体要求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在DNA、RNA疫苗项目建筑和结构设计过程中，我们秉承一系列关键原则，以确保DNA、RNA疫苗项目建设的质量和可持续性。这些原则包括：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工业化生产：采用工业化方法，以提高建筑的施工效率和质量，并缩短工程周期。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2. 最优化布局：依据实际情况，采用最优化的布局，以降低建筑体积和成本。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轻量结构：选择轻量结构设计，以降低建筑自重，减轻地基负荷，并提高抗震性。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灵活性设计：根据DNA、RNA疫苗项目所在地的地理和气候条件，采取适宜的设计方案，以适应当地环境。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此外，我们严格遵循国家相关规范、规程和法规，包括采光、通风、隔热保温、防火、防腐、抗震等方面的要求，以确保建筑物的安全性和可持续性。</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在总体布局方面，我们根据不同的功能需求，划分不同的功能区域，并确保人流和车流畅通，使空间布局与周围环境协调一致。此外，我们还考虑特殊要求，如噪音控制、采光、视野、日照、温度、净化等方面。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建筑物设计还要满足防火、防空、防腐、防盗等安全要求，同时注重环境美化和绿化，以确保与周围环境和谐一致，并具有独特的特色。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最后，建筑物设计应采用一体化、模块化的布局和标准化的构件，以便于施工和降低成本。这些原则的贯彻执行有助于确保DNA、RNA疫苗项目建设安全、技术先进、经济合理、美观实用。</w:t>
      </w:r>
    </w:p>
    <w:p>
      <w:pPr>
        <w:pStyle w:val="Heading2"/>
        <w:ind w:firstLine="560" w:firstLineChars="200"/>
        <w:rPr>
          <w:rFonts w:ascii="仿宋" w:eastAsia="仿宋" w:hAnsi="仿宋" w:cs="仿宋" w:hint="eastAsia"/>
          <w:sz w:val="28"/>
          <w:lang w:eastAsia="zh-CN"/>
        </w:rPr>
      </w:pPr>
      <w:bookmarkStart w:id="24" w:name="_Toc10463"/>
      <w:r>
        <w:rPr>
          <w:rFonts w:ascii="仿宋" w:eastAsia="仿宋" w:hAnsi="仿宋" w:cs="仿宋" w:hint="eastAsia"/>
          <w:sz w:val="28"/>
          <w:lang w:eastAsia="zh-CN"/>
        </w:rPr>
        <w:t>(七)、土建工程建设指标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建设指标是DNA、RNA疫苗项目规划和建设过程中的关键要素之一，它们在确保DNA、RNA疫苗项目顺利进行、提高效率、控制成本以及满足法规和环境标准方面发挥着重要作用。对于本工程DNA、RNA疫苗项目，一些重要的土建工程建设指标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DNA、RNA疫苗项目的总建筑面积被规划为XX平方米，其中包括计容建筑面积，这是为了容纳DNA、RNA疫苗项目所需的各项设施和功能而设计的建筑面积。这个指标考虑了DNA、RNA疫苗项目的功能需求和空间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工程投资**：计划的建筑工程投资为XX万元，这个数字占到了DNA、RNA疫苗项目总投资的XX%。建筑工程投资包括建筑物的设计、施工、装修和相关设备的安装等费用。这个指标反映了建筑工程在整个DNA、RNA疫苗项目投资中的重要性。</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土建工程建设指标的设定旨在确保DNA、RNA疫苗项目的建设质量、安全性和可持续性。同时，它们还需要考虑到法规、环境保护和社会责任等方面的要求。通过合理规划和控制这些指标，可以实现DNA、RNA疫苗项目的顺利进行，并为DNA、RNA疫苗项目的成功运营打下坚实的基础。</w:t>
      </w:r>
    </w:p>
    <w:p>
      <w:pPr>
        <w:pStyle w:val="Heading1"/>
        <w:ind w:firstLine="560" w:firstLineChars="200"/>
        <w:rPr>
          <w:rFonts w:ascii="仿宋" w:eastAsia="仿宋" w:hAnsi="仿宋" w:cs="仿宋" w:hint="eastAsia"/>
          <w:sz w:val="28"/>
          <w:lang w:eastAsia="zh-CN"/>
        </w:rPr>
      </w:pPr>
      <w:bookmarkStart w:id="25" w:name="_Toc26300"/>
      <w:r>
        <w:rPr>
          <w:rFonts w:ascii="仿宋" w:eastAsia="仿宋" w:hAnsi="仿宋" w:cs="仿宋" w:hint="eastAsia"/>
          <w:sz w:val="28"/>
          <w:lang w:eastAsia="zh-CN"/>
        </w:rPr>
        <w:t>四、风险性分析</w:t>
      </w:r>
      <w:bookmarkEnd w:id="25"/>
    </w:p>
    <w:p>
      <w:pPr>
        <w:pStyle w:val="Heading2"/>
        <w:rPr>
          <w:rFonts w:ascii="仿宋" w:eastAsia="仿宋" w:hAnsi="仿宋" w:cs="仿宋" w:hint="eastAsia"/>
          <w:lang w:eastAsia="zh-CN"/>
        </w:rPr>
      </w:pPr>
      <w:bookmarkStart w:id="26" w:name="_Toc31940"/>
      <w:r>
        <w:rPr>
          <w:rFonts w:ascii="仿宋" w:eastAsia="仿宋" w:hAnsi="仿宋" w:cs="仿宋" w:hint="eastAsia"/>
          <w:lang w:eastAsia="zh-CN"/>
        </w:rPr>
        <w:t>(一)、风险识别与评估</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风险识别与评估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与评估是DNA、RNA疫苗项目招商引资报告中的关键步骤，旨在全面了解DNA、RNA疫苗项目可能面临的各种风险，并对其进行详尽评估。这一过程有助于制定明智的决策，降低投资风险，并确保DNA、RNA疫苗项目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阶段旨在识别与DNA、RNA疫苗项目相关的各种潜在风险，包括但不限于技术、市场、管理、财务、DNA、RNA疫苗项目建设和环境方面的风险。这需要广泛的信息收集和分析，包括与行业趋势、竞争对手、市场需求、政策法规和DNA、RNA疫苗项目特点相关的数据。</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技术风险可能涉及到新技术的应用、技术难题的解决以及技术创新的风险。在这一阶段，我们会评估DNA、RNA疫苗项目所涉及的技术成熟度、可行性和潜在挑战。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市场风险主要包括市场需求波动、竞争加剧以及市场规模的变化。我们将分析市场趋势、目标受众、竞争格局以及市场预测，以识别市场风险。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管理风险涉及DNA、RNA疫苗项目管理和运营的各个方面，包括团队协作、组织结构、决策过程和变更管理。在这一阶段，我们会评估DNA、RNA疫苗项目的管理能力和制度，以识别可能的管理风险。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财务风险包括资金需求、成本控制、资金来源和财务计划等。我们将分析DNA、RNA疫苗项目的财务模型、成本结构和资金筹集计划，以确定财务风险。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DNA、RNA疫苗项目建设风险涉及DNA、RNA疫苗项目实施、时间管理、资源分配和执行计划等方面。我们将评估DNA、RNA疫苗项目建设进展、进度控制和资源管理，以识别潜在的DNA、RNA疫苗项目建设风险。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环境风险与DNA、RNA疫苗项目对环境的影响有关，包括资源利用、环境污染和生态保护等。我们将进行环境影响评估，以识别可能的环境风险。</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风险评估阶段旨在量化和评估已识别的风险，以确定其潜在影响和可能性。评估过程通常使用风险矩阵、风险评分和风险分析工具，以便更好地理解各项风险的相对重要性。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风险概率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我们将评估各项风险发生的可能性，通常以概率百分比表示，以确定其可能性。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我们将评估各项风险发生时对DNA、RNA疫苗项目的影响，包括财务损失、时间延误、声誉风险和法律责任等。</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风险级别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通过将概率和影响综合考虑，我们将为每项风险分配一个风险级别，以确定其相对重要性和紧急性。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根据风险级别，我们将确定哪些风险需要优先处理，以最大程度地降低其潜在影响。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风险识别与评估是DNA、RNA疫苗项目决策的关键组成部分，它提供了有关DNA、RNA疫苗项目可行性和风险水平的关键信息，有助于制定风险管理计划和决策方案。</w:t>
      </w:r>
    </w:p>
    <w:p>
      <w:pPr>
        <w:pStyle w:val="Heading2"/>
        <w:ind w:firstLine="560" w:firstLineChars="200"/>
        <w:rPr>
          <w:rFonts w:ascii="仿宋" w:eastAsia="仿宋" w:hAnsi="仿宋" w:cs="仿宋" w:hint="eastAsia"/>
          <w:sz w:val="28"/>
          <w:lang w:eastAsia="zh-CN"/>
        </w:rPr>
      </w:pPr>
      <w:bookmarkStart w:id="27" w:name="_Toc24063"/>
      <w:r>
        <w:rPr>
          <w:rFonts w:ascii="仿宋" w:eastAsia="仿宋" w:hAnsi="仿宋" w:cs="仿宋" w:hint="eastAsia"/>
          <w:sz w:val="28"/>
          <w:lang w:eastAsia="zh-CN"/>
        </w:rPr>
        <w:t>(二)、风险类型及分类</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风险类型及分类</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招商引资报告中，对风险类型及其分类的明晰描述至关重要。风险类型的明确定义和分类可以帮助DNA、RNA疫苗项目管理者更好地识别和应对潜在的风险，从而降低投资风险，确保DNA、RNA疫苗项目的成功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这种风险涉及到DNA、RNA疫苗项目所采用的技术是否已经成熟并可行。如果DNA、RNA疫苗项目依赖尚未成熟或尚未经过广泛验证的技术，可能会面临技术成熟度风险。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技术难题风险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DNA、RNA疫苗项目中可能存在技术难题，例如需要解决的复杂技术问题。这种风险可能会导致DNA、RNA疫苗项目进度延误或成本超支。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技术创新风险涉及到DNA、RNA疫苗项目是否需要采用新颖的技术，这可能会带来不确定性和风险。技术创新风险通常伴随着研发和测试的不确定性。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市场需求风险涉及DNA、RNA疫苗项目产品或服务的市场需求是否足够大，以维持DNA、RNA疫苗项目的可行性。如果市场需求不足，DNA、RNA疫苗项目可能难以盈利。</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 xml:space="preserve"> 竞争风险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竞争风险包括市场上已有竞争对手或潜在竞争对手对DNA、RNA疫苗项目的竞争。竞争激烈可能会对DNA、RNA疫苗项目的市场份额和利润率造成压力。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市场规模风险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市场规模风险与市场的变化和波动有关，可能导致DNA、RNA疫苗项目的市场前景不确定。市场规模的波动可能会影响DNA、RNA疫苗项目的收入和盈利潜力。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DNA、RNA疫苗项目管理风险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DNA、RNA疫苗项目管理风险包括DNA、RNA疫苗项目进度、预算控制和团队协作等方面的挑战。管理风险可能导致DNA、RNA疫苗项目延误和成本超支。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决策风险涉及DNA、RNA疫苗项目管理层的决策是否准确和明智。不正确的决策可能会对DNA、RNA疫苗项目的整体表现产生负面影响。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组织结构风险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组织结构风险与DNA、RNA疫苗项目所在组织的能力和资源分配有关。如果组织结构不合理或资源分配不足，DNA、RNA疫苗项目可能会受到影响。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资金需求风险</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资金需求风险指DNA、RNA疫苗项目是否需要大量资金来支持其运营和发展。资金需求不足可能会导致DNA、RNA疫苗项目中断或失败。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成本控制风险与DNA、RNA疫苗项目的成本管理和控制有关。不合理的成本控制可能会导致DNA、RNA疫苗项目超出预算。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资金来源风险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资金来源风险涉及DNA、RNA疫苗项目融资的可行性和可靠性。如果资金来源不确定，DNA、RNA疫苗项目可能难以获得足够的资金。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DNA、RNA疫苗项目建设风险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DNA、RNA疫苗项目实施风险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DNA、RNA疫苗项目实施风险涉及DNA、RNA疫苗项目开发和建设的各个方面，包括时间进度、资源分配和技术执行。DNA、RNA疫苗项目实施风险可能导致DNA、RNA疫苗项目延误或资源不足。</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DNA、RNA疫苗项目进度控制风险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DNA、RNA疫苗项目进度控制风险与DNA、RNA疫苗项目进度的管理和控制有关。不合理的进度控制可能导致DNA、RNA疫苗项目延误和不确定性。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DNA、RNA疫苗项目变更管理风险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DNA、RNA疫苗项目变更管理风险涉及DNA、RNA疫苗项目变更的管理和控制。不合理的变更管理可能会导致DNA、RNA疫苗项目混乱和不确定性。</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 xml:space="preserve"> 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环境影响风险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环境影响风险涉及DNA、RNA疫苗项目对环境的潜在影响，包括资源利用、环境保护和生态平衡。环境影响风险需要遵守相关法规和标准。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环境监管风险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环境监管风险涉及DNA、RNA疫苗项目是否符合环境法规和标准。不合规可能会导致法律责任和声誉损失。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对这些风险类型的分类有助于DNA、RNA疫苗项目管理团队更全面地了解潜在风险，并采取相应的风险管理措施，以确保DNA、RNA疫苗项目的可行性和成功实施。</w:t>
      </w:r>
    </w:p>
    <w:p>
      <w:pPr>
        <w:pStyle w:val="Heading2"/>
        <w:ind w:firstLine="560" w:firstLineChars="200"/>
        <w:rPr>
          <w:rFonts w:ascii="仿宋" w:eastAsia="仿宋" w:hAnsi="仿宋" w:cs="仿宋" w:hint="eastAsia"/>
          <w:sz w:val="28"/>
          <w:lang w:eastAsia="zh-CN"/>
        </w:rPr>
      </w:pPr>
      <w:bookmarkStart w:id="28" w:name="_Toc22979"/>
      <w:r>
        <w:rPr>
          <w:rFonts w:ascii="仿宋" w:eastAsia="仿宋" w:hAnsi="仿宋" w:cs="仿宋" w:hint="eastAsia"/>
          <w:sz w:val="28"/>
          <w:lang w:eastAsia="zh-CN"/>
        </w:rPr>
        <w:t>(三)、技术风险及应对措施</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3 技术风险及应对措施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在DNA、RNA疫苗项目中可能出现的风险类型之一，通常涉及到技术的选择、应用和创新方面。在招商引资DNA、RNA疫苗项目中，技术风险可能会对DNA、RNA疫苗项目的进展和成功产生影响。因此，对技术风险的识别和应对措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技术成熟度风险</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描述： 技术成熟度风险涉及DNA、RNA疫苗项目所采用的技术是否已经成熟和可行。如果DNA、RNA疫苗项目依赖尚未成熟或尚未经过广泛验证的技术，可能会面临技术成熟度风险。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进行技术尽职调查，评估所选技术的成熟度和可行性。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寻找备用技术选项，以降低依赖性。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合作或咨询专业技术团队，以确保技术的有效应用。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技术难题风险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技术难题风险涉及到DNA、RNA疫苗项目中可能存在的技术挑战，例如需要解决的复杂技术问题。这种风险可能会导致DNA、RNA疫苗项目进度延误或成本超支。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进行详细的技术风险评估，以确定可能的技术挑战。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制定解决方案和应对计划，以应对技术难题。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预留额外的时间和资源，以应对潜在的技术挑战。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技术创新风险涉及到DNA、RNA疫苗项目是否需要采用新颖的技术，这可能会带来不确定性和风险。技术创新风险通常伴随着研发和测试的不确定性。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开展研发和测试阶段的定期评估，以监测技术创新的进展。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寻找专业技术合作伙伴，以分享风险和知识。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制定备用计划，以应对技术创新不成功的情况。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应对技术风险的措施</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 xml:space="preserve"> 1. 技术尽职调查</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在DNA、RNA疫苗项目前期，进行充分的技术尽职调查，评估所选技术的成熟度、可行性和风险。这将有助于选择最适合DNA、RNA疫苗项目的技术，并减轻技术成熟度风险。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备用技术选项</w:t>
      </w:r>
    </w:p>
    <w:p>
      <w:pPr>
        <w:ind w:firstLine="560" w:firstLineChars="200"/>
        <w:rPr>
          <w:rFonts w:ascii="仿宋" w:eastAsia="仿宋" w:hAnsi="仿宋" w:cs="仿宋" w:hint="eastAsia"/>
          <w:sz w:val="28"/>
        </w:rPr>
      </w:pPr>
      <w:r>
        <w:rPr>
          <w:rFonts w:ascii="仿宋" w:eastAsia="仿宋" w:hAnsi="仿宋" w:cs="仿宋" w:hint="eastAsia"/>
          <w:sz w:val="28"/>
          <w:lang w:eastAsia="zh-CN"/>
        </w:rPr>
        <w:t>寻找备用技术选项，以降低对单一技术的依赖性。这样，如果主要技术面临问题，可以迅速切换到备用技术。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专业技术团队合作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与专业技术团队或咨询公司合作，以获取技术领域的专业知识和经验。他们可以提供关于技术应用的建议和指导。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技术风险管理计划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制定技术风险管理计划，明确技术挑战和解决方案，预留额外的资源和时间以应对潜在的技术问题。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持续监测和评估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在DNA、RNA疫苗项目实施过程中，持续监测技术的进展和效果，及时应对可能出现的技术风险。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通过明晰的技术风险识别和应对措施，DNA、RNA疫苗项目管理团队可以更好地规避和应对潜在的技术风险，确保DNA、RNA疫苗项目的成功实施。</w:t>
      </w:r>
    </w:p>
    <w:p>
      <w:pPr>
        <w:pStyle w:val="Heading2"/>
        <w:ind w:firstLine="560" w:firstLineChars="200"/>
        <w:rPr>
          <w:rFonts w:ascii="仿宋" w:eastAsia="仿宋" w:hAnsi="仿宋" w:cs="仿宋" w:hint="eastAsia"/>
          <w:sz w:val="28"/>
          <w:lang w:eastAsia="zh-CN"/>
        </w:rPr>
      </w:pPr>
      <w:bookmarkStart w:id="29" w:name="_Toc11208"/>
      <w:r>
        <w:rPr>
          <w:rFonts w:ascii="仿宋" w:eastAsia="仿宋" w:hAnsi="仿宋" w:cs="仿宋" w:hint="eastAsia"/>
          <w:sz w:val="28"/>
          <w:lang w:eastAsia="zh-CN"/>
        </w:rPr>
        <w:t>(四)、市场风险及应对策略</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4 市场风险及应对策略</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市场风险是在招商引资DNA、RNA疫苗项目中常见的风险类型之一，通常涉及市场需求、竞争状况和市场变化等因素。了解市场风险并制定相应的应对策略是确保DNA、RNA疫苗项目成功实施的关键步骤。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市场需求风险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市场需求风险涉及DNA、RNA疫苗项目产品或服务的市场需求是否足够大，以维持DNA、RNA疫苗项目的可行性。如果市场需求不足，DNA、RNA疫苗项目可能难以盈利。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竞争风险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竞争风险包括市场上已有竞争对手或潜在竞争对手对DNA、RNA疫苗项目的竞争。竞争激烈可能会对DNA、RNA疫苗项目的市场份额和利润率造成压力。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市场规模风险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市场规模风险与市场的变化和波动有关，可能导致DNA、RNA疫苗项目的市场前景不确定。市场规模的波动可能会影响DNA、RNA疫苗项目的收入和盈利潜力。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应对市场风险的策略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市场研究和定位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进行全面的市场研究，了解市场需求、趋势和受众。根据市场研究结果，精确定位DNA、RNA疫苗项目的目标市场和受众，以满足他们的需求。</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 xml:space="preserve"> 2. 竞争分析和差异化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进行竞争对手分析，了解市场上已有的竞争对手以及潜在的竞争对手。制定差异化战略，突出DNA、RNA疫苗项目的独特价值和优势。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不依赖于单一市场，而是探索多元化市场策略。拓展市场份额，同时减轻对单一市场的依赖性。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市场规模预测和应对计划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对市场规模进行预测，并制定应对计划，以应对市场规模波动。这包括根据市场变化调整市场策略和资源分配。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客户关系管理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建立牢固的客户关系，维护现有客户并吸引新客户。提供卓越的客户服务和持续的价值，以保持客户满意度。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6. 市场扩展和多元化产品线</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考虑市场扩展和多元化产品线，以满足不同市场需求。这有助于降低市场风险，并提高DNA、RNA疫苗项目的灵活性。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市场风险是DNA、RNA疫苗项目实施过程中需要高度关注的方面。通过有效的市场研究、竞争分析和战略规划，DNA、RNA疫苗项目管理团队可以更好地应对市场风险，确保DNA、RNA疫苗项目的成功实施和可持续发展。</w:t>
      </w:r>
    </w:p>
    <w:p>
      <w:pPr>
        <w:pStyle w:val="Heading2"/>
        <w:ind w:firstLine="560" w:firstLineChars="200"/>
        <w:rPr>
          <w:rFonts w:ascii="仿宋" w:eastAsia="仿宋" w:hAnsi="仿宋" w:cs="仿宋" w:hint="eastAsia"/>
          <w:sz w:val="28"/>
          <w:lang w:eastAsia="zh-CN"/>
        </w:rPr>
      </w:pPr>
      <w:bookmarkStart w:id="30" w:name="_Toc15031"/>
      <w:r>
        <w:rPr>
          <w:rFonts w:ascii="仿宋" w:eastAsia="仿宋" w:hAnsi="仿宋" w:cs="仿宋" w:hint="eastAsia"/>
          <w:sz w:val="28"/>
          <w:lang w:eastAsia="zh-CN"/>
        </w:rPr>
        <w:t>(五)、管理风险及规避方法</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5 管理风险及规避方法</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是DNA、RNA疫苗项目招商引资报告中至关重要的一部分，因为管理风险的不当可能会导致DNA、RNA疫苗项目延误、成本超支和资源浪费。在DNA、RNA疫苗项目中明确定义管理风险并制定规避方法是确保DNA、RNA疫苗项目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DNA、RNA疫苗项目管理风险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DNA、RNA疫苗项目管理风险涉及DNA、RNA疫苗项目进度、预算控制和团队协作等方面的挑战。管理风险可能会导致DNA、RNA疫苗项目延误和成本超支。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决策风险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决策风险涉及DNA、RNA疫苗项目管理层的决策是否准确和明智。不正确的决策可能会对DNA、RNA疫苗项目的整体表现产生负面影响。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组织结构风险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组织结构风险与DNA、RNA疫苗项目所在组织的能力和资源分配有关。如果组织结构不合理或资源分配不足，DNA、RNA疫苗项目可能会受到影响。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应对管理风险的规避方法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DNA、RNA疫苗项目管理计划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制定详细的DNA、RNA疫苗项目管理计划，包括DNA、RNA疫苗项目进度、资源分配和团队协作。明确的计划有助于规避DNA、RNA疫苗项目管理风险。</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 xml:space="preserve"> 2. 风险评估和监测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进行定期的风险评估和监测，以识别可能的管理风险。早期识别风险可以采取措施加以解决。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决策支持系统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建立决策支持系统，为管理层提供准确的信息和数据，以支持明智的决策制定。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DNA、RNA疫苗项目管理培训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提供DNA、RNA疫苗项目管理培训，以提高团队的DNA、RNA疫苗项目管理能力。合格的DNA、RNA疫苗项目经理和团队成员能够降低DNA、RNA疫苗项目管理风险。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组织结构优化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优化组织结构和资源分配，确保DNA、RNA疫苗项目所在组织有足够的能力和资源来支持DNA、RNA疫苗项目的成功实施。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决策风险及规避方法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决策分析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使用决策分析工具和方法，如决策树、成本效益分析和风险评估，来支持决策制定过程。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多元化决策制定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采用多元化决策制定方法，包括多方参与、专家咨询和决策团队的协作，以确保决策更加全面和准确。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在决策制定中考虑风险评估，评估不同决策选项可能产生的风险和不确定性。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4" w:history="1">
        <w:r>
          <w:rPr>
            <w:rFonts w:ascii="SimSun" w:eastAsia="SimSun" w:hAnsi="SimSun" w:cs="SimSun"/>
            <w:b/>
            <w:bCs/>
            <w:color w:val="0000EE"/>
            <w:kern w:val="0"/>
            <w:sz w:val="30"/>
            <w:szCs w:val="30"/>
            <w:u w:val="single" w:color="0000EE"/>
          </w:rPr>
          <w:t>https://d.book118.com/375102240200011043</w:t>
        </w:r>
      </w:hyperlink>
    </w:p>
    <w:p>
      <w:pPr>
        <w:ind w:firstLine="560" w:firstLineChars="200"/>
        <w:rPr>
          <w:rFonts w:ascii="仿宋" w:eastAsia="仿宋" w:hAnsi="仿宋" w:cs="仿宋" w:hint="eastAsia"/>
          <w:sz w:val="28"/>
        </w:rPr>
      </w:pPr>
    </w:p>
    <w:sectPr>
      <w:headerReference w:type="default" r:id="rId75"/>
      <w:footerReference w:type="default" r:id="rId76"/>
      <w:type w:val="nextPage"/>
      <w:pgSz w:w="11906" w:h="16838"/>
      <w:pgMar w:top="1440" w:right="1800" w:bottom="1440" w:left="1800" w:header="851" w:footer="992" w:gutter="0"/>
      <w:pgNumType w:start="3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DNA、RNA疫苗项目招商引资风险评估报告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AC49CF"/>
    <w:rsid w:val="5CAC49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yperlink" Target="https://d.book118.com/375102240200011043" TargetMode="External" /><Relationship Id="rId75" Type="http://schemas.openxmlformats.org/officeDocument/2006/relationships/header" Target="header36.xml" /><Relationship Id="rId76" Type="http://schemas.openxmlformats.org/officeDocument/2006/relationships/footer" Target="footer36.xml" /><Relationship Id="rId77" Type="http://schemas.openxmlformats.org/officeDocument/2006/relationships/theme" Target="theme/theme1.xml" /><Relationship Id="rId78"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2024-01-13T21:13:00Z</dcterms:created>
  <dcterms:modified xsi:type="dcterms:W3CDTF">2024-01-13T21:13:57Z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F43623F36E1D40DFA20ECAB805426E09_11</vt:lpwstr>
  </property>
  <property fmtid="{D5CDD505-2E9C-101B-9397-08002B2CF9AE}" pid="3" name="KSOProductBuildVer">
    <vt:lpwstr>2052-12.1.0.16120</vt:lpwstr>
  </property>
</Properties>
</file>