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28" w:line="1700" w:lineRule="exact"/>
        <w:ind w:firstLine="6736"/>
      </w:pPr>
      <w:r>
        <w:drawing>
          <wp:anchor distT="0" distB="0" distL="0" distR="0" simplePos="0" relativeHeight="251663360" behindDoc="0" locked="0" layoutInCell="0" allowOverlap="1">
            <wp:simplePos x="0" y="0"/>
            <wp:positionH relativeFrom="page">
              <wp:posOffset>719327</wp:posOffset>
            </wp:positionH>
            <wp:positionV relativeFrom="page">
              <wp:posOffset>2402078</wp:posOffset>
            </wp:positionV>
            <wp:extent cx="3882517" cy="12192"/>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3882517" cy="12192"/>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719327</wp:posOffset>
            </wp:positionH>
            <wp:positionV relativeFrom="page">
              <wp:posOffset>4220591</wp:posOffset>
            </wp:positionV>
            <wp:extent cx="3882517" cy="12191"/>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
                    <a:stretch>
                      <a:fillRect/>
                    </a:stretch>
                  </pic:blipFill>
                  <pic:spPr>
                    <a:xfrm>
                      <a:off x="0" y="0"/>
                      <a:ext cx="3882517" cy="12191"/>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306.2pt;height:69.1pt;margin-top:89.46pt;margin-left:55.74pt;mso-position-horizontal-relative:page;mso-position-vertical-relative:page;position:absolute;z-index:251660288" o:allowincell="f" filled="f" stroked="f">
            <o:lock v:ext="edit" aspectratio="f"/>
            <v:textbox inset="0,0,0,0">
              <w:txbxContent>
                <w:p>
                  <w:pPr>
                    <w:pStyle w:val="BodyText"/>
                    <w:spacing w:before="19" w:line="191" w:lineRule="auto"/>
                    <w:ind w:left="25"/>
                  </w:pPr>
                  <w:r>
                    <w:rPr>
                      <w:b/>
                      <w:bCs/>
                      <w:color w:val="044E7E"/>
                      <w:spacing w:val="19"/>
                      <w14:textOutline w14:w="3614">
                        <w14:solidFill>
                          <w14:srgbClr w14:val="044E7E"/>
                        </w14:solidFill>
                        <w14:prstDash w14:val="solid"/>
                        <w14:miter w14:lim="10"/>
                      </w14:textOutline>
                    </w:rPr>
                    <w:t>证券研究报告·政策研究</w:t>
                  </w:r>
                </w:p>
                <w:p>
                  <w:pPr>
                    <w:pStyle w:val="BodyText"/>
                    <w:spacing w:before="43" w:line="621" w:lineRule="exact"/>
                    <w:ind w:left="20"/>
                    <w:rPr>
                      <w:sz w:val="31"/>
                      <w:szCs w:val="31"/>
                    </w:rPr>
                  </w:pPr>
                  <w:r>
                    <w:rPr>
                      <w:b/>
                      <w:bCs/>
                      <w:color w:val="044E7E"/>
                      <w:spacing w:val="10"/>
                      <w:position w:val="23"/>
                      <w:sz w:val="31"/>
                      <w:szCs w:val="31"/>
                      <w14:textOutline w14:w="5791">
                        <w14:solidFill>
                          <w14:srgbClr w14:val="044E7E"/>
                        </w14:solidFill>
                        <w14:prstDash w14:val="solid"/>
                        <w14:miter w14:lim="10"/>
                      </w14:textOutline>
                    </w:rPr>
                    <w:t>【中信建投政策研究】海外及中国香港救市</w:t>
                  </w:r>
                </w:p>
                <w:p>
                  <w:pPr>
                    <w:pStyle w:val="BodyText"/>
                    <w:spacing w:line="188" w:lineRule="auto"/>
                    <w:ind w:left="27"/>
                    <w:rPr>
                      <w:sz w:val="31"/>
                      <w:szCs w:val="31"/>
                    </w:rPr>
                  </w:pPr>
                  <w:r>
                    <w:rPr>
                      <w:b/>
                      <w:bCs/>
                      <w:color w:val="044E7E"/>
                      <w:spacing w:val="10"/>
                      <w:sz w:val="31"/>
                      <w:szCs w:val="31"/>
                      <w14:textOutline w14:w="5791">
                        <w14:solidFill>
                          <w14:srgbClr w14:val="044E7E"/>
                        </w14:solidFill>
                        <w14:prstDash w14:val="solid"/>
                        <w14:miter w14:lim="10"/>
                      </w14:textOutline>
                    </w:rPr>
                    <w:t>政策回顾及经验分析</w:t>
                  </w:r>
                </w:p>
              </w:txbxContent>
            </v:textbox>
          </v:shape>
        </w:pict>
      </w:r>
      <w:r>
        <w:drawing>
          <wp:anchor distT="0" distB="0" distL="0" distR="0" simplePos="0" relativeHeight="251662336" behindDoc="0" locked="0" layoutInCell="0" allowOverlap="1">
            <wp:simplePos x="0" y="0"/>
            <wp:positionH relativeFrom="page">
              <wp:posOffset>723923</wp:posOffset>
            </wp:positionH>
            <wp:positionV relativeFrom="page">
              <wp:posOffset>997095</wp:posOffset>
            </wp:positionV>
            <wp:extent cx="3505277" cy="254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5"/>
                    <a:stretch>
                      <a:fillRect/>
                    </a:stretch>
                  </pic:blipFill>
                  <pic:spPr>
                    <a:xfrm>
                      <a:off x="0" y="0"/>
                      <a:ext cx="3505277" cy="25400"/>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723923</wp:posOffset>
            </wp:positionH>
            <wp:positionV relativeFrom="page">
              <wp:posOffset>2038429</wp:posOffset>
            </wp:positionV>
            <wp:extent cx="3505277" cy="254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6"/>
                    <a:stretch>
                      <a:fillRect/>
                    </a:stretch>
                  </pic:blipFill>
                  <pic:spPr>
                    <a:xfrm>
                      <a:off x="0" y="0"/>
                      <a:ext cx="3505277" cy="25400"/>
                    </a:xfrm>
                    <a:prstGeom prst="rect">
                      <a:avLst/>
                    </a:prstGeom>
                  </pic:spPr>
                </pic:pic>
              </a:graphicData>
            </a:graphic>
          </wp:anchor>
        </w:drawing>
      </w:r>
      <w:r>
        <w:pict>
          <v:shape id="_x0000_s1026" type="#_x0000_t202" style="width:309.1pt;height:129.15pt;margin-top:197.83pt;margin-left:56.07pt;mso-position-horizontal-relative:page;mso-position-vertical-relative:page;position:absolute;z-index:251659264" o:allowincell="f" filled="f" stroked="f">
            <o:lock v:ext="edit" aspectratio="f"/>
            <v:textbox inset="0,0,0,0">
              <w:txbxContent>
                <w:p>
                  <w:pPr>
                    <w:pStyle w:val="BodyText"/>
                    <w:spacing w:before="19" w:line="189" w:lineRule="auto"/>
                    <w:ind w:left="21"/>
                    <w:rPr>
                      <w:sz w:val="31"/>
                      <w:szCs w:val="31"/>
                    </w:rPr>
                  </w:pPr>
                  <w:r>
                    <w:rPr>
                      <w:b/>
                      <w:bCs/>
                      <w:color w:val="FF0000"/>
                      <w:spacing w:val="8"/>
                      <w:sz w:val="31"/>
                      <w:szCs w:val="31"/>
                      <w14:textOutline w14:w="5791">
                        <w14:solidFill>
                          <w14:srgbClr w14:val="FF0000"/>
                        </w14:solidFill>
                        <w14:prstDash w14:val="solid"/>
                        <w14:miter w14:lim="10"/>
                      </w14:textOutline>
                    </w:rPr>
                    <w:t>核心观点</w:t>
                  </w:r>
                </w:p>
                <w:p>
                  <w:pPr>
                    <w:pStyle w:val="BodyText"/>
                    <w:spacing w:before="185" w:line="204" w:lineRule="auto"/>
                    <w:ind w:left="20" w:right="20" w:firstLine="303"/>
                  </w:pPr>
                  <w:r>
                    <w:rPr>
                      <w:color w:val="FF0000"/>
                      <w:spacing w:val="5"/>
                    </w:rPr>
                    <w:t>救市是应对金融危机和经济衰退的重要手段，</w:t>
                  </w:r>
                  <w:r>
                    <w:rPr>
                      <w:color w:val="FF0000"/>
                      <w:spacing w:val="56"/>
                    </w:rPr>
                    <w:t xml:space="preserve"> </w:t>
                  </w:r>
                  <w:r>
                    <w:rPr>
                      <w:color w:val="FF0000"/>
                      <w:spacing w:val="5"/>
                    </w:rPr>
                    <w:t>不同国家和地区的救</w:t>
                  </w:r>
                  <w:r>
                    <w:rPr>
                      <w:color w:val="FF0000"/>
                    </w:rPr>
                    <w:t xml:space="preserve">  </w:t>
                  </w:r>
                  <w:r>
                    <w:rPr>
                      <w:color w:val="FF0000"/>
                      <w:spacing w:val="8"/>
                    </w:rPr>
                    <w:t>市经验具有一定参考价值。</w:t>
                  </w:r>
                  <w:r>
                    <w:rPr>
                      <w:color w:val="FF0000"/>
                      <w:spacing w:val="-9"/>
                    </w:rPr>
                    <w:t xml:space="preserve"> </w:t>
                  </w:r>
                  <w:r>
                    <w:rPr>
                      <w:color w:val="FF0000"/>
                      <w:spacing w:val="8"/>
                    </w:rPr>
                    <w:t>从美国、</w:t>
                  </w:r>
                  <w:r>
                    <w:rPr>
                      <w:color w:val="FF0000"/>
                      <w:spacing w:val="-12"/>
                    </w:rPr>
                    <w:t xml:space="preserve"> </w:t>
                  </w:r>
                  <w:r>
                    <w:rPr>
                      <w:color w:val="FF0000"/>
                      <w:spacing w:val="8"/>
                    </w:rPr>
                    <w:t xml:space="preserve">中国香港和日本的救市历史中，  </w:t>
                  </w:r>
                  <w:r>
                    <w:rPr>
                      <w:color w:val="FF0000"/>
                      <w:spacing w:val="9"/>
                    </w:rPr>
                    <w:t>可以发现一些共同的救市原则，</w:t>
                  </w:r>
                  <w:r>
                    <w:rPr>
                      <w:color w:val="FF0000"/>
                      <w:spacing w:val="-25"/>
                    </w:rPr>
                    <w:t xml:space="preserve"> </w:t>
                  </w:r>
                  <w:r>
                    <w:rPr>
                      <w:color w:val="FF0000"/>
                      <w:spacing w:val="9"/>
                    </w:rPr>
                    <w:t>如：</w:t>
                  </w:r>
                  <w:r>
                    <w:rPr>
                      <w:color w:val="FF0000"/>
                      <w:spacing w:val="-28"/>
                    </w:rPr>
                    <w:t xml:space="preserve"> </w:t>
                  </w:r>
                  <w:r>
                    <w:rPr>
                      <w:color w:val="FF0000"/>
                      <w:spacing w:val="9"/>
                    </w:rPr>
                    <w:t>救市力度要适度，</w:t>
                  </w:r>
                  <w:r>
                    <w:rPr>
                      <w:color w:val="FF0000"/>
                      <w:spacing w:val="-18"/>
                    </w:rPr>
                    <w:t xml:space="preserve"> </w:t>
                  </w:r>
                  <w:r>
                    <w:rPr>
                      <w:color w:val="FF0000"/>
                      <w:spacing w:val="9"/>
                    </w:rPr>
                    <w:t>既要有效缓解</w:t>
                  </w:r>
                  <w:r>
                    <w:rPr>
                      <w:color w:val="FF0000"/>
                    </w:rPr>
                    <w:t xml:space="preserve">  </w:t>
                  </w:r>
                  <w:r>
                    <w:rPr>
                      <w:color w:val="FF0000"/>
                      <w:spacing w:val="9"/>
                    </w:rPr>
                    <w:t>市场恐慌，</w:t>
                  </w:r>
                  <w:r>
                    <w:rPr>
                      <w:color w:val="FF0000"/>
                      <w:spacing w:val="-23"/>
                    </w:rPr>
                    <w:t xml:space="preserve"> </w:t>
                  </w:r>
                  <w:r>
                    <w:rPr>
                      <w:color w:val="FF0000"/>
                      <w:spacing w:val="9"/>
                    </w:rPr>
                    <w:t>又要避免过度干预；</w:t>
                  </w:r>
                  <w:r>
                    <w:rPr>
                      <w:color w:val="FF0000"/>
                      <w:spacing w:val="-27"/>
                    </w:rPr>
                    <w:t xml:space="preserve"> </w:t>
                  </w:r>
                  <w:r>
                    <w:rPr>
                      <w:color w:val="FF0000"/>
                      <w:spacing w:val="9"/>
                    </w:rPr>
                    <w:t>救市制度要完善，</w:t>
                  </w:r>
                  <w:r>
                    <w:rPr>
                      <w:color w:val="FF0000"/>
                      <w:spacing w:val="-21"/>
                    </w:rPr>
                    <w:t xml:space="preserve"> </w:t>
                  </w:r>
                  <w:r>
                    <w:rPr>
                      <w:color w:val="FF0000"/>
                      <w:spacing w:val="9"/>
                    </w:rPr>
                    <w:t>既要解决当前的流</w:t>
                  </w:r>
                  <w:r>
                    <w:rPr>
                      <w:color w:val="FF0000"/>
                    </w:rPr>
                    <w:t xml:space="preserve">  </w:t>
                  </w:r>
                  <w:r>
                    <w:rPr>
                      <w:color w:val="FF0000"/>
                      <w:spacing w:val="3"/>
                    </w:rPr>
                    <w:t>动性问题，又要改革金融监管体系，</w:t>
                  </w:r>
                  <w:r>
                    <w:rPr>
                      <w:color w:val="FF0000"/>
                      <w:spacing w:val="24"/>
                    </w:rPr>
                    <w:t xml:space="preserve">  </w:t>
                  </w:r>
                  <w:r>
                    <w:rPr>
                      <w:color w:val="FF0000"/>
                      <w:spacing w:val="3"/>
                    </w:rPr>
                    <w:t>防止危机重演；救市代价</w:t>
                  </w:r>
                  <w:r>
                    <w:rPr>
                      <w:color w:val="FF0000"/>
                      <w:spacing w:val="2"/>
                    </w:rPr>
                    <w:t>要公平，</w:t>
                  </w:r>
                  <w:r>
                    <w:rPr>
                      <w:color w:val="FF0000"/>
                    </w:rPr>
                    <w:t xml:space="preserve"> </w:t>
                  </w:r>
                  <w:r>
                    <w:rPr>
                      <w:color w:val="FF0000"/>
                      <w:spacing w:val="11"/>
                    </w:rPr>
                    <w:t>既要保护投资者的合法权益，</w:t>
                  </w:r>
                  <w:r>
                    <w:rPr>
                      <w:color w:val="FF0000"/>
                      <w:spacing w:val="-31"/>
                    </w:rPr>
                    <w:t xml:space="preserve"> </w:t>
                  </w:r>
                  <w:r>
                    <w:rPr>
                      <w:color w:val="FF0000"/>
                      <w:spacing w:val="11"/>
                    </w:rPr>
                    <w:t>又要让市场主体</w:t>
                  </w:r>
                  <w:r>
                    <w:rPr>
                      <w:color w:val="FF0000"/>
                      <w:spacing w:val="10"/>
                    </w:rPr>
                    <w:t>承担风险，</w:t>
                  </w:r>
                  <w:r>
                    <w:rPr>
                      <w:color w:val="FF0000"/>
                      <w:spacing w:val="-34"/>
                    </w:rPr>
                    <w:t xml:space="preserve"> </w:t>
                  </w:r>
                  <w:r>
                    <w:rPr>
                      <w:color w:val="FF0000"/>
                      <w:spacing w:val="10"/>
                    </w:rPr>
                    <w:t>避免道德风</w:t>
                  </w:r>
                  <w:r>
                    <w:rPr>
                      <w:color w:val="FF0000"/>
                    </w:rPr>
                    <w:t xml:space="preserve">  </w:t>
                  </w:r>
                  <w:r>
                    <w:rPr>
                      <w:color w:val="FF0000"/>
                      <w:spacing w:val="8"/>
                    </w:rPr>
                    <w:t>险。同时，救市的时机、对象、方式和退出机制等细节问题十分关键。</w:t>
                  </w:r>
                </w:p>
              </w:txbxContent>
            </v:textbox>
          </v:shape>
        </w:pict>
      </w:r>
      <w:r>
        <w:pict>
          <v:shape id="_x0000_s1027" type="#_x0000_t202" style="width:309.25pt;height:404.2pt;margin-top:341.02pt;margin-left:55.99pt;mso-position-horizontal-relative:page;mso-position-vertical-relative:page;position:absolute;z-index:251658240" o:allowincell="f" filled="f" stroked="f">
            <o:lock v:ext="edit" aspectratio="f"/>
            <v:textbox inset="0,0,0,0">
              <w:txbxContent>
                <w:p>
                  <w:pPr>
                    <w:pStyle w:val="BodyText"/>
                    <w:spacing w:before="20" w:line="189" w:lineRule="auto"/>
                    <w:ind w:left="25"/>
                    <w:rPr>
                      <w:sz w:val="31"/>
                      <w:szCs w:val="31"/>
                    </w:rPr>
                  </w:pPr>
                  <w:r>
                    <w:rPr>
                      <w:b/>
                      <w:bCs/>
                      <w:color w:val="044E7E"/>
                      <w:spacing w:val="4"/>
                      <w:sz w:val="31"/>
                      <w:szCs w:val="31"/>
                      <w14:textOutline w14:w="5791">
                        <w14:solidFill>
                          <w14:srgbClr w14:val="044E7E"/>
                        </w14:solidFill>
                        <w14:prstDash w14:val="solid"/>
                        <w14:miter w14:lim="10"/>
                      </w14:textOutline>
                    </w:rPr>
                    <w:t>摘要</w:t>
                  </w:r>
                </w:p>
                <w:p>
                  <w:pPr>
                    <w:pStyle w:val="BodyText"/>
                    <w:spacing w:before="190" w:line="223" w:lineRule="auto"/>
                    <w:ind w:left="20" w:right="83" w:firstLine="397"/>
                  </w:pPr>
                  <w:r>
                    <w:rPr>
                      <w:rFonts w:ascii="Times New Roman" w:eastAsia="Times New Roman" w:hAnsi="Times New Roman" w:cs="Times New Roman"/>
                      <w:spacing w:val="6"/>
                    </w:rPr>
                    <w:t xml:space="preserve">2008 </w:t>
                  </w:r>
                  <w:r>
                    <w:rPr>
                      <w:spacing w:val="6"/>
                    </w:rPr>
                    <w:t>年美国次贷危机爆发，</w:t>
                  </w:r>
                  <w:r>
                    <w:rPr>
                      <w:spacing w:val="36"/>
                    </w:rPr>
                    <w:t xml:space="preserve"> </w:t>
                  </w:r>
                  <w:r>
                    <w:rPr>
                      <w:spacing w:val="6"/>
                    </w:rPr>
                    <w:t>迅速传染到实体经济并席</w:t>
                  </w:r>
                  <w:r>
                    <w:rPr>
                      <w:spacing w:val="5"/>
                    </w:rPr>
                    <w:t>卷全球。美</w:t>
                  </w:r>
                  <w:r>
                    <w:t xml:space="preserve">  </w:t>
                  </w:r>
                  <w:r>
                    <w:rPr>
                      <w:spacing w:val="9"/>
                    </w:rPr>
                    <w:t>国采取注资救助部分出险金融机构、启动非常规货币政策向市场注入</w:t>
                  </w:r>
                  <w:r>
                    <w:rPr>
                      <w:spacing w:val="8"/>
                    </w:rPr>
                    <w:t xml:space="preserve">  </w:t>
                  </w:r>
                  <w:r>
                    <w:rPr>
                      <w:spacing w:val="6"/>
                    </w:rPr>
                    <w:t>流动性以及扩张性的财政政策等诸多救市措施，</w:t>
                  </w:r>
                  <w:r>
                    <w:rPr>
                      <w:spacing w:val="22"/>
                    </w:rPr>
                    <w:t xml:space="preserve"> </w:t>
                  </w:r>
                  <w:r>
                    <w:rPr>
                      <w:spacing w:val="6"/>
                    </w:rPr>
                    <w:t xml:space="preserve">最终于 </w:t>
                  </w:r>
                  <w:r>
                    <w:rPr>
                      <w:rFonts w:ascii="Times New Roman" w:eastAsia="Times New Roman" w:hAnsi="Times New Roman" w:cs="Times New Roman"/>
                      <w:spacing w:val="6"/>
                    </w:rPr>
                    <w:t>20</w:t>
                  </w:r>
                  <w:r>
                    <w:rPr>
                      <w:rFonts w:ascii="Times New Roman" w:eastAsia="Times New Roman" w:hAnsi="Times New Roman" w:cs="Times New Roman"/>
                      <w:spacing w:val="5"/>
                    </w:rPr>
                    <w:t xml:space="preserve">09 </w:t>
                  </w:r>
                  <w:r>
                    <w:rPr>
                      <w:spacing w:val="5"/>
                    </w:rPr>
                    <w:t>年一季度</w:t>
                  </w:r>
                  <w:r>
                    <w:t xml:space="preserve"> </w:t>
                  </w:r>
                  <w:r>
                    <w:rPr>
                      <w:spacing w:val="9"/>
                    </w:rPr>
                    <w:t>帮助资本市场和经济整体筑底企稳。从美国的救市历史中可总结出三</w:t>
                  </w:r>
                  <w:r>
                    <w:rPr>
                      <w:spacing w:val="8"/>
                    </w:rPr>
                    <w:t xml:space="preserve">  </w:t>
                  </w:r>
                  <w:r>
                    <w:rPr>
                      <w:spacing w:val="7"/>
                    </w:rPr>
                    <w:t>点经验：</w:t>
                  </w:r>
                  <w:r>
                    <w:rPr>
                      <w:spacing w:val="-20"/>
                    </w:rPr>
                    <w:t xml:space="preserve"> </w:t>
                  </w:r>
                  <w:r>
                    <w:rPr>
                      <w:spacing w:val="7"/>
                    </w:rPr>
                    <w:t>一是力度要够，避免战线过长；</w:t>
                  </w:r>
                  <w:r>
                    <w:rPr>
                      <w:spacing w:val="-30"/>
                    </w:rPr>
                    <w:t xml:space="preserve"> </w:t>
                  </w:r>
                  <w:r>
                    <w:rPr>
                      <w:spacing w:val="7"/>
                    </w:rPr>
                    <w:t xml:space="preserve">二是制度要改，解决根本问  </w:t>
                  </w:r>
                  <w:r>
                    <w:rPr>
                      <w:spacing w:val="5"/>
                    </w:rPr>
                    <w:t>题；</w:t>
                  </w:r>
                  <w:r>
                    <w:rPr>
                      <w:spacing w:val="-22"/>
                    </w:rPr>
                    <w:t xml:space="preserve"> </w:t>
                  </w:r>
                  <w:r>
                    <w:rPr>
                      <w:spacing w:val="5"/>
                    </w:rPr>
                    <w:t>三是代价要付，没有免费午餐。</w:t>
                  </w:r>
                </w:p>
                <w:p>
                  <w:pPr>
                    <w:pStyle w:val="BodyText"/>
                    <w:spacing w:before="54" w:line="224" w:lineRule="auto"/>
                    <w:ind w:left="20" w:right="20" w:firstLine="398"/>
                  </w:pPr>
                  <w:r>
                    <w:rPr>
                      <w:rFonts w:ascii="Times New Roman" w:eastAsia="Times New Roman" w:hAnsi="Times New Roman" w:cs="Times New Roman"/>
                      <w:spacing w:val="2"/>
                    </w:rPr>
                    <w:t xml:space="preserve">20 </w:t>
                  </w:r>
                  <w:r>
                    <w:rPr>
                      <w:spacing w:val="2"/>
                    </w:rPr>
                    <w:t xml:space="preserve">世纪 </w:t>
                  </w:r>
                  <w:r>
                    <w:rPr>
                      <w:rFonts w:ascii="Times New Roman" w:eastAsia="Times New Roman" w:hAnsi="Times New Roman" w:cs="Times New Roman"/>
                      <w:spacing w:val="2"/>
                    </w:rPr>
                    <w:t xml:space="preserve">90 </w:t>
                  </w:r>
                  <w:r>
                    <w:rPr>
                      <w:spacing w:val="2"/>
                    </w:rPr>
                    <w:t>年代，东南亚多个新兴经济体出现经济过热、过度举债、</w:t>
                  </w:r>
                  <w:r>
                    <w:rPr>
                      <w:spacing w:val="15"/>
                    </w:rPr>
                    <w:t xml:space="preserve"> </w:t>
                  </w:r>
                  <w:r>
                    <w:rPr>
                      <w:spacing w:val="1"/>
                    </w:rPr>
                    <w:t>经常账户失衡的迹象，  对冲基金在内的国际游资</w:t>
                  </w:r>
                  <w:r>
                    <w:t>对此虎视眈眈，</w:t>
                  </w:r>
                  <w:r>
                    <w:rPr>
                      <w:spacing w:val="19"/>
                      <w:w w:val="101"/>
                    </w:rPr>
                    <w:t xml:space="preserve">  </w:t>
                  </w:r>
                  <w:r>
                    <w:t xml:space="preserve">在狙    </w:t>
                  </w:r>
                  <w:r>
                    <w:rPr>
                      <w:spacing w:val="5"/>
                    </w:rPr>
                    <w:t>击泰铢成功后，  实体经济趋弱、资本市场泡沫严重且采用联系汇率制</w:t>
                  </w:r>
                  <w:r>
                    <w:rPr>
                      <w:spacing w:val="3"/>
                    </w:rPr>
                    <w:t xml:space="preserve">    </w:t>
                  </w:r>
                  <w:r>
                    <w:rPr>
                      <w:spacing w:val="5"/>
                    </w:rPr>
                    <w:t>度的中国香港成为下一个目标。</w:t>
                  </w:r>
                  <w:r>
                    <w:rPr>
                      <w:spacing w:val="42"/>
                    </w:rPr>
                    <w:t xml:space="preserve"> </w:t>
                  </w:r>
                  <w:r>
                    <w:rPr>
                      <w:rFonts w:ascii="Times New Roman" w:eastAsia="Times New Roman" w:hAnsi="Times New Roman" w:cs="Times New Roman"/>
                      <w:spacing w:val="5"/>
                    </w:rPr>
                    <w:t xml:space="preserve">1998 </w:t>
                  </w:r>
                  <w:r>
                    <w:rPr>
                      <w:spacing w:val="5"/>
                    </w:rPr>
                    <w:t xml:space="preserve">年 </w:t>
                  </w:r>
                  <w:r>
                    <w:rPr>
                      <w:rFonts w:ascii="Times New Roman" w:eastAsia="Times New Roman" w:hAnsi="Times New Roman" w:cs="Times New Roman"/>
                      <w:spacing w:val="5"/>
                    </w:rPr>
                    <w:t>8</w:t>
                  </w:r>
                  <w:r>
                    <w:rPr>
                      <w:rFonts w:ascii="Times New Roman" w:eastAsia="Times New Roman" w:hAnsi="Times New Roman" w:cs="Times New Roman"/>
                      <w:spacing w:val="16"/>
                      <w:w w:val="101"/>
                    </w:rPr>
                    <w:t xml:space="preserve"> </w:t>
                  </w:r>
                  <w:r>
                    <w:rPr>
                      <w:spacing w:val="5"/>
                    </w:rPr>
                    <w:t>月，国际游资通过外汇市场</w:t>
                  </w:r>
                  <w:r>
                    <w:t xml:space="preserve">   </w:t>
                  </w:r>
                  <w:r>
                    <w:rPr>
                      <w:spacing w:val="9"/>
                    </w:rPr>
                    <w:t>和股市的双线布局大举做空港币和港股，香港政府动用外汇储备承接</w:t>
                  </w:r>
                  <w:r>
                    <w:rPr>
                      <w:spacing w:val="8"/>
                    </w:rPr>
                    <w:t xml:space="preserve">   </w:t>
                  </w:r>
                  <w:r>
                    <w:rPr>
                      <w:spacing w:val="5"/>
                    </w:rPr>
                    <w:t>卖盘，</w:t>
                  </w:r>
                  <w:r>
                    <w:rPr>
                      <w:spacing w:val="49"/>
                    </w:rPr>
                    <w:t xml:space="preserve"> </w:t>
                  </w:r>
                  <w:r>
                    <w:rPr>
                      <w:spacing w:val="5"/>
                    </w:rPr>
                    <w:t>托底汇率并维稳利率，监管股票借出，切断国际</w:t>
                  </w:r>
                  <w:r>
                    <w:rPr>
                      <w:spacing w:val="4"/>
                    </w:rPr>
                    <w:t>游资弹药供应，</w:t>
                  </w:r>
                  <w:r>
                    <w:t xml:space="preserve"> </w:t>
                  </w:r>
                  <w:r>
                    <w:rPr>
                      <w:spacing w:val="5"/>
                    </w:rPr>
                    <w:t xml:space="preserve">并使用外汇基金入市买进成分股拉升股指， </w:t>
                  </w:r>
                  <w:r>
                    <w:rPr>
                      <w:spacing w:val="4"/>
                    </w:rPr>
                    <w:t xml:space="preserve"> 最终成功击退国际游资。</w:t>
                  </w:r>
                </w:p>
                <w:p>
                  <w:pPr>
                    <w:pStyle w:val="BodyText"/>
                    <w:spacing w:before="51" w:line="217" w:lineRule="auto"/>
                    <w:ind w:left="20" w:right="173" w:firstLine="2"/>
                  </w:pPr>
                  <w:r>
                    <w:rPr>
                      <w:spacing w:val="9"/>
                    </w:rPr>
                    <w:t>从香港救市历史中可以总结出三点经验：</w:t>
                  </w:r>
                  <w:r>
                    <w:rPr>
                      <w:spacing w:val="-30"/>
                    </w:rPr>
                    <w:t xml:space="preserve"> </w:t>
                  </w:r>
                  <w:r>
                    <w:rPr>
                      <w:spacing w:val="9"/>
                    </w:rPr>
                    <w:t>一是</w:t>
                  </w:r>
                  <w:r>
                    <w:rPr>
                      <w:spacing w:val="8"/>
                    </w:rPr>
                    <w:t>充足的外汇储备对于货</w:t>
                  </w:r>
                  <w:r>
                    <w:t xml:space="preserve"> </w:t>
                  </w:r>
                  <w:r>
                    <w:rPr>
                      <w:spacing w:val="8"/>
                    </w:rPr>
                    <w:t>币当局捍卫本币至关重要；</w:t>
                  </w:r>
                  <w:r>
                    <w:rPr>
                      <w:spacing w:val="-16"/>
                    </w:rPr>
                    <w:t xml:space="preserve"> </w:t>
                  </w:r>
                  <w:r>
                    <w:rPr>
                      <w:spacing w:val="8"/>
                    </w:rPr>
                    <w:t>二是流动性问题是解决救市的关键问题；</w:t>
                  </w:r>
                  <w:r>
                    <w:t xml:space="preserve"> </w:t>
                  </w:r>
                  <w:r>
                    <w:rPr>
                      <w:spacing w:val="8"/>
                    </w:rPr>
                    <w:t>三是救市需要有有效的退出机制和后续措施。</w:t>
                  </w:r>
                </w:p>
                <w:p>
                  <w:pPr>
                    <w:pStyle w:val="BodyText"/>
                    <w:spacing w:before="51" w:line="225" w:lineRule="auto"/>
                    <w:ind w:left="20" w:right="85" w:firstLine="435"/>
                  </w:pPr>
                  <w:r>
                    <w:rPr>
                      <w:spacing w:val="4"/>
                    </w:rPr>
                    <w:t>日本曾三次启动平准基金，</w:t>
                  </w:r>
                  <w:r>
                    <w:rPr>
                      <w:spacing w:val="23"/>
                      <w:w w:val="101"/>
                    </w:rPr>
                    <w:t xml:space="preserve"> </w:t>
                  </w:r>
                  <w:r>
                    <w:rPr>
                      <w:spacing w:val="4"/>
                    </w:rPr>
                    <w:t>分别在</w:t>
                  </w:r>
                  <w:r>
                    <w:rPr>
                      <w:spacing w:val="18"/>
                      <w:w w:val="101"/>
                    </w:rPr>
                    <w:t xml:space="preserve"> </w:t>
                  </w:r>
                  <w:r>
                    <w:rPr>
                      <w:rFonts w:ascii="Times New Roman" w:eastAsia="Times New Roman" w:hAnsi="Times New Roman" w:cs="Times New Roman"/>
                      <w:spacing w:val="4"/>
                    </w:rPr>
                    <w:t xml:space="preserve">1964 </w:t>
                  </w:r>
                  <w:r>
                    <w:rPr>
                      <w:spacing w:val="4"/>
                    </w:rPr>
                    <w:t>年日本经济</w:t>
                  </w:r>
                  <w:r>
                    <w:rPr>
                      <w:spacing w:val="3"/>
                    </w:rPr>
                    <w:t>下行叠加美国</w:t>
                  </w:r>
                  <w:r>
                    <w:t xml:space="preserve"> </w:t>
                  </w:r>
                  <w:r>
                    <w:rPr>
                      <w:spacing w:val="6"/>
                    </w:rPr>
                    <w:t>加重资金募集税额、</w:t>
                  </w:r>
                  <w:r>
                    <w:rPr>
                      <w:rFonts w:ascii="Times New Roman" w:eastAsia="Times New Roman" w:hAnsi="Times New Roman" w:cs="Times New Roman"/>
                      <w:spacing w:val="6"/>
                    </w:rPr>
                    <w:t xml:space="preserve">1965 </w:t>
                  </w:r>
                  <w:r>
                    <w:rPr>
                      <w:spacing w:val="6"/>
                    </w:rPr>
                    <w:t>年经济基本面持续走弱以及</w:t>
                  </w:r>
                  <w:r>
                    <w:rPr>
                      <w:spacing w:val="18"/>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5"/>
                    </w:rPr>
                    <w:t xml:space="preserve">995 </w:t>
                  </w:r>
                  <w:r>
                    <w:rPr>
                      <w:spacing w:val="5"/>
                    </w:rPr>
                    <w:t>年经济长期</w:t>
                  </w:r>
                  <w:r>
                    <w:t xml:space="preserve"> </w:t>
                  </w:r>
                  <w:r>
                    <w:rPr>
                      <w:spacing w:val="9"/>
                    </w:rPr>
                    <w:t>萎靡叠加阪神大地震冲击这三个关键时点入市。从日本三次设立</w:t>
                  </w:r>
                  <w:r>
                    <w:rPr>
                      <w:spacing w:val="8"/>
                    </w:rPr>
                    <w:t xml:space="preserve">平准  </w:t>
                  </w:r>
                  <w:r>
                    <w:rPr>
                      <w:spacing w:val="9"/>
                    </w:rPr>
                    <w:t>基金救市效果来看，前两次在短期内帮助股指止跌反弹，但均未</w:t>
                  </w:r>
                  <w:r>
                    <w:rPr>
                      <w:spacing w:val="8"/>
                    </w:rPr>
                    <w:t xml:space="preserve">能长  </w:t>
                  </w:r>
                  <w:r>
                    <w:rPr>
                      <w:spacing w:val="5"/>
                    </w:rPr>
                    <w:t>期扭转资本市场走势和经济形势，</w:t>
                  </w:r>
                  <w:r>
                    <w:rPr>
                      <w:spacing w:val="43"/>
                    </w:rPr>
                    <w:t xml:space="preserve"> </w:t>
                  </w:r>
                  <w:r>
                    <w:rPr>
                      <w:spacing w:val="5"/>
                    </w:rPr>
                    <w:t>而</w:t>
                  </w:r>
                  <w:r>
                    <w:rPr>
                      <w:spacing w:val="19"/>
                    </w:rPr>
                    <w:t xml:space="preserve"> </w:t>
                  </w:r>
                  <w:r>
                    <w:rPr>
                      <w:rFonts w:ascii="Times New Roman" w:eastAsia="Times New Roman" w:hAnsi="Times New Roman" w:cs="Times New Roman"/>
                      <w:spacing w:val="5"/>
                    </w:rPr>
                    <w:t>199</w:t>
                  </w:r>
                  <w:r>
                    <w:rPr>
                      <w:rFonts w:ascii="Times New Roman" w:eastAsia="Times New Roman" w:hAnsi="Times New Roman" w:cs="Times New Roman"/>
                      <w:spacing w:val="4"/>
                    </w:rPr>
                    <w:t xml:space="preserve">5 </w:t>
                  </w:r>
                  <w:r>
                    <w:rPr>
                      <w:spacing w:val="4"/>
                    </w:rPr>
                    <w:t>年的股市安定基金设立后则</w:t>
                  </w:r>
                  <w:r>
                    <w:t xml:space="preserve"> </w:t>
                  </w:r>
                  <w:r>
                    <w:rPr>
                      <w:spacing w:val="9"/>
                    </w:rPr>
                    <w:t>效果较好。因此，使用平准基金并非解决救市问题的万能药，而</w:t>
                  </w:r>
                  <w:r>
                    <w:rPr>
                      <w:spacing w:val="8"/>
                    </w:rPr>
                    <w:t xml:space="preserve">央行  </w:t>
                  </w:r>
                  <w:r>
                    <w:rPr>
                      <w:spacing w:val="9"/>
                    </w:rPr>
                    <w:t xml:space="preserve">直接下场购买股指 </w:t>
                  </w:r>
                  <w:r>
                    <w:rPr>
                      <w:rFonts w:ascii="Times New Roman" w:eastAsia="Times New Roman" w:hAnsi="Times New Roman" w:cs="Times New Roman"/>
                    </w:rPr>
                    <w:t>ETF</w:t>
                  </w:r>
                  <w:r>
                    <w:rPr>
                      <w:rFonts w:ascii="Times New Roman" w:eastAsia="Times New Roman" w:hAnsi="Times New Roman" w:cs="Times New Roman"/>
                      <w:spacing w:val="9"/>
                    </w:rPr>
                    <w:t xml:space="preserve"> </w:t>
                  </w:r>
                  <w:r>
                    <w:rPr>
                      <w:spacing w:val="9"/>
                    </w:rPr>
                    <w:t xml:space="preserve">是可行的救市操作方式之一，且救市资金出入 </w:t>
                  </w:r>
                  <w:r>
                    <w:rPr>
                      <w:spacing w:val="5"/>
                    </w:rPr>
                    <w:t xml:space="preserve">需保证透明，可以很大程度避免道德风险，  </w:t>
                  </w:r>
                  <w:r>
                    <w:rPr>
                      <w:spacing w:val="4"/>
                    </w:rPr>
                    <w:t>起到优化预期管理作用。</w:t>
                  </w:r>
                </w:p>
              </w:txbxContent>
            </v:textbox>
          </v:shape>
        </w:pict>
      </w:r>
      <w:r>
        <w:rPr>
          <w:position w:val="-33"/>
        </w:rPr>
        <w:pict>
          <v:shape id="_x0000_i1028" type="#_x0000_t202" style="width:219.55pt;height:85pt;mso-position-horizontal-relative:char;mso-position-vertical-relative:line" filled="t" fillcolor="#044e7e" stroked="f">
            <o:lock v:ext="edit" aspectratio="f"/>
            <v:textbox inset="0,0,0,0">
              <w:txbxContent>
                <w:p>
                  <w:pPr>
                    <w:spacing w:line="281" w:lineRule="auto"/>
                    <w:rPr>
                      <w:rFonts w:ascii="Arial"/>
                      <w:sz w:val="21"/>
                    </w:rPr>
                  </w:pPr>
                </w:p>
                <w:p>
                  <w:pPr>
                    <w:spacing w:line="282" w:lineRule="auto"/>
                    <w:rPr>
                      <w:rFonts w:ascii="Arial"/>
                      <w:sz w:val="21"/>
                    </w:rPr>
                  </w:pPr>
                </w:p>
                <w:p>
                  <w:pPr>
                    <w:spacing w:before="154" w:line="185" w:lineRule="auto"/>
                    <w:ind w:left="1462"/>
                    <w:rPr>
                      <w:rFonts w:ascii="Microsoft YaHei" w:eastAsia="Microsoft YaHei" w:hAnsi="Microsoft YaHei" w:cs="Microsoft YaHei"/>
                      <w:sz w:val="36"/>
                      <w:szCs w:val="36"/>
                    </w:rPr>
                  </w:pPr>
                  <w:r>
                    <w:rPr>
                      <w:rFonts w:ascii="Microsoft YaHei" w:eastAsia="Microsoft YaHei" w:hAnsi="Microsoft YaHei" w:cs="Microsoft YaHei"/>
                      <w:b/>
                      <w:bCs/>
                      <w:color w:val="FFFFFF"/>
                      <w:spacing w:val="-2"/>
                      <w:sz w:val="36"/>
                      <w:szCs w:val="36"/>
                      <w14:textOutline w14:w="6531">
                        <w14:solidFill>
                          <w14:srgbClr w14:val="FFFFFF"/>
                        </w14:solidFill>
                        <w14:prstDash w14:val="solid"/>
                        <w14:miter w14:lim="10"/>
                      </w14:textOutline>
                    </w:rPr>
                    <w:t>政策研究</w:t>
                  </w:r>
                </w:p>
              </w:txbxContent>
            </v:textbox>
            <w10:wrap type="none"/>
          </v:shape>
        </w:pict>
      </w:r>
    </w:p>
    <w:p>
      <w:pPr>
        <w:spacing w:line="382" w:lineRule="auto"/>
        <w:rPr>
          <w:rFonts w:ascii="Arial"/>
          <w:sz w:val="21"/>
        </w:rPr>
        <w:sectPr>
          <w:headerReference w:type="default" r:id="rId7"/>
          <w:footerReference w:type="default" r:id="rId8"/>
          <w:pgSz w:w="11907" w:h="16839"/>
          <w:pgMar w:top="1422" w:right="1" w:bottom="941" w:left="774" w:header="657" w:footer="428" w:gutter="0"/>
          <w:cols w:space="708"/>
        </w:sectPr>
      </w:pPr>
    </w:p>
    <w:p>
      <w:pPr>
        <w:pStyle w:val="BodyText"/>
        <w:spacing w:line="12230" w:lineRule="exact"/>
        <w:ind w:firstLine="6736"/>
      </w:pPr>
      <w:r>
        <w:rPr>
          <w:position w:val="-244"/>
        </w:rPr>
        <w:pict>
          <v:group id="_x0000_i1029" style="width:219.8pt;height:611.5pt;mso-position-horizontal-relative:char;mso-position-vertical-relative:line" coordorigin="0,0" coordsize="4396,12230" filled="f" stroked="f">
            <v:rect id="_x0000_s1030" style="width:4396;height:12230;position:absolute" filled="t" fillcolor="#c1d1df" stroked="f"/>
            <v:shape id="_x0000_s1031" type="#_x0000_t202" style="width:3821;height:9205;left:227;position:absolute;top:239" filled="f" stroked="f">
              <o:lock v:ext="edit" aspectratio="f"/>
              <v:textbox inset="0,0,0,0">
                <w:txbxContent>
                  <w:p>
                    <w:pPr>
                      <w:spacing w:before="20" w:line="185" w:lineRule="auto"/>
                      <w:ind w:left="34"/>
                      <w:rPr>
                        <w:rFonts w:ascii="Microsoft YaHei" w:eastAsia="Microsoft YaHei" w:hAnsi="Microsoft YaHei" w:cs="Microsoft YaHei"/>
                        <w:sz w:val="21"/>
                        <w:szCs w:val="21"/>
                      </w:rPr>
                    </w:pPr>
                    <w:r>
                      <w:rPr>
                        <w:rFonts w:ascii="Microsoft YaHei" w:eastAsia="Microsoft YaHei" w:hAnsi="Microsoft YaHei" w:cs="Microsoft YaHei"/>
                        <w:spacing w:val="-3"/>
                        <w:sz w:val="21"/>
                        <w:szCs w:val="21"/>
                      </w:rPr>
                      <w:t>胡玉玮</w:t>
                    </w:r>
                  </w:p>
                  <w:p>
                    <w:pPr>
                      <w:spacing w:before="51" w:line="216" w:lineRule="auto"/>
                      <w:ind w:left="35"/>
                      <w:rPr>
                        <w:rFonts w:ascii="Calibri" w:eastAsia="Calibri" w:hAnsi="Calibri" w:cs="Calibri"/>
                        <w:sz w:val="21"/>
                        <w:szCs w:val="21"/>
                      </w:rPr>
                    </w:pPr>
                    <w:r>
                      <w:rPr>
                        <w:rFonts w:ascii="Calibri" w:eastAsia="Calibri" w:hAnsi="Calibri" w:cs="Calibri"/>
                        <w:spacing w:val="-1"/>
                        <w:sz w:val="21"/>
                        <w:szCs w:val="21"/>
                      </w:rPr>
                      <w:t>huyuwei@csc.com.cn</w:t>
                    </w:r>
                  </w:p>
                  <w:p>
                    <w:pPr>
                      <w:spacing w:before="63" w:line="187" w:lineRule="auto"/>
                      <w:ind w:left="27"/>
                      <w:rPr>
                        <w:rFonts w:ascii="Calibri" w:eastAsia="Calibri" w:hAnsi="Calibri" w:cs="Calibri"/>
                        <w:sz w:val="21"/>
                        <w:szCs w:val="21"/>
                      </w:rPr>
                    </w:pPr>
                    <w:r>
                      <w:rPr>
                        <w:rFonts w:ascii="Calibri" w:eastAsia="Calibri" w:hAnsi="Calibri" w:cs="Calibri"/>
                        <w:spacing w:val="-2"/>
                        <w:sz w:val="21"/>
                        <w:szCs w:val="21"/>
                      </w:rPr>
                      <w:t>SAC</w:t>
                    </w:r>
                    <w:r>
                      <w:rPr>
                        <w:rFonts w:ascii="Calibri" w:eastAsia="Calibri" w:hAnsi="Calibri" w:cs="Calibri"/>
                        <w:spacing w:val="19"/>
                        <w:w w:val="101"/>
                        <w:sz w:val="21"/>
                        <w:szCs w:val="21"/>
                      </w:rPr>
                      <w:t xml:space="preserve">  </w:t>
                    </w:r>
                    <w:r>
                      <w:rPr>
                        <w:rFonts w:ascii="Microsoft YaHei" w:eastAsia="Microsoft YaHei" w:hAnsi="Microsoft YaHei" w:cs="Microsoft YaHei"/>
                        <w:spacing w:val="-2"/>
                        <w:sz w:val="21"/>
                        <w:szCs w:val="21"/>
                      </w:rPr>
                      <w:t>编号</w:t>
                    </w:r>
                    <w:r>
                      <w:rPr>
                        <w:rFonts w:ascii="Calibri" w:eastAsia="Calibri" w:hAnsi="Calibri" w:cs="Calibri"/>
                        <w:spacing w:val="-2"/>
                        <w:sz w:val="21"/>
                        <w:szCs w:val="21"/>
                      </w:rPr>
                      <w:t>:S1440522090003</w:t>
                    </w:r>
                  </w:p>
                  <w:p>
                    <w:pPr>
                      <w:spacing w:line="253" w:lineRule="auto"/>
                      <w:rPr>
                        <w:rFonts w:ascii="Arial"/>
                        <w:sz w:val="21"/>
                      </w:rPr>
                    </w:pPr>
                  </w:p>
                  <w:p>
                    <w:pPr>
                      <w:spacing w:before="90" w:line="186" w:lineRule="auto"/>
                      <w:ind w:left="28"/>
                      <w:rPr>
                        <w:rFonts w:ascii="Microsoft YaHei" w:eastAsia="Microsoft YaHei" w:hAnsi="Microsoft YaHei" w:cs="Microsoft YaHei"/>
                        <w:sz w:val="21"/>
                        <w:szCs w:val="21"/>
                      </w:rPr>
                    </w:pPr>
                    <w:r>
                      <w:rPr>
                        <w:rFonts w:ascii="Microsoft YaHei" w:eastAsia="Microsoft YaHei" w:hAnsi="Microsoft YaHei" w:cs="Microsoft YaHei"/>
                        <w:spacing w:val="-12"/>
                        <w:sz w:val="21"/>
                        <w:szCs w:val="21"/>
                      </w:rPr>
                      <w:t>研究助理：</w:t>
                    </w:r>
                    <w:r>
                      <w:rPr>
                        <w:rFonts w:ascii="Microsoft YaHei" w:eastAsia="Microsoft YaHei" w:hAnsi="Microsoft YaHei" w:cs="Microsoft YaHei"/>
                        <w:spacing w:val="28"/>
                        <w:sz w:val="21"/>
                        <w:szCs w:val="21"/>
                      </w:rPr>
                      <w:t xml:space="preserve"> </w:t>
                    </w:r>
                    <w:r>
                      <w:rPr>
                        <w:rFonts w:ascii="Microsoft YaHei" w:eastAsia="Microsoft YaHei" w:hAnsi="Microsoft YaHei" w:cs="Microsoft YaHei"/>
                        <w:spacing w:val="-12"/>
                        <w:sz w:val="21"/>
                        <w:szCs w:val="21"/>
                      </w:rPr>
                      <w:t>杨旭泽</w:t>
                    </w:r>
                  </w:p>
                  <w:p>
                    <w:pPr>
                      <w:spacing w:before="50" w:line="335" w:lineRule="exact"/>
                      <w:ind w:left="23"/>
                      <w:rPr>
                        <w:rFonts w:ascii="Calibri" w:eastAsia="Calibri" w:hAnsi="Calibri" w:cs="Calibri"/>
                        <w:sz w:val="21"/>
                        <w:szCs w:val="21"/>
                      </w:rPr>
                    </w:pPr>
                    <w:r>
                      <w:rPr>
                        <w:rFonts w:ascii="Calibri" w:eastAsia="Calibri" w:hAnsi="Calibri" w:cs="Calibri"/>
                        <w:spacing w:val="-1"/>
                        <w:position w:val="11"/>
                        <w:sz w:val="21"/>
                        <w:szCs w:val="21"/>
                      </w:rPr>
                      <w:t>yangxuze@csc.com.cn</w:t>
                    </w:r>
                  </w:p>
                  <w:p>
                    <w:pPr>
                      <w:spacing w:line="179" w:lineRule="auto"/>
                      <w:ind w:left="37"/>
                      <w:rPr>
                        <w:rFonts w:ascii="Calibri" w:eastAsia="Calibri" w:hAnsi="Calibri" w:cs="Calibri"/>
                        <w:sz w:val="21"/>
                        <w:szCs w:val="21"/>
                      </w:rPr>
                    </w:pPr>
                    <w:r>
                      <w:rPr>
                        <w:rFonts w:ascii="Calibri" w:eastAsia="Calibri" w:hAnsi="Calibri" w:cs="Calibri"/>
                        <w:spacing w:val="-2"/>
                        <w:sz w:val="21"/>
                        <w:szCs w:val="21"/>
                      </w:rPr>
                      <w:t>13621197978</w:t>
                    </w:r>
                  </w:p>
                  <w:p>
                    <w:pPr>
                      <w:spacing w:before="212" w:line="191" w:lineRule="auto"/>
                      <w:ind w:left="30"/>
                      <w:rPr>
                        <w:rFonts w:ascii="Microsoft YaHei" w:eastAsia="Microsoft YaHei" w:hAnsi="Microsoft YaHei" w:cs="Microsoft YaHei"/>
                        <w:sz w:val="19"/>
                        <w:szCs w:val="19"/>
                      </w:rPr>
                    </w:pPr>
                    <w:r>
                      <w:rPr>
                        <w:rFonts w:ascii="Microsoft YaHei" w:eastAsia="Microsoft YaHei" w:hAnsi="Microsoft YaHei" w:cs="Microsoft YaHei"/>
                        <w:spacing w:val="2"/>
                        <w:sz w:val="19"/>
                        <w:szCs w:val="19"/>
                      </w:rPr>
                      <w:t>发布日期：</w:t>
                    </w:r>
                    <w:r>
                      <w:rPr>
                        <w:rFonts w:ascii="Microsoft YaHei" w:eastAsia="Microsoft YaHei" w:hAnsi="Microsoft YaHei" w:cs="Microsoft YaHei"/>
                        <w:spacing w:val="52"/>
                        <w:w w:val="101"/>
                        <w:sz w:val="19"/>
                        <w:szCs w:val="19"/>
                      </w:rPr>
                      <w:t xml:space="preserve"> </w:t>
                    </w:r>
                    <w:r>
                      <w:rPr>
                        <w:rFonts w:ascii="Times New Roman" w:eastAsia="Times New Roman" w:hAnsi="Times New Roman" w:cs="Times New Roman"/>
                        <w:spacing w:val="2"/>
                        <w:sz w:val="19"/>
                        <w:szCs w:val="19"/>
                      </w:rPr>
                      <w:t xml:space="preserve">2024 </w:t>
                    </w:r>
                    <w:r>
                      <w:rPr>
                        <w:rFonts w:ascii="Microsoft YaHei" w:eastAsia="Microsoft YaHei" w:hAnsi="Microsoft YaHei" w:cs="Microsoft YaHei"/>
                        <w:spacing w:val="2"/>
                        <w:sz w:val="19"/>
                        <w:szCs w:val="19"/>
                      </w:rPr>
                      <w:t xml:space="preserve">年 </w:t>
                    </w:r>
                    <w:r>
                      <w:rPr>
                        <w:rFonts w:ascii="Times New Roman" w:eastAsia="Times New Roman" w:hAnsi="Times New Roman" w:cs="Times New Roman"/>
                        <w:spacing w:val="2"/>
                        <w:sz w:val="19"/>
                        <w:szCs w:val="19"/>
                      </w:rPr>
                      <w:t>02</w:t>
                    </w:r>
                    <w:r>
                      <w:rPr>
                        <w:rFonts w:ascii="Times New Roman" w:eastAsia="Times New Roman" w:hAnsi="Times New Roman" w:cs="Times New Roman"/>
                        <w:spacing w:val="17"/>
                        <w:sz w:val="19"/>
                        <w:szCs w:val="19"/>
                      </w:rPr>
                      <w:t xml:space="preserve"> </w:t>
                    </w:r>
                    <w:r>
                      <w:rPr>
                        <w:rFonts w:ascii="Microsoft YaHei" w:eastAsia="Microsoft YaHei" w:hAnsi="Microsoft YaHei" w:cs="Microsoft YaHei"/>
                        <w:spacing w:val="2"/>
                        <w:sz w:val="19"/>
                        <w:szCs w:val="19"/>
                      </w:rPr>
                      <w:t xml:space="preserve">月 </w:t>
                    </w:r>
                    <w:r>
                      <w:rPr>
                        <w:rFonts w:ascii="Times New Roman" w:eastAsia="Times New Roman" w:hAnsi="Times New Roman" w:cs="Times New Roman"/>
                        <w:spacing w:val="2"/>
                        <w:sz w:val="19"/>
                        <w:szCs w:val="19"/>
                      </w:rPr>
                      <w:t xml:space="preserve">27  </w:t>
                    </w:r>
                    <w:r>
                      <w:rPr>
                        <w:rFonts w:ascii="Microsoft YaHei" w:eastAsia="Microsoft YaHei" w:hAnsi="Microsoft YaHei" w:cs="Microsoft YaHei"/>
                        <w:spacing w:val="2"/>
                        <w:sz w:val="19"/>
                        <w:szCs w:val="19"/>
                      </w:rPr>
                      <w:t>日</w:t>
                    </w: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82" w:line="190" w:lineRule="auto"/>
                      <w:ind w:left="27"/>
                      <w:rPr>
                        <w:rFonts w:ascii="Microsoft YaHei" w:eastAsia="Microsoft YaHei" w:hAnsi="Microsoft YaHei" w:cs="Microsoft YaHei"/>
                        <w:sz w:val="19"/>
                        <w:szCs w:val="19"/>
                      </w:rPr>
                    </w:pPr>
                    <w:r>
                      <w:rPr>
                        <w:rFonts w:ascii="Microsoft YaHei" w:eastAsia="Microsoft YaHei" w:hAnsi="Microsoft YaHei" w:cs="Microsoft YaHei"/>
                        <w:b/>
                        <w:bCs/>
                        <w:spacing w:val="9"/>
                        <w:sz w:val="19"/>
                        <w:szCs w:val="19"/>
                        <w14:textOutline w14:w="3614">
                          <w14:solidFill>
                            <w14:srgbClr w14:val="000000"/>
                          </w14:solidFill>
                          <w14:prstDash w14:val="solid"/>
                          <w14:miter w14:lim="10"/>
                        </w14:textOutline>
                      </w:rPr>
                      <w:t>相关研究报告</w:t>
                    </w:r>
                  </w:p>
                  <w:p>
                    <w:pPr>
                      <w:spacing w:line="28" w:lineRule="exact"/>
                      <w:ind w:firstLine="20"/>
                    </w:pPr>
                    <w:r>
                      <w:drawing>
                        <wp:inline distT="0" distB="0" distL="0" distR="0">
                          <wp:extent cx="2400934" cy="1828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9"/>
                                  <a:stretch>
                                    <a:fillRect/>
                                  </a:stretch>
                                </pic:blipFill>
                                <pic:spPr>
                                  <a:xfrm>
                                    <a:off x="0" y="0"/>
                                    <a:ext cx="2400934" cy="18288"/>
                                  </a:xfrm>
                                  <a:prstGeom prst="rect">
                                    <a:avLst/>
                                  </a:prstGeom>
                                </pic:spPr>
                              </pic:pic>
                            </a:graphicData>
                          </a:graphic>
                        </wp:inline>
                      </w:drawing>
                    </w:r>
                  </w:p>
                  <w:p>
                    <w:pPr>
                      <w:spacing w:before="24" w:line="181" w:lineRule="auto"/>
                      <w:ind w:left="1099" w:right="126" w:hanging="7"/>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【中信建投政策研究】从部委年度工</w:t>
                    </w:r>
                    <w:r>
                      <w:rPr>
                        <w:rFonts w:ascii="Microsoft YaHei" w:eastAsia="Microsoft YaHei" w:hAnsi="Microsoft YaHei" w:cs="Microsoft YaHei"/>
                        <w:spacing w:val="9"/>
                        <w:sz w:val="16"/>
                        <w:szCs w:val="16"/>
                      </w:rPr>
                      <w:t xml:space="preserve"> </w:t>
                    </w:r>
                    <w:r>
                      <w:rPr>
                        <w:rFonts w:ascii="Microsoft YaHei" w:eastAsia="Microsoft YaHei" w:hAnsi="Microsoft YaHei" w:cs="Microsoft YaHei"/>
                        <w:spacing w:val="-1"/>
                        <w:sz w:val="16"/>
                        <w:szCs w:val="16"/>
                      </w:rPr>
                      <w:t>作会议看政策取向</w:t>
                    </w:r>
                  </w:p>
                  <w:p>
                    <w:pPr>
                      <w:spacing w:before="2" w:line="181" w:lineRule="auto"/>
                      <w:ind w:left="1092" w:right="126"/>
                      <w:jc w:val="both"/>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【中信建投政策研究】从地方两会看</w:t>
                    </w:r>
                    <w:r>
                      <w:rPr>
                        <w:rFonts w:ascii="Microsoft YaHei" w:eastAsia="Microsoft YaHei" w:hAnsi="Microsoft YaHei" w:cs="Microsoft YaHei"/>
                        <w:spacing w:val="9"/>
                        <w:sz w:val="16"/>
                        <w:szCs w:val="16"/>
                      </w:rPr>
                      <w:t xml:space="preserve"> </w:t>
                    </w:r>
                    <w:r>
                      <w:rPr>
                        <w:rFonts w:ascii="Times New Roman" w:eastAsia="Times New Roman" w:hAnsi="Times New Roman" w:cs="Times New Roman"/>
                        <w:sz w:val="16"/>
                        <w:szCs w:val="16"/>
                      </w:rPr>
                      <w:t xml:space="preserve">2024 </w:t>
                    </w:r>
                    <w:r>
                      <w:rPr>
                        <w:rFonts w:ascii="Microsoft YaHei" w:eastAsia="Microsoft YaHei" w:hAnsi="Microsoft YaHei" w:cs="Microsoft YaHei"/>
                        <w:sz w:val="16"/>
                        <w:szCs w:val="16"/>
                      </w:rPr>
                      <w:t>年地方经济工作目标和工作重点</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2"/>
                        <w:sz w:val="16"/>
                        <w:szCs w:val="16"/>
                      </w:rPr>
                      <w:t>【中信建投政策研究】省部级主要领</w:t>
                    </w:r>
                    <w:r>
                      <w:rPr>
                        <w:rFonts w:ascii="Microsoft YaHei" w:eastAsia="Microsoft YaHei" w:hAnsi="Microsoft YaHei" w:cs="Microsoft YaHei"/>
                        <w:spacing w:val="9"/>
                        <w:sz w:val="16"/>
                        <w:szCs w:val="16"/>
                      </w:rPr>
                      <w:t xml:space="preserve"> </w:t>
                    </w:r>
                    <w:r>
                      <w:rPr>
                        <w:rFonts w:ascii="Microsoft YaHei" w:eastAsia="Microsoft YaHei" w:hAnsi="Microsoft YaHei" w:cs="Microsoft YaHei"/>
                        <w:sz w:val="16"/>
                        <w:szCs w:val="16"/>
                      </w:rPr>
                      <w:t>导金融专题研讨班学习体会</w:t>
                    </w:r>
                  </w:p>
                  <w:p>
                    <w:pPr>
                      <w:spacing w:before="2" w:line="181" w:lineRule="auto"/>
                      <w:ind w:left="1098" w:right="126" w:hanging="6"/>
                      <w:rPr>
                        <w:rFonts w:ascii="Microsoft YaHei" w:eastAsia="Microsoft YaHei" w:hAnsi="Microsoft YaHei" w:cs="Microsoft YaHei"/>
                        <w:sz w:val="16"/>
                        <w:szCs w:val="16"/>
                      </w:rPr>
                    </w:pPr>
                    <w:r>
                      <w:rPr>
                        <w:rFonts w:ascii="Microsoft YaHei" w:eastAsia="Microsoft YaHei" w:hAnsi="Microsoft YaHei" w:cs="Microsoft YaHei"/>
                        <w:sz w:val="16"/>
                        <w:szCs w:val="16"/>
                      </w:rPr>
                      <w:t>【中信建投政策研究】</w:t>
                    </w:r>
                    <w:r>
                      <w:rPr>
                        <w:rFonts w:ascii="Times New Roman" w:eastAsia="Times New Roman" w:hAnsi="Times New Roman" w:cs="Times New Roman"/>
                        <w:sz w:val="16"/>
                        <w:szCs w:val="16"/>
                      </w:rPr>
                      <w:t xml:space="preserve">2024 </w:t>
                    </w:r>
                    <w:r>
                      <w:rPr>
                        <w:rFonts w:ascii="Microsoft YaHei" w:eastAsia="Microsoft YaHei" w:hAnsi="Microsoft YaHei" w:cs="Microsoft YaHei"/>
                        <w:sz w:val="16"/>
                        <w:szCs w:val="16"/>
                      </w:rPr>
                      <w:t>年美国大</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选前瞻</w:t>
                    </w:r>
                  </w:p>
                  <w:p>
                    <w:pPr>
                      <w:spacing w:before="3" w:line="182" w:lineRule="auto"/>
                      <w:ind w:left="1098" w:right="126" w:hanging="6"/>
                      <w:jc w:val="both"/>
                      <w:rPr>
                        <w:rFonts w:ascii="Microsoft YaHei" w:eastAsia="Microsoft YaHei" w:hAnsi="Microsoft YaHei" w:cs="Microsoft YaHei"/>
                        <w:sz w:val="16"/>
                        <w:szCs w:val="16"/>
                      </w:rPr>
                    </w:pPr>
                    <w:r>
                      <w:rPr>
                        <w:rFonts w:ascii="Microsoft YaHei" w:eastAsia="Microsoft YaHei" w:hAnsi="Microsoft YaHei" w:cs="Microsoft YaHei"/>
                        <w:sz w:val="16"/>
                        <w:szCs w:val="16"/>
                      </w:rPr>
                      <w:t>【中信建投政策研究】</w:t>
                    </w:r>
                    <w:r>
                      <w:rPr>
                        <w:rFonts w:ascii="Times New Roman" w:eastAsia="Times New Roman" w:hAnsi="Times New Roman" w:cs="Times New Roman"/>
                        <w:sz w:val="16"/>
                        <w:szCs w:val="16"/>
                      </w:rPr>
                      <w:t xml:space="preserve">2024 </w:t>
                    </w:r>
                    <w:r>
                      <w:rPr>
                        <w:rFonts w:ascii="Microsoft YaHei" w:eastAsia="Microsoft YaHei" w:hAnsi="Microsoft YaHei" w:cs="Microsoft YaHei"/>
                        <w:sz w:val="16"/>
                        <w:szCs w:val="16"/>
                      </w:rPr>
                      <w:t>年地方经</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2"/>
                        <w:sz w:val="16"/>
                        <w:szCs w:val="16"/>
                      </w:rPr>
                      <w:t>济工作怎么干？省（市）委经济工作</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会议解读</w:t>
                    </w:r>
                  </w:p>
                </w:txbxContent>
              </v:textbox>
            </v:shape>
            <v:rect id="_x0000_s1032" style="width:4396;height:281;position:absolute;top:11949" filled="t" fillcolor="#a4bdd1" stroked="f"/>
            <v:shape id="_x0000_s1033" type="#_x0000_t202" style="width:785;height:1396;left:339;position:absolute;top:7296" filled="f" stroked="f">
              <o:lock v:ext="edit" aspectratio="f"/>
              <v:textbox inset="0,0,0,0">
                <w:txbxContent>
                  <w:p>
                    <w:pPr>
                      <w:spacing w:before="19" w:line="187" w:lineRule="auto"/>
                      <w:ind w:left="20"/>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2024-02-05</w:t>
                    </w:r>
                  </w:p>
                  <w:p>
                    <w:pPr>
                      <w:spacing w:before="271" w:line="187" w:lineRule="auto"/>
                      <w:ind w:left="20"/>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2024-01-28</w:t>
                    </w:r>
                  </w:p>
                  <w:p>
                    <w:pPr>
                      <w:spacing w:before="271" w:line="187" w:lineRule="auto"/>
                      <w:ind w:left="20"/>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2024-01-24</w:t>
                    </w:r>
                  </w:p>
                  <w:p>
                    <w:pPr>
                      <w:spacing w:before="272" w:line="187" w:lineRule="auto"/>
                      <w:ind w:left="20"/>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2024-01-</w:t>
                    </w:r>
                    <w:r>
                      <w:rPr>
                        <w:rFonts w:ascii="Times New Roman" w:eastAsia="Times New Roman" w:hAnsi="Times New Roman" w:cs="Times New Roman"/>
                        <w:spacing w:val="-14"/>
                        <w:sz w:val="16"/>
                        <w:szCs w:val="16"/>
                      </w:rPr>
                      <w:t xml:space="preserve"> </w:t>
                    </w:r>
                    <w:r>
                      <w:rPr>
                        <w:rFonts w:ascii="Times New Roman" w:eastAsia="Times New Roman" w:hAnsi="Times New Roman" w:cs="Times New Roman"/>
                        <w:spacing w:val="-2"/>
                        <w:sz w:val="16"/>
                        <w:szCs w:val="16"/>
                      </w:rPr>
                      <w:t>19</w:t>
                    </w:r>
                  </w:p>
                </w:txbxContent>
              </v:textbox>
            </v:shape>
            <v:shape id="_x0000_s1034" type="#_x0000_t202" style="width:785;height:151;left:339;position:absolute;top:9061" filled="f" stroked="f">
              <o:lock v:ext="edit" aspectratio="f"/>
              <v:textbox inset="0,0,0,0">
                <w:txbxContent>
                  <w:p>
                    <w:pPr>
                      <w:spacing w:before="19" w:line="187" w:lineRule="auto"/>
                      <w:ind w:left="20"/>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2024-01-02</w:t>
                    </w:r>
                  </w:p>
                </w:txbxContent>
              </v:textbox>
            </v:shape>
            <v:rect id="_x0000_s1035" style="width:3911;height:20;left:219;position:absolute;top:3090" filled="t" fillcolor="white" stroked="f"/>
            <v:rect id="_x0000_s1036" style="width:3911;height:20;left:219;position:absolute;top:6806" filled="t" fillcolor="white" stroked="f"/>
            <v:rect id="_x0000_s1037" style="width:3782;height:20;left:247;position:absolute;top:186" filled="t" fillcolor="white" stroked="f"/>
            <w10:wrap type="none"/>
          </v:group>
        </w:pict>
      </w:r>
    </w:p>
    <w:p>
      <w:pPr>
        <w:spacing w:line="12230" w:lineRule="exact"/>
        <w:sectPr>
          <w:headerReference w:type="default" r:id="rId10"/>
          <w:footerReference w:type="default" r:id="rId11"/>
          <w:type w:val="nextPage"/>
          <w:pgSz w:w="11907" w:h="16839"/>
          <w:pgMar w:top="1422" w:right="1" w:bottom="941" w:left="774" w:header="657" w:footer="428" w:gutter="0"/>
          <w:pgNumType w:start="2"/>
          <w:cols w:space="708"/>
          <w:titlePg w:val="0"/>
        </w:sectPr>
      </w:pPr>
    </w:p>
    <w:p>
      <w:pPr>
        <w:spacing w:line="299" w:lineRule="auto"/>
        <w:rPr>
          <w:rFonts w:ascii="Arial"/>
          <w:sz w:val="21"/>
        </w:rPr>
      </w:pPr>
      <w:r>
        <w:pict>
          <v:rect id="_x0000_s1038" style="width:482.25pt;height:0.75pt;margin-top:766.8pt;margin-left:57.3pt;mso-position-horizontal-relative:page;mso-position-vertical-relative:page;position:absolute;z-index:251667456" o:allowincell="f" filled="t" fillcolor="#044e7e" stroked="f"/>
        </w:pict>
      </w:r>
      <w:r>
        <w:pict>
          <v:rect id="_x0000_s1039" style="width:482.25pt;height:2.05pt;margin-top:781.55pt;margin-left:57.3pt;mso-position-horizontal-relative:page;mso-position-vertical-relative:page;position:absolute;z-index:251665408" o:allowincell="f" filled="t" fillcolor="#044e7e" stroked="f"/>
        </w:pict>
      </w:r>
      <w:r>
        <w:pict>
          <v:shape id="_x0000_s1040" style="width:482.25pt;height:0.75pt;margin-top:78.8pt;margin-left:56.55pt;mso-position-horizontal-relative:page;mso-position-vertical-relative:page;position:absolute;z-index:251666432" coordorigin="0,0" coordsize="9645,15" o:allowincell="f" path="m,15l9645,15l9645,l,l,15xe" filled="t" fillcolor="#044e7e" stroked="f"/>
        </w:pict>
      </w:r>
    </w:p>
    <w:sdt>
      <w:sdtPr>
        <w:rPr>
          <w:rFonts w:ascii="Microsoft YaHei" w:eastAsia="Microsoft YaHei" w:hAnsi="Microsoft YaHei" w:cs="Microsoft YaHei"/>
          <w:sz w:val="28"/>
          <w:szCs w:val="28"/>
        </w:rPr>
        <w:id w:val="468500053"/>
        <w:docPartObj>
          <w:docPartGallery w:val="Table of Contents"/>
          <w:docPartUnique/>
        </w:docPartObj>
      </w:sdtPr>
      <w:sdtEndPr>
        <w:rPr>
          <w:rFonts w:ascii="Times New Roman" w:eastAsia="Times New Roman" w:hAnsi="Times New Roman" w:cs="Times New Roman"/>
          <w:sz w:val="19"/>
          <w:szCs w:val="19"/>
        </w:rPr>
      </w:sdtEndPr>
      <w:sdtContent>
        <w:p>
          <w:pPr>
            <w:pStyle w:val="BodyText"/>
            <w:spacing w:before="121" w:line="188" w:lineRule="auto"/>
            <w:ind w:left="4587"/>
            <w:rPr>
              <w:sz w:val="28"/>
              <w:szCs w:val="28"/>
            </w:rPr>
          </w:pPr>
          <w:bookmarkStart w:id="0" w:name="bookmark1"/>
          <w:bookmarkEnd w:id="0"/>
          <w:r>
            <w:rPr>
              <w:color w:val="044E7E"/>
              <w:spacing w:val="-12"/>
              <w:sz w:val="28"/>
              <w:szCs w:val="28"/>
              <w14:textOutline w14:w="5094">
                <w14:solidFill>
                  <w14:srgbClr w14:val="044E7E"/>
                </w14:solidFill>
                <w14:prstDash w14:val="solid"/>
                <w14:miter w14:lim="10"/>
              </w14:textOutline>
            </w:rPr>
            <w:t>目录</w:t>
          </w:r>
        </w:p>
        <w:p>
          <w:pPr>
            <w:pStyle w:val="BodyText"/>
            <w:tabs>
              <w:tab w:val="right" w:leader="dot" w:pos="9640"/>
            </w:tabs>
            <w:spacing w:before="131" w:line="192" w:lineRule="auto"/>
            <w:ind w:left="12"/>
            <w:rPr>
              <w:rFonts w:ascii="Times New Roman" w:eastAsia="Times New Roman" w:hAnsi="Times New Roman" w:cs="Times New Roman"/>
            </w:rPr>
          </w:pPr>
          <w:r>
            <w:rPr>
              <w:spacing w:val="6"/>
            </w:rPr>
            <w:t xml:space="preserve">一、美国经验 </w:t>
          </w:r>
          <w:r>
            <w:tab/>
          </w:r>
          <w:r>
            <w:rPr>
              <w:spacing w:val="4"/>
            </w:rPr>
            <w:t xml:space="preserve"> </w:t>
          </w:r>
          <w:hyperlink w:anchor="bookmark2" w:history="1">
            <w:r>
              <w:rPr>
                <w:rFonts w:ascii="Times New Roman" w:eastAsia="Times New Roman" w:hAnsi="Times New Roman" w:cs="Times New Roman"/>
              </w:rPr>
              <w:t>1</w:t>
            </w:r>
          </w:hyperlink>
        </w:p>
        <w:p>
          <w:pPr>
            <w:pStyle w:val="BodyText"/>
            <w:tabs>
              <w:tab w:val="right" w:leader="dot" w:pos="9640"/>
            </w:tabs>
            <w:spacing w:before="51" w:line="187" w:lineRule="auto"/>
            <w:ind w:left="420"/>
            <w:rPr>
              <w:rFonts w:ascii="Times New Roman" w:eastAsia="Times New Roman" w:hAnsi="Times New Roman" w:cs="Times New Roman"/>
            </w:rPr>
          </w:pPr>
          <w:r>
            <w:rPr>
              <w:spacing w:val="6"/>
            </w:rPr>
            <w:t xml:space="preserve">（一）事件经过 </w:t>
          </w:r>
          <w:r>
            <w:tab/>
          </w:r>
          <w:r>
            <w:rPr>
              <w:spacing w:val="4"/>
            </w:rPr>
            <w:t xml:space="preserve"> </w:t>
          </w:r>
          <w:hyperlink w:anchor="bookmark3" w:history="1">
            <w:r>
              <w:rPr>
                <w:rFonts w:ascii="Times New Roman" w:eastAsia="Times New Roman" w:hAnsi="Times New Roman" w:cs="Times New Roman"/>
              </w:rPr>
              <w:t>1</w:t>
            </w:r>
          </w:hyperlink>
        </w:p>
        <w:p>
          <w:pPr>
            <w:pStyle w:val="BodyText"/>
            <w:tabs>
              <w:tab w:val="right" w:leader="dot" w:pos="9640"/>
            </w:tabs>
            <w:spacing w:before="58" w:line="193" w:lineRule="auto"/>
            <w:ind w:left="824"/>
            <w:rPr>
              <w:rFonts w:ascii="Times New Roman" w:eastAsia="Times New Roman" w:hAnsi="Times New Roman" w:cs="Times New Roman"/>
            </w:rPr>
          </w:pPr>
          <w:r>
            <w:rPr>
              <w:rFonts w:ascii="Times New Roman" w:eastAsia="Times New Roman" w:hAnsi="Times New Roman" w:cs="Times New Roman"/>
              <w:spacing w:val="-1"/>
            </w:rPr>
            <w:t>1</w:t>
          </w:r>
          <w:r>
            <w:rPr>
              <w:spacing w:val="-1"/>
            </w:rPr>
            <w:t>、背景</w:t>
          </w:r>
          <w:r>
            <w:rPr>
              <w:spacing w:val="11"/>
            </w:rPr>
            <w:t xml:space="preserve"> </w:t>
          </w:r>
          <w:r>
            <w:tab/>
          </w:r>
          <w:r>
            <w:rPr>
              <w:spacing w:val="4"/>
            </w:rPr>
            <w:t xml:space="preserve"> </w:t>
          </w:r>
          <w:hyperlink w:anchor="bookmark4" w:history="1">
            <w:r>
              <w:rPr>
                <w:rFonts w:ascii="Times New Roman" w:eastAsia="Times New Roman" w:hAnsi="Times New Roman" w:cs="Times New Roman"/>
              </w:rPr>
              <w:t>1</w:t>
            </w:r>
          </w:hyperlink>
        </w:p>
        <w:p>
          <w:pPr>
            <w:pStyle w:val="BodyText"/>
            <w:tabs>
              <w:tab w:val="right" w:leader="dot" w:pos="9640"/>
            </w:tabs>
            <w:spacing w:before="49" w:line="192" w:lineRule="auto"/>
            <w:ind w:left="805"/>
            <w:rPr>
              <w:rFonts w:ascii="Times New Roman" w:eastAsia="Times New Roman" w:hAnsi="Times New Roman" w:cs="Times New Roman"/>
            </w:rPr>
          </w:pPr>
          <w:r>
            <w:rPr>
              <w:rFonts w:ascii="Times New Roman" w:eastAsia="Times New Roman" w:hAnsi="Times New Roman" w:cs="Times New Roman"/>
              <w:spacing w:val="1"/>
            </w:rPr>
            <w:t>2</w:t>
          </w:r>
          <w:r>
            <w:rPr>
              <w:rFonts w:ascii="Times New Roman" w:eastAsia="Times New Roman" w:hAnsi="Times New Roman" w:cs="Times New Roman"/>
              <w:spacing w:val="-25"/>
            </w:rPr>
            <w:t xml:space="preserve"> </w:t>
          </w:r>
          <w:r>
            <w:rPr>
              <w:spacing w:val="1"/>
            </w:rPr>
            <w:t xml:space="preserve">、举措 </w:t>
          </w:r>
          <w:r>
            <w:tab/>
          </w:r>
          <w:r>
            <w:rPr>
              <w:spacing w:val="4"/>
            </w:rPr>
            <w:t xml:space="preserve"> </w:t>
          </w:r>
          <w:hyperlink w:anchor="bookmark5" w:history="1">
            <w:r>
              <w:rPr>
                <w:rFonts w:ascii="Times New Roman" w:eastAsia="Times New Roman" w:hAnsi="Times New Roman" w:cs="Times New Roman"/>
              </w:rPr>
              <w:t>1</w:t>
            </w:r>
          </w:hyperlink>
        </w:p>
        <w:p>
          <w:pPr>
            <w:pStyle w:val="BodyText"/>
            <w:tabs>
              <w:tab w:val="right" w:leader="dot" w:pos="9640"/>
            </w:tabs>
            <w:spacing w:before="51" w:line="191" w:lineRule="auto"/>
            <w:ind w:left="809"/>
            <w:rPr>
              <w:rFonts w:ascii="Times New Roman" w:eastAsia="Times New Roman" w:hAnsi="Times New Roman" w:cs="Times New Roman"/>
            </w:rPr>
          </w:pPr>
          <w:r>
            <w:rPr>
              <w:rFonts w:ascii="Times New Roman" w:eastAsia="Times New Roman" w:hAnsi="Times New Roman" w:cs="Times New Roman"/>
              <w:spacing w:val="3"/>
            </w:rPr>
            <w:t>3</w:t>
          </w:r>
          <w:r>
            <w:rPr>
              <w:spacing w:val="3"/>
            </w:rPr>
            <w:t>、效果</w:t>
          </w:r>
          <w:r>
            <w:rPr>
              <w:spacing w:val="10"/>
            </w:rPr>
            <w:t xml:space="preserve"> </w:t>
          </w:r>
          <w:r>
            <w:tab/>
          </w:r>
          <w:r>
            <w:rPr>
              <w:spacing w:val="-11"/>
            </w:rPr>
            <w:t xml:space="preserve"> </w:t>
          </w:r>
          <w:hyperlink w:anchor="bookmark6" w:history="1">
            <w:r>
              <w:rPr>
                <w:rFonts w:ascii="Times New Roman" w:eastAsia="Times New Roman" w:hAnsi="Times New Roman" w:cs="Times New Roman"/>
              </w:rPr>
              <w:t>3</w:t>
            </w:r>
          </w:hyperlink>
        </w:p>
        <w:p>
          <w:pPr>
            <w:pStyle w:val="BodyText"/>
            <w:tabs>
              <w:tab w:val="right" w:leader="dot" w:pos="9640"/>
            </w:tabs>
            <w:spacing w:before="51" w:line="187" w:lineRule="auto"/>
            <w:ind w:left="420"/>
            <w:rPr>
              <w:rFonts w:ascii="Times New Roman" w:eastAsia="Times New Roman" w:hAnsi="Times New Roman" w:cs="Times New Roman"/>
            </w:rPr>
          </w:pPr>
          <w:r>
            <w:rPr>
              <w:spacing w:val="-5"/>
            </w:rPr>
            <w:t>（二）</w:t>
          </w:r>
          <w:r>
            <w:rPr>
              <w:spacing w:val="7"/>
            </w:rPr>
            <w:t xml:space="preserve">   </w:t>
          </w:r>
          <w:r>
            <w:rPr>
              <w:spacing w:val="-5"/>
            </w:rPr>
            <w:t xml:space="preserve">经验总结 </w:t>
          </w:r>
          <w:r>
            <w:tab/>
          </w:r>
          <w:r>
            <w:rPr>
              <w:spacing w:val="-16"/>
            </w:rPr>
            <w:t xml:space="preserve"> </w:t>
          </w:r>
          <w:hyperlink w:anchor="bookmark7" w:history="1">
            <w:r>
              <w:rPr>
                <w:rFonts w:ascii="Times New Roman" w:eastAsia="Times New Roman" w:hAnsi="Times New Roman" w:cs="Times New Roman"/>
                <w:spacing w:val="1"/>
              </w:rPr>
              <w:t>4</w:t>
            </w:r>
          </w:hyperlink>
        </w:p>
        <w:p>
          <w:pPr>
            <w:pStyle w:val="BodyText"/>
            <w:tabs>
              <w:tab w:val="right" w:leader="dot" w:pos="9640"/>
            </w:tabs>
            <w:spacing w:before="59" w:line="191" w:lineRule="auto"/>
            <w:ind w:left="824"/>
            <w:rPr>
              <w:rFonts w:ascii="Times New Roman" w:eastAsia="Times New Roman" w:hAnsi="Times New Roman" w:cs="Times New Roman"/>
            </w:rPr>
          </w:pPr>
          <w:r>
            <w:rPr>
              <w:rFonts w:ascii="Times New Roman" w:eastAsia="Times New Roman" w:hAnsi="Times New Roman" w:cs="Times New Roman"/>
              <w:spacing w:val="7"/>
            </w:rPr>
            <w:t>1</w:t>
          </w:r>
          <w:r>
            <w:rPr>
              <w:spacing w:val="7"/>
            </w:rPr>
            <w:t>、力度要够，避免战线过长</w:t>
          </w:r>
          <w:r>
            <w:rPr>
              <w:spacing w:val="-29"/>
            </w:rPr>
            <w:t xml:space="preserve"> </w:t>
          </w:r>
          <w:r>
            <w:tab/>
          </w:r>
          <w:r>
            <w:rPr>
              <w:spacing w:val="-16"/>
            </w:rPr>
            <w:t xml:space="preserve"> </w:t>
          </w:r>
          <w:hyperlink w:anchor="bookmark8" w:history="1">
            <w:r>
              <w:rPr>
                <w:rFonts w:ascii="Times New Roman" w:eastAsia="Times New Roman" w:hAnsi="Times New Roman" w:cs="Times New Roman"/>
                <w:spacing w:val="1"/>
              </w:rPr>
              <w:t>4</w:t>
            </w:r>
          </w:hyperlink>
        </w:p>
        <w:p>
          <w:pPr>
            <w:pStyle w:val="BodyText"/>
            <w:tabs>
              <w:tab w:val="right" w:leader="dot" w:pos="9640"/>
            </w:tabs>
            <w:spacing w:before="53" w:line="191" w:lineRule="auto"/>
            <w:ind w:left="805"/>
            <w:rPr>
              <w:rFonts w:ascii="Times New Roman" w:eastAsia="Times New Roman" w:hAnsi="Times New Roman" w:cs="Times New Roman"/>
            </w:rPr>
          </w:pPr>
          <w:r>
            <w:rPr>
              <w:rFonts w:ascii="Times New Roman" w:eastAsia="Times New Roman" w:hAnsi="Times New Roman" w:cs="Times New Roman"/>
              <w:spacing w:val="9"/>
            </w:rPr>
            <w:t>2</w:t>
          </w:r>
          <w:r>
            <w:rPr>
              <w:spacing w:val="9"/>
            </w:rPr>
            <w:t>、制度要改，解决根本问题</w:t>
          </w:r>
          <w:r>
            <w:rPr>
              <w:spacing w:val="-36"/>
            </w:rPr>
            <w:t xml:space="preserve"> </w:t>
          </w:r>
          <w:r>
            <w:tab/>
          </w:r>
          <w:r>
            <w:rPr>
              <w:spacing w:val="-16"/>
            </w:rPr>
            <w:t xml:space="preserve"> </w:t>
          </w:r>
          <w:hyperlink w:anchor="bookmark9" w:history="1">
            <w:r>
              <w:rPr>
                <w:rFonts w:ascii="Times New Roman" w:eastAsia="Times New Roman" w:hAnsi="Times New Roman" w:cs="Times New Roman"/>
                <w:spacing w:val="1"/>
              </w:rPr>
              <w:t>4</w:t>
            </w:r>
          </w:hyperlink>
        </w:p>
        <w:p>
          <w:pPr>
            <w:pStyle w:val="BodyText"/>
            <w:tabs>
              <w:tab w:val="right" w:leader="dot" w:pos="9640"/>
            </w:tabs>
            <w:spacing w:before="52" w:line="191" w:lineRule="auto"/>
            <w:ind w:left="809"/>
            <w:rPr>
              <w:rFonts w:ascii="Times New Roman" w:eastAsia="Times New Roman" w:hAnsi="Times New Roman" w:cs="Times New Roman"/>
            </w:rPr>
          </w:pPr>
          <w:r>
            <w:rPr>
              <w:rFonts w:ascii="Times New Roman" w:eastAsia="Times New Roman" w:hAnsi="Times New Roman" w:cs="Times New Roman"/>
              <w:spacing w:val="7"/>
            </w:rPr>
            <w:t>3</w:t>
          </w:r>
          <w:r>
            <w:rPr>
              <w:rFonts w:ascii="Times New Roman" w:eastAsia="Times New Roman" w:hAnsi="Times New Roman" w:cs="Times New Roman"/>
              <w:spacing w:val="-25"/>
            </w:rPr>
            <w:t xml:space="preserve"> </w:t>
          </w:r>
          <w:r>
            <w:rPr>
              <w:spacing w:val="7"/>
            </w:rPr>
            <w:t>、代价要付，没有免费午餐</w:t>
          </w:r>
          <w:r>
            <w:rPr>
              <w:spacing w:val="-37"/>
            </w:rPr>
            <w:t xml:space="preserve"> </w:t>
          </w:r>
          <w:r>
            <w:tab/>
          </w:r>
          <w:r>
            <w:rPr>
              <w:spacing w:val="-10"/>
            </w:rPr>
            <w:t xml:space="preserve"> </w:t>
          </w:r>
          <w:hyperlink w:anchor="bookmark10" w:history="1">
            <w:r>
              <w:rPr>
                <w:rFonts w:ascii="Times New Roman" w:eastAsia="Times New Roman" w:hAnsi="Times New Roman" w:cs="Times New Roman"/>
              </w:rPr>
              <w:t>5</w:t>
            </w:r>
          </w:hyperlink>
        </w:p>
        <w:p>
          <w:pPr>
            <w:pStyle w:val="BodyText"/>
            <w:tabs>
              <w:tab w:val="right" w:leader="dot" w:pos="9640"/>
            </w:tabs>
            <w:spacing w:before="53" w:line="192" w:lineRule="auto"/>
            <w:ind w:left="12"/>
            <w:rPr>
              <w:rFonts w:ascii="Times New Roman" w:eastAsia="Times New Roman" w:hAnsi="Times New Roman" w:cs="Times New Roman"/>
            </w:rPr>
          </w:pPr>
          <w:r>
            <w:rPr>
              <w:spacing w:val="-4"/>
            </w:rPr>
            <w:t>二、</w:t>
          </w:r>
          <w:r>
            <w:rPr>
              <w:spacing w:val="45"/>
            </w:rPr>
            <w:t xml:space="preserve"> </w:t>
          </w:r>
          <w:r>
            <w:rPr>
              <w:spacing w:val="-4"/>
            </w:rPr>
            <w:t xml:space="preserve">中国香港经验 </w:t>
          </w:r>
          <w:r>
            <w:tab/>
          </w:r>
          <w:r>
            <w:rPr>
              <w:spacing w:val="-10"/>
            </w:rPr>
            <w:t xml:space="preserve"> </w:t>
          </w:r>
          <w:hyperlink w:anchor="bookmark11" w:history="1">
            <w:r>
              <w:rPr>
                <w:rFonts w:ascii="Times New Roman" w:eastAsia="Times New Roman" w:hAnsi="Times New Roman" w:cs="Times New Roman"/>
              </w:rPr>
              <w:t>5</w:t>
            </w:r>
          </w:hyperlink>
        </w:p>
        <w:p>
          <w:pPr>
            <w:pStyle w:val="BodyText"/>
            <w:tabs>
              <w:tab w:val="right" w:leader="dot" w:pos="9640"/>
            </w:tabs>
            <w:spacing w:before="51" w:line="187" w:lineRule="auto"/>
            <w:ind w:left="420"/>
            <w:rPr>
              <w:rFonts w:ascii="Times New Roman" w:eastAsia="Times New Roman" w:hAnsi="Times New Roman" w:cs="Times New Roman"/>
            </w:rPr>
          </w:pPr>
          <w:r>
            <w:rPr>
              <w:spacing w:val="3"/>
            </w:rPr>
            <w:t xml:space="preserve">（一）  事件经过 </w:t>
          </w:r>
          <w:r>
            <w:tab/>
          </w:r>
          <w:r>
            <w:rPr>
              <w:spacing w:val="-10"/>
            </w:rPr>
            <w:t xml:space="preserve"> </w:t>
          </w:r>
          <w:hyperlink w:anchor="bookmark12" w:history="1">
            <w:r>
              <w:rPr>
                <w:rFonts w:ascii="Times New Roman" w:eastAsia="Times New Roman" w:hAnsi="Times New Roman" w:cs="Times New Roman"/>
              </w:rPr>
              <w:t>5</w:t>
            </w:r>
          </w:hyperlink>
        </w:p>
        <w:p>
          <w:pPr>
            <w:pStyle w:val="BodyText"/>
            <w:tabs>
              <w:tab w:val="right" w:leader="dot" w:pos="9640"/>
            </w:tabs>
            <w:spacing w:before="58" w:line="193" w:lineRule="auto"/>
            <w:ind w:left="824"/>
            <w:rPr>
              <w:rFonts w:ascii="Times New Roman" w:eastAsia="Times New Roman" w:hAnsi="Times New Roman" w:cs="Times New Roman"/>
            </w:rPr>
          </w:pPr>
          <w:r>
            <w:rPr>
              <w:rFonts w:ascii="Times New Roman" w:eastAsia="Times New Roman" w:hAnsi="Times New Roman" w:cs="Times New Roman"/>
              <w:spacing w:val="-1"/>
            </w:rPr>
            <w:t>1</w:t>
          </w:r>
          <w:r>
            <w:rPr>
              <w:spacing w:val="-1"/>
            </w:rPr>
            <w:t>、背景</w:t>
          </w:r>
          <w:r>
            <w:rPr>
              <w:spacing w:val="11"/>
            </w:rPr>
            <w:t xml:space="preserve"> </w:t>
          </w:r>
          <w:r>
            <w:tab/>
          </w:r>
          <w:r>
            <w:rPr>
              <w:spacing w:val="-11"/>
            </w:rPr>
            <w:t xml:space="preserve"> </w:t>
          </w:r>
          <w:hyperlink w:anchor="bookmark13" w:history="1">
            <w:r>
              <w:rPr>
                <w:rFonts w:ascii="Times New Roman" w:eastAsia="Times New Roman" w:hAnsi="Times New Roman" w:cs="Times New Roman"/>
              </w:rPr>
              <w:t>6</w:t>
            </w:r>
          </w:hyperlink>
        </w:p>
        <w:p>
          <w:pPr>
            <w:pStyle w:val="BodyText"/>
            <w:tabs>
              <w:tab w:val="right" w:leader="dot" w:pos="9640"/>
            </w:tabs>
            <w:spacing w:before="50" w:line="192" w:lineRule="auto"/>
            <w:ind w:left="805"/>
            <w:rPr>
              <w:rFonts w:ascii="Times New Roman" w:eastAsia="Times New Roman" w:hAnsi="Times New Roman" w:cs="Times New Roman"/>
            </w:rPr>
          </w:pPr>
          <w:r>
            <w:rPr>
              <w:rFonts w:ascii="Times New Roman" w:eastAsia="Times New Roman" w:hAnsi="Times New Roman" w:cs="Times New Roman"/>
              <w:spacing w:val="1"/>
            </w:rPr>
            <w:t>2</w:t>
          </w:r>
          <w:r>
            <w:rPr>
              <w:rFonts w:ascii="Times New Roman" w:eastAsia="Times New Roman" w:hAnsi="Times New Roman" w:cs="Times New Roman"/>
              <w:spacing w:val="-25"/>
            </w:rPr>
            <w:t xml:space="preserve"> </w:t>
          </w:r>
          <w:r>
            <w:rPr>
              <w:spacing w:val="1"/>
            </w:rPr>
            <w:t xml:space="preserve">、举措 </w:t>
          </w:r>
          <w:r>
            <w:tab/>
          </w:r>
          <w:r>
            <w:rPr>
              <w:spacing w:val="-7"/>
            </w:rPr>
            <w:t xml:space="preserve"> </w:t>
          </w:r>
          <w:hyperlink w:anchor="bookmark14" w:history="1">
            <w:r>
              <w:rPr>
                <w:rFonts w:ascii="Times New Roman" w:eastAsia="Times New Roman" w:hAnsi="Times New Roman" w:cs="Times New Roman"/>
              </w:rPr>
              <w:t>8</w:t>
            </w:r>
          </w:hyperlink>
        </w:p>
        <w:p>
          <w:pPr>
            <w:pStyle w:val="BodyText"/>
            <w:tabs>
              <w:tab w:val="right" w:leader="dot" w:pos="9642"/>
            </w:tabs>
            <w:spacing w:before="52" w:line="191" w:lineRule="auto"/>
            <w:ind w:left="809"/>
            <w:rPr>
              <w:rFonts w:ascii="Times New Roman" w:eastAsia="Times New Roman" w:hAnsi="Times New Roman" w:cs="Times New Roman"/>
            </w:rPr>
          </w:pPr>
          <w:r>
            <w:rPr>
              <w:rFonts w:ascii="Times New Roman" w:eastAsia="Times New Roman" w:hAnsi="Times New Roman" w:cs="Times New Roman"/>
            </w:rPr>
            <w:t>3</w:t>
          </w:r>
          <w:r>
            <w:rPr>
              <w:rFonts w:ascii="Times New Roman" w:eastAsia="Times New Roman" w:hAnsi="Times New Roman" w:cs="Times New Roman"/>
              <w:spacing w:val="-25"/>
            </w:rPr>
            <w:t xml:space="preserve"> </w:t>
          </w:r>
          <w:r>
            <w:t xml:space="preserve">、效果 </w:t>
          </w:r>
          <w:r>
            <w:tab/>
          </w:r>
          <w:r>
            <w:rPr>
              <w:spacing w:val="6"/>
            </w:rPr>
            <w:t xml:space="preserve"> </w:t>
          </w:r>
          <w:hyperlink w:anchor="bookmark15" w:history="1">
            <w:r>
              <w:rPr>
                <w:rFonts w:ascii="Times New Roman" w:eastAsia="Times New Roman" w:hAnsi="Times New Roman" w:cs="Times New Roman"/>
                <w:spacing w:val="-4"/>
              </w:rPr>
              <w:t>10</w:t>
            </w:r>
          </w:hyperlink>
        </w:p>
        <w:p>
          <w:pPr>
            <w:pStyle w:val="BodyText"/>
            <w:tabs>
              <w:tab w:val="right" w:leader="dot" w:pos="9642"/>
            </w:tabs>
            <w:spacing w:before="52" w:line="187" w:lineRule="auto"/>
            <w:ind w:left="420"/>
            <w:rPr>
              <w:rFonts w:ascii="Times New Roman" w:eastAsia="Times New Roman" w:hAnsi="Times New Roman" w:cs="Times New Roman"/>
            </w:rPr>
          </w:pPr>
          <w:r>
            <w:rPr>
              <w:spacing w:val="6"/>
            </w:rPr>
            <w:t xml:space="preserve">（二）经验总结 </w:t>
          </w:r>
          <w:r>
            <w:tab/>
          </w:r>
          <w:r>
            <w:rPr>
              <w:spacing w:val="6"/>
            </w:rPr>
            <w:t xml:space="preserve"> </w:t>
          </w:r>
          <w:hyperlink w:anchor="bookmark16" w:history="1">
            <w:r>
              <w:rPr>
                <w:rFonts w:ascii="Times New Roman" w:eastAsia="Times New Roman" w:hAnsi="Times New Roman" w:cs="Times New Roman"/>
                <w:spacing w:val="-4"/>
              </w:rPr>
              <w:t>10</w:t>
            </w:r>
          </w:hyperlink>
        </w:p>
        <w:p>
          <w:pPr>
            <w:pStyle w:val="BodyText"/>
            <w:tabs>
              <w:tab w:val="right" w:leader="dot" w:pos="9642"/>
            </w:tabs>
            <w:spacing w:before="58" w:line="191" w:lineRule="auto"/>
            <w:ind w:left="824"/>
            <w:rPr>
              <w:rFonts w:ascii="Times New Roman" w:eastAsia="Times New Roman" w:hAnsi="Times New Roman" w:cs="Times New Roman"/>
            </w:rPr>
          </w:pPr>
          <w:r>
            <w:rPr>
              <w:rFonts w:ascii="Times New Roman" w:eastAsia="Times New Roman" w:hAnsi="Times New Roman" w:cs="Times New Roman"/>
              <w:spacing w:val="8"/>
            </w:rPr>
            <w:t>1</w:t>
          </w:r>
          <w:r>
            <w:rPr>
              <w:spacing w:val="8"/>
            </w:rPr>
            <w:t>、外汇资金是救市重要资金来源之一</w:t>
          </w:r>
          <w:r>
            <w:tab/>
          </w:r>
          <w:r>
            <w:rPr>
              <w:spacing w:val="6"/>
            </w:rPr>
            <w:t xml:space="preserve"> </w:t>
          </w:r>
          <w:hyperlink w:anchor="bookmark17" w:history="1">
            <w:r>
              <w:rPr>
                <w:rFonts w:ascii="Times New Roman" w:eastAsia="Times New Roman" w:hAnsi="Times New Roman" w:cs="Times New Roman"/>
                <w:spacing w:val="-4"/>
              </w:rPr>
              <w:t>10</w:t>
            </w:r>
          </w:hyperlink>
        </w:p>
        <w:p>
          <w:pPr>
            <w:pStyle w:val="BodyText"/>
            <w:tabs>
              <w:tab w:val="right" w:leader="dot" w:pos="9642"/>
            </w:tabs>
            <w:spacing w:before="53" w:line="191" w:lineRule="auto"/>
            <w:ind w:left="805"/>
            <w:rPr>
              <w:rFonts w:ascii="Times New Roman" w:eastAsia="Times New Roman" w:hAnsi="Times New Roman" w:cs="Times New Roman"/>
            </w:rPr>
          </w:pPr>
          <w:r>
            <w:rPr>
              <w:rFonts w:ascii="Times New Roman" w:eastAsia="Times New Roman" w:hAnsi="Times New Roman" w:cs="Times New Roman"/>
              <w:spacing w:val="7"/>
            </w:rPr>
            <w:t>2</w:t>
          </w:r>
          <w:r>
            <w:rPr>
              <w:rFonts w:ascii="Times New Roman" w:eastAsia="Times New Roman" w:hAnsi="Times New Roman" w:cs="Times New Roman"/>
              <w:spacing w:val="-10"/>
            </w:rPr>
            <w:t xml:space="preserve"> </w:t>
          </w:r>
          <w:r>
            <w:rPr>
              <w:spacing w:val="7"/>
            </w:rPr>
            <w:t>、流动性问题是解决救市的关键问题</w:t>
          </w:r>
          <w:r>
            <w:rPr>
              <w:spacing w:val="-29"/>
            </w:rPr>
            <w:t xml:space="preserve"> </w:t>
          </w:r>
          <w:r>
            <w:tab/>
          </w:r>
          <w:r>
            <w:rPr>
              <w:spacing w:val="6"/>
            </w:rPr>
            <w:t xml:space="preserve"> </w:t>
          </w:r>
          <w:hyperlink w:anchor="bookmark18" w:history="1">
            <w:r>
              <w:rPr>
                <w:rFonts w:ascii="Times New Roman" w:eastAsia="Times New Roman" w:hAnsi="Times New Roman" w:cs="Times New Roman"/>
                <w:spacing w:val="-4"/>
              </w:rPr>
              <w:t>11</w:t>
            </w:r>
          </w:hyperlink>
        </w:p>
        <w:p>
          <w:pPr>
            <w:pStyle w:val="BodyText"/>
            <w:tabs>
              <w:tab w:val="right" w:leader="dot" w:pos="9642"/>
            </w:tabs>
            <w:spacing w:before="52" w:line="191" w:lineRule="auto"/>
            <w:ind w:left="809"/>
            <w:rPr>
              <w:rFonts w:ascii="Times New Roman" w:eastAsia="Times New Roman" w:hAnsi="Times New Roman" w:cs="Times New Roman"/>
            </w:rPr>
          </w:pPr>
          <w:r>
            <w:rPr>
              <w:rFonts w:ascii="Times New Roman" w:eastAsia="Times New Roman" w:hAnsi="Times New Roman" w:cs="Times New Roman"/>
              <w:spacing w:val="7"/>
            </w:rPr>
            <w:t>3</w:t>
          </w:r>
          <w:r>
            <w:rPr>
              <w:rFonts w:ascii="Times New Roman" w:eastAsia="Times New Roman" w:hAnsi="Times New Roman" w:cs="Times New Roman"/>
              <w:spacing w:val="-10"/>
            </w:rPr>
            <w:t xml:space="preserve"> </w:t>
          </w:r>
          <w:r>
            <w:rPr>
              <w:spacing w:val="7"/>
            </w:rPr>
            <w:t>、救市需要有有效的退出机制和后续措施</w:t>
          </w:r>
          <w:r>
            <w:rPr>
              <w:spacing w:val="-24"/>
            </w:rPr>
            <w:t xml:space="preserve"> </w:t>
          </w:r>
          <w:r>
            <w:tab/>
          </w:r>
          <w:r>
            <w:rPr>
              <w:spacing w:val="6"/>
            </w:rPr>
            <w:t xml:space="preserve"> </w:t>
          </w:r>
          <w:hyperlink w:anchor="bookmark19" w:history="1">
            <w:r>
              <w:rPr>
                <w:rFonts w:ascii="Times New Roman" w:eastAsia="Times New Roman" w:hAnsi="Times New Roman" w:cs="Times New Roman"/>
                <w:spacing w:val="-4"/>
              </w:rPr>
              <w:t>11</w:t>
            </w:r>
          </w:hyperlink>
        </w:p>
        <w:p>
          <w:pPr>
            <w:pStyle w:val="BodyText"/>
            <w:tabs>
              <w:tab w:val="right" w:leader="dot" w:pos="9642"/>
            </w:tabs>
            <w:spacing w:before="52" w:line="193" w:lineRule="auto"/>
            <w:ind w:left="9"/>
            <w:rPr>
              <w:rFonts w:ascii="Times New Roman" w:eastAsia="Times New Roman" w:hAnsi="Times New Roman" w:cs="Times New Roman"/>
            </w:rPr>
          </w:pPr>
          <w:r>
            <w:rPr>
              <w:spacing w:val="6"/>
            </w:rPr>
            <w:t xml:space="preserve">三、日本经验 </w:t>
          </w:r>
          <w:r>
            <w:tab/>
          </w:r>
          <w:r>
            <w:rPr>
              <w:spacing w:val="6"/>
            </w:rPr>
            <w:t xml:space="preserve"> </w:t>
          </w:r>
          <w:hyperlink w:anchor="bookmark20" w:history="1">
            <w:r>
              <w:rPr>
                <w:rFonts w:ascii="Times New Roman" w:eastAsia="Times New Roman" w:hAnsi="Times New Roman" w:cs="Times New Roman"/>
                <w:spacing w:val="-4"/>
              </w:rPr>
              <w:t>12</w:t>
            </w:r>
          </w:hyperlink>
        </w:p>
        <w:p>
          <w:pPr>
            <w:pStyle w:val="BodyText"/>
            <w:tabs>
              <w:tab w:val="right" w:leader="dot" w:pos="9642"/>
            </w:tabs>
            <w:spacing w:before="50" w:line="187" w:lineRule="auto"/>
            <w:ind w:left="420"/>
            <w:rPr>
              <w:rFonts w:ascii="Times New Roman" w:eastAsia="Times New Roman" w:hAnsi="Times New Roman" w:cs="Times New Roman"/>
            </w:rPr>
          </w:pPr>
          <w:r>
            <w:rPr>
              <w:spacing w:val="6"/>
            </w:rPr>
            <w:t xml:space="preserve">（一）事件经过 </w:t>
          </w:r>
          <w:r>
            <w:tab/>
          </w:r>
          <w:r>
            <w:rPr>
              <w:spacing w:val="6"/>
            </w:rPr>
            <w:t xml:space="preserve"> </w:t>
          </w:r>
          <w:hyperlink w:anchor="bookmark21" w:history="1">
            <w:r>
              <w:rPr>
                <w:rFonts w:ascii="Times New Roman" w:eastAsia="Times New Roman" w:hAnsi="Times New Roman" w:cs="Times New Roman"/>
                <w:spacing w:val="-4"/>
              </w:rPr>
              <w:t>12</w:t>
            </w:r>
          </w:hyperlink>
        </w:p>
        <w:p>
          <w:pPr>
            <w:pStyle w:val="BodyText"/>
            <w:tabs>
              <w:tab w:val="right" w:leader="dot" w:pos="9642"/>
            </w:tabs>
            <w:spacing w:before="59" w:line="193" w:lineRule="auto"/>
            <w:ind w:left="824"/>
            <w:rPr>
              <w:rFonts w:ascii="Times New Roman" w:eastAsia="Times New Roman" w:hAnsi="Times New Roman" w:cs="Times New Roman"/>
            </w:rPr>
          </w:pPr>
          <w:r>
            <w:rPr>
              <w:rFonts w:ascii="Times New Roman" w:eastAsia="Times New Roman" w:hAnsi="Times New Roman" w:cs="Times New Roman"/>
              <w:spacing w:val="-1"/>
            </w:rPr>
            <w:t>1</w:t>
          </w:r>
          <w:r>
            <w:rPr>
              <w:spacing w:val="-1"/>
            </w:rPr>
            <w:t>、背景</w:t>
          </w:r>
          <w:r>
            <w:rPr>
              <w:spacing w:val="11"/>
            </w:rPr>
            <w:t xml:space="preserve"> </w:t>
          </w:r>
          <w:r>
            <w:tab/>
          </w:r>
          <w:r>
            <w:rPr>
              <w:spacing w:val="6"/>
            </w:rPr>
            <w:t xml:space="preserve"> </w:t>
          </w:r>
          <w:hyperlink w:anchor="bookmark22" w:history="1">
            <w:r>
              <w:rPr>
                <w:rFonts w:ascii="Times New Roman" w:eastAsia="Times New Roman" w:hAnsi="Times New Roman" w:cs="Times New Roman"/>
                <w:spacing w:val="-4"/>
              </w:rPr>
              <w:t>12</w:t>
            </w:r>
          </w:hyperlink>
        </w:p>
        <w:p>
          <w:pPr>
            <w:pStyle w:val="BodyText"/>
            <w:tabs>
              <w:tab w:val="right" w:leader="dot" w:pos="9642"/>
            </w:tabs>
            <w:spacing w:before="50" w:line="191" w:lineRule="auto"/>
            <w:ind w:left="805"/>
            <w:rPr>
              <w:rFonts w:ascii="Times New Roman" w:eastAsia="Times New Roman" w:hAnsi="Times New Roman" w:cs="Times New Roman"/>
            </w:rPr>
          </w:pPr>
          <w:r>
            <w:rPr>
              <w:rFonts w:ascii="Times New Roman" w:eastAsia="Times New Roman" w:hAnsi="Times New Roman" w:cs="Times New Roman"/>
              <w:spacing w:val="7"/>
            </w:rPr>
            <w:t>2</w:t>
          </w:r>
          <w:r>
            <w:rPr>
              <w:rFonts w:ascii="Times New Roman" w:eastAsia="Times New Roman" w:hAnsi="Times New Roman" w:cs="Times New Roman"/>
              <w:spacing w:val="-19"/>
            </w:rPr>
            <w:t xml:space="preserve"> </w:t>
          </w:r>
          <w:r>
            <w:rPr>
              <w:spacing w:val="7"/>
            </w:rPr>
            <w:t>、三次平准基金入市及其效果</w:t>
          </w:r>
          <w:r>
            <w:rPr>
              <w:spacing w:val="-34"/>
            </w:rPr>
            <w:t xml:space="preserve"> </w:t>
          </w:r>
          <w:r>
            <w:tab/>
          </w:r>
          <w:r>
            <w:rPr>
              <w:spacing w:val="6"/>
            </w:rPr>
            <w:t xml:space="preserve"> </w:t>
          </w:r>
          <w:hyperlink w:anchor="bookmark23" w:history="1">
            <w:r>
              <w:rPr>
                <w:rFonts w:ascii="Times New Roman" w:eastAsia="Times New Roman" w:hAnsi="Times New Roman" w:cs="Times New Roman"/>
                <w:spacing w:val="-4"/>
              </w:rPr>
              <w:t>13</w:t>
            </w:r>
          </w:hyperlink>
        </w:p>
        <w:p>
          <w:pPr>
            <w:pStyle w:val="BodyText"/>
            <w:tabs>
              <w:tab w:val="right" w:leader="dot" w:pos="9642"/>
            </w:tabs>
            <w:spacing w:before="52" w:line="187" w:lineRule="auto"/>
            <w:ind w:left="420"/>
            <w:rPr>
              <w:rFonts w:ascii="Times New Roman" w:eastAsia="Times New Roman" w:hAnsi="Times New Roman" w:cs="Times New Roman"/>
            </w:rPr>
          </w:pPr>
          <w:r>
            <w:rPr>
              <w:spacing w:val="6"/>
            </w:rPr>
            <w:t xml:space="preserve">（二）经验总结 </w:t>
          </w:r>
          <w:r>
            <w:tab/>
          </w:r>
          <w:r>
            <w:rPr>
              <w:spacing w:val="6"/>
            </w:rPr>
            <w:t xml:space="preserve"> </w:t>
          </w:r>
          <w:hyperlink w:anchor="bookmark24" w:history="1">
            <w:r>
              <w:rPr>
                <w:rFonts w:ascii="Times New Roman" w:eastAsia="Times New Roman" w:hAnsi="Times New Roman" w:cs="Times New Roman"/>
                <w:spacing w:val="-4"/>
              </w:rPr>
              <w:t>14</w:t>
            </w:r>
          </w:hyperlink>
        </w:p>
        <w:p>
          <w:pPr>
            <w:pStyle w:val="BodyText"/>
            <w:tabs>
              <w:tab w:val="right" w:leader="dot" w:pos="9642"/>
            </w:tabs>
            <w:spacing w:before="59" w:line="191" w:lineRule="auto"/>
            <w:ind w:left="824"/>
            <w:rPr>
              <w:rFonts w:ascii="Times New Roman" w:eastAsia="Times New Roman" w:hAnsi="Times New Roman" w:cs="Times New Roman"/>
            </w:rPr>
          </w:pPr>
          <w:r>
            <w:rPr>
              <w:rFonts w:ascii="Times New Roman" w:eastAsia="Times New Roman" w:hAnsi="Times New Roman" w:cs="Times New Roman"/>
              <w:spacing w:val="3"/>
            </w:rPr>
            <w:t>1</w:t>
          </w:r>
          <w:r>
            <w:rPr>
              <w:spacing w:val="3"/>
            </w:rPr>
            <w:t>、平准基金效果不确定，  并非解决救市问题的万能药</w:t>
          </w:r>
          <w:r>
            <w:rPr>
              <w:spacing w:val="-1"/>
            </w:rPr>
            <w:t xml:space="preserve"> </w:t>
          </w:r>
          <w:r>
            <w:tab/>
          </w:r>
          <w:r>
            <w:rPr>
              <w:spacing w:val="6"/>
            </w:rPr>
            <w:t xml:space="preserve"> </w:t>
          </w:r>
          <w:hyperlink w:anchor="bookmark25" w:history="1">
            <w:r>
              <w:rPr>
                <w:rFonts w:ascii="Times New Roman" w:eastAsia="Times New Roman" w:hAnsi="Times New Roman" w:cs="Times New Roman"/>
                <w:spacing w:val="-4"/>
              </w:rPr>
              <w:t>14</w:t>
            </w:r>
          </w:hyperlink>
        </w:p>
        <w:p>
          <w:pPr>
            <w:pStyle w:val="BodyText"/>
            <w:tabs>
              <w:tab w:val="right" w:leader="dot" w:pos="9642"/>
            </w:tabs>
            <w:spacing w:before="52" w:line="191" w:lineRule="auto"/>
            <w:ind w:left="805"/>
            <w:rPr>
              <w:rFonts w:ascii="Times New Roman" w:eastAsia="Times New Roman" w:hAnsi="Times New Roman" w:cs="Times New Roman"/>
            </w:rPr>
          </w:pPr>
          <w:r>
            <w:rPr>
              <w:rFonts w:ascii="Times New Roman" w:eastAsia="Times New Roman" w:hAnsi="Times New Roman" w:cs="Times New Roman"/>
              <w:spacing w:val="9"/>
            </w:rPr>
            <w:t>2</w:t>
          </w:r>
          <w:r>
            <w:rPr>
              <w:spacing w:val="9"/>
            </w:rPr>
            <w:t>、央行直接下场购买是可行的救市操作方式之一</w:t>
          </w:r>
          <w:r>
            <w:tab/>
          </w:r>
          <w:r>
            <w:rPr>
              <w:spacing w:val="6"/>
            </w:rPr>
            <w:t xml:space="preserve"> </w:t>
          </w:r>
          <w:hyperlink w:anchor="bookmark26" w:history="1">
            <w:r>
              <w:rPr>
                <w:rFonts w:ascii="Times New Roman" w:eastAsia="Times New Roman" w:hAnsi="Times New Roman" w:cs="Times New Roman"/>
                <w:spacing w:val="-4"/>
              </w:rPr>
              <w:t>14</w:t>
            </w:r>
          </w:hyperlink>
        </w:p>
        <w:p>
          <w:pPr>
            <w:pStyle w:val="BodyText"/>
            <w:tabs>
              <w:tab w:val="right" w:leader="dot" w:pos="9642"/>
            </w:tabs>
            <w:spacing w:before="52" w:line="191" w:lineRule="auto"/>
            <w:ind w:left="809"/>
            <w:rPr>
              <w:rFonts w:ascii="Times New Roman" w:eastAsia="Times New Roman" w:hAnsi="Times New Roman" w:cs="Times New Roman"/>
            </w:rPr>
          </w:pPr>
          <w:r>
            <w:rPr>
              <w:rFonts w:ascii="Times New Roman" w:eastAsia="Times New Roman" w:hAnsi="Times New Roman" w:cs="Times New Roman"/>
              <w:spacing w:val="5"/>
            </w:rPr>
            <w:t>3</w:t>
          </w:r>
          <w:r>
            <w:rPr>
              <w:spacing w:val="5"/>
            </w:rPr>
            <w:t xml:space="preserve">、资金出入的透明可以很大程度避免道德风险，  并优化预期管理作用 </w:t>
          </w:r>
          <w:r>
            <w:tab/>
          </w:r>
          <w:r>
            <w:rPr>
              <w:spacing w:val="6"/>
            </w:rPr>
            <w:t xml:space="preserve"> </w:t>
          </w:r>
          <w:hyperlink w:anchor="bookmark27" w:history="1">
            <w:r>
              <w:rPr>
                <w:rFonts w:ascii="Times New Roman" w:eastAsia="Times New Roman" w:hAnsi="Times New Roman" w:cs="Times New Roman"/>
                <w:spacing w:val="-4"/>
              </w:rPr>
              <w:t>15</w:t>
            </w:r>
          </w:hyperlink>
        </w:p>
        <w:p>
          <w:pPr>
            <w:pStyle w:val="BodyText"/>
            <w:tabs>
              <w:tab w:val="right" w:leader="dot" w:pos="9642"/>
            </w:tabs>
            <w:spacing w:before="52" w:line="192" w:lineRule="auto"/>
            <w:ind w:left="10"/>
            <w:rPr>
              <w:rFonts w:ascii="Times New Roman" w:eastAsia="Times New Roman" w:hAnsi="Times New Roman" w:cs="Times New Roman"/>
            </w:rPr>
          </w:pPr>
          <w:r>
            <w:rPr>
              <w:spacing w:val="7"/>
            </w:rPr>
            <w:t>风险分析</w:t>
          </w:r>
          <w:r>
            <w:rPr>
              <w:spacing w:val="-6"/>
            </w:rPr>
            <w:t xml:space="preserve"> </w:t>
          </w:r>
          <w:r>
            <w:tab/>
          </w:r>
          <w:r>
            <w:rPr>
              <w:spacing w:val="6"/>
            </w:rPr>
            <w:t xml:space="preserve"> </w:t>
          </w:r>
          <w:hyperlink w:anchor="bookmark28" w:history="1">
            <w:r>
              <w:rPr>
                <w:rFonts w:ascii="Times New Roman" w:eastAsia="Times New Roman" w:hAnsi="Times New Roman" w:cs="Times New Roman"/>
                <w:spacing w:val="-4"/>
              </w:rPr>
              <w:t>17</w:t>
            </w:r>
          </w:hyperlink>
        </w:p>
      </w:sdtContent>
    </w:sdt>
    <w:p>
      <w:pPr>
        <w:spacing w:line="333" w:lineRule="auto"/>
        <w:rPr>
          <w:rFonts w:ascii="Arial"/>
          <w:sz w:val="21"/>
        </w:rPr>
        <w:sectPr>
          <w:headerReference w:type="default" r:id="rId12"/>
          <w:footerReference w:type="default" r:id="rId13"/>
          <w:pgSz w:w="11907" w:h="16839"/>
          <w:pgMar w:top="1945" w:right="1115" w:bottom="1415" w:left="1130" w:header="900" w:footer="1177" w:gutter="0"/>
          <w:pgNumType w:start="3"/>
          <w:cols w:space="708"/>
        </w:sectPr>
      </w:pPr>
    </w:p>
    <w:p>
      <w:pPr>
        <w:spacing w:line="334" w:lineRule="auto"/>
        <w:rPr>
          <w:rFonts w:ascii="Arial"/>
          <w:sz w:val="21"/>
        </w:rPr>
      </w:pPr>
    </w:p>
    <w:p>
      <w:pPr>
        <w:pStyle w:val="BodyText"/>
        <w:spacing w:before="121" w:line="186" w:lineRule="auto"/>
        <w:ind w:left="4417"/>
        <w:rPr>
          <w:sz w:val="28"/>
          <w:szCs w:val="28"/>
        </w:rPr>
      </w:pPr>
      <w:r>
        <w:rPr>
          <w:color w:val="044E7E"/>
          <w:spacing w:val="-3"/>
          <w:sz w:val="28"/>
          <w:szCs w:val="28"/>
        </w:rPr>
        <w:t>表目录</w:t>
      </w:r>
    </w:p>
    <w:sdt>
      <w:sdtPr>
        <w:rPr>
          <w:rFonts w:ascii="Microsoft YaHei" w:eastAsia="Microsoft YaHei" w:hAnsi="Microsoft YaHei" w:cs="Microsoft YaHei"/>
          <w:sz w:val="21"/>
          <w:szCs w:val="21"/>
        </w:rPr>
        <w:id w:val="1736629057"/>
        <w:docPartObj>
          <w:docPartGallery w:val="Table of Contents"/>
          <w:docPartUnique/>
        </w:docPartObj>
      </w:sdtPr>
      <w:sdtEndPr>
        <w:rPr>
          <w:rFonts w:ascii="Times New Roman" w:eastAsia="Times New Roman" w:hAnsi="Times New Roman" w:cs="Times New Roman"/>
          <w:sz w:val="21"/>
          <w:szCs w:val="21"/>
        </w:rPr>
      </w:sdtEndPr>
      <w:sdtContent>
        <w:p>
          <w:pPr>
            <w:pStyle w:val="BodyText"/>
            <w:tabs>
              <w:tab w:val="right" w:leader="dot" w:pos="9642"/>
            </w:tabs>
            <w:spacing w:before="132" w:line="186" w:lineRule="auto"/>
            <w:ind w:left="9"/>
            <w:rPr>
              <w:rFonts w:ascii="Times New Roman" w:eastAsia="Times New Roman" w:hAnsi="Times New Roman" w:cs="Times New Roman"/>
              <w:sz w:val="21"/>
              <w:szCs w:val="21"/>
            </w:rPr>
          </w:pPr>
          <w:r>
            <w:rPr>
              <w:spacing w:val="-3"/>
              <w:sz w:val="21"/>
              <w:szCs w:val="21"/>
            </w:rPr>
            <w:t>表</w:t>
          </w:r>
          <w:r>
            <w:rPr>
              <w:spacing w:val="23"/>
              <w:sz w:val="21"/>
              <w:szCs w:val="21"/>
            </w:rPr>
            <w:t xml:space="preserve"> </w:t>
          </w:r>
          <w:r>
            <w:rPr>
              <w:rFonts w:ascii="Times New Roman" w:eastAsia="Times New Roman" w:hAnsi="Times New Roman" w:cs="Times New Roman"/>
              <w:spacing w:val="-3"/>
              <w:sz w:val="21"/>
              <w:szCs w:val="21"/>
            </w:rPr>
            <w:t>1:</w:t>
          </w:r>
          <w:r>
            <w:rPr>
              <w:spacing w:val="-3"/>
              <w:sz w:val="21"/>
              <w:szCs w:val="21"/>
            </w:rPr>
            <w:t xml:space="preserve">获政府救助的美国金融机构 </w:t>
          </w:r>
          <w:r>
            <w:rPr>
              <w:sz w:val="21"/>
              <w:szCs w:val="21"/>
            </w:rPr>
            <w:tab/>
          </w:r>
          <w:hyperlink w:anchor="bookmark1" w:history="1">
            <w:r>
              <w:rPr>
                <w:rFonts w:ascii="Times New Roman" w:eastAsia="Times New Roman" w:hAnsi="Times New Roman" w:cs="Times New Roman"/>
                <w:spacing w:val="1"/>
                <w:sz w:val="21"/>
                <w:szCs w:val="21"/>
              </w:rPr>
              <w:t>2</w:t>
            </w:r>
          </w:hyperlink>
        </w:p>
        <w:p>
          <w:pPr>
            <w:pStyle w:val="BodyText"/>
            <w:tabs>
              <w:tab w:val="right" w:leader="dot" w:pos="9642"/>
            </w:tabs>
            <w:spacing w:before="33" w:line="186" w:lineRule="auto"/>
            <w:ind w:left="9"/>
            <w:rPr>
              <w:rFonts w:ascii="Times New Roman" w:eastAsia="Times New Roman" w:hAnsi="Times New Roman" w:cs="Times New Roman"/>
              <w:sz w:val="21"/>
              <w:szCs w:val="21"/>
            </w:rPr>
          </w:pPr>
          <w:r>
            <w:rPr>
              <w:spacing w:val="-1"/>
              <w:sz w:val="21"/>
              <w:szCs w:val="21"/>
            </w:rPr>
            <w:t xml:space="preserve">表 </w:t>
          </w:r>
          <w:r>
            <w:rPr>
              <w:rFonts w:ascii="Times New Roman" w:eastAsia="Times New Roman" w:hAnsi="Times New Roman" w:cs="Times New Roman"/>
              <w:spacing w:val="-1"/>
              <w:sz w:val="21"/>
              <w:szCs w:val="21"/>
            </w:rPr>
            <w:t>2:</w:t>
          </w:r>
          <w:r>
            <w:rPr>
              <w:spacing w:val="-1"/>
              <w:sz w:val="21"/>
              <w:szCs w:val="21"/>
            </w:rPr>
            <w:t xml:space="preserve">美国自金融危机后出台的强监管法案 </w:t>
          </w:r>
          <w:r>
            <w:rPr>
              <w:sz w:val="21"/>
              <w:szCs w:val="21"/>
            </w:rPr>
            <w:tab/>
          </w:r>
          <w:hyperlink w:anchor="bookmark29" w:history="1">
            <w:r>
              <w:rPr>
                <w:rFonts w:ascii="Times New Roman" w:eastAsia="Times New Roman" w:hAnsi="Times New Roman" w:cs="Times New Roman"/>
                <w:spacing w:val="1"/>
                <w:sz w:val="21"/>
                <w:szCs w:val="21"/>
              </w:rPr>
              <w:t>4</w:t>
            </w:r>
          </w:hyperlink>
        </w:p>
        <w:p>
          <w:pPr>
            <w:pStyle w:val="BodyText"/>
            <w:tabs>
              <w:tab w:val="right" w:leader="dot" w:pos="9642"/>
            </w:tabs>
            <w:spacing w:before="34" w:line="195" w:lineRule="auto"/>
            <w:ind w:left="9"/>
            <w:rPr>
              <w:rFonts w:ascii="Times New Roman" w:eastAsia="Times New Roman" w:hAnsi="Times New Roman" w:cs="Times New Roman"/>
              <w:sz w:val="21"/>
              <w:szCs w:val="21"/>
            </w:rPr>
          </w:pPr>
          <w:r>
            <w:rPr>
              <w:spacing w:val="-1"/>
              <w:sz w:val="21"/>
              <w:szCs w:val="21"/>
            </w:rPr>
            <w:t xml:space="preserve">表 </w:t>
          </w:r>
          <w:r>
            <w:rPr>
              <w:rFonts w:ascii="Times New Roman" w:eastAsia="Times New Roman" w:hAnsi="Times New Roman" w:cs="Times New Roman"/>
              <w:spacing w:val="-1"/>
              <w:sz w:val="21"/>
              <w:szCs w:val="21"/>
            </w:rPr>
            <w:t>3:</w:t>
          </w:r>
          <w:r>
            <w:rPr>
              <w:spacing w:val="-1"/>
              <w:sz w:val="21"/>
              <w:szCs w:val="21"/>
            </w:rPr>
            <w:t xml:space="preserve">香港巩固联系汇率制度的七项技术性措施 </w:t>
          </w:r>
          <w:r>
            <w:rPr>
              <w:sz w:val="21"/>
              <w:szCs w:val="21"/>
            </w:rPr>
            <w:tab/>
          </w:r>
          <w:hyperlink w:anchor="bookmark30" w:history="1">
            <w:r>
              <w:rPr>
                <w:rFonts w:ascii="Times New Roman" w:eastAsia="Times New Roman" w:hAnsi="Times New Roman" w:cs="Times New Roman"/>
                <w:spacing w:val="1"/>
                <w:sz w:val="21"/>
                <w:szCs w:val="21"/>
              </w:rPr>
              <w:t>9</w:t>
            </w:r>
          </w:hyperlink>
        </w:p>
        <w:p>
          <w:pPr>
            <w:pStyle w:val="BodyText"/>
            <w:tabs>
              <w:tab w:val="right" w:leader="dot" w:pos="9642"/>
            </w:tabs>
            <w:spacing w:before="19" w:line="196" w:lineRule="auto"/>
            <w:ind w:left="9"/>
            <w:rPr>
              <w:rFonts w:ascii="Times New Roman" w:eastAsia="Times New Roman" w:hAnsi="Times New Roman" w:cs="Times New Roman"/>
              <w:sz w:val="21"/>
              <w:szCs w:val="21"/>
            </w:rPr>
          </w:pPr>
          <w:r>
            <w:rPr>
              <w:spacing w:val="-1"/>
              <w:sz w:val="21"/>
              <w:szCs w:val="21"/>
            </w:rPr>
            <w:t xml:space="preserve">表 </w:t>
          </w:r>
          <w:r>
            <w:rPr>
              <w:rFonts w:ascii="Times New Roman" w:eastAsia="Times New Roman" w:hAnsi="Times New Roman" w:cs="Times New Roman"/>
              <w:spacing w:val="-1"/>
              <w:sz w:val="21"/>
              <w:szCs w:val="21"/>
            </w:rPr>
            <w:t>4:</w:t>
          </w:r>
          <w:r>
            <w:rPr>
              <w:spacing w:val="-1"/>
              <w:sz w:val="21"/>
              <w:szCs w:val="21"/>
            </w:rPr>
            <w:t>日本三次平准基金设立概况</w:t>
          </w:r>
          <w:r>
            <w:rPr>
              <w:spacing w:val="-9"/>
              <w:sz w:val="21"/>
              <w:szCs w:val="21"/>
            </w:rPr>
            <w:t xml:space="preserve"> </w:t>
          </w:r>
          <w:r>
            <w:rPr>
              <w:sz w:val="21"/>
              <w:szCs w:val="21"/>
            </w:rPr>
            <w:tab/>
          </w:r>
          <w:hyperlink w:anchor="bookmark31" w:history="1">
            <w:r>
              <w:rPr>
                <w:rFonts w:ascii="Times New Roman" w:eastAsia="Times New Roman" w:hAnsi="Times New Roman" w:cs="Times New Roman"/>
                <w:spacing w:val="1"/>
                <w:sz w:val="21"/>
                <w:szCs w:val="21"/>
              </w:rPr>
              <w:t>13</w:t>
            </w:r>
          </w:hyperlink>
        </w:p>
      </w:sdtContent>
    </w:sdt>
    <w:p>
      <w:pPr>
        <w:spacing w:line="196" w:lineRule="auto"/>
        <w:rPr>
          <w:rFonts w:ascii="Times New Roman" w:eastAsia="Times New Roman" w:hAnsi="Times New Roman" w:cs="Times New Roman"/>
          <w:sz w:val="21"/>
          <w:szCs w:val="21"/>
        </w:rPr>
        <w:sectPr>
          <w:headerReference w:type="default" r:id="rId14"/>
          <w:footerReference w:type="default" r:id="rId15"/>
          <w:type w:val="nextPage"/>
          <w:pgSz w:w="11907" w:h="16839"/>
          <w:pgMar w:top="1945" w:right="1115" w:bottom="1415" w:left="1130" w:header="900" w:footer="1177" w:gutter="0"/>
          <w:pgNumType w:start="4"/>
          <w:cols w:space="708"/>
          <w:titlePg w:val="0"/>
        </w:sectPr>
      </w:pPr>
    </w:p>
    <w:p>
      <w:pPr>
        <w:spacing w:line="300" w:lineRule="auto"/>
        <w:rPr>
          <w:rFonts w:ascii="Arial"/>
          <w:sz w:val="21"/>
        </w:rPr>
      </w:pPr>
      <w:r>
        <w:pict>
          <v:rect id="_x0000_s1041" style="width:482.25pt;height:0.75pt;margin-top:766.8pt;margin-left:57.3pt;mso-position-horizontal-relative:page;mso-position-vertical-relative:page;position:absolute;z-index:251669504" o:allowincell="f" filled="t" fillcolor="#044e7e" stroked="f"/>
        </w:pict>
      </w:r>
      <w:r>
        <w:pict>
          <v:rect id="_x0000_s1042" style="width:482.25pt;height:2.05pt;margin-top:781.55pt;margin-left:57.3pt;mso-position-horizontal-relative:page;mso-position-vertical-relative:page;position:absolute;z-index:251668480" o:allowincell="f" filled="t" fillcolor="#044e7e" stroked="f"/>
        </w:pict>
      </w:r>
      <w:r>
        <w:pict>
          <v:shape id="_x0000_s1043" style="width:482.25pt;height:0.75pt;margin-top:78.8pt;margin-left:56.55pt;mso-position-horizontal-relative:page;mso-position-vertical-relative:page;position:absolute;z-index:251670528" coordorigin="0,0" coordsize="9645,15" o:allowincell="f" path="m,15l9645,15l9645,l,l,15xe" filled="t" fillcolor="#044e7e" stroked="f"/>
        </w:pict>
      </w:r>
    </w:p>
    <w:sdt>
      <w:sdtPr>
        <w:rPr>
          <w:rFonts w:ascii="Microsoft YaHei" w:eastAsia="Microsoft YaHei" w:hAnsi="Microsoft YaHei" w:cs="Microsoft YaHei"/>
          <w:sz w:val="28"/>
          <w:szCs w:val="28"/>
        </w:rPr>
        <w:id w:val="1452258852"/>
        <w:docPartObj>
          <w:docPartGallery w:val="Table of Contents"/>
          <w:docPartUnique/>
        </w:docPartObj>
      </w:sdtPr>
      <w:sdtEndPr>
        <w:rPr>
          <w:rFonts w:ascii="Times New Roman" w:eastAsia="Times New Roman" w:hAnsi="Times New Roman" w:cs="Times New Roman"/>
          <w:sz w:val="21"/>
          <w:szCs w:val="21"/>
        </w:rPr>
      </w:sdtEndPr>
      <w:sdtContent>
        <w:p>
          <w:pPr>
            <w:pStyle w:val="BodyText"/>
            <w:spacing w:before="120" w:line="187" w:lineRule="auto"/>
            <w:ind w:left="4429"/>
            <w:rPr>
              <w:sz w:val="28"/>
              <w:szCs w:val="28"/>
            </w:rPr>
          </w:pPr>
          <w:bookmarkStart w:id="1" w:name="bookmark32"/>
          <w:bookmarkEnd w:id="1"/>
          <w:bookmarkStart w:id="2" w:name="bookmark6"/>
          <w:bookmarkEnd w:id="2"/>
          <w:r>
            <w:rPr>
              <w:color w:val="044E7E"/>
              <w:spacing w:val="-6"/>
              <w:sz w:val="28"/>
              <w:szCs w:val="28"/>
            </w:rPr>
            <w:t>图目录</w:t>
          </w:r>
        </w:p>
        <w:p>
          <w:pPr>
            <w:pStyle w:val="BodyText"/>
            <w:tabs>
              <w:tab w:val="right" w:leader="dot" w:pos="9642"/>
            </w:tabs>
            <w:spacing w:before="129" w:line="181" w:lineRule="auto"/>
            <w:ind w:left="30"/>
            <w:rPr>
              <w:rFonts w:ascii="Times New Roman" w:eastAsia="Times New Roman" w:hAnsi="Times New Roman" w:cs="Times New Roman"/>
              <w:sz w:val="21"/>
              <w:szCs w:val="21"/>
            </w:rPr>
          </w:pPr>
          <w:r>
            <w:rPr>
              <w:spacing w:val="-5"/>
              <w:sz w:val="21"/>
              <w:szCs w:val="21"/>
            </w:rPr>
            <w:t>图</w:t>
          </w:r>
          <w:r>
            <w:rPr>
              <w:spacing w:val="33"/>
              <w:w w:val="101"/>
              <w:sz w:val="21"/>
              <w:szCs w:val="21"/>
            </w:rPr>
            <w:t xml:space="preserve"> </w:t>
          </w:r>
          <w:r>
            <w:rPr>
              <w:rFonts w:ascii="Times New Roman" w:eastAsia="Times New Roman" w:hAnsi="Times New Roman" w:cs="Times New Roman"/>
              <w:spacing w:val="-5"/>
              <w:sz w:val="21"/>
              <w:szCs w:val="21"/>
            </w:rPr>
            <w:t>1:</w:t>
          </w:r>
          <w:r>
            <w:rPr>
              <w:spacing w:val="-5"/>
              <w:sz w:val="21"/>
              <w:szCs w:val="21"/>
            </w:rPr>
            <w:t xml:space="preserve">美国 </w:t>
          </w:r>
          <w:r>
            <w:rPr>
              <w:rFonts w:ascii="Times New Roman" w:eastAsia="Times New Roman" w:hAnsi="Times New Roman" w:cs="Times New Roman"/>
              <w:spacing w:val="-5"/>
              <w:sz w:val="21"/>
              <w:szCs w:val="21"/>
            </w:rPr>
            <w:t xml:space="preserve">FHFA </w:t>
          </w:r>
          <w:r>
            <w:rPr>
              <w:spacing w:val="-5"/>
              <w:sz w:val="21"/>
              <w:szCs w:val="21"/>
            </w:rPr>
            <w:t xml:space="preserve">房价指数（季调） </w:t>
          </w:r>
          <w:r>
            <w:rPr>
              <w:sz w:val="21"/>
              <w:szCs w:val="21"/>
            </w:rPr>
            <w:tab/>
          </w:r>
          <w:hyperlink w:anchor="bookmark2" w:history="1">
            <w:r>
              <w:rPr>
                <w:rFonts w:ascii="Times New Roman" w:eastAsia="Times New Roman" w:hAnsi="Times New Roman" w:cs="Times New Roman"/>
                <w:spacing w:val="1"/>
                <w:sz w:val="21"/>
                <w:szCs w:val="21"/>
              </w:rPr>
              <w:t>1</w:t>
            </w:r>
          </w:hyperlink>
        </w:p>
        <w:p>
          <w:pPr>
            <w:pStyle w:val="BodyText"/>
            <w:tabs>
              <w:tab w:val="right" w:leader="dot" w:pos="9642"/>
            </w:tabs>
            <w:spacing w:before="41" w:line="191" w:lineRule="auto"/>
            <w:ind w:left="30"/>
            <w:rPr>
              <w:rFonts w:ascii="Times New Roman" w:eastAsia="Times New Roman" w:hAnsi="Times New Roman" w:cs="Times New Roman"/>
              <w:sz w:val="21"/>
              <w:szCs w:val="21"/>
            </w:rPr>
          </w:pPr>
          <w:r>
            <w:rPr>
              <w:spacing w:val="-3"/>
              <w:sz w:val="21"/>
              <w:szCs w:val="21"/>
            </w:rPr>
            <w:t xml:space="preserve">图 </w:t>
          </w:r>
          <w:r>
            <w:rPr>
              <w:rFonts w:ascii="Times New Roman" w:eastAsia="Times New Roman" w:hAnsi="Times New Roman" w:cs="Times New Roman"/>
              <w:spacing w:val="-3"/>
              <w:sz w:val="21"/>
              <w:szCs w:val="21"/>
            </w:rPr>
            <w:t>2:</w:t>
          </w:r>
          <w:r>
            <w:rPr>
              <w:spacing w:val="-3"/>
              <w:sz w:val="21"/>
              <w:szCs w:val="21"/>
            </w:rPr>
            <w:t>美国不良贷款率（</w:t>
          </w:r>
          <w:r>
            <w:rPr>
              <w:rFonts w:ascii="Times New Roman" w:eastAsia="Times New Roman" w:hAnsi="Times New Roman" w:cs="Times New Roman"/>
              <w:spacing w:val="-3"/>
              <w:sz w:val="21"/>
              <w:szCs w:val="21"/>
            </w:rPr>
            <w:t>%</w:t>
          </w:r>
          <w:r>
            <w:rPr>
              <w:spacing w:val="-3"/>
              <w:sz w:val="21"/>
              <w:szCs w:val="21"/>
            </w:rPr>
            <w:t>）</w:t>
          </w:r>
          <w:r>
            <w:rPr>
              <w:spacing w:val="-25"/>
              <w:sz w:val="21"/>
              <w:szCs w:val="21"/>
            </w:rPr>
            <w:t xml:space="preserve"> </w:t>
          </w:r>
          <w:r>
            <w:rPr>
              <w:sz w:val="21"/>
              <w:szCs w:val="21"/>
            </w:rPr>
            <w:tab/>
          </w:r>
          <w:hyperlink w:anchor="bookmark3" w:history="1">
            <w:r>
              <w:rPr>
                <w:rFonts w:ascii="Times New Roman" w:eastAsia="Times New Roman" w:hAnsi="Times New Roman" w:cs="Times New Roman"/>
                <w:spacing w:val="1"/>
                <w:sz w:val="21"/>
                <w:szCs w:val="21"/>
              </w:rPr>
              <w:t>1</w:t>
            </w:r>
          </w:hyperlink>
        </w:p>
        <w:p>
          <w:pPr>
            <w:pStyle w:val="BodyText"/>
            <w:tabs>
              <w:tab w:val="right" w:leader="dot" w:pos="9642"/>
            </w:tabs>
            <w:spacing w:before="25" w:line="191" w:lineRule="auto"/>
            <w:ind w:left="30"/>
            <w:rPr>
              <w:rFonts w:ascii="Times New Roman" w:eastAsia="Times New Roman" w:hAnsi="Times New Roman" w:cs="Times New Roman"/>
              <w:sz w:val="21"/>
              <w:szCs w:val="21"/>
            </w:rPr>
          </w:pPr>
          <w:r>
            <w:rPr>
              <w:spacing w:val="-2"/>
              <w:sz w:val="21"/>
              <w:szCs w:val="21"/>
            </w:rPr>
            <w:t xml:space="preserve">图 </w:t>
          </w:r>
          <w:r>
            <w:rPr>
              <w:rFonts w:ascii="Times New Roman" w:eastAsia="Times New Roman" w:hAnsi="Times New Roman" w:cs="Times New Roman"/>
              <w:spacing w:val="-2"/>
              <w:sz w:val="21"/>
              <w:szCs w:val="21"/>
            </w:rPr>
            <w:t>3:</w:t>
          </w:r>
          <w:r>
            <w:rPr>
              <w:spacing w:val="-2"/>
              <w:sz w:val="21"/>
              <w:szCs w:val="21"/>
            </w:rPr>
            <w:t xml:space="preserve">美国 </w:t>
          </w:r>
          <w:r>
            <w:rPr>
              <w:rFonts w:ascii="Times New Roman" w:eastAsia="Times New Roman" w:hAnsi="Times New Roman" w:cs="Times New Roman"/>
              <w:spacing w:val="-2"/>
              <w:sz w:val="21"/>
              <w:szCs w:val="21"/>
            </w:rPr>
            <w:t xml:space="preserve">2008 </w:t>
          </w:r>
          <w:r>
            <w:rPr>
              <w:spacing w:val="-2"/>
              <w:sz w:val="21"/>
              <w:szCs w:val="21"/>
            </w:rPr>
            <w:t>年金融危机前后联邦基金利率走势（</w:t>
          </w:r>
          <w:r>
            <w:rPr>
              <w:rFonts w:ascii="Times New Roman" w:eastAsia="Times New Roman" w:hAnsi="Times New Roman" w:cs="Times New Roman"/>
              <w:spacing w:val="-2"/>
              <w:sz w:val="21"/>
              <w:szCs w:val="21"/>
            </w:rPr>
            <w:t>%</w:t>
          </w:r>
          <w:r>
            <w:rPr>
              <w:spacing w:val="-2"/>
              <w:sz w:val="21"/>
              <w:szCs w:val="21"/>
            </w:rPr>
            <w:t>）</w:t>
          </w:r>
          <w:r>
            <w:rPr>
              <w:spacing w:val="-1"/>
              <w:sz w:val="21"/>
              <w:szCs w:val="21"/>
            </w:rPr>
            <w:t xml:space="preserve"> </w:t>
          </w:r>
          <w:r>
            <w:rPr>
              <w:sz w:val="21"/>
              <w:szCs w:val="21"/>
            </w:rPr>
            <w:tab/>
          </w:r>
          <w:hyperlink w:anchor="bookmark32" w:history="1">
            <w:r>
              <w:rPr>
                <w:rFonts w:ascii="Times New Roman" w:eastAsia="Times New Roman" w:hAnsi="Times New Roman" w:cs="Times New Roman"/>
                <w:spacing w:val="1"/>
                <w:sz w:val="21"/>
                <w:szCs w:val="21"/>
              </w:rPr>
              <w:t>3</w:t>
            </w:r>
          </w:hyperlink>
        </w:p>
        <w:p>
          <w:pPr>
            <w:pStyle w:val="BodyText"/>
            <w:tabs>
              <w:tab w:val="right" w:leader="dot" w:pos="9642"/>
            </w:tabs>
            <w:spacing w:before="23" w:line="186" w:lineRule="auto"/>
            <w:ind w:left="30"/>
            <w:rPr>
              <w:rFonts w:ascii="Times New Roman" w:eastAsia="Times New Roman" w:hAnsi="Times New Roman" w:cs="Times New Roman"/>
              <w:sz w:val="21"/>
              <w:szCs w:val="21"/>
            </w:rPr>
          </w:pPr>
          <w:r>
            <w:rPr>
              <w:spacing w:val="-3"/>
              <w:sz w:val="21"/>
              <w:szCs w:val="21"/>
            </w:rPr>
            <w:t xml:space="preserve">图 </w:t>
          </w:r>
          <w:r>
            <w:rPr>
              <w:rFonts w:ascii="Times New Roman" w:eastAsia="Times New Roman" w:hAnsi="Times New Roman" w:cs="Times New Roman"/>
              <w:spacing w:val="-3"/>
              <w:sz w:val="21"/>
              <w:szCs w:val="21"/>
            </w:rPr>
            <w:t>4:</w:t>
          </w:r>
          <w:r>
            <w:rPr>
              <w:spacing w:val="-3"/>
              <w:sz w:val="21"/>
              <w:szCs w:val="21"/>
            </w:rPr>
            <w:t>量化宽松生效路径</w:t>
          </w:r>
          <w:r>
            <w:rPr>
              <w:spacing w:val="-16"/>
              <w:sz w:val="21"/>
              <w:szCs w:val="21"/>
            </w:rPr>
            <w:t xml:space="preserve"> </w:t>
          </w:r>
          <w:r>
            <w:rPr>
              <w:sz w:val="21"/>
              <w:szCs w:val="21"/>
            </w:rPr>
            <w:tab/>
          </w:r>
          <w:hyperlink w:anchor="bookmark32" w:history="1">
            <w:r>
              <w:rPr>
                <w:rFonts w:ascii="Times New Roman" w:eastAsia="Times New Roman" w:hAnsi="Times New Roman" w:cs="Times New Roman"/>
                <w:spacing w:val="1"/>
                <w:sz w:val="21"/>
                <w:szCs w:val="21"/>
              </w:rPr>
              <w:t>3</w:t>
            </w:r>
          </w:hyperlink>
        </w:p>
        <w:p>
          <w:pPr>
            <w:pStyle w:val="BodyText"/>
            <w:tabs>
              <w:tab w:val="right" w:leader="dot" w:pos="9642"/>
            </w:tabs>
            <w:spacing w:before="34" w:line="191" w:lineRule="auto"/>
            <w:ind w:left="30"/>
            <w:rPr>
              <w:rFonts w:ascii="Times New Roman" w:eastAsia="Times New Roman" w:hAnsi="Times New Roman" w:cs="Times New Roman"/>
              <w:sz w:val="21"/>
              <w:szCs w:val="21"/>
            </w:rPr>
          </w:pPr>
          <w:r>
            <w:rPr>
              <w:spacing w:val="-2"/>
              <w:sz w:val="21"/>
              <w:szCs w:val="21"/>
            </w:rPr>
            <w:t xml:space="preserve">图 </w:t>
          </w:r>
          <w:r>
            <w:rPr>
              <w:rFonts w:ascii="Times New Roman" w:eastAsia="Times New Roman" w:hAnsi="Times New Roman" w:cs="Times New Roman"/>
              <w:spacing w:val="-2"/>
              <w:sz w:val="21"/>
              <w:szCs w:val="21"/>
            </w:rPr>
            <w:t>5:</w:t>
          </w:r>
          <w:r>
            <w:rPr>
              <w:spacing w:val="-2"/>
              <w:sz w:val="21"/>
              <w:szCs w:val="21"/>
            </w:rPr>
            <w:t xml:space="preserve">美国金融危机发生前后 </w:t>
          </w:r>
          <w:r>
            <w:rPr>
              <w:rFonts w:ascii="Times New Roman" w:eastAsia="Times New Roman" w:hAnsi="Times New Roman" w:cs="Times New Roman"/>
              <w:spacing w:val="-2"/>
              <w:sz w:val="21"/>
              <w:szCs w:val="21"/>
            </w:rPr>
            <w:t xml:space="preserve">GDP </w:t>
          </w:r>
          <w:r>
            <w:rPr>
              <w:spacing w:val="-2"/>
              <w:sz w:val="21"/>
              <w:szCs w:val="21"/>
            </w:rPr>
            <w:t>增速（</w:t>
          </w:r>
          <w:r>
            <w:rPr>
              <w:rFonts w:ascii="Times New Roman" w:eastAsia="Times New Roman" w:hAnsi="Times New Roman" w:cs="Times New Roman"/>
              <w:spacing w:val="-2"/>
              <w:sz w:val="21"/>
              <w:szCs w:val="21"/>
            </w:rPr>
            <w:t>%</w:t>
          </w:r>
          <w:r>
            <w:rPr>
              <w:spacing w:val="-2"/>
              <w:sz w:val="21"/>
              <w:szCs w:val="21"/>
            </w:rPr>
            <w:t>）</w:t>
          </w:r>
          <w:r>
            <w:rPr>
              <w:spacing w:val="-19"/>
              <w:sz w:val="21"/>
              <w:szCs w:val="21"/>
            </w:rPr>
            <w:t xml:space="preserve"> </w:t>
          </w:r>
          <w:r>
            <w:rPr>
              <w:sz w:val="21"/>
              <w:szCs w:val="21"/>
            </w:rPr>
            <w:tab/>
          </w:r>
          <w:hyperlink w:anchor="bookmark6" w:history="1">
            <w:r>
              <w:rPr>
                <w:rFonts w:ascii="Times New Roman" w:eastAsia="Times New Roman" w:hAnsi="Times New Roman" w:cs="Times New Roman"/>
                <w:spacing w:val="1"/>
                <w:sz w:val="21"/>
                <w:szCs w:val="21"/>
              </w:rPr>
              <w:t>3</w:t>
            </w:r>
          </w:hyperlink>
        </w:p>
        <w:p>
          <w:pPr>
            <w:pStyle w:val="BodyText"/>
            <w:tabs>
              <w:tab w:val="right" w:leader="dot" w:pos="9642"/>
            </w:tabs>
            <w:spacing w:before="24" w:line="185" w:lineRule="auto"/>
            <w:ind w:left="30"/>
            <w:rPr>
              <w:rFonts w:ascii="Times New Roman" w:eastAsia="Times New Roman" w:hAnsi="Times New Roman" w:cs="Times New Roman"/>
              <w:sz w:val="21"/>
              <w:szCs w:val="21"/>
            </w:rPr>
          </w:pPr>
          <w:r>
            <w:rPr>
              <w:spacing w:val="-2"/>
              <w:sz w:val="21"/>
              <w:szCs w:val="21"/>
            </w:rPr>
            <w:t xml:space="preserve">图 </w:t>
          </w:r>
          <w:r>
            <w:rPr>
              <w:rFonts w:ascii="Times New Roman" w:eastAsia="Times New Roman" w:hAnsi="Times New Roman" w:cs="Times New Roman"/>
              <w:spacing w:val="-2"/>
              <w:sz w:val="21"/>
              <w:szCs w:val="21"/>
            </w:rPr>
            <w:t>6:</w:t>
          </w:r>
          <w:r>
            <w:rPr>
              <w:spacing w:val="-2"/>
              <w:sz w:val="21"/>
              <w:szCs w:val="21"/>
            </w:rPr>
            <w:t xml:space="preserve">美国金融危机发生前后标普 </w:t>
          </w:r>
          <w:r>
            <w:rPr>
              <w:rFonts w:ascii="Times New Roman" w:eastAsia="Times New Roman" w:hAnsi="Times New Roman" w:cs="Times New Roman"/>
              <w:spacing w:val="-2"/>
              <w:sz w:val="21"/>
              <w:szCs w:val="21"/>
            </w:rPr>
            <w:t xml:space="preserve">500 </w:t>
          </w:r>
          <w:r>
            <w:rPr>
              <w:spacing w:val="-3"/>
              <w:sz w:val="21"/>
              <w:szCs w:val="21"/>
            </w:rPr>
            <w:t xml:space="preserve">指数 </w:t>
          </w:r>
          <w:r>
            <w:rPr>
              <w:sz w:val="21"/>
              <w:szCs w:val="21"/>
            </w:rPr>
            <w:tab/>
          </w:r>
          <w:hyperlink w:anchor="bookmark6" w:history="1">
            <w:r>
              <w:rPr>
                <w:rFonts w:ascii="Times New Roman" w:eastAsia="Times New Roman" w:hAnsi="Times New Roman" w:cs="Times New Roman"/>
                <w:spacing w:val="1"/>
                <w:sz w:val="21"/>
                <w:szCs w:val="21"/>
              </w:rPr>
              <w:t>3</w:t>
            </w:r>
          </w:hyperlink>
        </w:p>
        <w:p>
          <w:pPr>
            <w:pStyle w:val="BodyText"/>
            <w:tabs>
              <w:tab w:val="right" w:leader="dot" w:pos="9642"/>
            </w:tabs>
            <w:spacing w:before="35" w:line="181" w:lineRule="auto"/>
            <w:ind w:left="30"/>
            <w:rPr>
              <w:rFonts w:ascii="Times New Roman" w:eastAsia="Times New Roman" w:hAnsi="Times New Roman" w:cs="Times New Roman"/>
              <w:sz w:val="21"/>
              <w:szCs w:val="21"/>
            </w:rPr>
          </w:pPr>
          <w:r>
            <w:rPr>
              <w:spacing w:val="-4"/>
              <w:sz w:val="21"/>
              <w:szCs w:val="21"/>
            </w:rPr>
            <w:t xml:space="preserve">图 </w:t>
          </w:r>
          <w:r>
            <w:rPr>
              <w:rFonts w:ascii="Times New Roman" w:eastAsia="Times New Roman" w:hAnsi="Times New Roman" w:cs="Times New Roman"/>
              <w:spacing w:val="-4"/>
              <w:sz w:val="21"/>
              <w:szCs w:val="21"/>
            </w:rPr>
            <w:t>7:</w:t>
          </w:r>
          <w:r>
            <w:rPr>
              <w:spacing w:val="-4"/>
              <w:sz w:val="21"/>
              <w:szCs w:val="21"/>
            </w:rPr>
            <w:t>美国金融危机发生前后财政赤字（十亿美元）</w:t>
          </w:r>
          <w:r>
            <w:rPr>
              <w:spacing w:val="59"/>
              <w:w w:val="101"/>
              <w:sz w:val="21"/>
              <w:szCs w:val="21"/>
            </w:rPr>
            <w:t xml:space="preserve"> </w:t>
          </w:r>
          <w:r>
            <w:rPr>
              <w:sz w:val="21"/>
              <w:szCs w:val="21"/>
            </w:rPr>
            <w:tab/>
          </w:r>
          <w:hyperlink w:anchor="bookmark33" w:history="1">
            <w:r>
              <w:rPr>
                <w:rFonts w:ascii="Times New Roman" w:eastAsia="Times New Roman" w:hAnsi="Times New Roman" w:cs="Times New Roman"/>
                <w:spacing w:val="1"/>
                <w:sz w:val="21"/>
                <w:szCs w:val="21"/>
              </w:rPr>
              <w:t>5</w:t>
            </w:r>
          </w:hyperlink>
        </w:p>
        <w:p>
          <w:pPr>
            <w:pStyle w:val="BodyText"/>
            <w:tabs>
              <w:tab w:val="right" w:leader="dot" w:pos="9642"/>
            </w:tabs>
            <w:spacing w:before="40" w:line="181" w:lineRule="auto"/>
            <w:ind w:left="30"/>
            <w:rPr>
              <w:rFonts w:ascii="Times New Roman" w:eastAsia="Times New Roman" w:hAnsi="Times New Roman" w:cs="Times New Roman"/>
              <w:sz w:val="21"/>
              <w:szCs w:val="21"/>
            </w:rPr>
          </w:pPr>
          <w:r>
            <w:rPr>
              <w:spacing w:val="-4"/>
              <w:sz w:val="21"/>
              <w:szCs w:val="21"/>
            </w:rPr>
            <w:t xml:space="preserve">图 </w:t>
          </w:r>
          <w:r>
            <w:rPr>
              <w:rFonts w:ascii="Times New Roman" w:eastAsia="Times New Roman" w:hAnsi="Times New Roman" w:cs="Times New Roman"/>
              <w:spacing w:val="-4"/>
              <w:sz w:val="21"/>
              <w:szCs w:val="21"/>
            </w:rPr>
            <w:t>8:</w:t>
          </w:r>
          <w:r>
            <w:rPr>
              <w:spacing w:val="-4"/>
              <w:sz w:val="21"/>
              <w:szCs w:val="21"/>
            </w:rPr>
            <w:t xml:space="preserve">美国金融危机发生前后国债水平（十亿美元）  </w:t>
          </w:r>
          <w:r>
            <w:rPr>
              <w:sz w:val="21"/>
              <w:szCs w:val="21"/>
            </w:rPr>
            <w:tab/>
          </w:r>
          <w:hyperlink w:anchor="bookmark34" w:history="1">
            <w:r>
              <w:rPr>
                <w:rFonts w:ascii="Times New Roman" w:eastAsia="Times New Roman" w:hAnsi="Times New Roman" w:cs="Times New Roman"/>
                <w:spacing w:val="1"/>
                <w:sz w:val="21"/>
                <w:szCs w:val="21"/>
              </w:rPr>
              <w:t>5</w:t>
            </w:r>
          </w:hyperlink>
        </w:p>
        <w:p>
          <w:pPr>
            <w:pStyle w:val="BodyText"/>
            <w:tabs>
              <w:tab w:val="right" w:leader="dot" w:pos="9642"/>
            </w:tabs>
            <w:spacing w:before="42" w:line="196" w:lineRule="auto"/>
            <w:ind w:left="30"/>
            <w:rPr>
              <w:rFonts w:ascii="Times New Roman" w:eastAsia="Times New Roman" w:hAnsi="Times New Roman" w:cs="Times New Roman"/>
              <w:sz w:val="21"/>
              <w:szCs w:val="21"/>
            </w:rPr>
          </w:pPr>
          <w:r>
            <w:rPr>
              <w:spacing w:val="-3"/>
              <w:sz w:val="21"/>
              <w:szCs w:val="21"/>
            </w:rPr>
            <w:t xml:space="preserve">图 </w:t>
          </w:r>
          <w:r>
            <w:rPr>
              <w:rFonts w:ascii="Times New Roman" w:eastAsia="Times New Roman" w:hAnsi="Times New Roman" w:cs="Times New Roman"/>
              <w:spacing w:val="-3"/>
              <w:sz w:val="21"/>
              <w:szCs w:val="21"/>
            </w:rPr>
            <w:t>9:</w:t>
          </w:r>
          <w:r>
            <w:rPr>
              <w:spacing w:val="-3"/>
              <w:sz w:val="21"/>
              <w:szCs w:val="21"/>
            </w:rPr>
            <w:t xml:space="preserve">香港 </w:t>
          </w:r>
          <w:r>
            <w:rPr>
              <w:rFonts w:ascii="Times New Roman" w:eastAsia="Times New Roman" w:hAnsi="Times New Roman" w:cs="Times New Roman"/>
              <w:spacing w:val="-3"/>
              <w:sz w:val="21"/>
              <w:szCs w:val="21"/>
            </w:rPr>
            <w:t xml:space="preserve">20 </w:t>
          </w:r>
          <w:r>
            <w:rPr>
              <w:spacing w:val="-3"/>
              <w:sz w:val="21"/>
              <w:szCs w:val="21"/>
            </w:rPr>
            <w:t xml:space="preserve">世纪以来汇率制度变迁 </w:t>
          </w:r>
          <w:r>
            <w:rPr>
              <w:sz w:val="21"/>
              <w:szCs w:val="21"/>
            </w:rPr>
            <w:tab/>
          </w:r>
          <w:hyperlink w:anchor="bookmark35" w:history="1">
            <w:r>
              <w:rPr>
                <w:rFonts w:ascii="Times New Roman" w:eastAsia="Times New Roman" w:hAnsi="Times New Roman" w:cs="Times New Roman"/>
                <w:spacing w:val="1"/>
                <w:sz w:val="21"/>
                <w:szCs w:val="21"/>
              </w:rPr>
              <w:t>7</w:t>
            </w:r>
          </w:hyperlink>
        </w:p>
        <w:p>
          <w:pPr>
            <w:pStyle w:val="BodyText"/>
            <w:tabs>
              <w:tab w:val="right" w:leader="dot" w:pos="9642"/>
            </w:tabs>
            <w:spacing w:before="16" w:line="197" w:lineRule="auto"/>
            <w:ind w:left="30"/>
            <w:rPr>
              <w:rFonts w:ascii="Times New Roman" w:eastAsia="Times New Roman" w:hAnsi="Times New Roman" w:cs="Times New Roman"/>
              <w:sz w:val="21"/>
              <w:szCs w:val="21"/>
            </w:rPr>
          </w:pPr>
          <w:r>
            <w:rPr>
              <w:spacing w:val="-6"/>
              <w:sz w:val="21"/>
              <w:szCs w:val="21"/>
            </w:rPr>
            <w:t>图</w:t>
          </w:r>
          <w:r>
            <w:rPr>
              <w:spacing w:val="23"/>
              <w:sz w:val="21"/>
              <w:szCs w:val="21"/>
            </w:rPr>
            <w:t xml:space="preserve"> </w:t>
          </w:r>
          <w:r>
            <w:rPr>
              <w:rFonts w:ascii="Times New Roman" w:eastAsia="Times New Roman" w:hAnsi="Times New Roman" w:cs="Times New Roman"/>
              <w:spacing w:val="-6"/>
              <w:sz w:val="21"/>
              <w:szCs w:val="21"/>
            </w:rPr>
            <w:t>10:</w:t>
          </w:r>
          <w:r>
            <w:rPr>
              <w:spacing w:val="-6"/>
              <w:sz w:val="21"/>
              <w:szCs w:val="21"/>
            </w:rPr>
            <w:t>港元兑换范围</w:t>
          </w:r>
          <w:r>
            <w:rPr>
              <w:spacing w:val="-17"/>
              <w:sz w:val="21"/>
              <w:szCs w:val="21"/>
            </w:rPr>
            <w:t xml:space="preserve"> </w:t>
          </w:r>
          <w:r>
            <w:rPr>
              <w:sz w:val="21"/>
              <w:szCs w:val="21"/>
            </w:rPr>
            <w:tab/>
          </w:r>
          <w:hyperlink w:anchor="bookmark36" w:history="1">
            <w:r>
              <w:rPr>
                <w:rFonts w:ascii="Times New Roman" w:eastAsia="Times New Roman" w:hAnsi="Times New Roman" w:cs="Times New Roman"/>
                <w:spacing w:val="1"/>
                <w:sz w:val="21"/>
                <w:szCs w:val="21"/>
              </w:rPr>
              <w:t>7</w:t>
            </w:r>
          </w:hyperlink>
        </w:p>
        <w:p>
          <w:pPr>
            <w:pStyle w:val="BodyText"/>
            <w:tabs>
              <w:tab w:val="right" w:leader="dot" w:pos="9642"/>
            </w:tabs>
            <w:spacing w:before="16" w:line="197" w:lineRule="auto"/>
            <w:ind w:left="30"/>
            <w:rPr>
              <w:rFonts w:ascii="Times New Roman" w:eastAsia="Times New Roman" w:hAnsi="Times New Roman" w:cs="Times New Roman"/>
              <w:sz w:val="21"/>
              <w:szCs w:val="21"/>
            </w:rPr>
          </w:pPr>
          <w:r>
            <w:rPr>
              <w:spacing w:val="-4"/>
              <w:sz w:val="21"/>
              <w:szCs w:val="21"/>
            </w:rPr>
            <w:t>图</w:t>
          </w:r>
          <w:r>
            <w:rPr>
              <w:spacing w:val="16"/>
              <w:sz w:val="21"/>
              <w:szCs w:val="21"/>
            </w:rPr>
            <w:t xml:space="preserve"> </w:t>
          </w:r>
          <w:r>
            <w:rPr>
              <w:rFonts w:ascii="Times New Roman" w:eastAsia="Times New Roman" w:hAnsi="Times New Roman" w:cs="Times New Roman"/>
              <w:spacing w:val="-4"/>
              <w:sz w:val="21"/>
              <w:szCs w:val="21"/>
            </w:rPr>
            <w:t>11:</w:t>
          </w:r>
          <w:r>
            <w:rPr>
              <w:spacing w:val="-4"/>
              <w:sz w:val="21"/>
              <w:szCs w:val="21"/>
            </w:rPr>
            <w:t>金管局履行兑换保证</w:t>
          </w:r>
          <w:r>
            <w:rPr>
              <w:spacing w:val="-14"/>
              <w:sz w:val="21"/>
              <w:szCs w:val="21"/>
            </w:rPr>
            <w:t xml:space="preserve"> </w:t>
          </w:r>
          <w:r>
            <w:rPr>
              <w:sz w:val="21"/>
              <w:szCs w:val="21"/>
            </w:rPr>
            <w:tab/>
          </w:r>
          <w:hyperlink w:anchor="bookmark37" w:history="1">
            <w:r>
              <w:rPr>
                <w:rFonts w:ascii="Times New Roman" w:eastAsia="Times New Roman" w:hAnsi="Times New Roman" w:cs="Times New Roman"/>
                <w:spacing w:val="1"/>
                <w:sz w:val="21"/>
                <w:szCs w:val="21"/>
              </w:rPr>
              <w:t>7</w:t>
            </w:r>
          </w:hyperlink>
        </w:p>
        <w:p>
          <w:pPr>
            <w:pStyle w:val="BodyText"/>
            <w:tabs>
              <w:tab w:val="right" w:leader="dot" w:pos="9642"/>
            </w:tabs>
            <w:spacing w:before="18" w:line="196" w:lineRule="auto"/>
            <w:ind w:left="30"/>
            <w:rPr>
              <w:rFonts w:ascii="Times New Roman" w:eastAsia="Times New Roman" w:hAnsi="Times New Roman" w:cs="Times New Roman"/>
              <w:sz w:val="21"/>
              <w:szCs w:val="21"/>
            </w:rPr>
          </w:pPr>
          <w:r>
            <w:rPr>
              <w:spacing w:val="-2"/>
              <w:sz w:val="21"/>
              <w:szCs w:val="21"/>
            </w:rPr>
            <w:t>图</w:t>
          </w:r>
          <w:r>
            <w:rPr>
              <w:spacing w:val="16"/>
              <w:sz w:val="21"/>
              <w:szCs w:val="21"/>
            </w:rPr>
            <w:t xml:space="preserve"> </w:t>
          </w:r>
          <w:r>
            <w:rPr>
              <w:rFonts w:ascii="Times New Roman" w:eastAsia="Times New Roman" w:hAnsi="Times New Roman" w:cs="Times New Roman"/>
              <w:spacing w:val="-2"/>
              <w:sz w:val="21"/>
              <w:szCs w:val="21"/>
            </w:rPr>
            <w:t>12:</w:t>
          </w:r>
          <w:r>
            <w:rPr>
              <w:spacing w:val="-2"/>
              <w:sz w:val="21"/>
              <w:szCs w:val="21"/>
            </w:rPr>
            <w:t>国际游资在外汇和股票市场双线布</w:t>
          </w:r>
          <w:r>
            <w:rPr>
              <w:spacing w:val="-3"/>
              <w:sz w:val="21"/>
              <w:szCs w:val="21"/>
            </w:rPr>
            <w:t xml:space="preserve">局示意图 </w:t>
          </w:r>
          <w:r>
            <w:rPr>
              <w:sz w:val="21"/>
              <w:szCs w:val="21"/>
            </w:rPr>
            <w:tab/>
          </w:r>
          <w:hyperlink w:anchor="bookmark38" w:history="1">
            <w:r>
              <w:rPr>
                <w:rFonts w:ascii="Times New Roman" w:eastAsia="Times New Roman" w:hAnsi="Times New Roman" w:cs="Times New Roman"/>
                <w:spacing w:val="1"/>
                <w:sz w:val="21"/>
                <w:szCs w:val="21"/>
              </w:rPr>
              <w:t>8</w:t>
            </w:r>
          </w:hyperlink>
        </w:p>
        <w:p>
          <w:pPr>
            <w:pStyle w:val="BodyText"/>
            <w:tabs>
              <w:tab w:val="right" w:leader="dot" w:pos="9642"/>
            </w:tabs>
            <w:spacing w:before="17" w:line="185" w:lineRule="auto"/>
            <w:ind w:left="30"/>
            <w:rPr>
              <w:rFonts w:ascii="Times New Roman" w:eastAsia="Times New Roman" w:hAnsi="Times New Roman" w:cs="Times New Roman"/>
              <w:sz w:val="21"/>
              <w:szCs w:val="21"/>
            </w:rPr>
          </w:pPr>
          <w:r>
            <w:rPr>
              <w:spacing w:val="-6"/>
              <w:sz w:val="21"/>
              <w:szCs w:val="21"/>
            </w:rPr>
            <w:t>图</w:t>
          </w:r>
          <w:r>
            <w:rPr>
              <w:spacing w:val="17"/>
              <w:sz w:val="21"/>
              <w:szCs w:val="21"/>
            </w:rPr>
            <w:t xml:space="preserve"> </w:t>
          </w:r>
          <w:r>
            <w:rPr>
              <w:rFonts w:ascii="Times New Roman" w:eastAsia="Times New Roman" w:hAnsi="Times New Roman" w:cs="Times New Roman"/>
              <w:spacing w:val="-6"/>
              <w:sz w:val="21"/>
              <w:szCs w:val="21"/>
            </w:rPr>
            <w:t xml:space="preserve">13:1998 </w:t>
          </w:r>
          <w:r>
            <w:rPr>
              <w:spacing w:val="-6"/>
              <w:sz w:val="21"/>
              <w:szCs w:val="21"/>
            </w:rPr>
            <w:t xml:space="preserve">年 </w:t>
          </w:r>
          <w:r>
            <w:rPr>
              <w:rFonts w:ascii="Times New Roman" w:eastAsia="Times New Roman" w:hAnsi="Times New Roman" w:cs="Times New Roman"/>
              <w:spacing w:val="-6"/>
              <w:sz w:val="21"/>
              <w:szCs w:val="21"/>
            </w:rPr>
            <w:t>8</w:t>
          </w:r>
          <w:r>
            <w:rPr>
              <w:rFonts w:ascii="Times New Roman" w:eastAsia="Times New Roman" w:hAnsi="Times New Roman" w:cs="Times New Roman"/>
              <w:spacing w:val="11"/>
              <w:sz w:val="21"/>
              <w:szCs w:val="21"/>
            </w:rPr>
            <w:t xml:space="preserve"> </w:t>
          </w:r>
          <w:r>
            <w:rPr>
              <w:spacing w:val="-6"/>
              <w:sz w:val="21"/>
              <w:szCs w:val="21"/>
            </w:rPr>
            <w:t xml:space="preserve">月 </w:t>
          </w:r>
          <w:r>
            <w:rPr>
              <w:rFonts w:ascii="Times New Roman" w:eastAsia="Times New Roman" w:hAnsi="Times New Roman" w:cs="Times New Roman"/>
              <w:spacing w:val="-6"/>
              <w:sz w:val="21"/>
              <w:szCs w:val="21"/>
            </w:rPr>
            <w:t xml:space="preserve">5  </w:t>
          </w:r>
          <w:r>
            <w:rPr>
              <w:spacing w:val="-6"/>
              <w:sz w:val="21"/>
              <w:szCs w:val="21"/>
            </w:rPr>
            <w:t xml:space="preserve">日至 </w:t>
          </w:r>
          <w:r>
            <w:rPr>
              <w:rFonts w:ascii="Times New Roman" w:eastAsia="Times New Roman" w:hAnsi="Times New Roman" w:cs="Times New Roman"/>
              <w:spacing w:val="-6"/>
              <w:sz w:val="21"/>
              <w:szCs w:val="21"/>
            </w:rPr>
            <w:t>8</w:t>
          </w:r>
          <w:r>
            <w:rPr>
              <w:rFonts w:ascii="Times New Roman" w:eastAsia="Times New Roman" w:hAnsi="Times New Roman" w:cs="Times New Roman"/>
              <w:spacing w:val="13"/>
              <w:w w:val="101"/>
              <w:sz w:val="21"/>
              <w:szCs w:val="21"/>
            </w:rPr>
            <w:t xml:space="preserve"> </w:t>
          </w:r>
          <w:r>
            <w:rPr>
              <w:spacing w:val="-6"/>
              <w:sz w:val="21"/>
              <w:szCs w:val="21"/>
            </w:rPr>
            <w:t xml:space="preserve">月 </w:t>
          </w:r>
          <w:r>
            <w:rPr>
              <w:rFonts w:ascii="Times New Roman" w:eastAsia="Times New Roman" w:hAnsi="Times New Roman" w:cs="Times New Roman"/>
              <w:spacing w:val="-6"/>
              <w:sz w:val="21"/>
              <w:szCs w:val="21"/>
            </w:rPr>
            <w:t xml:space="preserve">28  </w:t>
          </w:r>
          <w:r>
            <w:rPr>
              <w:spacing w:val="-6"/>
              <w:sz w:val="21"/>
              <w:szCs w:val="21"/>
            </w:rPr>
            <w:t>日美元兑港币汇率走势</w:t>
          </w:r>
          <w:r>
            <w:rPr>
              <w:spacing w:val="-50"/>
              <w:sz w:val="21"/>
              <w:szCs w:val="21"/>
            </w:rPr>
            <w:t xml:space="preserve"> </w:t>
          </w:r>
          <w:r>
            <w:rPr>
              <w:sz w:val="21"/>
              <w:szCs w:val="21"/>
            </w:rPr>
            <w:tab/>
          </w:r>
          <w:hyperlink w:anchor="bookmark39" w:history="1">
            <w:r>
              <w:rPr>
                <w:rFonts w:ascii="Times New Roman" w:eastAsia="Times New Roman" w:hAnsi="Times New Roman" w:cs="Times New Roman"/>
                <w:spacing w:val="1"/>
                <w:sz w:val="21"/>
                <w:szCs w:val="21"/>
              </w:rPr>
              <w:t>10</w:t>
            </w:r>
          </w:hyperlink>
        </w:p>
        <w:p>
          <w:pPr>
            <w:pStyle w:val="BodyText"/>
            <w:tabs>
              <w:tab w:val="right" w:leader="dot" w:pos="9642"/>
            </w:tabs>
            <w:spacing w:before="34" w:line="185" w:lineRule="auto"/>
            <w:ind w:left="30"/>
            <w:rPr>
              <w:rFonts w:ascii="Times New Roman" w:eastAsia="Times New Roman" w:hAnsi="Times New Roman" w:cs="Times New Roman"/>
              <w:sz w:val="21"/>
              <w:szCs w:val="21"/>
            </w:rPr>
          </w:pPr>
          <w:r>
            <w:rPr>
              <w:spacing w:val="-6"/>
              <w:sz w:val="21"/>
              <w:szCs w:val="21"/>
            </w:rPr>
            <w:t>图</w:t>
          </w:r>
          <w:r>
            <w:rPr>
              <w:spacing w:val="16"/>
              <w:sz w:val="21"/>
              <w:szCs w:val="21"/>
            </w:rPr>
            <w:t xml:space="preserve"> </w:t>
          </w:r>
          <w:r>
            <w:rPr>
              <w:rFonts w:ascii="Times New Roman" w:eastAsia="Times New Roman" w:hAnsi="Times New Roman" w:cs="Times New Roman"/>
              <w:spacing w:val="-6"/>
              <w:sz w:val="21"/>
              <w:szCs w:val="21"/>
            </w:rPr>
            <w:t xml:space="preserve">14:1998 </w:t>
          </w:r>
          <w:r>
            <w:rPr>
              <w:spacing w:val="-6"/>
              <w:sz w:val="21"/>
              <w:szCs w:val="21"/>
            </w:rPr>
            <w:t xml:space="preserve">年 </w:t>
          </w:r>
          <w:r>
            <w:rPr>
              <w:rFonts w:ascii="Times New Roman" w:eastAsia="Times New Roman" w:hAnsi="Times New Roman" w:cs="Times New Roman"/>
              <w:spacing w:val="-6"/>
              <w:sz w:val="21"/>
              <w:szCs w:val="21"/>
            </w:rPr>
            <w:t>8</w:t>
          </w:r>
          <w:r>
            <w:rPr>
              <w:rFonts w:ascii="Times New Roman" w:eastAsia="Times New Roman" w:hAnsi="Times New Roman" w:cs="Times New Roman"/>
              <w:spacing w:val="11"/>
              <w:sz w:val="21"/>
              <w:szCs w:val="21"/>
            </w:rPr>
            <w:t xml:space="preserve"> </w:t>
          </w:r>
          <w:r>
            <w:rPr>
              <w:spacing w:val="-6"/>
              <w:sz w:val="21"/>
              <w:szCs w:val="21"/>
            </w:rPr>
            <w:t xml:space="preserve">月 </w:t>
          </w:r>
          <w:r>
            <w:rPr>
              <w:rFonts w:ascii="Times New Roman" w:eastAsia="Times New Roman" w:hAnsi="Times New Roman" w:cs="Times New Roman"/>
              <w:spacing w:val="-6"/>
              <w:sz w:val="21"/>
              <w:szCs w:val="21"/>
            </w:rPr>
            <w:t xml:space="preserve">5  </w:t>
          </w:r>
          <w:r>
            <w:rPr>
              <w:spacing w:val="-6"/>
              <w:sz w:val="21"/>
              <w:szCs w:val="21"/>
            </w:rPr>
            <w:t xml:space="preserve">日至 </w:t>
          </w:r>
          <w:r>
            <w:rPr>
              <w:rFonts w:ascii="Times New Roman" w:eastAsia="Times New Roman" w:hAnsi="Times New Roman" w:cs="Times New Roman"/>
              <w:spacing w:val="-6"/>
              <w:sz w:val="21"/>
              <w:szCs w:val="21"/>
            </w:rPr>
            <w:t>8</w:t>
          </w:r>
          <w:r>
            <w:rPr>
              <w:rFonts w:ascii="Times New Roman" w:eastAsia="Times New Roman" w:hAnsi="Times New Roman" w:cs="Times New Roman"/>
              <w:spacing w:val="14"/>
              <w:sz w:val="21"/>
              <w:szCs w:val="21"/>
            </w:rPr>
            <w:t xml:space="preserve"> </w:t>
          </w:r>
          <w:r>
            <w:rPr>
              <w:spacing w:val="-6"/>
              <w:sz w:val="21"/>
              <w:szCs w:val="21"/>
            </w:rPr>
            <w:t xml:space="preserve">月 </w:t>
          </w:r>
          <w:r>
            <w:rPr>
              <w:rFonts w:ascii="Times New Roman" w:eastAsia="Times New Roman" w:hAnsi="Times New Roman" w:cs="Times New Roman"/>
              <w:spacing w:val="-7"/>
              <w:sz w:val="21"/>
              <w:szCs w:val="21"/>
            </w:rPr>
            <w:t xml:space="preserve">28  </w:t>
          </w:r>
          <w:r>
            <w:rPr>
              <w:spacing w:val="-7"/>
              <w:sz w:val="21"/>
              <w:szCs w:val="21"/>
            </w:rPr>
            <w:t xml:space="preserve">日恒生指数走势 </w:t>
          </w:r>
          <w:r>
            <w:rPr>
              <w:sz w:val="21"/>
              <w:szCs w:val="21"/>
            </w:rPr>
            <w:tab/>
          </w:r>
          <w:hyperlink w:anchor="bookmark15" w:history="1">
            <w:r>
              <w:rPr>
                <w:rFonts w:ascii="Times New Roman" w:eastAsia="Times New Roman" w:hAnsi="Times New Roman" w:cs="Times New Roman"/>
                <w:spacing w:val="1"/>
                <w:sz w:val="21"/>
                <w:szCs w:val="21"/>
              </w:rPr>
              <w:t>10</w:t>
            </w:r>
          </w:hyperlink>
        </w:p>
        <w:p>
          <w:pPr>
            <w:pStyle w:val="BodyText"/>
            <w:tabs>
              <w:tab w:val="right" w:leader="dot" w:pos="9642"/>
            </w:tabs>
            <w:spacing w:before="35" w:line="191" w:lineRule="auto"/>
            <w:ind w:left="30"/>
            <w:rPr>
              <w:rFonts w:ascii="Times New Roman" w:eastAsia="Times New Roman" w:hAnsi="Times New Roman" w:cs="Times New Roman"/>
              <w:sz w:val="21"/>
              <w:szCs w:val="21"/>
            </w:rPr>
          </w:pPr>
          <w:r>
            <w:rPr>
              <w:spacing w:val="-5"/>
              <w:sz w:val="21"/>
              <w:szCs w:val="21"/>
            </w:rPr>
            <w:t>图</w:t>
          </w:r>
          <w:r>
            <w:rPr>
              <w:spacing w:val="16"/>
              <w:sz w:val="21"/>
              <w:szCs w:val="21"/>
            </w:rPr>
            <w:t xml:space="preserve"> </w:t>
          </w:r>
          <w:r>
            <w:rPr>
              <w:rFonts w:ascii="Times New Roman" w:eastAsia="Times New Roman" w:hAnsi="Times New Roman" w:cs="Times New Roman"/>
              <w:spacing w:val="-5"/>
              <w:sz w:val="21"/>
              <w:szCs w:val="21"/>
            </w:rPr>
            <w:t>15:</w:t>
          </w:r>
          <w:r>
            <w:rPr>
              <w:spacing w:val="-5"/>
              <w:sz w:val="21"/>
              <w:szCs w:val="21"/>
            </w:rPr>
            <w:t>泰国金融危机时期外汇储备（百万美元）</w:t>
          </w:r>
          <w:r>
            <w:rPr>
              <w:spacing w:val="55"/>
              <w:w w:val="101"/>
              <w:sz w:val="21"/>
              <w:szCs w:val="21"/>
            </w:rPr>
            <w:t xml:space="preserve"> </w:t>
          </w:r>
          <w:r>
            <w:rPr>
              <w:sz w:val="21"/>
              <w:szCs w:val="21"/>
            </w:rPr>
            <w:tab/>
          </w:r>
          <w:hyperlink w:anchor="bookmark40" w:history="1">
            <w:r>
              <w:rPr>
                <w:rFonts w:ascii="Times New Roman" w:eastAsia="Times New Roman" w:hAnsi="Times New Roman" w:cs="Times New Roman"/>
                <w:spacing w:val="1"/>
                <w:sz w:val="21"/>
                <w:szCs w:val="21"/>
              </w:rPr>
              <w:t>11</w:t>
            </w:r>
          </w:hyperlink>
        </w:p>
        <w:p>
          <w:pPr>
            <w:pStyle w:val="BodyText"/>
            <w:tabs>
              <w:tab w:val="right" w:leader="dot" w:pos="9642"/>
            </w:tabs>
            <w:spacing w:before="25" w:line="191" w:lineRule="auto"/>
            <w:ind w:left="30"/>
            <w:rPr>
              <w:rFonts w:ascii="Times New Roman" w:eastAsia="Times New Roman" w:hAnsi="Times New Roman" w:cs="Times New Roman"/>
              <w:sz w:val="21"/>
              <w:szCs w:val="21"/>
            </w:rPr>
          </w:pPr>
          <w:r>
            <w:rPr>
              <w:spacing w:val="-5"/>
              <w:sz w:val="21"/>
              <w:szCs w:val="21"/>
            </w:rPr>
            <w:t>图</w:t>
          </w:r>
          <w:r>
            <w:rPr>
              <w:spacing w:val="16"/>
              <w:sz w:val="21"/>
              <w:szCs w:val="21"/>
            </w:rPr>
            <w:t xml:space="preserve"> </w:t>
          </w:r>
          <w:r>
            <w:rPr>
              <w:rFonts w:ascii="Times New Roman" w:eastAsia="Times New Roman" w:hAnsi="Times New Roman" w:cs="Times New Roman"/>
              <w:spacing w:val="-5"/>
              <w:sz w:val="21"/>
              <w:szCs w:val="21"/>
            </w:rPr>
            <w:t>16:</w:t>
          </w:r>
          <w:r>
            <w:rPr>
              <w:spacing w:val="-5"/>
              <w:sz w:val="21"/>
              <w:szCs w:val="21"/>
            </w:rPr>
            <w:t>香港金融危机时期外汇储备（百万美元）</w:t>
          </w:r>
          <w:r>
            <w:rPr>
              <w:spacing w:val="55"/>
              <w:w w:val="101"/>
              <w:sz w:val="21"/>
              <w:szCs w:val="21"/>
            </w:rPr>
            <w:t xml:space="preserve"> </w:t>
          </w:r>
          <w:r>
            <w:rPr>
              <w:sz w:val="21"/>
              <w:szCs w:val="21"/>
            </w:rPr>
            <w:tab/>
          </w:r>
          <w:hyperlink w:anchor="bookmark41" w:history="1">
            <w:r>
              <w:rPr>
                <w:rFonts w:ascii="Times New Roman" w:eastAsia="Times New Roman" w:hAnsi="Times New Roman" w:cs="Times New Roman"/>
                <w:spacing w:val="1"/>
                <w:sz w:val="21"/>
                <w:szCs w:val="21"/>
              </w:rPr>
              <w:t>11</w:t>
            </w:r>
          </w:hyperlink>
        </w:p>
        <w:p>
          <w:pPr>
            <w:pStyle w:val="BodyText"/>
            <w:tabs>
              <w:tab w:val="right" w:leader="dot" w:pos="9642"/>
            </w:tabs>
            <w:spacing w:before="26" w:line="191" w:lineRule="auto"/>
            <w:ind w:left="30"/>
            <w:rPr>
              <w:rFonts w:ascii="Times New Roman" w:eastAsia="Times New Roman" w:hAnsi="Times New Roman" w:cs="Times New Roman"/>
              <w:sz w:val="21"/>
              <w:szCs w:val="21"/>
            </w:rPr>
          </w:pPr>
          <w:r>
            <w:rPr>
              <w:spacing w:val="-3"/>
              <w:sz w:val="21"/>
              <w:szCs w:val="21"/>
            </w:rPr>
            <w:t>图</w:t>
          </w:r>
          <w:r>
            <w:rPr>
              <w:spacing w:val="15"/>
              <w:w w:val="101"/>
              <w:sz w:val="21"/>
              <w:szCs w:val="21"/>
            </w:rPr>
            <w:t xml:space="preserve"> </w:t>
          </w:r>
          <w:r>
            <w:rPr>
              <w:rFonts w:ascii="Times New Roman" w:eastAsia="Times New Roman" w:hAnsi="Times New Roman" w:cs="Times New Roman"/>
              <w:spacing w:val="-3"/>
              <w:sz w:val="21"/>
              <w:szCs w:val="21"/>
            </w:rPr>
            <w:t>17:1961-</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3"/>
              <w:sz w:val="21"/>
              <w:szCs w:val="21"/>
            </w:rPr>
            <w:t xml:space="preserve">1965 </w:t>
          </w:r>
          <w:r>
            <w:rPr>
              <w:spacing w:val="-3"/>
              <w:sz w:val="21"/>
              <w:szCs w:val="21"/>
            </w:rPr>
            <w:t xml:space="preserve">年日本 </w:t>
          </w:r>
          <w:r>
            <w:rPr>
              <w:rFonts w:ascii="Times New Roman" w:eastAsia="Times New Roman" w:hAnsi="Times New Roman" w:cs="Times New Roman"/>
              <w:spacing w:val="-3"/>
              <w:sz w:val="21"/>
              <w:szCs w:val="21"/>
            </w:rPr>
            <w:t>GDP</w:t>
          </w:r>
          <w:r>
            <w:rPr>
              <w:rFonts w:ascii="Times New Roman" w:eastAsia="Times New Roman" w:hAnsi="Times New Roman" w:cs="Times New Roman"/>
              <w:spacing w:val="12"/>
              <w:sz w:val="21"/>
              <w:szCs w:val="21"/>
            </w:rPr>
            <w:t xml:space="preserve"> </w:t>
          </w:r>
          <w:r>
            <w:rPr>
              <w:spacing w:val="-3"/>
              <w:sz w:val="21"/>
              <w:szCs w:val="21"/>
            </w:rPr>
            <w:t>不变价同比增速（</w:t>
          </w:r>
          <w:r>
            <w:rPr>
              <w:rFonts w:ascii="Times New Roman" w:eastAsia="Times New Roman" w:hAnsi="Times New Roman" w:cs="Times New Roman"/>
              <w:spacing w:val="-3"/>
              <w:sz w:val="21"/>
              <w:szCs w:val="21"/>
            </w:rPr>
            <w:t>%</w:t>
          </w:r>
          <w:r>
            <w:rPr>
              <w:spacing w:val="-3"/>
              <w:sz w:val="21"/>
              <w:szCs w:val="21"/>
            </w:rPr>
            <w:t>）</w:t>
          </w:r>
          <w:r>
            <w:rPr>
              <w:spacing w:val="-37"/>
              <w:sz w:val="21"/>
              <w:szCs w:val="21"/>
            </w:rPr>
            <w:t xml:space="preserve"> </w:t>
          </w:r>
          <w:r>
            <w:rPr>
              <w:sz w:val="21"/>
              <w:szCs w:val="21"/>
            </w:rPr>
            <w:tab/>
          </w:r>
          <w:hyperlink w:anchor="bookmark42" w:history="1">
            <w:r>
              <w:rPr>
                <w:rFonts w:ascii="Times New Roman" w:eastAsia="Times New Roman" w:hAnsi="Times New Roman" w:cs="Times New Roman"/>
                <w:spacing w:val="1"/>
                <w:sz w:val="21"/>
                <w:szCs w:val="21"/>
              </w:rPr>
              <w:t>12</w:t>
            </w:r>
          </w:hyperlink>
        </w:p>
        <w:p>
          <w:pPr>
            <w:pStyle w:val="BodyText"/>
            <w:tabs>
              <w:tab w:val="right" w:leader="dot" w:pos="9642"/>
            </w:tabs>
            <w:spacing w:before="25" w:line="191" w:lineRule="auto"/>
            <w:ind w:left="30"/>
            <w:rPr>
              <w:rFonts w:ascii="Times New Roman" w:eastAsia="Times New Roman" w:hAnsi="Times New Roman" w:cs="Times New Roman"/>
              <w:sz w:val="21"/>
              <w:szCs w:val="21"/>
            </w:rPr>
          </w:pPr>
          <w:r>
            <w:rPr>
              <w:spacing w:val="-4"/>
              <w:sz w:val="21"/>
              <w:szCs w:val="21"/>
            </w:rPr>
            <w:t>图</w:t>
          </w:r>
          <w:r>
            <w:rPr>
              <w:spacing w:val="33"/>
              <w:sz w:val="21"/>
              <w:szCs w:val="21"/>
            </w:rPr>
            <w:t xml:space="preserve"> </w:t>
          </w:r>
          <w:r>
            <w:rPr>
              <w:rFonts w:ascii="Times New Roman" w:eastAsia="Times New Roman" w:hAnsi="Times New Roman" w:cs="Times New Roman"/>
              <w:spacing w:val="-4"/>
              <w:sz w:val="21"/>
              <w:szCs w:val="21"/>
            </w:rPr>
            <w:t>18:1961-</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4"/>
              <w:sz w:val="21"/>
              <w:szCs w:val="21"/>
            </w:rPr>
            <w:t xml:space="preserve">1965 </w:t>
          </w:r>
          <w:r>
            <w:rPr>
              <w:spacing w:val="-4"/>
              <w:sz w:val="21"/>
              <w:szCs w:val="21"/>
            </w:rPr>
            <w:t>年日本就业率（</w:t>
          </w:r>
          <w:r>
            <w:rPr>
              <w:rFonts w:ascii="Times New Roman" w:eastAsia="Times New Roman" w:hAnsi="Times New Roman" w:cs="Times New Roman"/>
              <w:spacing w:val="-4"/>
              <w:sz w:val="21"/>
              <w:szCs w:val="21"/>
            </w:rPr>
            <w:t>%</w:t>
          </w:r>
          <w:r>
            <w:rPr>
              <w:spacing w:val="-4"/>
              <w:sz w:val="21"/>
              <w:szCs w:val="21"/>
            </w:rPr>
            <w:t>）</w:t>
          </w:r>
          <w:r>
            <w:rPr>
              <w:spacing w:val="-42"/>
              <w:sz w:val="21"/>
              <w:szCs w:val="21"/>
            </w:rPr>
            <w:t xml:space="preserve"> </w:t>
          </w:r>
          <w:r>
            <w:rPr>
              <w:sz w:val="21"/>
              <w:szCs w:val="21"/>
            </w:rPr>
            <w:tab/>
          </w:r>
          <w:hyperlink w:anchor="bookmark43" w:history="1">
            <w:r>
              <w:rPr>
                <w:rFonts w:ascii="Times New Roman" w:eastAsia="Times New Roman" w:hAnsi="Times New Roman" w:cs="Times New Roman"/>
                <w:spacing w:val="1"/>
                <w:sz w:val="21"/>
                <w:szCs w:val="21"/>
              </w:rPr>
              <w:t>12</w:t>
            </w:r>
          </w:hyperlink>
        </w:p>
        <w:p>
          <w:pPr>
            <w:pStyle w:val="BodyText"/>
            <w:tabs>
              <w:tab w:val="right" w:leader="dot" w:pos="9642"/>
            </w:tabs>
            <w:spacing w:before="25" w:line="191" w:lineRule="auto"/>
            <w:ind w:left="30"/>
            <w:rPr>
              <w:rFonts w:ascii="Times New Roman" w:eastAsia="Times New Roman" w:hAnsi="Times New Roman" w:cs="Times New Roman"/>
              <w:sz w:val="21"/>
              <w:szCs w:val="21"/>
            </w:rPr>
          </w:pPr>
          <w:r>
            <w:rPr>
              <w:spacing w:val="-3"/>
              <w:sz w:val="21"/>
              <w:szCs w:val="21"/>
            </w:rPr>
            <w:t>图</w:t>
          </w:r>
          <w:r>
            <w:rPr>
              <w:spacing w:val="28"/>
              <w:sz w:val="21"/>
              <w:szCs w:val="21"/>
            </w:rPr>
            <w:t xml:space="preserve"> </w:t>
          </w:r>
          <w:r>
            <w:rPr>
              <w:rFonts w:ascii="Times New Roman" w:eastAsia="Times New Roman" w:hAnsi="Times New Roman" w:cs="Times New Roman"/>
              <w:spacing w:val="-3"/>
              <w:sz w:val="21"/>
              <w:szCs w:val="21"/>
            </w:rPr>
            <w:t>19:</w:t>
          </w:r>
          <w:r>
            <w:rPr>
              <w:spacing w:val="-3"/>
              <w:sz w:val="21"/>
              <w:szCs w:val="21"/>
            </w:rPr>
            <w:t xml:space="preserve">日本经济泡沫破裂前后 </w:t>
          </w:r>
          <w:r>
            <w:rPr>
              <w:rFonts w:ascii="Times New Roman" w:eastAsia="Times New Roman" w:hAnsi="Times New Roman" w:cs="Times New Roman"/>
              <w:spacing w:val="-3"/>
              <w:sz w:val="21"/>
              <w:szCs w:val="21"/>
            </w:rPr>
            <w:t xml:space="preserve">GDP </w:t>
          </w:r>
          <w:r>
            <w:rPr>
              <w:spacing w:val="-3"/>
              <w:sz w:val="21"/>
              <w:szCs w:val="21"/>
            </w:rPr>
            <w:t>增速（</w:t>
          </w:r>
          <w:r>
            <w:rPr>
              <w:rFonts w:ascii="Times New Roman" w:eastAsia="Times New Roman" w:hAnsi="Times New Roman" w:cs="Times New Roman"/>
              <w:spacing w:val="-3"/>
              <w:sz w:val="21"/>
              <w:szCs w:val="21"/>
            </w:rPr>
            <w:t>%</w:t>
          </w:r>
          <w:r>
            <w:rPr>
              <w:spacing w:val="-3"/>
              <w:sz w:val="21"/>
              <w:szCs w:val="21"/>
            </w:rPr>
            <w:t>）</w:t>
          </w:r>
          <w:r>
            <w:rPr>
              <w:spacing w:val="-23"/>
              <w:sz w:val="21"/>
              <w:szCs w:val="21"/>
            </w:rPr>
            <w:t xml:space="preserve"> </w:t>
          </w:r>
          <w:r>
            <w:rPr>
              <w:sz w:val="21"/>
              <w:szCs w:val="21"/>
            </w:rPr>
            <w:tab/>
          </w:r>
          <w:hyperlink w:anchor="bookmark44" w:history="1">
            <w:r>
              <w:rPr>
                <w:rFonts w:ascii="Times New Roman" w:eastAsia="Times New Roman" w:hAnsi="Times New Roman" w:cs="Times New Roman"/>
                <w:spacing w:val="1"/>
                <w:sz w:val="21"/>
                <w:szCs w:val="21"/>
              </w:rPr>
              <w:t>13</w:t>
            </w:r>
          </w:hyperlink>
        </w:p>
        <w:p>
          <w:pPr>
            <w:pStyle w:val="BodyText"/>
            <w:tabs>
              <w:tab w:val="right" w:leader="dot" w:pos="9642"/>
            </w:tabs>
            <w:spacing w:before="26" w:line="185" w:lineRule="auto"/>
            <w:ind w:left="30"/>
            <w:rPr>
              <w:rFonts w:ascii="Times New Roman" w:eastAsia="Times New Roman" w:hAnsi="Times New Roman" w:cs="Times New Roman"/>
              <w:sz w:val="21"/>
              <w:szCs w:val="21"/>
            </w:rPr>
          </w:pPr>
          <w:r>
            <w:rPr>
              <w:spacing w:val="-5"/>
              <w:sz w:val="21"/>
              <w:szCs w:val="21"/>
            </w:rPr>
            <w:t xml:space="preserve">图 </w:t>
          </w:r>
          <w:r>
            <w:rPr>
              <w:rFonts w:ascii="Times New Roman" w:eastAsia="Times New Roman" w:hAnsi="Times New Roman" w:cs="Times New Roman"/>
              <w:spacing w:val="-5"/>
              <w:sz w:val="21"/>
              <w:szCs w:val="21"/>
            </w:rPr>
            <w:t xml:space="preserve">20:1995 </w:t>
          </w:r>
          <w:r>
            <w:rPr>
              <w:spacing w:val="-5"/>
              <w:sz w:val="21"/>
              <w:szCs w:val="21"/>
            </w:rPr>
            <w:t>年</w:t>
          </w:r>
          <w:r>
            <w:rPr>
              <w:spacing w:val="33"/>
              <w:sz w:val="21"/>
              <w:szCs w:val="21"/>
            </w:rPr>
            <w:t xml:space="preserve"> </w:t>
          </w:r>
          <w:r>
            <w:rPr>
              <w:rFonts w:ascii="Times New Roman" w:eastAsia="Times New Roman" w:hAnsi="Times New Roman" w:cs="Times New Roman"/>
              <w:spacing w:val="-5"/>
              <w:sz w:val="21"/>
              <w:szCs w:val="21"/>
            </w:rPr>
            <w:t>1-5</w:t>
          </w:r>
          <w:r>
            <w:rPr>
              <w:rFonts w:ascii="Times New Roman" w:eastAsia="Times New Roman" w:hAnsi="Times New Roman" w:cs="Times New Roman"/>
              <w:spacing w:val="13"/>
              <w:w w:val="101"/>
              <w:sz w:val="21"/>
              <w:szCs w:val="21"/>
            </w:rPr>
            <w:t xml:space="preserve"> </w:t>
          </w:r>
          <w:r>
            <w:rPr>
              <w:spacing w:val="-5"/>
              <w:sz w:val="21"/>
              <w:szCs w:val="21"/>
            </w:rPr>
            <w:t xml:space="preserve">月日经 </w:t>
          </w:r>
          <w:r>
            <w:rPr>
              <w:rFonts w:ascii="Times New Roman" w:eastAsia="Times New Roman" w:hAnsi="Times New Roman" w:cs="Times New Roman"/>
              <w:spacing w:val="-5"/>
              <w:sz w:val="21"/>
              <w:szCs w:val="21"/>
            </w:rPr>
            <w:t>225</w:t>
          </w:r>
          <w:r>
            <w:rPr>
              <w:rFonts w:ascii="Times New Roman" w:eastAsia="Times New Roman" w:hAnsi="Times New Roman" w:cs="Times New Roman"/>
              <w:spacing w:val="11"/>
              <w:sz w:val="21"/>
              <w:szCs w:val="21"/>
            </w:rPr>
            <w:t xml:space="preserve"> </w:t>
          </w:r>
          <w:r>
            <w:rPr>
              <w:spacing w:val="-5"/>
              <w:sz w:val="21"/>
              <w:szCs w:val="21"/>
            </w:rPr>
            <w:t>走势</w:t>
          </w:r>
          <w:r>
            <w:rPr>
              <w:spacing w:val="-25"/>
              <w:sz w:val="21"/>
              <w:szCs w:val="21"/>
            </w:rPr>
            <w:t xml:space="preserve"> </w:t>
          </w:r>
          <w:r>
            <w:rPr>
              <w:sz w:val="21"/>
              <w:szCs w:val="21"/>
            </w:rPr>
            <w:tab/>
          </w:r>
          <w:hyperlink w:anchor="bookmark45" w:history="1">
            <w:r>
              <w:rPr>
                <w:rFonts w:ascii="Times New Roman" w:eastAsia="Times New Roman" w:hAnsi="Times New Roman" w:cs="Times New Roman"/>
                <w:sz w:val="21"/>
                <w:szCs w:val="21"/>
              </w:rPr>
              <w:t>13</w:t>
            </w:r>
          </w:hyperlink>
        </w:p>
        <w:p>
          <w:pPr>
            <w:pStyle w:val="BodyText"/>
            <w:tabs>
              <w:tab w:val="right" w:leader="dot" w:pos="9642"/>
            </w:tabs>
            <w:spacing w:before="34" w:line="191" w:lineRule="auto"/>
            <w:ind w:left="30"/>
            <w:rPr>
              <w:rFonts w:ascii="Times New Roman" w:eastAsia="Times New Roman" w:hAnsi="Times New Roman" w:cs="Times New Roman"/>
              <w:sz w:val="21"/>
              <w:szCs w:val="21"/>
            </w:rPr>
          </w:pPr>
          <w:r>
            <w:rPr>
              <w:spacing w:val="-2"/>
              <w:sz w:val="21"/>
              <w:szCs w:val="21"/>
            </w:rPr>
            <w:t xml:space="preserve">图 </w:t>
          </w:r>
          <w:r>
            <w:rPr>
              <w:rFonts w:ascii="Times New Roman" w:eastAsia="Times New Roman" w:hAnsi="Times New Roman" w:cs="Times New Roman"/>
              <w:spacing w:val="-2"/>
              <w:sz w:val="21"/>
              <w:szCs w:val="21"/>
            </w:rPr>
            <w:t>21:</w:t>
          </w:r>
          <w:r>
            <w:rPr>
              <w:spacing w:val="-2"/>
              <w:sz w:val="21"/>
              <w:szCs w:val="21"/>
            </w:rPr>
            <w:t xml:space="preserve">股市安定基金设立前后日本 </w:t>
          </w:r>
          <w:r>
            <w:rPr>
              <w:rFonts w:ascii="Times New Roman" w:eastAsia="Times New Roman" w:hAnsi="Times New Roman" w:cs="Times New Roman"/>
              <w:spacing w:val="-2"/>
              <w:sz w:val="21"/>
              <w:szCs w:val="21"/>
            </w:rPr>
            <w:t xml:space="preserve">GDP </w:t>
          </w:r>
          <w:r>
            <w:rPr>
              <w:spacing w:val="-2"/>
              <w:sz w:val="21"/>
              <w:szCs w:val="21"/>
            </w:rPr>
            <w:t>季度增速（</w:t>
          </w:r>
          <w:r>
            <w:rPr>
              <w:rFonts w:ascii="Times New Roman" w:eastAsia="Times New Roman" w:hAnsi="Times New Roman" w:cs="Times New Roman"/>
              <w:spacing w:val="-2"/>
              <w:sz w:val="21"/>
              <w:szCs w:val="21"/>
            </w:rPr>
            <w:t>%</w:t>
          </w:r>
          <w:r>
            <w:rPr>
              <w:spacing w:val="-2"/>
              <w:sz w:val="21"/>
              <w:szCs w:val="21"/>
            </w:rPr>
            <w:t>）</w:t>
          </w:r>
          <w:r>
            <w:rPr>
              <w:spacing w:val="-4"/>
              <w:sz w:val="21"/>
              <w:szCs w:val="21"/>
            </w:rPr>
            <w:t xml:space="preserve"> </w:t>
          </w:r>
          <w:r>
            <w:rPr>
              <w:sz w:val="21"/>
              <w:szCs w:val="21"/>
            </w:rPr>
            <w:tab/>
          </w:r>
          <w:hyperlink w:anchor="bookmark46" w:history="1">
            <w:r>
              <w:rPr>
                <w:rFonts w:ascii="Times New Roman" w:eastAsia="Times New Roman" w:hAnsi="Times New Roman" w:cs="Times New Roman"/>
                <w:spacing w:val="1"/>
                <w:sz w:val="21"/>
                <w:szCs w:val="21"/>
              </w:rPr>
              <w:t>14</w:t>
            </w:r>
          </w:hyperlink>
        </w:p>
        <w:p>
          <w:pPr>
            <w:pStyle w:val="BodyText"/>
            <w:tabs>
              <w:tab w:val="right" w:leader="dot" w:pos="9642"/>
            </w:tabs>
            <w:spacing w:before="25" w:line="195" w:lineRule="auto"/>
            <w:ind w:left="30"/>
            <w:rPr>
              <w:rFonts w:ascii="Times New Roman" w:eastAsia="Times New Roman" w:hAnsi="Times New Roman" w:cs="Times New Roman"/>
              <w:sz w:val="21"/>
              <w:szCs w:val="21"/>
            </w:rPr>
          </w:pPr>
          <w:r>
            <w:rPr>
              <w:spacing w:val="-2"/>
              <w:sz w:val="21"/>
              <w:szCs w:val="21"/>
            </w:rPr>
            <w:t xml:space="preserve">图 </w:t>
          </w:r>
          <w:r>
            <w:rPr>
              <w:rFonts w:ascii="Times New Roman" w:eastAsia="Times New Roman" w:hAnsi="Times New Roman" w:cs="Times New Roman"/>
              <w:spacing w:val="-2"/>
              <w:sz w:val="21"/>
              <w:szCs w:val="21"/>
            </w:rPr>
            <w:t>22:</w:t>
          </w:r>
          <w:r>
            <w:rPr>
              <w:spacing w:val="-2"/>
              <w:sz w:val="21"/>
              <w:szCs w:val="21"/>
            </w:rPr>
            <w:t xml:space="preserve">股市安定基金入市前后日经 </w:t>
          </w:r>
          <w:r>
            <w:rPr>
              <w:rFonts w:ascii="Times New Roman" w:eastAsia="Times New Roman" w:hAnsi="Times New Roman" w:cs="Times New Roman"/>
              <w:spacing w:val="-2"/>
              <w:sz w:val="21"/>
              <w:szCs w:val="21"/>
            </w:rPr>
            <w:t xml:space="preserve">225 </w:t>
          </w:r>
          <w:r>
            <w:rPr>
              <w:spacing w:val="-2"/>
              <w:sz w:val="21"/>
              <w:szCs w:val="21"/>
            </w:rPr>
            <w:t xml:space="preserve">指数走势 </w:t>
          </w:r>
          <w:r>
            <w:rPr>
              <w:sz w:val="21"/>
              <w:szCs w:val="21"/>
            </w:rPr>
            <w:tab/>
          </w:r>
          <w:hyperlink w:anchor="bookmark47" w:history="1">
            <w:r>
              <w:rPr>
                <w:rFonts w:ascii="Times New Roman" w:eastAsia="Times New Roman" w:hAnsi="Times New Roman" w:cs="Times New Roman"/>
                <w:spacing w:val="1"/>
                <w:sz w:val="21"/>
                <w:szCs w:val="21"/>
              </w:rPr>
              <w:t>14</w:t>
            </w:r>
          </w:hyperlink>
        </w:p>
        <w:p>
          <w:pPr>
            <w:pStyle w:val="BodyText"/>
            <w:tabs>
              <w:tab w:val="right" w:leader="dot" w:pos="9642"/>
            </w:tabs>
            <w:spacing w:before="18" w:line="197" w:lineRule="auto"/>
            <w:ind w:left="30"/>
            <w:rPr>
              <w:rFonts w:ascii="Times New Roman" w:eastAsia="Times New Roman" w:hAnsi="Times New Roman" w:cs="Times New Roman"/>
              <w:sz w:val="21"/>
              <w:szCs w:val="21"/>
            </w:rPr>
          </w:pPr>
          <w:r>
            <w:rPr>
              <w:spacing w:val="-3"/>
              <w:sz w:val="21"/>
              <w:szCs w:val="21"/>
            </w:rPr>
            <w:t xml:space="preserve">图 </w:t>
          </w:r>
          <w:r>
            <w:rPr>
              <w:rFonts w:ascii="Times New Roman" w:eastAsia="Times New Roman" w:hAnsi="Times New Roman" w:cs="Times New Roman"/>
              <w:spacing w:val="-3"/>
              <w:sz w:val="21"/>
              <w:szCs w:val="21"/>
            </w:rPr>
            <w:t>23:</w:t>
          </w:r>
          <w:r>
            <w:rPr>
              <w:spacing w:val="-3"/>
              <w:sz w:val="21"/>
              <w:szCs w:val="21"/>
            </w:rPr>
            <w:t xml:space="preserve">日本央行持有 </w:t>
          </w:r>
          <w:r>
            <w:rPr>
              <w:rFonts w:ascii="Times New Roman" w:eastAsia="Times New Roman" w:hAnsi="Times New Roman" w:cs="Times New Roman"/>
              <w:spacing w:val="-3"/>
              <w:sz w:val="21"/>
              <w:szCs w:val="21"/>
            </w:rPr>
            <w:t xml:space="preserve">ETF </w:t>
          </w:r>
          <w:r>
            <w:rPr>
              <w:spacing w:val="-3"/>
              <w:sz w:val="21"/>
              <w:szCs w:val="21"/>
            </w:rPr>
            <w:t>情况</w:t>
          </w:r>
          <w:r>
            <w:rPr>
              <w:spacing w:val="-9"/>
              <w:sz w:val="21"/>
              <w:szCs w:val="21"/>
            </w:rPr>
            <w:t xml:space="preserve"> </w:t>
          </w:r>
          <w:r>
            <w:rPr>
              <w:sz w:val="21"/>
              <w:szCs w:val="21"/>
            </w:rPr>
            <w:tab/>
          </w:r>
          <w:hyperlink w:anchor="bookmark48" w:history="1">
            <w:r>
              <w:rPr>
                <w:rFonts w:ascii="Times New Roman" w:eastAsia="Times New Roman" w:hAnsi="Times New Roman" w:cs="Times New Roman"/>
                <w:spacing w:val="1"/>
                <w:sz w:val="21"/>
                <w:szCs w:val="21"/>
              </w:rPr>
              <w:t>15</w:t>
            </w:r>
          </w:hyperlink>
        </w:p>
        <w:p>
          <w:pPr>
            <w:pStyle w:val="BodyText"/>
            <w:tabs>
              <w:tab w:val="right" w:leader="dot" w:pos="9642"/>
            </w:tabs>
            <w:spacing w:before="17" w:line="195" w:lineRule="auto"/>
            <w:ind w:left="30"/>
            <w:rPr>
              <w:rFonts w:ascii="Times New Roman" w:eastAsia="Times New Roman" w:hAnsi="Times New Roman" w:cs="Times New Roman"/>
              <w:sz w:val="21"/>
              <w:szCs w:val="21"/>
            </w:rPr>
          </w:pPr>
          <w:r>
            <w:rPr>
              <w:spacing w:val="-1"/>
              <w:sz w:val="21"/>
              <w:szCs w:val="21"/>
            </w:rPr>
            <w:t xml:space="preserve">图 </w:t>
          </w:r>
          <w:r>
            <w:rPr>
              <w:rFonts w:ascii="Times New Roman" w:eastAsia="Times New Roman" w:hAnsi="Times New Roman" w:cs="Times New Roman"/>
              <w:spacing w:val="-1"/>
              <w:sz w:val="21"/>
              <w:szCs w:val="21"/>
            </w:rPr>
            <w:t>24:</w:t>
          </w:r>
          <w:r>
            <w:rPr>
              <w:spacing w:val="-1"/>
              <w:sz w:val="21"/>
              <w:szCs w:val="21"/>
            </w:rPr>
            <w:t xml:space="preserve">日经 </w:t>
          </w:r>
          <w:r>
            <w:rPr>
              <w:rFonts w:ascii="Times New Roman" w:eastAsia="Times New Roman" w:hAnsi="Times New Roman" w:cs="Times New Roman"/>
              <w:spacing w:val="-1"/>
              <w:sz w:val="21"/>
              <w:szCs w:val="21"/>
            </w:rPr>
            <w:t xml:space="preserve">225 </w:t>
          </w:r>
          <w:r>
            <w:rPr>
              <w:spacing w:val="-1"/>
              <w:sz w:val="21"/>
              <w:szCs w:val="21"/>
            </w:rPr>
            <w:t>指数在金融危机后走势及历次重大央行入场</w:t>
          </w:r>
          <w:r>
            <w:rPr>
              <w:spacing w:val="-2"/>
              <w:sz w:val="21"/>
              <w:szCs w:val="21"/>
            </w:rPr>
            <w:t>购买政策变迁</w:t>
          </w:r>
          <w:r>
            <w:rPr>
              <w:spacing w:val="-45"/>
              <w:sz w:val="21"/>
              <w:szCs w:val="21"/>
            </w:rPr>
            <w:t xml:space="preserve"> </w:t>
          </w:r>
          <w:r>
            <w:rPr>
              <w:sz w:val="21"/>
              <w:szCs w:val="21"/>
            </w:rPr>
            <w:tab/>
          </w:r>
          <w:hyperlink w:anchor="bookmark49" w:history="1">
            <w:r>
              <w:rPr>
                <w:rFonts w:ascii="Times New Roman" w:eastAsia="Times New Roman" w:hAnsi="Times New Roman" w:cs="Times New Roman"/>
                <w:spacing w:val="1"/>
                <w:sz w:val="21"/>
                <w:szCs w:val="21"/>
              </w:rPr>
              <w:t>15</w:t>
            </w:r>
          </w:hyperlink>
        </w:p>
      </w:sdtContent>
    </w:sdt>
    <w:p>
      <w:pPr>
        <w:spacing w:line="195" w:lineRule="auto"/>
        <w:rPr>
          <w:rFonts w:ascii="Times New Roman" w:eastAsia="Times New Roman" w:hAnsi="Times New Roman" w:cs="Times New Roman"/>
          <w:sz w:val="21"/>
          <w:szCs w:val="21"/>
        </w:rPr>
        <w:sectPr>
          <w:headerReference w:type="default" r:id="rId16"/>
          <w:footerReference w:type="default" r:id="rId17"/>
          <w:pgSz w:w="11907" w:h="16839"/>
          <w:pgMar w:top="1945" w:right="1115" w:bottom="1415" w:left="1130" w:header="900" w:footer="1177" w:gutter="0"/>
          <w:pgNumType w:start="5"/>
          <w:cols w:space="708"/>
        </w:sectPr>
      </w:pPr>
    </w:p>
    <w:tbl>
      <w:tblPr>
        <w:tblStyle w:val="TableNormal0"/>
        <w:tblW w:w="9856" w:type="dxa"/>
        <w:tblInd w:w="0" w:type="dxa"/>
        <w:tblBorders>
          <w:top w:val="nil"/>
          <w:left w:val="nil"/>
          <w:bottom w:val="nil"/>
          <w:right w:val="nil"/>
          <w:insideH w:val="nil"/>
          <w:insideV w:val="nil"/>
        </w:tblBorders>
        <w:tblLayout w:type="fixed"/>
      </w:tblPr>
      <w:tblGrid>
        <w:gridCol w:w="526"/>
        <w:gridCol w:w="231"/>
        <w:gridCol w:w="231"/>
        <w:gridCol w:w="231"/>
        <w:gridCol w:w="231"/>
        <w:gridCol w:w="231"/>
        <w:gridCol w:w="231"/>
        <w:gridCol w:w="231"/>
        <w:gridCol w:w="231"/>
        <w:gridCol w:w="231"/>
        <w:gridCol w:w="231"/>
        <w:gridCol w:w="231"/>
        <w:gridCol w:w="231"/>
        <w:gridCol w:w="231"/>
        <w:gridCol w:w="231"/>
        <w:gridCol w:w="231"/>
        <w:gridCol w:w="231"/>
        <w:gridCol w:w="231"/>
        <w:gridCol w:w="441"/>
        <w:gridCol w:w="4962"/>
      </w:tblGrid>
      <w:tr>
        <w:tblPrEx>
          <w:tblW w:w="9856" w:type="dxa"/>
          <w:tblInd w:w="0" w:type="dxa"/>
          <w:tblBorders>
            <w:top w:val="nil"/>
            <w:left w:val="nil"/>
            <w:bottom w:val="nil"/>
            <w:right w:val="nil"/>
            <w:insideH w:val="nil"/>
            <w:insideV w:val="nil"/>
          </w:tblBorders>
          <w:tblLayout w:type="fixed"/>
        </w:tblPrEx>
        <w:trPr>
          <w:trHeight w:val="5341"/>
        </w:trPr>
        <w:tc>
          <w:tcPr>
            <w:tcW w:w="9856" w:type="dxa"/>
            <w:gridSpan w:val="20"/>
            <w:tcBorders>
              <w:top w:val="single" w:sz="6" w:space="0" w:color="044E7E"/>
              <w:bottom w:val="single" w:sz="10" w:space="0" w:color="044E7E"/>
            </w:tcBorders>
            <w:vAlign w:val="top"/>
          </w:tcPr>
          <w:p>
            <w:pPr>
              <w:spacing w:line="412" w:lineRule="auto"/>
              <w:rPr>
                <w:rFonts w:ascii="Arial"/>
                <w:sz w:val="21"/>
              </w:rPr>
            </w:pPr>
            <w:r>
              <w:pict>
                <v:rect id="_x0000_s1044" style="width:482.25pt;height:2.05pt;margin-top:791.9pt;margin-left:56.55pt;mso-position-horizontal-relative:page;mso-position-vertical-relative:page;position:absolute;z-index:251671552" o:allowincell="f" filled="t" fillcolor="#044e7e" stroked="f"/>
              </w:pict>
            </w:r>
          </w:p>
          <w:p>
            <w:pPr>
              <w:pStyle w:val="TableText"/>
              <w:spacing w:before="133" w:line="189" w:lineRule="auto"/>
              <w:ind w:left="125"/>
              <w:rPr>
                <w:sz w:val="31"/>
                <w:szCs w:val="31"/>
              </w:rPr>
            </w:pPr>
            <w:bookmarkStart w:id="3" w:name="bookmark29"/>
            <w:bookmarkEnd w:id="3"/>
            <w:bookmarkStart w:id="4" w:name="bookmark7"/>
            <w:bookmarkEnd w:id="4"/>
            <w:bookmarkStart w:id="5" w:name="bookmark8"/>
            <w:bookmarkEnd w:id="5"/>
            <w:bookmarkStart w:id="6" w:name="bookmark9"/>
            <w:bookmarkEnd w:id="6"/>
            <w:r>
              <w:rPr>
                <w:b/>
                <w:bCs/>
                <w:color w:val="044E7E"/>
                <w:spacing w:val="6"/>
                <w:sz w:val="31"/>
                <w:szCs w:val="31"/>
                <w14:textOutline w14:w="5791">
                  <w14:solidFill>
                    <w14:srgbClr w14:val="044E7E"/>
                  </w14:solidFill>
                  <w14:prstDash w14:val="solid"/>
                  <w14:miter w14:lim="10"/>
                </w14:textOutline>
              </w:rPr>
              <w:t>一、美国经验</w:t>
            </w:r>
          </w:p>
          <w:p>
            <w:pPr>
              <w:spacing w:line="261" w:lineRule="auto"/>
              <w:rPr>
                <w:rFonts w:ascii="Arial"/>
                <w:sz w:val="21"/>
              </w:rPr>
            </w:pPr>
          </w:p>
          <w:p>
            <w:pPr>
              <w:pStyle w:val="TableText"/>
              <w:spacing w:before="120" w:line="181" w:lineRule="auto"/>
              <w:ind w:left="126"/>
              <w:rPr>
                <w:sz w:val="28"/>
                <w:szCs w:val="28"/>
              </w:rPr>
            </w:pPr>
            <w:r>
              <w:rPr>
                <w:b/>
                <w:bCs/>
                <w:spacing w:val="-3"/>
                <w:sz w:val="28"/>
                <w:szCs w:val="28"/>
                <w14:textOutline w14:w="5094">
                  <w14:solidFill>
                    <w14:srgbClr w14:val="000000"/>
                  </w14:solidFill>
                  <w14:prstDash w14:val="solid"/>
                  <w14:miter w14:lim="10"/>
                </w14:textOutline>
              </w:rPr>
              <w:t>（一）事件经过</w:t>
            </w:r>
          </w:p>
          <w:p>
            <w:pPr>
              <w:pStyle w:val="TableText"/>
              <w:spacing w:before="125" w:line="186" w:lineRule="auto"/>
              <w:ind w:left="616"/>
              <w:rPr>
                <w:sz w:val="24"/>
                <w:szCs w:val="24"/>
              </w:rPr>
            </w:pPr>
            <w:r>
              <w:rPr>
                <w:rFonts w:ascii="Times New Roman" w:eastAsia="Times New Roman" w:hAnsi="Times New Roman" w:cs="Times New Roman"/>
                <w:color w:val="044E7E"/>
                <w:spacing w:val="-10"/>
                <w:sz w:val="24"/>
                <w:szCs w:val="24"/>
              </w:rPr>
              <w:t>1</w:t>
            </w:r>
            <w:r>
              <w:rPr>
                <w:color w:val="044E7E"/>
                <w:spacing w:val="-10"/>
                <w:sz w:val="24"/>
                <w:szCs w:val="24"/>
              </w:rPr>
              <w:t>、背景</w:t>
            </w:r>
          </w:p>
          <w:p>
            <w:pPr>
              <w:pStyle w:val="TableText"/>
              <w:spacing w:before="262" w:line="222" w:lineRule="auto"/>
              <w:ind w:left="115" w:right="106" w:firstLine="397"/>
            </w:pPr>
            <w:r>
              <w:rPr>
                <w:rFonts w:ascii="Times New Roman" w:eastAsia="Times New Roman" w:hAnsi="Times New Roman" w:cs="Times New Roman"/>
                <w:spacing w:val="1"/>
              </w:rPr>
              <w:t>2001</w:t>
            </w:r>
            <w:r>
              <w:rPr>
                <w:rFonts w:ascii="Times New Roman" w:eastAsia="Times New Roman" w:hAnsi="Times New Roman" w:cs="Times New Roman"/>
                <w:spacing w:val="12"/>
                <w:w w:val="101"/>
              </w:rPr>
              <w:t xml:space="preserve"> </w:t>
            </w:r>
            <w:r>
              <w:rPr>
                <w:spacing w:val="1"/>
              </w:rPr>
              <w:t>年，</w:t>
            </w:r>
            <w:r>
              <w:rPr>
                <w:spacing w:val="15"/>
              </w:rPr>
              <w:t xml:space="preserve"> </w:t>
            </w:r>
            <w:r>
              <w:rPr>
                <w:spacing w:val="1"/>
              </w:rPr>
              <w:t xml:space="preserve">美联储为应对 </w:t>
            </w:r>
            <w:r>
              <w:rPr>
                <w:rFonts w:ascii="Times New Roman" w:eastAsia="Times New Roman" w:hAnsi="Times New Roman" w:cs="Times New Roman"/>
                <w:spacing w:val="1"/>
              </w:rPr>
              <w:t>911</w:t>
            </w:r>
            <w:r>
              <w:rPr>
                <w:rFonts w:ascii="Times New Roman" w:eastAsia="Times New Roman" w:hAnsi="Times New Roman" w:cs="Times New Roman"/>
                <w:spacing w:val="14"/>
              </w:rPr>
              <w:t xml:space="preserve"> </w:t>
            </w:r>
            <w:r>
              <w:rPr>
                <w:spacing w:val="1"/>
              </w:rPr>
              <w:t>恐怖袭击后的经济</w:t>
            </w:r>
            <w:r>
              <w:t>低迷，  开始大幅降息，</w:t>
            </w:r>
            <w:r>
              <w:rPr>
                <w:spacing w:val="18"/>
              </w:rPr>
              <w:t xml:space="preserve"> </w:t>
            </w:r>
            <w:r>
              <w:t>刺激了房地产市场的繁荣，</w:t>
            </w:r>
            <w:r>
              <w:rPr>
                <w:spacing w:val="18"/>
              </w:rPr>
              <w:t xml:space="preserve"> </w:t>
            </w:r>
            <w:r>
              <w:t xml:space="preserve">截至 </w:t>
            </w:r>
            <w:r>
              <w:rPr>
                <w:rFonts w:ascii="Times New Roman" w:eastAsia="Times New Roman" w:hAnsi="Times New Roman" w:cs="Times New Roman"/>
              </w:rPr>
              <w:t xml:space="preserve">2006 </w:t>
            </w:r>
            <w:r>
              <w:rPr>
                <w:spacing w:val="6"/>
              </w:rPr>
              <w:t xml:space="preserve">年， 美国房屋价格较 </w:t>
            </w:r>
            <w:r>
              <w:rPr>
                <w:rFonts w:ascii="Times New Roman" w:eastAsia="Times New Roman" w:hAnsi="Times New Roman" w:cs="Times New Roman"/>
                <w:spacing w:val="6"/>
              </w:rPr>
              <w:t xml:space="preserve">2000 </w:t>
            </w:r>
            <w:r>
              <w:rPr>
                <w:spacing w:val="6"/>
              </w:rPr>
              <w:t xml:space="preserve">年涨幅超 </w:t>
            </w:r>
            <w:r>
              <w:rPr>
                <w:rFonts w:ascii="Times New Roman" w:eastAsia="Times New Roman" w:hAnsi="Times New Roman" w:cs="Times New Roman"/>
                <w:spacing w:val="6"/>
              </w:rPr>
              <w:t>60%</w:t>
            </w:r>
            <w:r>
              <w:rPr>
                <w:spacing w:val="6"/>
              </w:rPr>
              <w:t>。与此同时，贷款机构开始越来越多地向信用状况不佳、</w:t>
            </w:r>
            <w:r>
              <w:rPr>
                <w:spacing w:val="5"/>
              </w:rPr>
              <w:t>低收入群体提</w:t>
            </w:r>
            <w:r>
              <w:t xml:space="preserve"> </w:t>
            </w:r>
            <w:r>
              <w:rPr>
                <w:spacing w:val="8"/>
              </w:rPr>
              <w:t>供次级贷款，次级贷款在金融机构的包装下形成证券化和再证券化产品，金融风险逐步累积。</w:t>
            </w:r>
            <w:r>
              <w:rPr>
                <w:spacing w:val="-36"/>
              </w:rPr>
              <w:t xml:space="preserve"> </w:t>
            </w:r>
            <w:r>
              <w:rPr>
                <w:rFonts w:ascii="Times New Roman" w:eastAsia="Times New Roman" w:hAnsi="Times New Roman" w:cs="Times New Roman"/>
                <w:spacing w:val="8"/>
              </w:rPr>
              <w:t>20</w:t>
            </w:r>
            <w:r>
              <w:rPr>
                <w:rFonts w:ascii="Times New Roman" w:eastAsia="Times New Roman" w:hAnsi="Times New Roman" w:cs="Times New Roman"/>
                <w:spacing w:val="7"/>
              </w:rPr>
              <w:t xml:space="preserve">04 </w:t>
            </w:r>
            <w:r>
              <w:rPr>
                <w:spacing w:val="7"/>
              </w:rPr>
              <w:t xml:space="preserve">年 </w:t>
            </w:r>
            <w:r>
              <w:rPr>
                <w:rFonts w:ascii="Times New Roman" w:eastAsia="Times New Roman" w:hAnsi="Times New Roman" w:cs="Times New Roman"/>
                <w:spacing w:val="7"/>
              </w:rPr>
              <w:t>3</w:t>
            </w:r>
            <w:r>
              <w:rPr>
                <w:rFonts w:ascii="Times New Roman" w:eastAsia="Times New Roman" w:hAnsi="Times New Roman" w:cs="Times New Roman"/>
                <w:spacing w:val="16"/>
                <w:w w:val="102"/>
              </w:rPr>
              <w:t xml:space="preserve"> </w:t>
            </w:r>
            <w:r>
              <w:rPr>
                <w:spacing w:val="7"/>
              </w:rPr>
              <w:t xml:space="preserve">月 </w:t>
            </w:r>
            <w:r>
              <w:rPr>
                <w:rFonts w:ascii="Times New Roman" w:eastAsia="Times New Roman" w:hAnsi="Times New Roman" w:cs="Times New Roman"/>
                <w:spacing w:val="7"/>
              </w:rPr>
              <w:t>31</w:t>
            </w:r>
            <w:r>
              <w:rPr>
                <w:rFonts w:ascii="Times New Roman" w:eastAsia="Times New Roman" w:hAnsi="Times New Roman" w:cs="Times New Roman"/>
              </w:rPr>
              <w:t xml:space="preserve">    </w:t>
            </w:r>
            <w:r>
              <w:rPr>
                <w:spacing w:val="7"/>
              </w:rPr>
              <w:t xml:space="preserve">日美联储开启加息进程，至 </w:t>
            </w:r>
            <w:r>
              <w:rPr>
                <w:rFonts w:ascii="Times New Roman" w:eastAsia="Times New Roman" w:hAnsi="Times New Roman" w:cs="Times New Roman"/>
                <w:spacing w:val="7"/>
              </w:rPr>
              <w:t xml:space="preserve">2006 </w:t>
            </w:r>
            <w:r>
              <w:rPr>
                <w:spacing w:val="7"/>
              </w:rPr>
              <w:t xml:space="preserve">年 </w:t>
            </w:r>
            <w:r>
              <w:rPr>
                <w:rFonts w:ascii="Times New Roman" w:eastAsia="Times New Roman" w:hAnsi="Times New Roman" w:cs="Times New Roman"/>
                <w:spacing w:val="7"/>
              </w:rPr>
              <w:t>6</w:t>
            </w:r>
            <w:r>
              <w:rPr>
                <w:rFonts w:ascii="Times New Roman" w:eastAsia="Times New Roman" w:hAnsi="Times New Roman" w:cs="Times New Roman"/>
                <w:spacing w:val="16"/>
                <w:w w:val="101"/>
              </w:rPr>
              <w:t xml:space="preserve"> </w:t>
            </w:r>
            <w:r>
              <w:rPr>
                <w:spacing w:val="7"/>
              </w:rPr>
              <w:t xml:space="preserve">月 </w:t>
            </w:r>
            <w:r>
              <w:rPr>
                <w:rFonts w:ascii="Times New Roman" w:eastAsia="Times New Roman" w:hAnsi="Times New Roman" w:cs="Times New Roman"/>
                <w:spacing w:val="7"/>
              </w:rPr>
              <w:t xml:space="preserve">29  </w:t>
            </w:r>
            <w:r>
              <w:rPr>
                <w:spacing w:val="7"/>
              </w:rPr>
              <w:t>日结束加息，直接受到加息冲击的</w:t>
            </w:r>
            <w:r>
              <w:rPr>
                <w:spacing w:val="6"/>
              </w:rPr>
              <w:t>就是次级贷款人，美国次级贷款</w:t>
            </w:r>
            <w:r>
              <w:t xml:space="preserve">  </w:t>
            </w:r>
            <w:r>
              <w:rPr>
                <w:spacing w:val="9"/>
              </w:rPr>
              <w:t>违约率直线上升，随后美国不动产价格回落，抵押住房贷款及其上层证券化产品所依靠的底层资产价值缩水，</w:t>
            </w:r>
          </w:p>
          <w:p>
            <w:pPr>
              <w:pStyle w:val="TableText"/>
              <w:spacing w:before="52" w:line="211" w:lineRule="auto"/>
              <w:ind w:left="112" w:right="153" w:firstLine="4"/>
            </w:pPr>
            <w:r>
              <w:rPr>
                <w:spacing w:val="10"/>
              </w:rPr>
              <w:t>金融机构面临巨额亏损，美国第二大次贷房贷机构新世纪金融公司、第四</w:t>
            </w:r>
            <w:r>
              <w:rPr>
                <w:spacing w:val="9"/>
              </w:rPr>
              <w:t>大投行雷曼兄弟相继破产，金融危机</w:t>
            </w:r>
            <w:r>
              <w:t xml:space="preserve"> </w:t>
            </w:r>
            <w:r>
              <w:rPr>
                <w:spacing w:val="-3"/>
              </w:rPr>
              <w:t>爆发。</w:t>
            </w:r>
          </w:p>
          <w:p>
            <w:pPr>
              <w:pStyle w:val="TableText"/>
              <w:spacing w:before="310" w:line="191" w:lineRule="auto"/>
              <w:ind w:left="125"/>
              <w:rPr>
                <w:sz w:val="18"/>
                <w:szCs w:val="18"/>
              </w:rPr>
            </w:pPr>
            <w:r>
              <w:rPr>
                <w:b/>
                <w:bCs/>
                <w:spacing w:val="-1"/>
                <w:sz w:val="18"/>
                <w:szCs w:val="18"/>
                <w14:textOutline w14:w="3265">
                  <w14:solidFill>
                    <w14:srgbClr w14:val="000000"/>
                  </w14:solidFill>
                  <w14:prstDash w14:val="solid"/>
                  <w14:miter w14:lim="10"/>
                </w14:textOutline>
              </w:rPr>
              <w:t>图</w:t>
            </w:r>
            <w:r>
              <w:rPr>
                <w:b/>
                <w:bCs/>
                <w:spacing w:val="-1"/>
                <w:sz w:val="18"/>
                <w:szCs w:val="18"/>
              </w:rPr>
              <w:t xml:space="preserve"> </w:t>
            </w:r>
            <w:r>
              <w:rPr>
                <w:rFonts w:ascii="Times New Roman" w:eastAsia="Times New Roman" w:hAnsi="Times New Roman" w:cs="Times New Roman"/>
                <w:b/>
                <w:bCs/>
                <w:spacing w:val="-1"/>
                <w:sz w:val="18"/>
                <w:szCs w:val="18"/>
              </w:rPr>
              <w:t>1:</w:t>
            </w:r>
            <w:r>
              <w:rPr>
                <w:b/>
                <w:bCs/>
                <w:spacing w:val="-1"/>
                <w:sz w:val="18"/>
                <w:szCs w:val="18"/>
                <w14:textOutline w14:w="3265">
                  <w14:solidFill>
                    <w14:srgbClr w14:val="000000"/>
                  </w14:solidFill>
                  <w14:prstDash w14:val="solid"/>
                  <w14:miter w14:lim="10"/>
                </w14:textOutline>
              </w:rPr>
              <w:t>美国</w:t>
            </w:r>
            <w:r>
              <w:rPr>
                <w:b/>
                <w:bCs/>
                <w:spacing w:val="-1"/>
                <w:sz w:val="18"/>
                <w:szCs w:val="18"/>
              </w:rPr>
              <w:t xml:space="preserve"> </w:t>
            </w:r>
            <w:r>
              <w:rPr>
                <w:rFonts w:ascii="Times New Roman" w:eastAsia="Times New Roman" w:hAnsi="Times New Roman" w:cs="Times New Roman"/>
                <w:b/>
                <w:bCs/>
                <w:spacing w:val="-1"/>
                <w:sz w:val="18"/>
                <w:szCs w:val="18"/>
              </w:rPr>
              <w:t xml:space="preserve">FHFA </w:t>
            </w:r>
            <w:r>
              <w:rPr>
                <w:b/>
                <w:bCs/>
                <w:spacing w:val="-1"/>
                <w:sz w:val="18"/>
                <w:szCs w:val="18"/>
                <w14:textOutline w14:w="3265">
                  <w14:solidFill>
                    <w14:srgbClr w14:val="000000"/>
                  </w14:solidFill>
                  <w14:prstDash w14:val="solid"/>
                  <w14:miter w14:lim="10"/>
                </w14:textOutline>
              </w:rPr>
              <w:t>房价指数（季调）</w:t>
            </w:r>
            <w:r>
              <w:rPr>
                <w:b/>
                <w:bCs/>
                <w:spacing w:val="-1"/>
                <w:sz w:val="18"/>
                <w:szCs w:val="18"/>
              </w:rPr>
              <w:t xml:space="preserve">                                         </w:t>
            </w:r>
            <w:r>
              <w:rPr>
                <w:b/>
                <w:bCs/>
                <w:spacing w:val="-1"/>
                <w:sz w:val="18"/>
                <w:szCs w:val="18"/>
                <w14:textOutline w14:w="3265">
                  <w14:solidFill>
                    <w14:srgbClr w14:val="000000"/>
                  </w14:solidFill>
                  <w14:prstDash w14:val="solid"/>
                  <w14:miter w14:lim="10"/>
                </w14:textOutline>
              </w:rPr>
              <w:t>图</w:t>
            </w:r>
            <w:r>
              <w:rPr>
                <w:b/>
                <w:bCs/>
                <w:spacing w:val="-1"/>
                <w:sz w:val="18"/>
                <w:szCs w:val="18"/>
              </w:rPr>
              <w:t xml:space="preserve"> </w:t>
            </w:r>
            <w:r>
              <w:rPr>
                <w:rFonts w:ascii="Times New Roman" w:eastAsia="Times New Roman" w:hAnsi="Times New Roman" w:cs="Times New Roman"/>
                <w:b/>
                <w:bCs/>
                <w:spacing w:val="-1"/>
                <w:sz w:val="18"/>
                <w:szCs w:val="18"/>
              </w:rPr>
              <w:t>2:</w:t>
            </w:r>
            <w:r>
              <w:rPr>
                <w:b/>
                <w:bCs/>
                <w:spacing w:val="-1"/>
                <w:sz w:val="18"/>
                <w:szCs w:val="18"/>
                <w14:textOutline w14:w="3265">
                  <w14:solidFill>
                    <w14:srgbClr w14:val="000000"/>
                  </w14:solidFill>
                  <w14:prstDash w14:val="solid"/>
                  <w14:miter w14:lim="10"/>
                </w14:textOutline>
              </w:rPr>
              <w:t>美国不良贷款率（</w:t>
            </w:r>
            <w:r>
              <w:rPr>
                <w:rFonts w:ascii="Times New Roman" w:eastAsia="Times New Roman" w:hAnsi="Times New Roman" w:cs="Times New Roman"/>
                <w:b/>
                <w:bCs/>
                <w:spacing w:val="-1"/>
                <w:sz w:val="18"/>
                <w:szCs w:val="18"/>
              </w:rPr>
              <w:t>%</w:t>
            </w:r>
            <w:r>
              <w:rPr>
                <w:b/>
                <w:bCs/>
                <w:spacing w:val="-1"/>
                <w:sz w:val="18"/>
                <w:szCs w:val="18"/>
                <w14:textOutline w14:w="3265">
                  <w14:solidFill>
                    <w14:srgbClr w14:val="000000"/>
                  </w14:solidFill>
                  <w14:prstDash w14:val="solid"/>
                  <w14:miter w14:lim="10"/>
                </w14:textOutline>
              </w:rPr>
              <w:t>）</w:t>
            </w:r>
          </w:p>
        </w:tc>
      </w:tr>
      <w:tr>
        <w:tblPrEx>
          <w:tblW w:w="9856" w:type="dxa"/>
          <w:tblInd w:w="0" w:type="dxa"/>
          <w:tblLayout w:type="fixed"/>
        </w:tblPrEx>
        <w:trPr>
          <w:trHeight w:val="2251"/>
        </w:trPr>
        <w:tc>
          <w:tcPr>
            <w:tcW w:w="526" w:type="dxa"/>
            <w:vMerge w:val="restart"/>
            <w:tcBorders>
              <w:top w:val="single" w:sz="10" w:space="0" w:color="044E7E"/>
              <w:bottom w:val="nil"/>
            </w:tcBorders>
            <w:vAlign w:val="top"/>
          </w:tcPr>
          <w:p>
            <w:pPr>
              <w:spacing w:before="84" w:line="188" w:lineRule="auto"/>
              <w:ind w:left="252"/>
              <w:rPr>
                <w:rFonts w:ascii="Calibri" w:eastAsia="Calibri" w:hAnsi="Calibri" w:cs="Calibri"/>
                <w:sz w:val="13"/>
                <w:szCs w:val="13"/>
              </w:rPr>
            </w:pPr>
            <w:r>
              <w:rPr>
                <w:rFonts w:ascii="Calibri" w:eastAsia="Calibri" w:hAnsi="Calibri" w:cs="Calibri"/>
                <w:color w:val="838383"/>
                <w:spacing w:val="2"/>
                <w:sz w:val="13"/>
                <w:szCs w:val="13"/>
              </w:rPr>
              <w:t>240</w:t>
            </w:r>
          </w:p>
          <w:p>
            <w:pPr>
              <w:spacing w:before="195" w:line="188" w:lineRule="auto"/>
              <w:ind w:left="252"/>
              <w:rPr>
                <w:rFonts w:ascii="Calibri" w:eastAsia="Calibri" w:hAnsi="Calibri" w:cs="Calibri"/>
                <w:sz w:val="13"/>
                <w:szCs w:val="13"/>
              </w:rPr>
            </w:pPr>
            <w:r>
              <w:rPr>
                <w:rFonts w:ascii="Calibri" w:eastAsia="Calibri" w:hAnsi="Calibri" w:cs="Calibri"/>
                <w:color w:val="838383"/>
                <w:spacing w:val="2"/>
                <w:sz w:val="13"/>
                <w:szCs w:val="13"/>
              </w:rPr>
              <w:t>220</w:t>
            </w:r>
          </w:p>
          <w:p>
            <w:pPr>
              <w:spacing w:before="195" w:line="188" w:lineRule="auto"/>
              <w:ind w:left="252"/>
              <w:rPr>
                <w:rFonts w:ascii="Calibri" w:eastAsia="Calibri" w:hAnsi="Calibri" w:cs="Calibri"/>
                <w:sz w:val="13"/>
                <w:szCs w:val="13"/>
              </w:rPr>
            </w:pPr>
            <w:r>
              <w:rPr>
                <w:rFonts w:ascii="Calibri" w:eastAsia="Calibri" w:hAnsi="Calibri" w:cs="Calibri"/>
                <w:color w:val="838383"/>
                <w:spacing w:val="2"/>
                <w:sz w:val="13"/>
                <w:szCs w:val="13"/>
              </w:rPr>
              <w:t>200</w:t>
            </w:r>
          </w:p>
          <w:p>
            <w:pPr>
              <w:spacing w:before="195" w:line="188" w:lineRule="auto"/>
              <w:ind w:left="256"/>
              <w:rPr>
                <w:rFonts w:ascii="Calibri" w:eastAsia="Calibri" w:hAnsi="Calibri" w:cs="Calibri"/>
                <w:sz w:val="13"/>
                <w:szCs w:val="13"/>
              </w:rPr>
            </w:pPr>
            <w:r>
              <w:rPr>
                <w:rFonts w:ascii="Calibri" w:eastAsia="Calibri" w:hAnsi="Calibri" w:cs="Calibri"/>
                <w:color w:val="838383"/>
                <w:sz w:val="13"/>
                <w:szCs w:val="13"/>
              </w:rPr>
              <w:t>180</w:t>
            </w:r>
          </w:p>
          <w:p>
            <w:pPr>
              <w:spacing w:before="195" w:line="188" w:lineRule="auto"/>
              <w:ind w:left="256"/>
              <w:rPr>
                <w:rFonts w:ascii="Calibri" w:eastAsia="Calibri" w:hAnsi="Calibri" w:cs="Calibri"/>
                <w:sz w:val="13"/>
                <w:szCs w:val="13"/>
              </w:rPr>
            </w:pPr>
            <w:r>
              <w:rPr>
                <w:rFonts w:ascii="Calibri" w:eastAsia="Calibri" w:hAnsi="Calibri" w:cs="Calibri"/>
                <w:color w:val="838383"/>
                <w:sz w:val="13"/>
                <w:szCs w:val="13"/>
              </w:rPr>
              <w:t>160</w:t>
            </w:r>
          </w:p>
          <w:p>
            <w:pPr>
              <w:spacing w:before="194" w:line="188" w:lineRule="auto"/>
              <w:ind w:left="256"/>
              <w:rPr>
                <w:rFonts w:ascii="Calibri" w:eastAsia="Calibri" w:hAnsi="Calibri" w:cs="Calibri"/>
                <w:sz w:val="13"/>
                <w:szCs w:val="13"/>
              </w:rPr>
            </w:pPr>
            <w:r>
              <w:rPr>
                <w:rFonts w:ascii="Calibri" w:eastAsia="Calibri" w:hAnsi="Calibri" w:cs="Calibri"/>
                <w:color w:val="838383"/>
                <w:sz w:val="13"/>
                <w:szCs w:val="13"/>
              </w:rPr>
              <w:t>140</w:t>
            </w:r>
          </w:p>
          <w:p>
            <w:pPr>
              <w:spacing w:before="195" w:line="188" w:lineRule="auto"/>
              <w:ind w:left="256"/>
              <w:rPr>
                <w:rFonts w:ascii="Calibri" w:eastAsia="Calibri" w:hAnsi="Calibri" w:cs="Calibri"/>
                <w:sz w:val="13"/>
                <w:szCs w:val="13"/>
              </w:rPr>
            </w:pPr>
            <w:r>
              <w:rPr>
                <w:rFonts w:ascii="Calibri" w:eastAsia="Calibri" w:hAnsi="Calibri" w:cs="Calibri"/>
                <w:color w:val="838383"/>
                <w:sz w:val="13"/>
                <w:szCs w:val="13"/>
              </w:rPr>
              <w:t>120</w:t>
            </w:r>
          </w:p>
        </w:tc>
        <w:tc>
          <w:tcPr>
            <w:tcW w:w="4368" w:type="dxa"/>
            <w:gridSpan w:val="18"/>
            <w:tcBorders>
              <w:top w:val="single" w:sz="10" w:space="0" w:color="044E7E"/>
            </w:tcBorders>
            <w:vAlign w:val="top"/>
          </w:tcPr>
          <w:p>
            <w:pPr>
              <w:spacing w:line="348" w:lineRule="auto"/>
              <w:rPr>
                <w:rFonts w:ascii="Arial"/>
                <w:sz w:val="21"/>
              </w:rPr>
            </w:pPr>
          </w:p>
          <w:p>
            <w:pPr>
              <w:spacing w:line="1706" w:lineRule="exact"/>
              <w:ind w:firstLine="85"/>
            </w:pPr>
            <w:r>
              <w:rPr>
                <w:position w:val="-34"/>
              </w:rPr>
              <w:drawing>
                <wp:inline distT="0" distB="0" distL="0" distR="0">
                  <wp:extent cx="2523439" cy="1083309"/>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8"/>
                          <a:stretch>
                            <a:fillRect/>
                          </a:stretch>
                        </pic:blipFill>
                        <pic:spPr>
                          <a:xfrm>
                            <a:off x="0" y="0"/>
                            <a:ext cx="2523439" cy="1083309"/>
                          </a:xfrm>
                          <a:prstGeom prst="rect">
                            <a:avLst/>
                          </a:prstGeom>
                        </pic:spPr>
                      </pic:pic>
                    </a:graphicData>
                  </a:graphic>
                </wp:inline>
              </w:drawing>
            </w:r>
          </w:p>
        </w:tc>
        <w:tc>
          <w:tcPr>
            <w:tcW w:w="4962" w:type="dxa"/>
            <w:vMerge w:val="restart"/>
            <w:tcBorders>
              <w:top w:val="single" w:sz="10" w:space="0" w:color="044E7E"/>
              <w:bottom w:val="nil"/>
            </w:tcBorders>
            <w:vAlign w:val="top"/>
          </w:tcPr>
          <w:p>
            <w:pPr>
              <w:spacing w:line="2705" w:lineRule="exact"/>
              <w:ind w:firstLine="281"/>
            </w:pPr>
            <w:r>
              <w:rPr>
                <w:position w:val="-54"/>
              </w:rPr>
              <w:drawing>
                <wp:inline distT="0" distB="0" distL="0" distR="0">
                  <wp:extent cx="2814320" cy="171826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9"/>
                          <a:stretch>
                            <a:fillRect/>
                          </a:stretch>
                        </pic:blipFill>
                        <pic:spPr>
                          <a:xfrm>
                            <a:off x="0" y="0"/>
                            <a:ext cx="2814320" cy="1718264"/>
                          </a:xfrm>
                          <a:prstGeom prst="rect">
                            <a:avLst/>
                          </a:prstGeom>
                        </pic:spPr>
                      </pic:pic>
                    </a:graphicData>
                  </a:graphic>
                </wp:inline>
              </w:drawing>
            </w:r>
          </w:p>
        </w:tc>
      </w:tr>
      <w:tr>
        <w:tblPrEx>
          <w:tblW w:w="9856" w:type="dxa"/>
          <w:tblInd w:w="0" w:type="dxa"/>
          <w:tblLayout w:type="fixed"/>
        </w:tblPrEx>
        <w:trPr>
          <w:trHeight w:val="781"/>
        </w:trPr>
        <w:tc>
          <w:tcPr>
            <w:tcW w:w="526" w:type="dxa"/>
            <w:vMerge/>
            <w:tcBorders>
              <w:top w:val="nil"/>
              <w:bottom w:val="single" w:sz="6" w:space="0" w:color="044E7E"/>
            </w:tcBorders>
            <w:vAlign w:val="top"/>
          </w:tcPr>
          <w:p>
            <w:pPr>
              <w:rPr>
                <w:rFonts w:ascii="Arial"/>
                <w:sz w:val="21"/>
              </w:rPr>
            </w:pPr>
          </w:p>
        </w:tc>
        <w:tc>
          <w:tcPr>
            <w:tcW w:w="231" w:type="dxa"/>
            <w:tcBorders>
              <w:bottom w:val="single" w:sz="6" w:space="0" w:color="044E7E"/>
            </w:tcBorders>
            <w:textDirection w:val="btLr"/>
            <w:vAlign w:val="top"/>
          </w:tcPr>
          <w:p>
            <w:pPr>
              <w:spacing w:before="69"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2000-01</w:t>
            </w:r>
          </w:p>
        </w:tc>
        <w:tc>
          <w:tcPr>
            <w:tcW w:w="231" w:type="dxa"/>
            <w:tcBorders>
              <w:bottom w:val="single" w:sz="6" w:space="0" w:color="044E7E"/>
            </w:tcBorders>
            <w:textDirection w:val="btLr"/>
            <w:vAlign w:val="top"/>
          </w:tcPr>
          <w:p>
            <w:pPr>
              <w:spacing w:before="70"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2000-08</w:t>
            </w:r>
          </w:p>
        </w:tc>
        <w:tc>
          <w:tcPr>
            <w:tcW w:w="231" w:type="dxa"/>
            <w:tcBorders>
              <w:bottom w:val="single" w:sz="6" w:space="0" w:color="044E7E"/>
            </w:tcBorders>
            <w:textDirection w:val="btLr"/>
            <w:vAlign w:val="top"/>
          </w:tcPr>
          <w:p>
            <w:pPr>
              <w:spacing w:before="70"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2001-03</w:t>
            </w:r>
          </w:p>
        </w:tc>
        <w:tc>
          <w:tcPr>
            <w:tcW w:w="231" w:type="dxa"/>
            <w:tcBorders>
              <w:bottom w:val="single" w:sz="6" w:space="0" w:color="044E7E"/>
            </w:tcBorders>
            <w:textDirection w:val="btLr"/>
            <w:vAlign w:val="top"/>
          </w:tcPr>
          <w:p>
            <w:pPr>
              <w:spacing w:before="69"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2001-10</w:t>
            </w:r>
          </w:p>
        </w:tc>
        <w:tc>
          <w:tcPr>
            <w:tcW w:w="231" w:type="dxa"/>
            <w:tcBorders>
              <w:bottom w:val="single" w:sz="6" w:space="0" w:color="044E7E"/>
            </w:tcBorders>
            <w:textDirection w:val="btLr"/>
            <w:vAlign w:val="top"/>
          </w:tcPr>
          <w:p>
            <w:pPr>
              <w:spacing w:before="70"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2002-05</w:t>
            </w:r>
          </w:p>
        </w:tc>
        <w:tc>
          <w:tcPr>
            <w:tcW w:w="231" w:type="dxa"/>
            <w:tcBorders>
              <w:bottom w:val="single" w:sz="6" w:space="0" w:color="044E7E"/>
            </w:tcBorders>
            <w:textDirection w:val="btLr"/>
            <w:vAlign w:val="top"/>
          </w:tcPr>
          <w:p>
            <w:pPr>
              <w:spacing w:before="70"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2002-12</w:t>
            </w:r>
          </w:p>
        </w:tc>
        <w:tc>
          <w:tcPr>
            <w:tcW w:w="231" w:type="dxa"/>
            <w:tcBorders>
              <w:bottom w:val="single" w:sz="6" w:space="0" w:color="044E7E"/>
            </w:tcBorders>
            <w:textDirection w:val="btLr"/>
            <w:vAlign w:val="top"/>
          </w:tcPr>
          <w:p>
            <w:pPr>
              <w:spacing w:before="70"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2003-07</w:t>
            </w:r>
          </w:p>
        </w:tc>
        <w:tc>
          <w:tcPr>
            <w:tcW w:w="231" w:type="dxa"/>
            <w:tcBorders>
              <w:bottom w:val="single" w:sz="6" w:space="0" w:color="044E7E"/>
            </w:tcBorders>
            <w:textDirection w:val="btLr"/>
            <w:vAlign w:val="top"/>
          </w:tcPr>
          <w:p>
            <w:pPr>
              <w:spacing w:before="70"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2004-02</w:t>
            </w:r>
          </w:p>
        </w:tc>
        <w:tc>
          <w:tcPr>
            <w:tcW w:w="231" w:type="dxa"/>
            <w:tcBorders>
              <w:bottom w:val="single" w:sz="6" w:space="0" w:color="044E7E"/>
            </w:tcBorders>
            <w:textDirection w:val="btLr"/>
            <w:vAlign w:val="top"/>
          </w:tcPr>
          <w:p>
            <w:pPr>
              <w:spacing w:before="69"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2004-09</w:t>
            </w:r>
          </w:p>
        </w:tc>
        <w:tc>
          <w:tcPr>
            <w:tcW w:w="231" w:type="dxa"/>
            <w:tcBorders>
              <w:bottom w:val="single" w:sz="6" w:space="0" w:color="044E7E"/>
            </w:tcBorders>
            <w:textDirection w:val="btLr"/>
            <w:vAlign w:val="top"/>
          </w:tcPr>
          <w:p>
            <w:pPr>
              <w:spacing w:before="70"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2005-04</w:t>
            </w:r>
          </w:p>
        </w:tc>
        <w:tc>
          <w:tcPr>
            <w:tcW w:w="231" w:type="dxa"/>
            <w:tcBorders>
              <w:bottom w:val="single" w:sz="6" w:space="0" w:color="044E7E"/>
            </w:tcBorders>
            <w:textDirection w:val="btLr"/>
            <w:vAlign w:val="top"/>
          </w:tcPr>
          <w:p>
            <w:pPr>
              <w:spacing w:before="69"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2005-11</w:t>
            </w:r>
          </w:p>
        </w:tc>
        <w:tc>
          <w:tcPr>
            <w:tcW w:w="231" w:type="dxa"/>
            <w:tcBorders>
              <w:bottom w:val="single" w:sz="6" w:space="0" w:color="044E7E"/>
            </w:tcBorders>
            <w:textDirection w:val="btLr"/>
            <w:vAlign w:val="top"/>
          </w:tcPr>
          <w:p>
            <w:pPr>
              <w:spacing w:before="70"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2006-06</w:t>
            </w:r>
          </w:p>
        </w:tc>
        <w:tc>
          <w:tcPr>
            <w:tcW w:w="231" w:type="dxa"/>
            <w:tcBorders>
              <w:bottom w:val="single" w:sz="6" w:space="0" w:color="044E7E"/>
            </w:tcBorders>
            <w:textDirection w:val="btLr"/>
            <w:vAlign w:val="top"/>
          </w:tcPr>
          <w:p>
            <w:pPr>
              <w:spacing w:before="70"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2007-01</w:t>
            </w:r>
          </w:p>
        </w:tc>
        <w:tc>
          <w:tcPr>
            <w:tcW w:w="231" w:type="dxa"/>
            <w:tcBorders>
              <w:bottom w:val="single" w:sz="6" w:space="0" w:color="044E7E"/>
            </w:tcBorders>
            <w:textDirection w:val="btLr"/>
            <w:vAlign w:val="top"/>
          </w:tcPr>
          <w:p>
            <w:pPr>
              <w:spacing w:before="69"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2007-08</w:t>
            </w:r>
          </w:p>
        </w:tc>
        <w:tc>
          <w:tcPr>
            <w:tcW w:w="231" w:type="dxa"/>
            <w:tcBorders>
              <w:bottom w:val="single" w:sz="6" w:space="0" w:color="044E7E"/>
            </w:tcBorders>
            <w:textDirection w:val="btLr"/>
            <w:vAlign w:val="top"/>
          </w:tcPr>
          <w:p>
            <w:pPr>
              <w:spacing w:before="70"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2008-03</w:t>
            </w:r>
          </w:p>
        </w:tc>
        <w:tc>
          <w:tcPr>
            <w:tcW w:w="231" w:type="dxa"/>
            <w:tcBorders>
              <w:bottom w:val="single" w:sz="6" w:space="0" w:color="044E7E"/>
            </w:tcBorders>
            <w:textDirection w:val="btLr"/>
            <w:vAlign w:val="top"/>
          </w:tcPr>
          <w:p>
            <w:pPr>
              <w:spacing w:before="69"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2008-10</w:t>
            </w:r>
          </w:p>
        </w:tc>
        <w:tc>
          <w:tcPr>
            <w:tcW w:w="231" w:type="dxa"/>
            <w:tcBorders>
              <w:bottom w:val="single" w:sz="6" w:space="0" w:color="044E7E"/>
            </w:tcBorders>
            <w:textDirection w:val="btLr"/>
            <w:vAlign w:val="top"/>
          </w:tcPr>
          <w:p>
            <w:pPr>
              <w:spacing w:before="70"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2009-05</w:t>
            </w:r>
          </w:p>
        </w:tc>
        <w:tc>
          <w:tcPr>
            <w:tcW w:w="441" w:type="dxa"/>
            <w:tcBorders>
              <w:bottom w:val="single" w:sz="6" w:space="0" w:color="044E7E"/>
            </w:tcBorders>
            <w:textDirection w:val="btLr"/>
            <w:vAlign w:val="top"/>
          </w:tcPr>
          <w:p>
            <w:pPr>
              <w:spacing w:before="69" w:line="188" w:lineRule="auto"/>
              <w:ind w:left="301"/>
              <w:rPr>
                <w:rFonts w:ascii="Calibri" w:eastAsia="Calibri" w:hAnsi="Calibri" w:cs="Calibri"/>
                <w:sz w:val="13"/>
                <w:szCs w:val="13"/>
              </w:rPr>
            </w:pPr>
            <w:r>
              <w:rPr>
                <w:rFonts w:ascii="Calibri" w:eastAsia="Calibri" w:hAnsi="Calibri" w:cs="Calibri"/>
                <w:color w:val="838383"/>
                <w:spacing w:val="3"/>
                <w:sz w:val="13"/>
                <w:szCs w:val="13"/>
              </w:rPr>
              <w:t>2009-12</w:t>
            </w:r>
          </w:p>
        </w:tc>
        <w:tc>
          <w:tcPr>
            <w:tcW w:w="4962" w:type="dxa"/>
            <w:vMerge/>
            <w:tcBorders>
              <w:top w:val="nil"/>
              <w:bottom w:val="single" w:sz="6" w:space="0" w:color="044E7E"/>
            </w:tcBorders>
            <w:vAlign w:val="top"/>
          </w:tcPr>
          <w:p>
            <w:pPr>
              <w:rPr>
                <w:rFonts w:ascii="Arial"/>
                <w:sz w:val="21"/>
              </w:rPr>
            </w:pPr>
          </w:p>
        </w:tc>
      </w:tr>
    </w:tbl>
    <w:p>
      <w:pPr>
        <w:sectPr>
          <w:headerReference w:type="default" r:id="rId20"/>
          <w:footerReference w:type="default" r:id="rId21"/>
          <w:pgSz w:w="11907" w:h="16839"/>
          <w:pgMar w:top="1945" w:right="1025" w:bottom="1215" w:left="1024" w:header="900" w:footer="705" w:gutter="0"/>
          <w:pgNumType w:start="6"/>
          <w:cols w:space="708"/>
        </w:sectPr>
      </w:pPr>
    </w:p>
    <w:tbl>
      <w:tblPr>
        <w:tblStyle w:val="TableNormal1"/>
        <w:tblW w:w="9856" w:type="dxa"/>
        <w:tblInd w:w="0" w:type="dxa"/>
        <w:tblBorders>
          <w:top w:val="nil"/>
          <w:left w:val="nil"/>
          <w:bottom w:val="nil"/>
          <w:right w:val="nil"/>
          <w:insideH w:val="nil"/>
          <w:insideV w:val="nil"/>
        </w:tblBorders>
        <w:tblLayout w:type="fixed"/>
      </w:tblPr>
      <w:tblGrid>
        <w:gridCol w:w="9856"/>
      </w:tblGrid>
      <w:tr>
        <w:tblPrEx>
          <w:tblW w:w="9856" w:type="dxa"/>
          <w:tblInd w:w="0" w:type="dxa"/>
          <w:tblBorders>
            <w:top w:val="nil"/>
            <w:left w:val="nil"/>
            <w:bottom w:val="nil"/>
            <w:right w:val="nil"/>
            <w:insideH w:val="nil"/>
            <w:insideV w:val="nil"/>
          </w:tblBorders>
          <w:tblLayout w:type="fixed"/>
        </w:tblPrEx>
        <w:trPr>
          <w:trHeight w:val="5169"/>
        </w:trPr>
        <w:tc>
          <w:tcPr>
            <w:tcW w:w="9856" w:type="dxa"/>
            <w:tcBorders>
              <w:top w:val="single" w:sz="6" w:space="0" w:color="044E7E"/>
              <w:bottom w:val="single" w:sz="6" w:space="0" w:color="044E7E"/>
            </w:tcBorders>
            <w:vAlign w:val="top"/>
          </w:tcPr>
          <w:p>
            <w:pPr>
              <w:pStyle w:val="TableText"/>
              <w:spacing w:line="177" w:lineRule="auto"/>
              <w:ind w:left="108"/>
              <w:rPr>
                <w:sz w:val="11"/>
                <w:szCs w:val="11"/>
              </w:rPr>
            </w:pPr>
            <w:r>
              <w:rPr>
                <w:i/>
                <w:iCs/>
                <w:spacing w:val="19"/>
                <w:w w:val="125"/>
                <w:sz w:val="11"/>
                <w:szCs w:val="11"/>
              </w:rPr>
              <w:t>数据来源：</w:t>
            </w:r>
            <w:r>
              <w:rPr>
                <w:spacing w:val="-4"/>
                <w:sz w:val="11"/>
                <w:szCs w:val="11"/>
              </w:rPr>
              <w:t xml:space="preserve"> </w:t>
            </w:r>
            <w:r>
              <w:rPr>
                <w:rFonts w:ascii="Times New Roman" w:eastAsia="Times New Roman" w:hAnsi="Times New Roman" w:cs="Times New Roman"/>
                <w:i/>
                <w:iCs/>
                <w:spacing w:val="19"/>
                <w:w w:val="125"/>
                <w:sz w:val="10"/>
                <w:szCs w:val="10"/>
              </w:rPr>
              <w:t>Wind</w:t>
            </w:r>
            <w:r>
              <w:rPr>
                <w:i/>
                <w:iCs/>
                <w:spacing w:val="19"/>
                <w:w w:val="125"/>
                <w:sz w:val="11"/>
                <w:szCs w:val="11"/>
              </w:rPr>
              <w:t>，</w:t>
            </w:r>
            <w:r>
              <w:rPr>
                <w:spacing w:val="19"/>
                <w:w w:val="125"/>
                <w:sz w:val="11"/>
                <w:szCs w:val="11"/>
              </w:rPr>
              <w:t xml:space="preserve"> </w:t>
            </w:r>
            <w:r>
              <w:rPr>
                <w:i/>
                <w:iCs/>
                <w:spacing w:val="19"/>
                <w:w w:val="125"/>
                <w:sz w:val="11"/>
                <w:szCs w:val="11"/>
              </w:rPr>
              <w:t>中信建投证券</w:t>
            </w:r>
            <w:r>
              <w:rPr>
                <w:sz w:val="11"/>
                <w:szCs w:val="11"/>
              </w:rPr>
              <w:t xml:space="preserve">                                                                                </w:t>
            </w:r>
            <w:r>
              <w:rPr>
                <w:i/>
                <w:iCs/>
                <w:spacing w:val="19"/>
                <w:w w:val="125"/>
                <w:sz w:val="11"/>
                <w:szCs w:val="11"/>
              </w:rPr>
              <w:t>数据来源：</w:t>
            </w:r>
            <w:r>
              <w:rPr>
                <w:spacing w:val="7"/>
                <w:sz w:val="11"/>
                <w:szCs w:val="11"/>
              </w:rPr>
              <w:t xml:space="preserve"> </w:t>
            </w:r>
            <w:r>
              <w:rPr>
                <w:rFonts w:ascii="Times New Roman" w:eastAsia="Times New Roman" w:hAnsi="Times New Roman" w:cs="Times New Roman"/>
                <w:i/>
                <w:iCs/>
                <w:spacing w:val="19"/>
                <w:w w:val="125"/>
                <w:sz w:val="10"/>
                <w:szCs w:val="10"/>
              </w:rPr>
              <w:t>Wind</w:t>
            </w:r>
            <w:r>
              <w:rPr>
                <w:i/>
                <w:iCs/>
                <w:spacing w:val="19"/>
                <w:w w:val="125"/>
                <w:sz w:val="11"/>
                <w:szCs w:val="11"/>
              </w:rPr>
              <w:t>，</w:t>
            </w:r>
            <w:r>
              <w:rPr>
                <w:spacing w:val="19"/>
                <w:w w:val="125"/>
                <w:sz w:val="11"/>
                <w:szCs w:val="11"/>
              </w:rPr>
              <w:t xml:space="preserve"> </w:t>
            </w:r>
            <w:r>
              <w:rPr>
                <w:i/>
                <w:iCs/>
                <w:spacing w:val="19"/>
                <w:w w:val="125"/>
                <w:sz w:val="11"/>
                <w:szCs w:val="11"/>
              </w:rPr>
              <w:t>中信建投证券</w:t>
            </w:r>
          </w:p>
          <w:p>
            <w:pPr>
              <w:spacing w:line="282" w:lineRule="auto"/>
              <w:rPr>
                <w:rFonts w:ascii="Arial"/>
                <w:sz w:val="21"/>
              </w:rPr>
            </w:pPr>
          </w:p>
          <w:p>
            <w:pPr>
              <w:pStyle w:val="TableText"/>
              <w:spacing w:before="103" w:line="185" w:lineRule="auto"/>
              <w:ind w:left="593"/>
              <w:rPr>
                <w:sz w:val="24"/>
                <w:szCs w:val="24"/>
              </w:rPr>
            </w:pPr>
            <w:r>
              <w:rPr>
                <w:rFonts w:ascii="Times New Roman" w:eastAsia="Times New Roman" w:hAnsi="Times New Roman" w:cs="Times New Roman"/>
                <w:color w:val="044E7E"/>
                <w:spacing w:val="-10"/>
                <w:sz w:val="24"/>
                <w:szCs w:val="24"/>
              </w:rPr>
              <w:t>2</w:t>
            </w:r>
            <w:r>
              <w:rPr>
                <w:rFonts w:ascii="Times New Roman" w:eastAsia="Times New Roman" w:hAnsi="Times New Roman" w:cs="Times New Roman"/>
                <w:color w:val="044E7E"/>
                <w:spacing w:val="-23"/>
                <w:sz w:val="24"/>
                <w:szCs w:val="24"/>
              </w:rPr>
              <w:t xml:space="preserve"> </w:t>
            </w:r>
            <w:r>
              <w:rPr>
                <w:color w:val="044E7E"/>
                <w:spacing w:val="-10"/>
                <w:sz w:val="24"/>
                <w:szCs w:val="24"/>
              </w:rPr>
              <w:t>、举措</w:t>
            </w:r>
          </w:p>
          <w:p>
            <w:pPr>
              <w:pStyle w:val="TableText"/>
              <w:spacing w:before="264" w:line="187" w:lineRule="auto"/>
              <w:ind w:left="125"/>
            </w:pPr>
            <w:r>
              <w:rPr>
                <w:b/>
                <w:bCs/>
                <w:spacing w:val="5"/>
                <w14:textOutline w14:w="3614">
                  <w14:solidFill>
                    <w14:srgbClr w14:val="000000"/>
                  </w14:solidFill>
                  <w14:prstDash w14:val="solid"/>
                  <w14:miter w14:lim="10"/>
                </w14:textOutline>
              </w:rPr>
              <w:t>（</w:t>
            </w:r>
            <w:r>
              <w:rPr>
                <w:rFonts w:ascii="Times New Roman" w:eastAsia="Times New Roman" w:hAnsi="Times New Roman" w:cs="Times New Roman"/>
                <w:b/>
                <w:bCs/>
                <w:spacing w:val="5"/>
              </w:rPr>
              <w:t>1</w:t>
            </w:r>
            <w:r>
              <w:rPr>
                <w:b/>
                <w:bCs/>
                <w:spacing w:val="5"/>
                <w14:textOutline w14:w="3614">
                  <w14:solidFill>
                    <w14:srgbClr w14:val="000000"/>
                  </w14:solidFill>
                  <w14:prstDash w14:val="solid"/>
                  <w14:miter w14:lim="10"/>
                </w14:textOutline>
              </w:rPr>
              <w:t>）</w:t>
            </w:r>
            <w:r>
              <w:rPr>
                <w:b/>
                <w:bCs/>
                <w:spacing w:val="-32"/>
              </w:rPr>
              <w:t xml:space="preserve"> </w:t>
            </w:r>
            <w:r>
              <w:rPr>
                <w:b/>
                <w:bCs/>
                <w:spacing w:val="5"/>
                <w14:textOutline w14:w="3614">
                  <w14:solidFill>
                    <w14:srgbClr w14:val="000000"/>
                  </w14:solidFill>
                  <w14:prstDash w14:val="solid"/>
                  <w14:miter w14:lim="10"/>
                </w14:textOutline>
              </w:rPr>
              <w:t>救助出险金融机构</w:t>
            </w:r>
          </w:p>
          <w:p>
            <w:pPr>
              <w:pStyle w:val="TableText"/>
              <w:spacing w:before="214" w:line="222" w:lineRule="auto"/>
              <w:ind w:left="113" w:right="152" w:firstLine="405"/>
              <w:jc w:val="both"/>
            </w:pPr>
            <w:r>
              <w:rPr>
                <w:spacing w:val="10"/>
              </w:rPr>
              <w:t>金融危机爆发时，部分具有系统重要性的金融机构出现资金困难或</w:t>
            </w:r>
            <w:r>
              <w:rPr>
                <w:spacing w:val="9"/>
              </w:rPr>
              <w:t>破产的风险，或是由于持有过多次级贷</w:t>
            </w:r>
            <w:r>
              <w:t xml:space="preserve"> </w:t>
            </w:r>
            <w:r>
              <w:rPr>
                <w:spacing w:val="10"/>
              </w:rPr>
              <w:t>款及抵押贷款支持证券，或是在信用违约互换市场上过度承担风险。这些机构的倒</w:t>
            </w:r>
            <w:r>
              <w:rPr>
                <w:spacing w:val="9"/>
              </w:rPr>
              <w:t>闭可能会引发金融市场的恐</w:t>
            </w:r>
            <w:r>
              <w:t xml:space="preserve"> </w:t>
            </w:r>
            <w:r>
              <w:rPr>
                <w:spacing w:val="10"/>
              </w:rPr>
              <w:t>慌，导致信用紧缩，进而影响实体经济的运行。为防止金融危机的进一步扩散和加</w:t>
            </w:r>
            <w:r>
              <w:rPr>
                <w:spacing w:val="9"/>
              </w:rPr>
              <w:t>深，美国政府和美联储采取</w:t>
            </w:r>
            <w:r>
              <w:t xml:space="preserve"> </w:t>
            </w:r>
            <w:r>
              <w:rPr>
                <w:spacing w:val="10"/>
              </w:rPr>
              <w:t>一系列的救助措施，包括向一些大型投资银行、保险公司、汽车公司等提供紧急贷</w:t>
            </w:r>
            <w:r>
              <w:rPr>
                <w:spacing w:val="9"/>
              </w:rPr>
              <w:t>款或注资，换取其部分股权</w:t>
            </w:r>
            <w:r>
              <w:t xml:space="preserve"> </w:t>
            </w:r>
            <w:r>
              <w:rPr>
                <w:spacing w:val="-2"/>
              </w:rPr>
              <w:t>或债券，   以维持其流动性和资本充足率。</w:t>
            </w:r>
          </w:p>
          <w:p>
            <w:pPr>
              <w:pStyle w:val="TableText"/>
              <w:spacing w:before="299" w:line="222" w:lineRule="auto"/>
              <w:ind w:left="114" w:right="107" w:firstLine="398"/>
              <w:jc w:val="both"/>
            </w:pPr>
            <w:r>
              <w:rPr>
                <w:rFonts w:ascii="Times New Roman" w:eastAsia="Times New Roman" w:hAnsi="Times New Roman" w:cs="Times New Roman"/>
                <w:spacing w:val="5"/>
              </w:rPr>
              <w:t xml:space="preserve">2008 </w:t>
            </w:r>
            <w:r>
              <w:rPr>
                <w:spacing w:val="5"/>
              </w:rPr>
              <w:t xml:space="preserve">年 </w:t>
            </w:r>
            <w:r>
              <w:rPr>
                <w:rFonts w:ascii="Times New Roman" w:eastAsia="Times New Roman" w:hAnsi="Times New Roman" w:cs="Times New Roman"/>
                <w:spacing w:val="5"/>
              </w:rPr>
              <w:t>9</w:t>
            </w:r>
            <w:r>
              <w:rPr>
                <w:rFonts w:ascii="Times New Roman" w:eastAsia="Times New Roman" w:hAnsi="Times New Roman" w:cs="Times New Roman"/>
                <w:spacing w:val="22"/>
                <w:w w:val="101"/>
              </w:rPr>
              <w:t xml:space="preserve"> </w:t>
            </w:r>
            <w:r>
              <w:rPr>
                <w:spacing w:val="5"/>
              </w:rPr>
              <w:t xml:space="preserve">月 </w:t>
            </w:r>
            <w:r>
              <w:rPr>
                <w:rFonts w:ascii="Times New Roman" w:eastAsia="Times New Roman" w:hAnsi="Times New Roman" w:cs="Times New Roman"/>
                <w:spacing w:val="5"/>
              </w:rPr>
              <w:t xml:space="preserve">29  </w:t>
            </w:r>
            <w:r>
              <w:rPr>
                <w:spacing w:val="5"/>
              </w:rPr>
              <w:t xml:space="preserve">日， 美国众议院否决财政部部长保尔森提出的 </w:t>
            </w:r>
            <w:r>
              <w:rPr>
                <w:rFonts w:ascii="Times New Roman" w:eastAsia="Times New Roman" w:hAnsi="Times New Roman" w:cs="Times New Roman"/>
                <w:spacing w:val="5"/>
              </w:rPr>
              <w:t xml:space="preserve">7000 </w:t>
            </w:r>
            <w:r>
              <w:rPr>
                <w:spacing w:val="5"/>
              </w:rPr>
              <w:t>亿美元的金融救助计划，称为“救市计</w:t>
            </w:r>
            <w:r>
              <w:t xml:space="preserve"> </w:t>
            </w:r>
            <w:r>
              <w:rPr>
                <w:spacing w:val="6"/>
              </w:rPr>
              <w:t>划”或“麦凯恩</w:t>
            </w:r>
            <w:r>
              <w:rPr>
                <w:rFonts w:ascii="Times New Roman" w:eastAsia="Times New Roman" w:hAnsi="Times New Roman" w:cs="Times New Roman"/>
                <w:spacing w:val="6"/>
              </w:rPr>
              <w:t>-</w:t>
            </w:r>
            <w:r>
              <w:rPr>
                <w:spacing w:val="6"/>
              </w:rPr>
              <w:t>保尔森计划”。该计划的主要内容是让财政</w:t>
            </w:r>
            <w:r>
              <w:rPr>
                <w:spacing w:val="5"/>
              </w:rPr>
              <w:t>部以公平的价格从金融机构手中收购不良资产，</w:t>
            </w:r>
            <w:r>
              <w:t xml:space="preserve">   </w:t>
            </w:r>
            <w:r>
              <w:rPr>
                <w:spacing w:val="5"/>
              </w:rPr>
              <w:t>以</w:t>
            </w:r>
            <w:r>
              <w:rPr>
                <w:spacing w:val="2"/>
              </w:rPr>
              <w:t xml:space="preserve"> </w:t>
            </w:r>
            <w:r>
              <w:rPr>
                <w:spacing w:val="4"/>
              </w:rPr>
              <w:t>恢复其信贷能力和市场信心。然而，</w:t>
            </w:r>
            <w:r>
              <w:rPr>
                <w:spacing w:val="23"/>
                <w:w w:val="101"/>
              </w:rPr>
              <w:t xml:space="preserve">  </w:t>
            </w:r>
            <w:r>
              <w:rPr>
                <w:spacing w:val="4"/>
              </w:rPr>
              <w:t>该计划遭到一些议员和公众的强烈反对，</w:t>
            </w:r>
            <w:r>
              <w:rPr>
                <w:spacing w:val="1"/>
              </w:rPr>
              <w:t xml:space="preserve">  </w:t>
            </w:r>
            <w:r>
              <w:rPr>
                <w:spacing w:val="4"/>
              </w:rPr>
              <w:t>认为它是在用纳税人的钱拯救华</w:t>
            </w:r>
            <w:r>
              <w:t xml:space="preserve">  </w:t>
            </w:r>
            <w:r>
              <w:rPr>
                <w:spacing w:val="3"/>
              </w:rPr>
              <w:t>尔街的投机者。</w:t>
            </w:r>
            <w:r>
              <w:rPr>
                <w:spacing w:val="53"/>
              </w:rPr>
              <w:t xml:space="preserve"> </w:t>
            </w:r>
            <w:r>
              <w:rPr>
                <w:rFonts w:ascii="Times New Roman" w:eastAsia="Times New Roman" w:hAnsi="Times New Roman" w:cs="Times New Roman"/>
                <w:spacing w:val="3"/>
              </w:rPr>
              <w:t xml:space="preserve">2008 </w:t>
            </w:r>
            <w:r>
              <w:rPr>
                <w:spacing w:val="3"/>
              </w:rPr>
              <w:t>年</w:t>
            </w:r>
            <w:r>
              <w:rPr>
                <w:spacing w:val="17"/>
                <w:w w:val="101"/>
              </w:rPr>
              <w:t xml:space="preserve"> </w:t>
            </w:r>
            <w:r>
              <w:rPr>
                <w:rFonts w:ascii="Times New Roman" w:eastAsia="Times New Roman" w:hAnsi="Times New Roman" w:cs="Times New Roman"/>
                <w:spacing w:val="3"/>
              </w:rPr>
              <w:t>10</w:t>
            </w:r>
            <w:r>
              <w:rPr>
                <w:rFonts w:ascii="Times New Roman" w:eastAsia="Times New Roman" w:hAnsi="Times New Roman" w:cs="Times New Roman"/>
                <w:spacing w:val="14"/>
                <w:w w:val="101"/>
              </w:rPr>
              <w:t xml:space="preserve"> </w:t>
            </w:r>
            <w:r>
              <w:rPr>
                <w:spacing w:val="3"/>
              </w:rPr>
              <w:t xml:space="preserve">月 </w:t>
            </w:r>
            <w:r>
              <w:rPr>
                <w:rFonts w:ascii="Times New Roman" w:eastAsia="Times New Roman" w:hAnsi="Times New Roman" w:cs="Times New Roman"/>
                <w:spacing w:val="3"/>
              </w:rPr>
              <w:t xml:space="preserve">3  </w:t>
            </w:r>
            <w:r>
              <w:rPr>
                <w:spacing w:val="3"/>
              </w:rPr>
              <w:t>日，经过修改和增加一些税收优惠和支出项目后，</w:t>
            </w:r>
            <w:r>
              <w:rPr>
                <w:spacing w:val="36"/>
                <w:w w:val="101"/>
              </w:rPr>
              <w:t xml:space="preserve"> </w:t>
            </w:r>
            <w:r>
              <w:rPr>
                <w:spacing w:val="3"/>
              </w:rPr>
              <w:t xml:space="preserve">美国国会最终通过财政部的  </w:t>
            </w:r>
            <w:r>
              <w:rPr>
                <w:spacing w:val="6"/>
              </w:rPr>
              <w:t>救助计划，称为“紧急经济稳定法案”。该法案授权财政部</w:t>
            </w:r>
            <w:r>
              <w:rPr>
                <w:spacing w:val="5"/>
              </w:rPr>
              <w:t xml:space="preserve">部长在两年内动用高达 </w:t>
            </w:r>
            <w:r>
              <w:rPr>
                <w:rFonts w:ascii="Times New Roman" w:eastAsia="Times New Roman" w:hAnsi="Times New Roman" w:cs="Times New Roman"/>
                <w:spacing w:val="5"/>
              </w:rPr>
              <w:t xml:space="preserve">7000 </w:t>
            </w:r>
            <w:r>
              <w:rPr>
                <w:spacing w:val="5"/>
              </w:rPr>
              <w:t>亿美元的资金，  通过收</w:t>
            </w:r>
          </w:p>
        </w:tc>
      </w:tr>
    </w:tbl>
    <w:p>
      <w:pPr>
        <w:spacing w:line="54" w:lineRule="exact"/>
        <w:rPr>
          <w:rFonts w:ascii="Arial"/>
          <w:sz w:val="4"/>
        </w:rPr>
      </w:pPr>
    </w:p>
    <w:p>
      <w:pPr>
        <w:spacing w:line="54" w:lineRule="exact"/>
        <w:rPr>
          <w:rFonts w:ascii="Arial" w:eastAsia="Arial" w:hAnsi="Arial" w:cs="Arial"/>
          <w:sz w:val="4"/>
          <w:szCs w:val="4"/>
        </w:rPr>
        <w:sectPr>
          <w:headerReference w:type="default" r:id="rId22"/>
          <w:footerReference w:type="default" r:id="rId23"/>
          <w:type w:val="nextPage"/>
          <w:pgSz w:w="11907" w:h="16839"/>
          <w:pgMar w:top="1945" w:right="1025" w:bottom="1215" w:left="1024" w:header="900" w:footer="705" w:gutter="0"/>
          <w:pgNumType w:start="7"/>
          <w:cols w:space="708"/>
          <w:titlePg w:val="0"/>
        </w:sectPr>
      </w:pPr>
    </w:p>
    <w:p>
      <w:pPr>
        <w:pStyle w:val="BodyText"/>
        <w:spacing w:before="306" w:line="210" w:lineRule="auto"/>
        <w:ind w:left="116" w:right="133" w:hanging="2"/>
      </w:pPr>
      <w:r>
        <w:pict>
          <v:rect id="_x0000_s1045" style="width:482.25pt;height:2.05pt;margin-top:791.9pt;margin-left:56.55pt;mso-position-horizontal-relative:page;mso-position-vertical-relative:page;position:absolute;z-index:251672576" o:allowincell="f" filled="t" fillcolor="#044e7e" stroked="f"/>
        </w:pict>
      </w:r>
      <w:r>
        <w:pict>
          <v:shape id="_x0000_s1046" style="width:482.25pt;height:0.75pt;margin-top:78.8pt;margin-left:56.55pt;mso-position-horizontal-relative:page;mso-position-vertical-relative:page;position:absolute;z-index:251673600" coordorigin="0,0" coordsize="9645,15" o:allowincell="f" path="m,15l9645,15l9645,l,l,15xe" filled="t" fillcolor="#044e7e" stroked="f"/>
        </w:pict>
      </w:r>
      <w:r>
        <w:rPr>
          <w:spacing w:val="6"/>
        </w:rPr>
        <w:t>购、保险、注资等方式来稳定金融市场。该法案还设立一个监督委员会和一个特别检察官，   以</w:t>
      </w:r>
      <w:r>
        <w:rPr>
          <w:spacing w:val="5"/>
        </w:rPr>
        <w:t>监督救助资金的</w:t>
      </w:r>
      <w:r>
        <w:t xml:space="preserve"> </w:t>
      </w:r>
      <w:r>
        <w:rPr>
          <w:spacing w:val="3"/>
        </w:rPr>
        <w:t>使用和效果。</w:t>
      </w:r>
    </w:p>
    <w:p>
      <w:pPr>
        <w:pStyle w:val="BodyText"/>
        <w:spacing w:before="311" w:line="191" w:lineRule="auto"/>
        <w:ind w:left="117"/>
        <w:rPr>
          <w:sz w:val="18"/>
          <w:szCs w:val="18"/>
        </w:rPr>
      </w:pPr>
      <w:r>
        <w:rPr>
          <w:b/>
          <w:bCs/>
          <w:spacing w:val="-1"/>
          <w:sz w:val="18"/>
          <w:szCs w:val="18"/>
          <w14:textOutline w14:w="3265">
            <w14:solidFill>
              <w14:srgbClr w14:val="000000"/>
            </w14:solidFill>
            <w14:prstDash w14:val="solid"/>
            <w14:miter w14:lim="10"/>
          </w14:textOutline>
        </w:rPr>
        <w:t>表</w:t>
      </w:r>
      <w:r>
        <w:rPr>
          <w:b/>
          <w:bCs/>
          <w:spacing w:val="-1"/>
          <w:sz w:val="18"/>
          <w:szCs w:val="18"/>
        </w:rPr>
        <w:t xml:space="preserve"> </w:t>
      </w:r>
      <w:r>
        <w:rPr>
          <w:rFonts w:ascii="Times New Roman" w:eastAsia="Times New Roman" w:hAnsi="Times New Roman" w:cs="Times New Roman"/>
          <w:b/>
          <w:bCs/>
          <w:spacing w:val="-1"/>
          <w:sz w:val="18"/>
          <w:szCs w:val="18"/>
        </w:rPr>
        <w:t>1:</w:t>
      </w:r>
      <w:r>
        <w:rPr>
          <w:b/>
          <w:bCs/>
          <w:spacing w:val="-1"/>
          <w:sz w:val="18"/>
          <w:szCs w:val="18"/>
          <w14:textOutline w14:w="3265">
            <w14:solidFill>
              <w14:srgbClr w14:val="000000"/>
            </w14:solidFill>
            <w14:prstDash w14:val="solid"/>
            <w14:miter w14:lim="10"/>
          </w14:textOutline>
        </w:rPr>
        <w:t>获政府救助的美国金融机构</w:t>
      </w:r>
    </w:p>
    <w:tbl>
      <w:tblPr>
        <w:tblStyle w:val="TableNormal2"/>
        <w:tblW w:w="9837" w:type="dxa"/>
        <w:tblInd w:w="0" w:type="dxa"/>
        <w:tblBorders>
          <w:top w:val="nil"/>
          <w:left w:val="nil"/>
          <w:bottom w:val="nil"/>
          <w:right w:val="nil"/>
          <w:insideH w:val="nil"/>
          <w:insideV w:val="nil"/>
        </w:tblBorders>
        <w:tblLayout w:type="fixed"/>
      </w:tblPr>
      <w:tblGrid>
        <w:gridCol w:w="1082"/>
        <w:gridCol w:w="1645"/>
        <w:gridCol w:w="2394"/>
        <w:gridCol w:w="4716"/>
      </w:tblGrid>
      <w:tr>
        <w:tblPrEx>
          <w:tblW w:w="9837" w:type="dxa"/>
          <w:tblInd w:w="0" w:type="dxa"/>
          <w:tblBorders>
            <w:top w:val="nil"/>
            <w:left w:val="nil"/>
            <w:bottom w:val="nil"/>
            <w:right w:val="nil"/>
            <w:insideH w:val="nil"/>
            <w:insideV w:val="nil"/>
          </w:tblBorders>
          <w:tblLayout w:type="fixed"/>
        </w:tblPrEx>
        <w:trPr>
          <w:trHeight w:val="325"/>
        </w:trPr>
        <w:tc>
          <w:tcPr>
            <w:tcW w:w="1082" w:type="dxa"/>
            <w:tcBorders>
              <w:top w:val="single" w:sz="10" w:space="0" w:color="044E7E"/>
              <w:bottom w:val="single" w:sz="6" w:space="0" w:color="044E7E"/>
            </w:tcBorders>
            <w:vAlign w:val="top"/>
          </w:tcPr>
          <w:p>
            <w:pPr>
              <w:pStyle w:val="TableText"/>
              <w:spacing w:before="60" w:line="187" w:lineRule="auto"/>
              <w:ind w:left="365"/>
            </w:pPr>
            <w:r>
              <w:t>时间</w:t>
            </w:r>
          </w:p>
        </w:tc>
        <w:tc>
          <w:tcPr>
            <w:tcW w:w="1645" w:type="dxa"/>
            <w:tcBorders>
              <w:top w:val="single" w:sz="10" w:space="0" w:color="044E7E"/>
              <w:bottom w:val="single" w:sz="6" w:space="0" w:color="044E7E"/>
            </w:tcBorders>
            <w:vAlign w:val="top"/>
          </w:tcPr>
          <w:p>
            <w:pPr>
              <w:pStyle w:val="TableText"/>
              <w:spacing w:before="60" w:line="187" w:lineRule="auto"/>
              <w:ind w:left="442"/>
            </w:pPr>
            <w:r>
              <w:rPr>
                <w:spacing w:val="6"/>
              </w:rPr>
              <w:t>救助对象</w:t>
            </w:r>
          </w:p>
        </w:tc>
        <w:tc>
          <w:tcPr>
            <w:tcW w:w="2394" w:type="dxa"/>
            <w:tcBorders>
              <w:top w:val="single" w:sz="10" w:space="0" w:color="044E7E"/>
              <w:bottom w:val="single" w:sz="6" w:space="0" w:color="044E7E"/>
            </w:tcBorders>
            <w:vAlign w:val="top"/>
          </w:tcPr>
          <w:p>
            <w:pPr>
              <w:pStyle w:val="TableText"/>
              <w:spacing w:before="60" w:line="187" w:lineRule="auto"/>
              <w:ind w:left="712"/>
            </w:pPr>
            <w:r>
              <w:rPr>
                <w:spacing w:val="7"/>
              </w:rPr>
              <w:t>系统重要性</w:t>
            </w:r>
          </w:p>
        </w:tc>
        <w:tc>
          <w:tcPr>
            <w:tcW w:w="4716" w:type="dxa"/>
            <w:tcBorders>
              <w:top w:val="single" w:sz="10" w:space="0" w:color="044E7E"/>
              <w:bottom w:val="single" w:sz="6" w:space="0" w:color="044E7E"/>
            </w:tcBorders>
            <w:vAlign w:val="top"/>
          </w:tcPr>
          <w:p>
            <w:pPr>
              <w:pStyle w:val="TableText"/>
              <w:spacing w:before="60" w:line="187" w:lineRule="auto"/>
              <w:ind w:left="1967"/>
            </w:pPr>
            <w:r>
              <w:rPr>
                <w:spacing w:val="6"/>
              </w:rPr>
              <w:t>救助措施</w:t>
            </w:r>
          </w:p>
        </w:tc>
      </w:tr>
      <w:tr>
        <w:tblPrEx>
          <w:tblW w:w="9837" w:type="dxa"/>
          <w:tblInd w:w="0" w:type="dxa"/>
          <w:tblLayout w:type="fixed"/>
        </w:tblPrEx>
        <w:trPr>
          <w:trHeight w:val="1253"/>
        </w:trPr>
        <w:tc>
          <w:tcPr>
            <w:tcW w:w="1082" w:type="dxa"/>
            <w:tcBorders>
              <w:top w:val="single" w:sz="6" w:space="0" w:color="044E7E"/>
              <w:bottom w:val="single" w:sz="6" w:space="0" w:color="044E7E"/>
            </w:tcBorders>
            <w:vAlign w:val="top"/>
          </w:tcPr>
          <w:p>
            <w:pPr>
              <w:spacing w:line="281" w:lineRule="auto"/>
              <w:rPr>
                <w:rFonts w:ascii="Arial"/>
                <w:sz w:val="21"/>
              </w:rPr>
            </w:pPr>
          </w:p>
          <w:p>
            <w:pPr>
              <w:pStyle w:val="TableText"/>
              <w:spacing w:before="82" w:line="211" w:lineRule="auto"/>
              <w:ind w:left="208" w:right="132" w:hanging="56"/>
            </w:pPr>
            <w:r>
              <w:rPr>
                <w:rFonts w:ascii="Times New Roman" w:eastAsia="Times New Roman" w:hAnsi="Times New Roman" w:cs="Times New Roman"/>
                <w:spacing w:val="2"/>
              </w:rPr>
              <w:t>2008</w:t>
            </w:r>
            <w:r>
              <w:rPr>
                <w:rFonts w:ascii="Times New Roman" w:eastAsia="Times New Roman" w:hAnsi="Times New Roman" w:cs="Times New Roman"/>
                <w:spacing w:val="13"/>
              </w:rPr>
              <w:t xml:space="preserve"> </w:t>
            </w:r>
            <w:r>
              <w:rPr>
                <w:spacing w:val="2"/>
              </w:rPr>
              <w:t xml:space="preserve">年 </w:t>
            </w:r>
            <w:r>
              <w:rPr>
                <w:rFonts w:ascii="Times New Roman" w:eastAsia="Times New Roman" w:hAnsi="Times New Roman" w:cs="Times New Roman"/>
                <w:spacing w:val="2"/>
              </w:rPr>
              <w:t>3</w:t>
            </w:r>
            <w:r>
              <w:rPr>
                <w:rFonts w:ascii="Times New Roman" w:eastAsia="Times New Roman" w:hAnsi="Times New Roman" w:cs="Times New Roman"/>
              </w:rPr>
              <w:t xml:space="preserve"> </w:t>
            </w:r>
            <w:r>
              <w:rPr>
                <w:spacing w:val="-3"/>
              </w:rPr>
              <w:t>月</w:t>
            </w:r>
            <w:r>
              <w:rPr>
                <w:spacing w:val="17"/>
              </w:rPr>
              <w:t xml:space="preserve"> </w:t>
            </w:r>
            <w:r>
              <w:rPr>
                <w:rFonts w:ascii="Times New Roman" w:eastAsia="Times New Roman" w:hAnsi="Times New Roman" w:cs="Times New Roman"/>
                <w:spacing w:val="-3"/>
              </w:rPr>
              <w:t xml:space="preserve">16  </w:t>
            </w:r>
            <w:r>
              <w:rPr>
                <w:spacing w:val="-3"/>
              </w:rPr>
              <w:t>日</w:t>
            </w:r>
          </w:p>
        </w:tc>
        <w:tc>
          <w:tcPr>
            <w:tcW w:w="1645" w:type="dxa"/>
            <w:tcBorders>
              <w:top w:val="single" w:sz="6" w:space="0" w:color="044E7E"/>
              <w:bottom w:val="single" w:sz="6" w:space="0" w:color="044E7E"/>
            </w:tcBorders>
            <w:vAlign w:val="top"/>
          </w:tcPr>
          <w:p>
            <w:pPr>
              <w:spacing w:line="437" w:lineRule="auto"/>
              <w:rPr>
                <w:rFonts w:ascii="Arial"/>
                <w:sz w:val="21"/>
              </w:rPr>
            </w:pPr>
          </w:p>
          <w:p>
            <w:pPr>
              <w:pStyle w:val="TableText"/>
              <w:spacing w:before="82" w:line="192" w:lineRule="auto"/>
              <w:ind w:left="454"/>
            </w:pPr>
            <w:r>
              <w:rPr>
                <w:spacing w:val="3"/>
              </w:rPr>
              <w:t>贝尔斯登</w:t>
            </w:r>
          </w:p>
        </w:tc>
        <w:tc>
          <w:tcPr>
            <w:tcW w:w="2394" w:type="dxa"/>
            <w:tcBorders>
              <w:top w:val="single" w:sz="6" w:space="0" w:color="044E7E"/>
              <w:bottom w:val="single" w:sz="6" w:space="0" w:color="044E7E"/>
            </w:tcBorders>
            <w:vAlign w:val="top"/>
          </w:tcPr>
          <w:p>
            <w:pPr>
              <w:pStyle w:val="TableText"/>
              <w:spacing w:before="210" w:line="191" w:lineRule="auto"/>
              <w:ind w:left="124"/>
            </w:pPr>
            <w:r>
              <w:rPr>
                <w:spacing w:val="6"/>
              </w:rPr>
              <w:t>美国第五大投资银行，美</w:t>
            </w:r>
          </w:p>
          <w:p>
            <w:pPr>
              <w:pStyle w:val="TableText"/>
              <w:spacing w:before="52" w:line="191" w:lineRule="auto"/>
              <w:ind w:left="229"/>
            </w:pPr>
            <w:r>
              <w:rPr>
                <w:spacing w:val="6"/>
              </w:rPr>
              <w:t>国债券市场最大的承销</w:t>
            </w:r>
          </w:p>
          <w:p>
            <w:pPr>
              <w:pStyle w:val="TableText"/>
              <w:spacing w:before="52" w:line="192" w:lineRule="auto"/>
              <w:ind w:left="412"/>
            </w:pPr>
            <w:r>
              <w:rPr>
                <w:spacing w:val="8"/>
              </w:rPr>
              <w:t>商和衍生品发行商</w:t>
            </w:r>
          </w:p>
        </w:tc>
        <w:tc>
          <w:tcPr>
            <w:tcW w:w="4716" w:type="dxa"/>
            <w:tcBorders>
              <w:top w:val="single" w:sz="6" w:space="0" w:color="044E7E"/>
              <w:bottom w:val="single" w:sz="6" w:space="0" w:color="044E7E"/>
            </w:tcBorders>
            <w:vAlign w:val="top"/>
          </w:tcPr>
          <w:p>
            <w:pPr>
              <w:pStyle w:val="TableText"/>
              <w:spacing w:before="54" w:line="191" w:lineRule="auto"/>
              <w:ind w:left="189"/>
            </w:pPr>
            <w:r>
              <w:rPr>
                <w:spacing w:val="7"/>
              </w:rPr>
              <w:t xml:space="preserve">由美联储向贝尔斯登提供 </w:t>
            </w:r>
            <w:r>
              <w:rPr>
                <w:rFonts w:ascii="Times New Roman" w:eastAsia="Times New Roman" w:hAnsi="Times New Roman" w:cs="Times New Roman"/>
                <w:spacing w:val="7"/>
              </w:rPr>
              <w:t xml:space="preserve">290 </w:t>
            </w:r>
            <w:r>
              <w:rPr>
                <w:spacing w:val="7"/>
              </w:rPr>
              <w:t>亿美元的贷款，以促</w:t>
            </w:r>
          </w:p>
          <w:p>
            <w:pPr>
              <w:pStyle w:val="TableText"/>
              <w:spacing w:before="52" w:line="191" w:lineRule="auto"/>
              <w:ind w:left="167"/>
            </w:pPr>
            <w:r>
              <w:rPr>
                <w:spacing w:val="8"/>
              </w:rPr>
              <w:t xml:space="preserve">成其被摩根大通以每股 </w:t>
            </w:r>
            <w:r>
              <w:rPr>
                <w:rFonts w:ascii="Times New Roman" w:eastAsia="Times New Roman" w:hAnsi="Times New Roman" w:cs="Times New Roman"/>
                <w:spacing w:val="8"/>
              </w:rPr>
              <w:t xml:space="preserve">2 </w:t>
            </w:r>
            <w:r>
              <w:rPr>
                <w:spacing w:val="8"/>
              </w:rPr>
              <w:t>美元的价格收购。这是美</w:t>
            </w:r>
          </w:p>
          <w:p>
            <w:pPr>
              <w:pStyle w:val="TableText"/>
              <w:spacing w:before="52" w:line="191" w:lineRule="auto"/>
              <w:ind w:left="166"/>
            </w:pPr>
            <w:r>
              <w:rPr>
                <w:spacing w:val="9"/>
              </w:rPr>
              <w:t>联储首次向非商业银行提供紧急贷款，也是美国金</w:t>
            </w:r>
          </w:p>
          <w:p>
            <w:pPr>
              <w:pStyle w:val="TableText"/>
              <w:spacing w:before="52" w:line="186" w:lineRule="auto"/>
              <w:ind w:left="969"/>
            </w:pPr>
            <w:r>
              <w:rPr>
                <w:spacing w:val="8"/>
              </w:rPr>
              <w:t>融史上最大的一笔救助交易之一</w:t>
            </w:r>
          </w:p>
        </w:tc>
      </w:tr>
      <w:tr>
        <w:tblPrEx>
          <w:tblW w:w="9837" w:type="dxa"/>
          <w:tblInd w:w="0" w:type="dxa"/>
          <w:tblLayout w:type="fixed"/>
        </w:tblPrEx>
        <w:trPr>
          <w:trHeight w:val="1251"/>
        </w:trPr>
        <w:tc>
          <w:tcPr>
            <w:tcW w:w="1082" w:type="dxa"/>
            <w:tcBorders>
              <w:top w:val="single" w:sz="6" w:space="0" w:color="044E7E"/>
              <w:bottom w:val="single" w:sz="6" w:space="0" w:color="044E7E"/>
            </w:tcBorders>
            <w:vAlign w:val="top"/>
          </w:tcPr>
          <w:p>
            <w:pPr>
              <w:spacing w:line="281" w:lineRule="auto"/>
              <w:rPr>
                <w:rFonts w:ascii="Arial"/>
                <w:sz w:val="21"/>
              </w:rPr>
            </w:pPr>
          </w:p>
          <w:p>
            <w:pPr>
              <w:pStyle w:val="TableText"/>
              <w:spacing w:before="82" w:line="211" w:lineRule="auto"/>
              <w:ind w:left="259" w:right="132" w:hanging="107"/>
            </w:pPr>
            <w:r>
              <w:rPr>
                <w:rFonts w:ascii="Times New Roman" w:eastAsia="Times New Roman" w:hAnsi="Times New Roman" w:cs="Times New Roman"/>
                <w:spacing w:val="2"/>
              </w:rPr>
              <w:t>2008</w:t>
            </w:r>
            <w:r>
              <w:rPr>
                <w:rFonts w:ascii="Times New Roman" w:eastAsia="Times New Roman" w:hAnsi="Times New Roman" w:cs="Times New Roman"/>
                <w:spacing w:val="13"/>
              </w:rPr>
              <w:t xml:space="preserve"> </w:t>
            </w:r>
            <w:r>
              <w:rPr>
                <w:spacing w:val="2"/>
              </w:rPr>
              <w:t xml:space="preserve">年 </w:t>
            </w:r>
            <w:r>
              <w:rPr>
                <w:rFonts w:ascii="Times New Roman" w:eastAsia="Times New Roman" w:hAnsi="Times New Roman" w:cs="Times New Roman"/>
                <w:spacing w:val="2"/>
              </w:rPr>
              <w:t>9</w:t>
            </w:r>
            <w:r>
              <w:rPr>
                <w:rFonts w:ascii="Times New Roman" w:eastAsia="Times New Roman" w:hAnsi="Times New Roman" w:cs="Times New Roman"/>
              </w:rPr>
              <w:t xml:space="preserve"> </w:t>
            </w:r>
            <w:r>
              <w:rPr>
                <w:spacing w:val="-1"/>
              </w:rPr>
              <w:t xml:space="preserve">月 </w:t>
            </w:r>
            <w:r>
              <w:rPr>
                <w:rFonts w:ascii="Times New Roman" w:eastAsia="Times New Roman" w:hAnsi="Times New Roman" w:cs="Times New Roman"/>
                <w:spacing w:val="-1"/>
              </w:rPr>
              <w:t xml:space="preserve">7  </w:t>
            </w:r>
            <w:r>
              <w:rPr>
                <w:spacing w:val="-1"/>
              </w:rPr>
              <w:t>日</w:t>
            </w:r>
          </w:p>
        </w:tc>
        <w:tc>
          <w:tcPr>
            <w:tcW w:w="1645" w:type="dxa"/>
            <w:tcBorders>
              <w:top w:val="single" w:sz="6" w:space="0" w:color="044E7E"/>
              <w:bottom w:val="single" w:sz="6" w:space="0" w:color="044E7E"/>
            </w:tcBorders>
            <w:vAlign w:val="top"/>
          </w:tcPr>
          <w:p>
            <w:pPr>
              <w:spacing w:line="437" w:lineRule="auto"/>
              <w:rPr>
                <w:rFonts w:ascii="Arial"/>
                <w:sz w:val="21"/>
              </w:rPr>
            </w:pPr>
          </w:p>
          <w:p>
            <w:pPr>
              <w:pStyle w:val="TableText"/>
              <w:spacing w:before="82" w:line="192" w:lineRule="auto"/>
              <w:ind w:left="141"/>
            </w:pPr>
            <w:r>
              <w:rPr>
                <w:spacing w:val="8"/>
              </w:rPr>
              <w:t>房利美和房地美</w:t>
            </w:r>
          </w:p>
        </w:tc>
        <w:tc>
          <w:tcPr>
            <w:tcW w:w="2394" w:type="dxa"/>
            <w:tcBorders>
              <w:top w:val="single" w:sz="6" w:space="0" w:color="044E7E"/>
              <w:bottom w:val="single" w:sz="6" w:space="0" w:color="044E7E"/>
            </w:tcBorders>
            <w:vAlign w:val="top"/>
          </w:tcPr>
          <w:p>
            <w:pPr>
              <w:pStyle w:val="TableText"/>
              <w:spacing w:before="209" w:line="192" w:lineRule="auto"/>
              <w:ind w:left="209"/>
            </w:pPr>
            <w:r>
              <w:rPr>
                <w:spacing w:val="8"/>
              </w:rPr>
              <w:t>拥有或担保美国近一半</w:t>
            </w:r>
          </w:p>
          <w:p>
            <w:pPr>
              <w:pStyle w:val="TableText"/>
              <w:spacing w:before="51" w:line="191" w:lineRule="auto"/>
              <w:ind w:left="139"/>
            </w:pPr>
            <w:r>
              <w:rPr>
                <w:spacing w:val="4"/>
              </w:rPr>
              <w:t>的住房抵押贷款，总额超</w:t>
            </w:r>
          </w:p>
          <w:p>
            <w:pPr>
              <w:pStyle w:val="TableText"/>
              <w:spacing w:before="52" w:line="192" w:lineRule="auto"/>
              <w:ind w:left="608"/>
            </w:pPr>
            <w:r>
              <w:rPr>
                <w:spacing w:val="3"/>
              </w:rPr>
              <w:t xml:space="preserve">过 </w:t>
            </w:r>
            <w:r>
              <w:rPr>
                <w:rFonts w:ascii="Times New Roman" w:eastAsia="Times New Roman" w:hAnsi="Times New Roman" w:cs="Times New Roman"/>
                <w:spacing w:val="3"/>
              </w:rPr>
              <w:t>5</w:t>
            </w:r>
            <w:r>
              <w:rPr>
                <w:rFonts w:ascii="Times New Roman" w:eastAsia="Times New Roman" w:hAnsi="Times New Roman" w:cs="Times New Roman"/>
                <w:spacing w:val="18"/>
              </w:rPr>
              <w:t xml:space="preserve"> </w:t>
            </w:r>
            <w:r>
              <w:rPr>
                <w:spacing w:val="3"/>
              </w:rPr>
              <w:t>万亿美元</w:t>
            </w:r>
          </w:p>
        </w:tc>
        <w:tc>
          <w:tcPr>
            <w:tcW w:w="4716" w:type="dxa"/>
            <w:tcBorders>
              <w:top w:val="single" w:sz="6" w:space="0" w:color="044E7E"/>
              <w:bottom w:val="single" w:sz="6" w:space="0" w:color="044E7E"/>
            </w:tcBorders>
            <w:vAlign w:val="top"/>
          </w:tcPr>
          <w:p>
            <w:pPr>
              <w:pStyle w:val="TableText"/>
              <w:spacing w:before="52" w:line="211" w:lineRule="auto"/>
              <w:ind w:left="167" w:right="162"/>
            </w:pPr>
            <w:r>
              <w:rPr>
                <w:spacing w:val="9"/>
              </w:rPr>
              <w:t>美国财政部宣布将房利美和房地美两家政府赞助的</w:t>
            </w:r>
            <w:r>
              <w:rPr>
                <w:spacing w:val="7"/>
              </w:rPr>
              <w:t xml:space="preserve"> </w:t>
            </w:r>
            <w:r>
              <w:rPr>
                <w:spacing w:val="3"/>
              </w:rPr>
              <w:t>按揭贷款机构置于监管下，</w:t>
            </w:r>
            <w:r>
              <w:rPr>
                <w:spacing w:val="40"/>
              </w:rPr>
              <w:t xml:space="preserve"> </w:t>
            </w:r>
            <w:r>
              <w:rPr>
                <w:spacing w:val="3"/>
              </w:rPr>
              <w:t>实际上相当于国有化；</w:t>
            </w:r>
          </w:p>
          <w:p>
            <w:pPr>
              <w:pStyle w:val="TableText"/>
              <w:spacing w:before="52" w:line="207" w:lineRule="auto"/>
              <w:ind w:left="2164" w:right="110" w:hanging="2047"/>
            </w:pPr>
            <w:r>
              <w:rPr>
                <w:spacing w:val="2"/>
              </w:rPr>
              <w:t>且承诺向两者分别注资</w:t>
            </w:r>
            <w:r>
              <w:rPr>
                <w:spacing w:val="25"/>
              </w:rPr>
              <w:t xml:space="preserve"> </w:t>
            </w:r>
            <w:r>
              <w:rPr>
                <w:rFonts w:ascii="Times New Roman" w:eastAsia="Times New Roman" w:hAnsi="Times New Roman" w:cs="Times New Roman"/>
                <w:spacing w:val="2"/>
              </w:rPr>
              <w:t>1000</w:t>
            </w:r>
            <w:r>
              <w:rPr>
                <w:rFonts w:ascii="Times New Roman" w:eastAsia="Times New Roman" w:hAnsi="Times New Roman" w:cs="Times New Roman"/>
                <w:spacing w:val="13"/>
              </w:rPr>
              <w:t xml:space="preserve"> </w:t>
            </w:r>
            <w:r>
              <w:rPr>
                <w:spacing w:val="2"/>
              </w:rPr>
              <w:t>亿美元，  以维持其正常</w:t>
            </w:r>
            <w:r>
              <w:t xml:space="preserve"> </w:t>
            </w:r>
            <w:r>
              <w:rPr>
                <w:spacing w:val="5"/>
              </w:rPr>
              <w:t>运营</w:t>
            </w:r>
          </w:p>
        </w:tc>
      </w:tr>
      <w:tr>
        <w:tblPrEx>
          <w:tblW w:w="9837" w:type="dxa"/>
          <w:tblInd w:w="0" w:type="dxa"/>
          <w:tblLayout w:type="fixed"/>
        </w:tblPrEx>
        <w:trPr>
          <w:trHeight w:val="627"/>
        </w:trPr>
        <w:tc>
          <w:tcPr>
            <w:tcW w:w="1082" w:type="dxa"/>
            <w:tcBorders>
              <w:top w:val="single" w:sz="6" w:space="0" w:color="044E7E"/>
              <w:bottom w:val="single" w:sz="6" w:space="0" w:color="044E7E"/>
            </w:tcBorders>
            <w:vAlign w:val="top"/>
          </w:tcPr>
          <w:p>
            <w:pPr>
              <w:pStyle w:val="TableText"/>
              <w:spacing w:before="54" w:line="207" w:lineRule="auto"/>
              <w:ind w:left="208" w:right="132" w:hanging="56"/>
            </w:pPr>
            <w:r>
              <w:rPr>
                <w:rFonts w:ascii="Times New Roman" w:eastAsia="Times New Roman" w:hAnsi="Times New Roman" w:cs="Times New Roman"/>
                <w:spacing w:val="2"/>
              </w:rPr>
              <w:t>2008</w:t>
            </w:r>
            <w:r>
              <w:rPr>
                <w:rFonts w:ascii="Times New Roman" w:eastAsia="Times New Roman" w:hAnsi="Times New Roman" w:cs="Times New Roman"/>
                <w:spacing w:val="13"/>
              </w:rPr>
              <w:t xml:space="preserve"> </w:t>
            </w:r>
            <w:r>
              <w:rPr>
                <w:spacing w:val="2"/>
              </w:rPr>
              <w:t xml:space="preserve">年 </w:t>
            </w:r>
            <w:r>
              <w:rPr>
                <w:rFonts w:ascii="Times New Roman" w:eastAsia="Times New Roman" w:hAnsi="Times New Roman" w:cs="Times New Roman"/>
                <w:spacing w:val="2"/>
              </w:rPr>
              <w:t>9</w:t>
            </w:r>
            <w:r>
              <w:rPr>
                <w:rFonts w:ascii="Times New Roman" w:eastAsia="Times New Roman" w:hAnsi="Times New Roman" w:cs="Times New Roman"/>
              </w:rPr>
              <w:t xml:space="preserve"> </w:t>
            </w:r>
            <w:r>
              <w:rPr>
                <w:spacing w:val="-3"/>
              </w:rPr>
              <w:t>月</w:t>
            </w:r>
            <w:r>
              <w:rPr>
                <w:spacing w:val="17"/>
              </w:rPr>
              <w:t xml:space="preserve"> </w:t>
            </w:r>
            <w:r>
              <w:rPr>
                <w:rFonts w:ascii="Times New Roman" w:eastAsia="Times New Roman" w:hAnsi="Times New Roman" w:cs="Times New Roman"/>
                <w:spacing w:val="-3"/>
              </w:rPr>
              <w:t xml:space="preserve">16  </w:t>
            </w:r>
            <w:r>
              <w:rPr>
                <w:spacing w:val="-3"/>
              </w:rPr>
              <w:t>日</w:t>
            </w:r>
          </w:p>
        </w:tc>
        <w:tc>
          <w:tcPr>
            <w:tcW w:w="1645" w:type="dxa"/>
            <w:tcBorders>
              <w:top w:val="single" w:sz="6" w:space="0" w:color="044E7E"/>
              <w:bottom w:val="single" w:sz="6" w:space="0" w:color="044E7E"/>
            </w:tcBorders>
            <w:vAlign w:val="top"/>
          </w:tcPr>
          <w:p>
            <w:pPr>
              <w:pStyle w:val="TableText"/>
              <w:spacing w:before="211" w:line="192" w:lineRule="auto"/>
              <w:ind w:left="242"/>
            </w:pPr>
            <w:r>
              <w:rPr>
                <w:spacing w:val="8"/>
              </w:rPr>
              <w:t>美国国际集团</w:t>
            </w:r>
          </w:p>
        </w:tc>
        <w:tc>
          <w:tcPr>
            <w:tcW w:w="2394" w:type="dxa"/>
            <w:tcBorders>
              <w:top w:val="single" w:sz="6" w:space="0" w:color="044E7E"/>
              <w:bottom w:val="single" w:sz="6" w:space="0" w:color="044E7E"/>
            </w:tcBorders>
            <w:vAlign w:val="top"/>
          </w:tcPr>
          <w:p>
            <w:pPr>
              <w:pStyle w:val="TableText"/>
              <w:spacing w:before="211" w:line="192" w:lineRule="auto"/>
              <w:ind w:left="308"/>
            </w:pPr>
            <w:r>
              <w:rPr>
                <w:spacing w:val="8"/>
              </w:rPr>
              <w:t>全球最大的保险公司</w:t>
            </w:r>
          </w:p>
        </w:tc>
        <w:tc>
          <w:tcPr>
            <w:tcW w:w="4716" w:type="dxa"/>
            <w:tcBorders>
              <w:top w:val="single" w:sz="6" w:space="0" w:color="044E7E"/>
              <w:bottom w:val="single" w:sz="6" w:space="0" w:color="044E7E"/>
            </w:tcBorders>
            <w:vAlign w:val="top"/>
          </w:tcPr>
          <w:p>
            <w:pPr>
              <w:pStyle w:val="TableText"/>
              <w:spacing w:before="54" w:line="207" w:lineRule="auto"/>
              <w:ind w:left="1098" w:right="110" w:hanging="979"/>
            </w:pPr>
            <w:r>
              <w:rPr>
                <w:spacing w:val="6"/>
              </w:rPr>
              <w:t>美联储宣布向美国国际集团（</w:t>
            </w:r>
            <w:r>
              <w:rPr>
                <w:rFonts w:ascii="Times New Roman" w:eastAsia="Times New Roman" w:hAnsi="Times New Roman" w:cs="Times New Roman"/>
              </w:rPr>
              <w:t>AIG</w:t>
            </w:r>
            <w:r>
              <w:rPr>
                <w:spacing w:val="6"/>
              </w:rPr>
              <w:t xml:space="preserve">）提供 </w:t>
            </w:r>
            <w:r>
              <w:rPr>
                <w:rFonts w:ascii="Times New Roman" w:eastAsia="Times New Roman" w:hAnsi="Times New Roman" w:cs="Times New Roman"/>
                <w:spacing w:val="6"/>
              </w:rPr>
              <w:t xml:space="preserve">850 </w:t>
            </w:r>
            <w:r>
              <w:rPr>
                <w:spacing w:val="6"/>
              </w:rPr>
              <w:t>亿美元</w:t>
            </w:r>
            <w:r>
              <w:rPr>
                <w:spacing w:val="5"/>
              </w:rPr>
              <w:t xml:space="preserve"> </w:t>
            </w:r>
            <w:r>
              <w:rPr>
                <w:spacing w:val="-1"/>
              </w:rPr>
              <w:t xml:space="preserve">的贷款，  换取其 </w:t>
            </w:r>
            <w:r>
              <w:rPr>
                <w:rFonts w:ascii="Times New Roman" w:eastAsia="Times New Roman" w:hAnsi="Times New Roman" w:cs="Times New Roman"/>
                <w:spacing w:val="-1"/>
              </w:rPr>
              <w:t>79.9%</w:t>
            </w:r>
            <w:r>
              <w:rPr>
                <w:spacing w:val="-1"/>
              </w:rPr>
              <w:t>的股权</w:t>
            </w:r>
          </w:p>
        </w:tc>
      </w:tr>
    </w:tbl>
    <w:p>
      <w:pPr>
        <w:sectPr>
          <w:headerReference w:type="default" r:id="rId24"/>
          <w:footerReference w:type="default" r:id="rId25"/>
          <w:pgSz w:w="11907" w:h="16839"/>
          <w:pgMar w:top="1945" w:right="1044" w:bottom="1215" w:left="1024" w:header="900" w:footer="705" w:gutter="0"/>
          <w:pgNumType w:start="8"/>
          <w:cols w:space="708"/>
        </w:sectPr>
      </w:pPr>
    </w:p>
    <w:tbl>
      <w:tblPr>
        <w:tblStyle w:val="TableNormal3"/>
        <w:tblW w:w="9837" w:type="dxa"/>
        <w:tblInd w:w="0" w:type="dxa"/>
        <w:tblBorders>
          <w:top w:val="nil"/>
          <w:left w:val="nil"/>
          <w:bottom w:val="nil"/>
          <w:right w:val="nil"/>
          <w:insideH w:val="nil"/>
          <w:insideV w:val="nil"/>
        </w:tblBorders>
        <w:tblLayout w:type="fixed"/>
      </w:tblPr>
      <w:tblGrid>
        <w:gridCol w:w="9837"/>
      </w:tblGrid>
      <w:tr>
        <w:tblPrEx>
          <w:tblW w:w="9837" w:type="dxa"/>
          <w:tblInd w:w="0" w:type="dxa"/>
          <w:tblBorders>
            <w:top w:val="nil"/>
            <w:left w:val="nil"/>
            <w:bottom w:val="nil"/>
            <w:right w:val="nil"/>
            <w:insideH w:val="nil"/>
            <w:insideV w:val="nil"/>
          </w:tblBorders>
          <w:tblLayout w:type="fixed"/>
        </w:tblPrEx>
        <w:trPr>
          <w:trHeight w:val="8622"/>
        </w:trPr>
        <w:tc>
          <w:tcPr>
            <w:tcW w:w="9837" w:type="dxa"/>
            <w:tcBorders>
              <w:top w:val="single" w:sz="6" w:space="0" w:color="044E7E"/>
              <w:bottom w:val="single" w:sz="6" w:space="0" w:color="044E7E"/>
            </w:tcBorders>
            <w:vAlign w:val="top"/>
          </w:tcPr>
          <w:p>
            <w:pPr>
              <w:pStyle w:val="TableText"/>
              <w:spacing w:before="80" w:line="185" w:lineRule="auto"/>
              <w:ind w:left="113"/>
              <w:rPr>
                <w:sz w:val="16"/>
                <w:szCs w:val="16"/>
              </w:rPr>
            </w:pPr>
            <w:r>
              <w:rPr>
                <w:i/>
                <w:iCs/>
                <w:spacing w:val="2"/>
                <w:sz w:val="16"/>
                <w:szCs w:val="16"/>
              </w:rPr>
              <w:t>资料来源：美联储，中信建投证券</w:t>
            </w:r>
          </w:p>
          <w:p>
            <w:pPr>
              <w:spacing w:line="276" w:lineRule="auto"/>
              <w:rPr>
                <w:rFonts w:ascii="Arial"/>
                <w:sz w:val="21"/>
              </w:rPr>
            </w:pPr>
          </w:p>
          <w:p>
            <w:pPr>
              <w:spacing w:line="277" w:lineRule="auto"/>
              <w:rPr>
                <w:rFonts w:ascii="Arial"/>
                <w:sz w:val="21"/>
              </w:rPr>
            </w:pPr>
          </w:p>
          <w:p>
            <w:pPr>
              <w:pStyle w:val="TableText"/>
              <w:spacing w:before="82" w:line="187" w:lineRule="auto"/>
              <w:ind w:left="125"/>
            </w:pPr>
            <w:r>
              <w:rPr>
                <w:b/>
                <w:bCs/>
                <w:spacing w:val="2"/>
                <w14:textOutline w14:w="3614">
                  <w14:solidFill>
                    <w14:srgbClr w14:val="000000"/>
                  </w14:solidFill>
                  <w14:prstDash w14:val="solid"/>
                  <w14:miter w14:lim="10"/>
                </w14:textOutline>
              </w:rPr>
              <w:t>（</w:t>
            </w:r>
            <w:r>
              <w:rPr>
                <w:rFonts w:ascii="Times New Roman" w:eastAsia="Times New Roman" w:hAnsi="Times New Roman" w:cs="Times New Roman"/>
                <w:b/>
                <w:bCs/>
                <w:spacing w:val="2"/>
              </w:rPr>
              <w:t>2</w:t>
            </w:r>
            <w:r>
              <w:rPr>
                <w:b/>
                <w:bCs/>
                <w:spacing w:val="2"/>
                <w14:textOutline w14:w="3614">
                  <w14:solidFill>
                    <w14:srgbClr w14:val="000000"/>
                  </w14:solidFill>
                  <w14:prstDash w14:val="solid"/>
                  <w14:miter w14:lim="10"/>
                </w14:textOutline>
              </w:rPr>
              <w:t>）</w:t>
            </w:r>
            <w:r>
              <w:rPr>
                <w:b/>
                <w:bCs/>
                <w:spacing w:val="-18"/>
              </w:rPr>
              <w:t xml:space="preserve"> </w:t>
            </w:r>
            <w:r>
              <w:rPr>
                <w:b/>
                <w:bCs/>
                <w:spacing w:val="2"/>
                <w14:textOutline w14:w="3614">
                  <w14:solidFill>
                    <w14:srgbClr w14:val="000000"/>
                  </w14:solidFill>
                  <w14:prstDash w14:val="solid"/>
                  <w14:miter w14:lim="10"/>
                </w14:textOutline>
              </w:rPr>
              <w:t>启动非常规货币政策，</w:t>
            </w:r>
            <w:r>
              <w:rPr>
                <w:b/>
                <w:bCs/>
                <w:spacing w:val="55"/>
              </w:rPr>
              <w:t xml:space="preserve"> </w:t>
            </w:r>
            <w:r>
              <w:rPr>
                <w:b/>
                <w:bCs/>
                <w:spacing w:val="2"/>
                <w14:textOutline w14:w="3614">
                  <w14:solidFill>
                    <w14:srgbClr w14:val="000000"/>
                  </w14:solidFill>
                  <w14:prstDash w14:val="solid"/>
                  <w14:miter w14:lim="10"/>
                </w14:textOutline>
              </w:rPr>
              <w:t>向市场注入流动性</w:t>
            </w:r>
          </w:p>
          <w:p>
            <w:pPr>
              <w:pStyle w:val="TableText"/>
              <w:spacing w:before="213" w:line="225" w:lineRule="auto"/>
              <w:ind w:left="113" w:right="46" w:firstLine="405"/>
              <w:jc w:val="both"/>
            </w:pPr>
            <w:r>
              <w:rPr>
                <w:spacing w:val="6"/>
              </w:rPr>
              <w:t xml:space="preserve">美联储方面，首先是大幅降低联邦基金利率，从 </w:t>
            </w:r>
            <w:r>
              <w:rPr>
                <w:rFonts w:ascii="Times New Roman" w:eastAsia="Times New Roman" w:hAnsi="Times New Roman" w:cs="Times New Roman"/>
                <w:spacing w:val="6"/>
              </w:rPr>
              <w:t>2007</w:t>
            </w:r>
            <w:r>
              <w:rPr>
                <w:rFonts w:ascii="Times New Roman" w:eastAsia="Times New Roman" w:hAnsi="Times New Roman" w:cs="Times New Roman"/>
                <w:spacing w:val="5"/>
              </w:rPr>
              <w:t xml:space="preserve"> </w:t>
            </w:r>
            <w:r>
              <w:rPr>
                <w:spacing w:val="5"/>
              </w:rPr>
              <w:t xml:space="preserve">年 </w:t>
            </w:r>
            <w:r>
              <w:rPr>
                <w:rFonts w:ascii="Times New Roman" w:eastAsia="Times New Roman" w:hAnsi="Times New Roman" w:cs="Times New Roman"/>
                <w:spacing w:val="5"/>
              </w:rPr>
              <w:t>7</w:t>
            </w:r>
            <w:r>
              <w:rPr>
                <w:rFonts w:ascii="Times New Roman" w:eastAsia="Times New Roman" w:hAnsi="Times New Roman" w:cs="Times New Roman"/>
                <w:spacing w:val="17"/>
              </w:rPr>
              <w:t xml:space="preserve"> </w:t>
            </w:r>
            <w:r>
              <w:rPr>
                <w:spacing w:val="5"/>
              </w:rPr>
              <w:t xml:space="preserve">月的 </w:t>
            </w:r>
            <w:r>
              <w:rPr>
                <w:rFonts w:ascii="Times New Roman" w:eastAsia="Times New Roman" w:hAnsi="Times New Roman" w:cs="Times New Roman"/>
                <w:spacing w:val="5"/>
              </w:rPr>
              <w:t>5.25%</w:t>
            </w:r>
            <w:r>
              <w:rPr>
                <w:spacing w:val="5"/>
              </w:rPr>
              <w:t xml:space="preserve">降至 </w:t>
            </w:r>
            <w:r>
              <w:rPr>
                <w:rFonts w:ascii="Times New Roman" w:eastAsia="Times New Roman" w:hAnsi="Times New Roman" w:cs="Times New Roman"/>
                <w:spacing w:val="5"/>
              </w:rPr>
              <w:t xml:space="preserve">2008 </w:t>
            </w:r>
            <w:r>
              <w:rPr>
                <w:spacing w:val="5"/>
              </w:rPr>
              <w:t>年</w:t>
            </w:r>
            <w:r>
              <w:rPr>
                <w:spacing w:val="18"/>
              </w:rPr>
              <w:t xml:space="preserve"> </w:t>
            </w:r>
            <w:r>
              <w:rPr>
                <w:rFonts w:ascii="Times New Roman" w:eastAsia="Times New Roman" w:hAnsi="Times New Roman" w:cs="Times New Roman"/>
                <w:spacing w:val="5"/>
              </w:rPr>
              <w:t>12</w:t>
            </w:r>
            <w:r>
              <w:rPr>
                <w:rFonts w:ascii="Times New Roman" w:eastAsia="Times New Roman" w:hAnsi="Times New Roman" w:cs="Times New Roman"/>
                <w:spacing w:val="16"/>
                <w:w w:val="101"/>
              </w:rPr>
              <w:t xml:space="preserve"> </w:t>
            </w:r>
            <w:r>
              <w:rPr>
                <w:spacing w:val="5"/>
              </w:rPr>
              <w:t xml:space="preserve">月的 </w:t>
            </w:r>
            <w:r>
              <w:rPr>
                <w:rFonts w:ascii="Times New Roman" w:eastAsia="Times New Roman" w:hAnsi="Times New Roman" w:cs="Times New Roman"/>
                <w:spacing w:val="5"/>
              </w:rPr>
              <w:t>0.15%</w:t>
            </w:r>
            <w:r>
              <w:rPr>
                <w:spacing w:val="5"/>
              </w:rPr>
              <w:t>。在降息</w:t>
            </w:r>
            <w:r>
              <w:t xml:space="preserve">  </w:t>
            </w:r>
            <w:r>
              <w:rPr>
                <w:spacing w:val="8"/>
              </w:rPr>
              <w:t xml:space="preserve">操作以外，为应对 </w:t>
            </w:r>
            <w:r>
              <w:rPr>
                <w:rFonts w:ascii="Times New Roman" w:eastAsia="Times New Roman" w:hAnsi="Times New Roman" w:cs="Times New Roman"/>
                <w:spacing w:val="8"/>
              </w:rPr>
              <w:t xml:space="preserve">2008 </w:t>
            </w:r>
            <w:r>
              <w:rPr>
                <w:spacing w:val="8"/>
              </w:rPr>
              <w:t>年金融危机，美联储还采取一系列非常规货币政策措施，</w:t>
            </w:r>
            <w:r>
              <w:rPr>
                <w:spacing w:val="-20"/>
              </w:rPr>
              <w:t xml:space="preserve"> </w:t>
            </w:r>
            <w:r>
              <w:rPr>
                <w:spacing w:val="8"/>
              </w:rPr>
              <w:t>主要包含三轮量化宽松政策，</w:t>
            </w:r>
            <w:r>
              <w:t xml:space="preserve"> </w:t>
            </w:r>
            <w:r>
              <w:rPr>
                <w:spacing w:val="11"/>
              </w:rPr>
              <w:t>通过购买大量的资产支持证券和国债，为市场注入流动性。量化宽松政策（</w:t>
            </w:r>
            <w:r>
              <w:rPr>
                <w:rFonts w:ascii="Times New Roman" w:eastAsia="Times New Roman" w:hAnsi="Times New Roman" w:cs="Times New Roman"/>
              </w:rPr>
              <w:t>Quantitative</w:t>
            </w:r>
            <w:r>
              <w:rPr>
                <w:rFonts w:ascii="Times New Roman" w:eastAsia="Times New Roman" w:hAnsi="Times New Roman" w:cs="Times New Roman"/>
                <w:spacing w:val="11"/>
              </w:rPr>
              <w:t xml:space="preserve"> </w:t>
            </w:r>
            <w:r>
              <w:rPr>
                <w:rFonts w:ascii="Times New Roman" w:eastAsia="Times New Roman" w:hAnsi="Times New Roman" w:cs="Times New Roman"/>
              </w:rPr>
              <w:t>Easing</w:t>
            </w:r>
            <w:r>
              <w:rPr>
                <w:rFonts w:ascii="Times New Roman" w:eastAsia="Times New Roman" w:hAnsi="Times New Roman" w:cs="Times New Roman"/>
                <w:spacing w:val="-24"/>
              </w:rPr>
              <w:t xml:space="preserve"> </w:t>
            </w:r>
            <w:r>
              <w:rPr>
                <w:spacing w:val="11"/>
              </w:rPr>
              <w:t>，</w:t>
            </w:r>
            <w:r>
              <w:rPr>
                <w:rFonts w:ascii="Times New Roman" w:eastAsia="Times New Roman" w:hAnsi="Times New Roman" w:cs="Times New Roman"/>
              </w:rPr>
              <w:t>QE</w:t>
            </w:r>
            <w:r>
              <w:rPr>
                <w:spacing w:val="11"/>
              </w:rPr>
              <w:t>）是一种非</w:t>
            </w:r>
            <w:r>
              <w:t xml:space="preserve">  </w:t>
            </w:r>
            <w:r>
              <w:rPr>
                <w:spacing w:val="6"/>
              </w:rPr>
              <w:t xml:space="preserve">传统的货币政策，最早由日本央行在 </w:t>
            </w:r>
            <w:r>
              <w:rPr>
                <w:rFonts w:ascii="Times New Roman" w:eastAsia="Times New Roman" w:hAnsi="Times New Roman" w:cs="Times New Roman"/>
                <w:spacing w:val="6"/>
              </w:rPr>
              <w:t xml:space="preserve">2001 </w:t>
            </w:r>
            <w:r>
              <w:rPr>
                <w:spacing w:val="6"/>
              </w:rPr>
              <w:t>年提出，</w:t>
            </w:r>
            <w:r>
              <w:rPr>
                <w:spacing w:val="36"/>
                <w:w w:val="101"/>
              </w:rPr>
              <w:t xml:space="preserve"> </w:t>
            </w:r>
            <w:r>
              <w:rPr>
                <w:spacing w:val="6"/>
              </w:rPr>
              <w:t>其操作由中央银行通过公开市场操作从商业银行等金融机构</w:t>
            </w:r>
            <w:r>
              <w:t xml:space="preserve">  </w:t>
            </w:r>
            <w:r>
              <w:rPr>
                <w:spacing w:val="9"/>
              </w:rPr>
              <w:t xml:space="preserve">购入国债、房贷债券等证券，使商业银行在央行开设的结算户口内的资金增加，为外部的银行体系注入新的流  </w:t>
            </w:r>
            <w:r>
              <w:rPr>
                <w:spacing w:val="6"/>
              </w:rPr>
              <w:t>通性。这样，商业银行就有更多的资金可以向企业和个人放贷，</w:t>
            </w:r>
            <w:r>
              <w:rPr>
                <w:spacing w:val="25"/>
                <w:w w:val="101"/>
              </w:rPr>
              <w:t xml:space="preserve">  </w:t>
            </w:r>
            <w:r>
              <w:rPr>
                <w:spacing w:val="6"/>
              </w:rPr>
              <w:t xml:space="preserve">从而增加经济活动和需求。量化宽松旨在利率  </w:t>
            </w:r>
            <w:r>
              <w:rPr>
                <w:spacing w:val="6"/>
              </w:rPr>
              <w:t>已经降到零或接近零的情况下，通过增加货币供给，刺激经济增长和就业，防止通货紧缩，</w:t>
            </w:r>
            <w:r>
              <w:rPr>
                <w:spacing w:val="27"/>
                <w:w w:val="101"/>
              </w:rPr>
              <w:t xml:space="preserve">  </w:t>
            </w:r>
            <w:r>
              <w:rPr>
                <w:spacing w:val="6"/>
              </w:rPr>
              <w:t>降低长期利率</w:t>
            </w:r>
            <w:r>
              <w:rPr>
                <w:spacing w:val="5"/>
              </w:rPr>
              <w:t xml:space="preserve">和信  </w:t>
            </w:r>
            <w:r>
              <w:rPr>
                <w:spacing w:val="-4"/>
              </w:rPr>
              <w:t>贷成本，</w:t>
            </w:r>
            <w:r>
              <w:rPr>
                <w:spacing w:val="28"/>
              </w:rPr>
              <w:t xml:space="preserve">  </w:t>
            </w:r>
            <w:r>
              <w:rPr>
                <w:spacing w:val="-4"/>
              </w:rPr>
              <w:t>改善市场信心和流动性。</w:t>
            </w:r>
          </w:p>
          <w:p>
            <w:pPr>
              <w:pStyle w:val="TableText"/>
              <w:spacing w:before="304" w:line="223" w:lineRule="auto"/>
              <w:ind w:left="114" w:right="92" w:firstLine="403"/>
              <w:jc w:val="both"/>
            </w:pPr>
            <w:r>
              <w:rPr>
                <w:spacing w:val="6"/>
              </w:rPr>
              <w:t xml:space="preserve">美国第一轮量化宽松从 </w:t>
            </w:r>
            <w:r>
              <w:rPr>
                <w:rFonts w:ascii="Times New Roman" w:eastAsia="Times New Roman" w:hAnsi="Times New Roman" w:cs="Times New Roman"/>
                <w:spacing w:val="6"/>
              </w:rPr>
              <w:t xml:space="preserve">2009 </w:t>
            </w:r>
            <w:r>
              <w:rPr>
                <w:spacing w:val="6"/>
              </w:rPr>
              <w:t xml:space="preserve">年 </w:t>
            </w:r>
            <w:r>
              <w:rPr>
                <w:rFonts w:ascii="Times New Roman" w:eastAsia="Times New Roman" w:hAnsi="Times New Roman" w:cs="Times New Roman"/>
                <w:spacing w:val="6"/>
              </w:rPr>
              <w:t>3</w:t>
            </w:r>
            <w:r>
              <w:rPr>
                <w:rFonts w:ascii="Times New Roman" w:eastAsia="Times New Roman" w:hAnsi="Times New Roman" w:cs="Times New Roman"/>
                <w:spacing w:val="16"/>
                <w:w w:val="101"/>
              </w:rPr>
              <w:t xml:space="preserve"> </w:t>
            </w:r>
            <w:r>
              <w:rPr>
                <w:spacing w:val="6"/>
              </w:rPr>
              <w:t xml:space="preserve">月开始到 </w:t>
            </w:r>
            <w:r>
              <w:rPr>
                <w:rFonts w:ascii="Times New Roman" w:eastAsia="Times New Roman" w:hAnsi="Times New Roman" w:cs="Times New Roman"/>
                <w:spacing w:val="6"/>
              </w:rPr>
              <w:t xml:space="preserve">2010 </w:t>
            </w:r>
            <w:r>
              <w:rPr>
                <w:spacing w:val="6"/>
              </w:rPr>
              <w:t xml:space="preserve">年 </w:t>
            </w:r>
            <w:r>
              <w:rPr>
                <w:rFonts w:ascii="Times New Roman" w:eastAsia="Times New Roman" w:hAnsi="Times New Roman" w:cs="Times New Roman"/>
                <w:spacing w:val="6"/>
              </w:rPr>
              <w:t>3</w:t>
            </w:r>
            <w:r>
              <w:rPr>
                <w:rFonts w:ascii="Times New Roman" w:eastAsia="Times New Roman" w:hAnsi="Times New Roman" w:cs="Times New Roman"/>
                <w:spacing w:val="17"/>
              </w:rPr>
              <w:t xml:space="preserve"> </w:t>
            </w:r>
            <w:r>
              <w:rPr>
                <w:spacing w:val="6"/>
              </w:rPr>
              <w:t>月，美联储购买</w:t>
            </w:r>
            <w:r>
              <w:rPr>
                <w:spacing w:val="18"/>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5"/>
              </w:rPr>
              <w:t>.75</w:t>
            </w:r>
            <w:r>
              <w:rPr>
                <w:rFonts w:ascii="Times New Roman" w:eastAsia="Times New Roman" w:hAnsi="Times New Roman" w:cs="Times New Roman"/>
                <w:spacing w:val="17"/>
              </w:rPr>
              <w:t xml:space="preserve"> </w:t>
            </w:r>
            <w:r>
              <w:rPr>
                <w:spacing w:val="5"/>
              </w:rPr>
              <w:t>万亿美元的国债、抵押贷款支持</w:t>
            </w:r>
            <w:r>
              <w:t xml:space="preserve"> </w:t>
            </w:r>
            <w:r>
              <w:rPr>
                <w:spacing w:val="4"/>
              </w:rPr>
              <w:t>证券和政府赞助机构债券，  以增加市场流动性，降低长期利率，</w:t>
            </w:r>
            <w:r>
              <w:rPr>
                <w:spacing w:val="20"/>
                <w:w w:val="101"/>
              </w:rPr>
              <w:t xml:space="preserve">  </w:t>
            </w:r>
            <w:r>
              <w:rPr>
                <w:spacing w:val="4"/>
              </w:rPr>
              <w:t>稳定住房市场，刺激经济复苏。第二轮量化宽</w:t>
            </w:r>
            <w:r>
              <w:t xml:space="preserve">  </w:t>
            </w:r>
            <w:r>
              <w:rPr>
                <w:spacing w:val="5"/>
              </w:rPr>
              <w:t xml:space="preserve">松从 </w:t>
            </w:r>
            <w:r>
              <w:rPr>
                <w:rFonts w:ascii="Times New Roman" w:eastAsia="Times New Roman" w:hAnsi="Times New Roman" w:cs="Times New Roman"/>
                <w:spacing w:val="5"/>
              </w:rPr>
              <w:t xml:space="preserve">2010 </w:t>
            </w:r>
            <w:r>
              <w:rPr>
                <w:spacing w:val="5"/>
              </w:rPr>
              <w:t>年</w:t>
            </w:r>
            <w:r>
              <w:rPr>
                <w:spacing w:val="18"/>
              </w:rPr>
              <w:t xml:space="preserve"> </w:t>
            </w:r>
            <w:r>
              <w:rPr>
                <w:rFonts w:ascii="Times New Roman" w:eastAsia="Times New Roman" w:hAnsi="Times New Roman" w:cs="Times New Roman"/>
                <w:spacing w:val="5"/>
              </w:rPr>
              <w:t>11</w:t>
            </w:r>
            <w:r>
              <w:rPr>
                <w:rFonts w:ascii="Times New Roman" w:eastAsia="Times New Roman" w:hAnsi="Times New Roman" w:cs="Times New Roman"/>
                <w:spacing w:val="16"/>
                <w:w w:val="101"/>
              </w:rPr>
              <w:t xml:space="preserve"> </w:t>
            </w:r>
            <w:r>
              <w:rPr>
                <w:spacing w:val="5"/>
              </w:rPr>
              <w:t xml:space="preserve">月到 </w:t>
            </w:r>
            <w:r>
              <w:rPr>
                <w:rFonts w:ascii="Times New Roman" w:eastAsia="Times New Roman" w:hAnsi="Times New Roman" w:cs="Times New Roman"/>
                <w:spacing w:val="5"/>
              </w:rPr>
              <w:t xml:space="preserve">2011 </w:t>
            </w:r>
            <w:r>
              <w:rPr>
                <w:spacing w:val="5"/>
              </w:rPr>
              <w:t xml:space="preserve">年 </w:t>
            </w:r>
            <w:r>
              <w:rPr>
                <w:rFonts w:ascii="Times New Roman" w:eastAsia="Times New Roman" w:hAnsi="Times New Roman" w:cs="Times New Roman"/>
                <w:spacing w:val="5"/>
              </w:rPr>
              <w:t>6</w:t>
            </w:r>
            <w:r>
              <w:rPr>
                <w:rFonts w:ascii="Times New Roman" w:eastAsia="Times New Roman" w:hAnsi="Times New Roman" w:cs="Times New Roman"/>
                <w:spacing w:val="17"/>
                <w:w w:val="101"/>
              </w:rPr>
              <w:t xml:space="preserve"> </w:t>
            </w:r>
            <w:r>
              <w:rPr>
                <w:spacing w:val="5"/>
              </w:rPr>
              <w:t xml:space="preserve">月，美联储购买 </w:t>
            </w:r>
            <w:r>
              <w:rPr>
                <w:rFonts w:ascii="Times New Roman" w:eastAsia="Times New Roman" w:hAnsi="Times New Roman" w:cs="Times New Roman"/>
                <w:spacing w:val="5"/>
              </w:rPr>
              <w:t xml:space="preserve">6000 </w:t>
            </w:r>
            <w:r>
              <w:rPr>
                <w:spacing w:val="5"/>
              </w:rPr>
              <w:t>亿美元的长期国</w:t>
            </w:r>
            <w:r>
              <w:rPr>
                <w:spacing w:val="4"/>
              </w:rPr>
              <w:t>债，以防止通缩风险，提振通胀预期，</w:t>
            </w:r>
            <w:r>
              <w:rPr>
                <w:spacing w:val="36"/>
              </w:rPr>
              <w:t xml:space="preserve"> </w:t>
            </w:r>
            <w:r>
              <w:rPr>
                <w:spacing w:val="4"/>
              </w:rPr>
              <w:t>支</w:t>
            </w:r>
            <w:r>
              <w:t xml:space="preserve">  </w:t>
            </w:r>
            <w:r>
              <w:rPr>
                <w:spacing w:val="5"/>
              </w:rPr>
              <w:t xml:space="preserve">持就业市场。第三轮量化宽松从 </w:t>
            </w:r>
            <w:r>
              <w:rPr>
                <w:rFonts w:ascii="Times New Roman" w:eastAsia="Times New Roman" w:hAnsi="Times New Roman" w:cs="Times New Roman"/>
                <w:spacing w:val="5"/>
              </w:rPr>
              <w:t xml:space="preserve">2012 </w:t>
            </w:r>
            <w:r>
              <w:rPr>
                <w:spacing w:val="5"/>
              </w:rPr>
              <w:t xml:space="preserve">年 </w:t>
            </w:r>
            <w:r>
              <w:rPr>
                <w:rFonts w:ascii="Times New Roman" w:eastAsia="Times New Roman" w:hAnsi="Times New Roman" w:cs="Times New Roman"/>
                <w:spacing w:val="5"/>
              </w:rPr>
              <w:t>9</w:t>
            </w:r>
            <w:r>
              <w:rPr>
                <w:rFonts w:ascii="Times New Roman" w:eastAsia="Times New Roman" w:hAnsi="Times New Roman" w:cs="Times New Roman"/>
                <w:spacing w:val="17"/>
              </w:rPr>
              <w:t xml:space="preserve"> </w:t>
            </w:r>
            <w:r>
              <w:rPr>
                <w:spacing w:val="5"/>
              </w:rPr>
              <w:t xml:space="preserve">月到 </w:t>
            </w:r>
            <w:r>
              <w:rPr>
                <w:rFonts w:ascii="Times New Roman" w:eastAsia="Times New Roman" w:hAnsi="Times New Roman" w:cs="Times New Roman"/>
                <w:spacing w:val="5"/>
              </w:rPr>
              <w:t xml:space="preserve">2014 </w:t>
            </w:r>
            <w:r>
              <w:rPr>
                <w:spacing w:val="5"/>
              </w:rPr>
              <w:t>年</w:t>
            </w:r>
            <w:r>
              <w:rPr>
                <w:spacing w:val="4"/>
              </w:rPr>
              <w:t xml:space="preserve"> </w:t>
            </w:r>
            <w:r>
              <w:rPr>
                <w:rFonts w:ascii="Times New Roman" w:eastAsia="Times New Roman" w:hAnsi="Times New Roman" w:cs="Times New Roman"/>
                <w:spacing w:val="4"/>
              </w:rPr>
              <w:t>10</w:t>
            </w:r>
            <w:r>
              <w:rPr>
                <w:rFonts w:ascii="Times New Roman" w:eastAsia="Times New Roman" w:hAnsi="Times New Roman" w:cs="Times New Roman"/>
                <w:spacing w:val="16"/>
                <w:w w:val="102"/>
              </w:rPr>
              <w:t xml:space="preserve"> </w:t>
            </w:r>
            <w:r>
              <w:rPr>
                <w:spacing w:val="4"/>
              </w:rPr>
              <w:t xml:space="preserve">月， 美联储每月购买 </w:t>
            </w:r>
            <w:r>
              <w:rPr>
                <w:rFonts w:ascii="Times New Roman" w:eastAsia="Times New Roman" w:hAnsi="Times New Roman" w:cs="Times New Roman"/>
                <w:spacing w:val="4"/>
              </w:rPr>
              <w:t xml:space="preserve">850 </w:t>
            </w:r>
            <w:r>
              <w:rPr>
                <w:spacing w:val="4"/>
              </w:rPr>
              <w:t>亿美元的国债和抵押贷款支</w:t>
            </w:r>
            <w:r>
              <w:t xml:space="preserve"> </w:t>
            </w:r>
            <w:r>
              <w:rPr>
                <w:spacing w:val="3"/>
              </w:rPr>
              <w:t>持证券，</w:t>
            </w:r>
            <w:r>
              <w:rPr>
                <w:spacing w:val="28"/>
              </w:rPr>
              <w:t xml:space="preserve">  </w:t>
            </w:r>
            <w:r>
              <w:rPr>
                <w:spacing w:val="3"/>
              </w:rPr>
              <w:t>没有设定明确的截止日期，</w:t>
            </w:r>
            <w:r>
              <w:rPr>
                <w:spacing w:val="20"/>
                <w:w w:val="101"/>
              </w:rPr>
              <w:t xml:space="preserve">  </w:t>
            </w:r>
            <w:r>
              <w:rPr>
                <w:spacing w:val="3"/>
              </w:rPr>
              <w:t>而是以就业市场的“实质性”改善为导向，同时用量化数据指标来明确超</w:t>
            </w:r>
            <w:r>
              <w:t xml:space="preserve">  </w:t>
            </w:r>
            <w:r>
              <w:rPr>
                <w:spacing w:val="3"/>
              </w:rPr>
              <w:t>低利率期限。</w:t>
            </w:r>
          </w:p>
        </w:tc>
      </w:tr>
    </w:tbl>
    <w:p>
      <w:pPr>
        <w:spacing w:line="54" w:lineRule="exact"/>
        <w:rPr>
          <w:rFonts w:ascii="Arial"/>
          <w:sz w:val="4"/>
        </w:rPr>
      </w:pPr>
    </w:p>
    <w:p>
      <w:pPr>
        <w:spacing w:line="54" w:lineRule="exact"/>
        <w:rPr>
          <w:rFonts w:ascii="Arial" w:eastAsia="Arial" w:hAnsi="Arial" w:cs="Arial"/>
          <w:sz w:val="4"/>
          <w:szCs w:val="4"/>
        </w:rPr>
        <w:sectPr>
          <w:headerReference w:type="default" r:id="rId26"/>
          <w:footerReference w:type="default" r:id="rId27"/>
          <w:type w:val="nextPage"/>
          <w:pgSz w:w="11907" w:h="16839"/>
          <w:pgMar w:top="1945" w:right="1044" w:bottom="1215" w:left="1024" w:header="900" w:footer="705" w:gutter="0"/>
          <w:pgNumType w:start="9"/>
          <w:cols w:space="708"/>
          <w:titlePg w:val="0"/>
        </w:sectPr>
      </w:pPr>
    </w:p>
    <w:p>
      <w:pPr>
        <w:pStyle w:val="BodyText"/>
        <w:spacing w:before="314" w:line="191" w:lineRule="auto"/>
        <w:ind w:left="378"/>
        <w:rPr>
          <w:sz w:val="18"/>
          <w:szCs w:val="18"/>
        </w:rPr>
      </w:pPr>
      <w:r>
        <mc:AlternateContent>
          <mc:Choice Requires="wps">
            <w:drawing>
              <wp:anchor distT="0" distB="0" distL="0" distR="0" simplePos="0" relativeHeight="251696128" behindDoc="0" locked="0" layoutInCell="0" allowOverlap="1">
                <wp:simplePos x="0" y="0"/>
                <wp:positionH relativeFrom="page">
                  <wp:posOffset>907355</wp:posOffset>
                </wp:positionH>
                <wp:positionV relativeFrom="page">
                  <wp:posOffset>8546015</wp:posOffset>
                </wp:positionV>
                <wp:extent cx="318134" cy="125729"/>
                <wp:effectExtent l="0" t="0" r="0" b="0"/>
                <wp:wrapNone/>
                <wp:docPr id="38" name="TextBox 38"/>
                <wp:cNvGraphicFramePr/>
                <a:graphic xmlns:a="http://schemas.openxmlformats.org/drawingml/2006/main">
                  <a:graphicData uri="http://schemas.microsoft.com/office/word/2010/wordprocessingShape">
                    <wps:wsp xmlns:wps="http://schemas.microsoft.com/office/word/2010/wordprocessingShape">
                      <wps:cNvSpPr txBox="1"/>
                      <wps:spPr>
                        <a:xfrm rot="16200000">
                          <a:off x="907355"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2004-03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8" o:spid="_x0000_s1047" type="#_x0000_t202" style="width:25.05pt;height:9.9pt;margin-top:672.91pt;margin-left:71.45pt;mso-position-horizontal-relative:page;mso-position-vertical-relative:page;mso-wrap-distance-bottom:0;mso-wrap-distance-left:0;mso-wrap-distance-right:0;mso-wrap-distance-top:0;position:absolute;rotation:270;v-text-anchor:top;z-index:251695104"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2004-03</w:t>
                      </w:r>
                    </w:p>
                  </w:txbxContent>
                </v:textbox>
              </v:shape>
            </w:pict>
          </mc:Fallback>
        </mc:AlternateContent>
      </w:r>
      <w:r>
        <mc:AlternateContent>
          <mc:Choice Requires="wps">
            <w:drawing>
              <wp:anchor distT="0" distB="0" distL="0" distR="0" simplePos="0" relativeHeight="251706368" behindDoc="0" locked="0" layoutInCell="0" allowOverlap="1">
                <wp:simplePos x="0" y="0"/>
                <wp:positionH relativeFrom="page">
                  <wp:posOffset>1064632</wp:posOffset>
                </wp:positionH>
                <wp:positionV relativeFrom="page">
                  <wp:posOffset>8546015</wp:posOffset>
                </wp:positionV>
                <wp:extent cx="318134" cy="125729"/>
                <wp:effectExtent l="0" t="0" r="0" b="0"/>
                <wp:wrapNone/>
                <wp:docPr id="40" name="TextBox 40"/>
                <wp:cNvGraphicFramePr/>
                <a:graphic xmlns:a="http://schemas.openxmlformats.org/drawingml/2006/main">
                  <a:graphicData uri="http://schemas.microsoft.com/office/word/2010/wordprocessingShape">
                    <wps:wsp xmlns:wps="http://schemas.microsoft.com/office/word/2010/wordprocessingShape">
                      <wps:cNvSpPr txBox="1"/>
                      <wps:spPr>
                        <a:xfrm rot="16200000">
                          <a:off x="1064632"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2004-09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 o:spid="_x0000_s1048" type="#_x0000_t202" style="width:25.05pt;height:9.9pt;margin-top:672.91pt;margin-left:83.83pt;mso-position-horizontal-relative:page;mso-position-vertical-relative:page;mso-wrap-distance-bottom:0;mso-wrap-distance-left:0;mso-wrap-distance-right:0;mso-wrap-distance-top:0;position:absolute;rotation:270;v-text-anchor:top;z-index:251705344"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2004-09</w:t>
                      </w:r>
                    </w:p>
                  </w:txbxContent>
                </v:textbox>
              </v:shape>
            </w:pict>
          </mc:Fallback>
        </mc:AlternateContent>
      </w:r>
      <w:r>
        <mc:AlternateContent>
          <mc:Choice Requires="wps">
            <w:drawing>
              <wp:anchor distT="0" distB="0" distL="0" distR="0" simplePos="0" relativeHeight="251694080" behindDoc="0" locked="0" layoutInCell="0" allowOverlap="1">
                <wp:simplePos x="0" y="0"/>
                <wp:positionH relativeFrom="page">
                  <wp:posOffset>1221934</wp:posOffset>
                </wp:positionH>
                <wp:positionV relativeFrom="page">
                  <wp:posOffset>8546015</wp:posOffset>
                </wp:positionV>
                <wp:extent cx="318134" cy="125729"/>
                <wp:effectExtent l="0" t="0" r="0" b="0"/>
                <wp:wrapNone/>
                <wp:docPr id="42" name="TextBox 42"/>
                <wp:cNvGraphicFramePr/>
                <a:graphic xmlns:a="http://schemas.openxmlformats.org/drawingml/2006/main">
                  <a:graphicData uri="http://schemas.microsoft.com/office/word/2010/wordprocessingShape">
                    <wps:wsp xmlns:wps="http://schemas.microsoft.com/office/word/2010/wordprocessingShape">
                      <wps:cNvSpPr txBox="1"/>
                      <wps:spPr>
                        <a:xfrm rot="16200000">
                          <a:off x="1221934"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2005-03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2" o:spid="_x0000_s1049" type="#_x0000_t202" style="width:25.05pt;height:9.9pt;margin-top:672.91pt;margin-left:96.22pt;mso-position-horizontal-relative:page;mso-position-vertical-relative:page;mso-wrap-distance-bottom:0;mso-wrap-distance-left:0;mso-wrap-distance-right:0;mso-wrap-distance-top:0;position:absolute;rotation:270;v-text-anchor:top;z-index:251693056"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2005-03</w:t>
                      </w:r>
                    </w:p>
                  </w:txbxContent>
                </v:textbox>
              </v:shape>
            </w:pict>
          </mc:Fallback>
        </mc:AlternateContent>
      </w:r>
      <w:r>
        <mc:AlternateContent>
          <mc:Choice Requires="wps">
            <w:drawing>
              <wp:anchor distT="0" distB="0" distL="0" distR="0" simplePos="0" relativeHeight="251687936" behindDoc="0" locked="0" layoutInCell="0" allowOverlap="1">
                <wp:simplePos x="0" y="0"/>
                <wp:positionH relativeFrom="page">
                  <wp:posOffset>1379160</wp:posOffset>
                </wp:positionH>
                <wp:positionV relativeFrom="page">
                  <wp:posOffset>8546015</wp:posOffset>
                </wp:positionV>
                <wp:extent cx="318134" cy="125729"/>
                <wp:effectExtent l="0" t="0" r="0" b="0"/>
                <wp:wrapNone/>
                <wp:docPr id="44" name="TextBox 44"/>
                <wp:cNvGraphicFramePr/>
                <a:graphic xmlns:a="http://schemas.openxmlformats.org/drawingml/2006/main">
                  <a:graphicData uri="http://schemas.microsoft.com/office/word/2010/wordprocessingShape">
                    <wps:wsp xmlns:wps="http://schemas.microsoft.com/office/word/2010/wordprocessingShape">
                      <wps:cNvSpPr txBox="1"/>
                      <wps:spPr>
                        <a:xfrm rot="16200000">
                          <a:off x="1379160"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2005-09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4" o:spid="_x0000_s1050" type="#_x0000_t202" style="width:25.05pt;height:9.9pt;margin-top:672.91pt;margin-left:108.6pt;mso-position-horizontal-relative:page;mso-position-vertical-relative:page;mso-wrap-distance-bottom:0;mso-wrap-distance-left:0;mso-wrap-distance-right:0;mso-wrap-distance-top:0;position:absolute;rotation:270;v-text-anchor:top;z-index:251686912"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2005-09</w:t>
                      </w:r>
                    </w:p>
                  </w:txbxContent>
                </v:textbox>
              </v:shape>
            </w:pict>
          </mc:Fallback>
        </mc:AlternateContent>
      </w:r>
      <w:r>
        <mc:AlternateContent>
          <mc:Choice Requires="wps">
            <w:drawing>
              <wp:anchor distT="0" distB="0" distL="0" distR="0" simplePos="0" relativeHeight="251692032" behindDoc="0" locked="0" layoutInCell="0" allowOverlap="1">
                <wp:simplePos x="0" y="0"/>
                <wp:positionH relativeFrom="page">
                  <wp:posOffset>1536767</wp:posOffset>
                </wp:positionH>
                <wp:positionV relativeFrom="page">
                  <wp:posOffset>8546015</wp:posOffset>
                </wp:positionV>
                <wp:extent cx="318134" cy="125729"/>
                <wp:effectExtent l="0" t="0" r="0" b="0"/>
                <wp:wrapNone/>
                <wp:docPr id="46" name="TextBox 46"/>
                <wp:cNvGraphicFramePr/>
                <a:graphic xmlns:a="http://schemas.openxmlformats.org/drawingml/2006/main">
                  <a:graphicData uri="http://schemas.microsoft.com/office/word/2010/wordprocessingShape">
                    <wps:wsp xmlns:wps="http://schemas.microsoft.com/office/word/2010/wordprocessingShape">
                      <wps:cNvSpPr txBox="1"/>
                      <wps:spPr>
                        <a:xfrm rot="16200000">
                          <a:off x="1536767"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2006-03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6" o:spid="_x0000_s1051" type="#_x0000_t202" style="width:25.05pt;height:9.9pt;margin-top:672.91pt;margin-left:121.01pt;mso-position-horizontal-relative:page;mso-position-vertical-relative:page;mso-wrap-distance-bottom:0;mso-wrap-distance-left:0;mso-wrap-distance-right:0;mso-wrap-distance-top:0;position:absolute;rotation:270;v-text-anchor:top;z-index:251691008"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2006-03</w:t>
                      </w:r>
                    </w:p>
                  </w:txbxContent>
                </v:textbox>
              </v:shape>
            </w:pict>
          </mc:Fallback>
        </mc:AlternateContent>
      </w:r>
      <w:r>
        <mc:AlternateContent>
          <mc:Choice Requires="wps">
            <w:drawing>
              <wp:anchor distT="0" distB="0" distL="0" distR="0" simplePos="0" relativeHeight="251698176" behindDoc="0" locked="0" layoutInCell="0" allowOverlap="1">
                <wp:simplePos x="0" y="0"/>
                <wp:positionH relativeFrom="page">
                  <wp:posOffset>1693993</wp:posOffset>
                </wp:positionH>
                <wp:positionV relativeFrom="page">
                  <wp:posOffset>8546015</wp:posOffset>
                </wp:positionV>
                <wp:extent cx="318134" cy="125729"/>
                <wp:effectExtent l="0" t="0" r="0" b="0"/>
                <wp:wrapNone/>
                <wp:docPr id="48" name="TextBox 48"/>
                <wp:cNvGraphicFramePr/>
                <a:graphic xmlns:a="http://schemas.openxmlformats.org/drawingml/2006/main">
                  <a:graphicData uri="http://schemas.microsoft.com/office/word/2010/wordprocessingShape">
                    <wps:wsp xmlns:wps="http://schemas.microsoft.com/office/word/2010/wordprocessingShape">
                      <wps:cNvSpPr txBox="1"/>
                      <wps:spPr>
                        <a:xfrm rot="16200000">
                          <a:off x="1693993"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2006-09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8" o:spid="_x0000_s1052" type="#_x0000_t202" style="width:25.05pt;height:9.9pt;margin-top:672.91pt;margin-left:133.39pt;mso-position-horizontal-relative:page;mso-position-vertical-relative:page;mso-wrap-distance-bottom:0;mso-wrap-distance-left:0;mso-wrap-distance-right:0;mso-wrap-distance-top:0;position:absolute;rotation:270;v-text-anchor:top;z-index:251697152"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2006-09</w:t>
                      </w:r>
                    </w:p>
                  </w:txbxContent>
                </v:textbox>
              </v:shape>
            </w:pict>
          </mc:Fallback>
        </mc:AlternateContent>
      </w:r>
      <w:r>
        <mc:AlternateContent>
          <mc:Choice Requires="wps">
            <w:drawing>
              <wp:anchor distT="0" distB="0" distL="0" distR="0" simplePos="0" relativeHeight="251700224" behindDoc="0" locked="0" layoutInCell="0" allowOverlap="1">
                <wp:simplePos x="0" y="0"/>
                <wp:positionH relativeFrom="page">
                  <wp:posOffset>1851346</wp:posOffset>
                </wp:positionH>
                <wp:positionV relativeFrom="page">
                  <wp:posOffset>8546015</wp:posOffset>
                </wp:positionV>
                <wp:extent cx="318134" cy="125729"/>
                <wp:effectExtent l="0" t="0" r="0" b="0"/>
                <wp:wrapNone/>
                <wp:docPr id="50" name="TextBox 50"/>
                <wp:cNvGraphicFramePr/>
                <a:graphic xmlns:a="http://schemas.openxmlformats.org/drawingml/2006/main">
                  <a:graphicData uri="http://schemas.microsoft.com/office/word/2010/wordprocessingShape">
                    <wps:wsp xmlns:wps="http://schemas.microsoft.com/office/word/2010/wordprocessingShape">
                      <wps:cNvSpPr txBox="1"/>
                      <wps:spPr>
                        <a:xfrm rot="16200000">
                          <a:off x="1851346"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2007-03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0" o:spid="_x0000_s1053" type="#_x0000_t202" style="width:25.05pt;height:9.9pt;margin-top:672.91pt;margin-left:145.78pt;mso-position-horizontal-relative:page;mso-position-vertical-relative:page;mso-wrap-distance-bottom:0;mso-wrap-distance-left:0;mso-wrap-distance-right:0;mso-wrap-distance-top:0;position:absolute;rotation:270;v-text-anchor:top;z-index:251699200"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2007-03</w:t>
                      </w:r>
                    </w:p>
                  </w:txbxContent>
                </v:textbox>
              </v:shape>
            </w:pict>
          </mc:Fallback>
        </mc:AlternateContent>
      </w:r>
      <w:r>
        <mc:AlternateContent>
          <mc:Choice Requires="wps">
            <w:drawing>
              <wp:anchor distT="0" distB="0" distL="0" distR="0" simplePos="0" relativeHeight="251702272" behindDoc="0" locked="0" layoutInCell="0" allowOverlap="1">
                <wp:simplePos x="0" y="0"/>
                <wp:positionH relativeFrom="page">
                  <wp:posOffset>2008572</wp:posOffset>
                </wp:positionH>
                <wp:positionV relativeFrom="page">
                  <wp:posOffset>8546015</wp:posOffset>
                </wp:positionV>
                <wp:extent cx="318134" cy="125729"/>
                <wp:effectExtent l="0" t="0" r="0" b="0"/>
                <wp:wrapNone/>
                <wp:docPr id="52" name="TextBox 52"/>
                <wp:cNvGraphicFramePr/>
                <a:graphic xmlns:a="http://schemas.openxmlformats.org/drawingml/2006/main">
                  <a:graphicData uri="http://schemas.microsoft.com/office/word/2010/wordprocessingShape">
                    <wps:wsp xmlns:wps="http://schemas.microsoft.com/office/word/2010/wordprocessingShape">
                      <wps:cNvSpPr txBox="1"/>
                      <wps:spPr>
                        <a:xfrm rot="16200000">
                          <a:off x="2008572"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2007-09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2" o:spid="_x0000_s1054" type="#_x0000_t202" style="width:25.05pt;height:9.9pt;margin-top:672.91pt;margin-left:158.16pt;mso-position-horizontal-relative:page;mso-position-vertical-relative:page;mso-wrap-distance-bottom:0;mso-wrap-distance-left:0;mso-wrap-distance-right:0;mso-wrap-distance-top:0;position:absolute;rotation:270;v-text-anchor:top;z-index:251701248"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2007-09</w:t>
                      </w:r>
                    </w:p>
                  </w:txbxContent>
                </v:textbox>
              </v:shape>
            </w:pict>
          </mc:Fallback>
        </mc:AlternateContent>
      </w:r>
      <w:r>
        <mc:AlternateContent>
          <mc:Choice Requires="wps">
            <w:drawing>
              <wp:anchor distT="0" distB="0" distL="0" distR="0" simplePos="0" relativeHeight="251689984" behindDoc="0" locked="0" layoutInCell="0" allowOverlap="1">
                <wp:simplePos x="0" y="0"/>
                <wp:positionH relativeFrom="page">
                  <wp:posOffset>2166179</wp:posOffset>
                </wp:positionH>
                <wp:positionV relativeFrom="page">
                  <wp:posOffset>8546015</wp:posOffset>
                </wp:positionV>
                <wp:extent cx="318134" cy="125729"/>
                <wp:effectExtent l="0" t="0" r="0" b="0"/>
                <wp:wrapNone/>
                <wp:docPr id="54" name="TextBox 54"/>
                <wp:cNvGraphicFramePr/>
                <a:graphic xmlns:a="http://schemas.openxmlformats.org/drawingml/2006/main">
                  <a:graphicData uri="http://schemas.microsoft.com/office/word/2010/wordprocessingShape">
                    <wps:wsp xmlns:wps="http://schemas.microsoft.com/office/word/2010/wordprocessingShape">
                      <wps:cNvSpPr txBox="1"/>
                      <wps:spPr>
                        <a:xfrm rot="16200000">
                          <a:off x="2166179"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2008-03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4" o:spid="_x0000_s1055" type="#_x0000_t202" style="width:25.05pt;height:9.9pt;margin-top:672.91pt;margin-left:170.57pt;mso-position-horizontal-relative:page;mso-position-vertical-relative:page;mso-wrap-distance-bottom:0;mso-wrap-distance-left:0;mso-wrap-distance-right:0;mso-wrap-distance-top:0;position:absolute;rotation:270;v-text-anchor:top;z-index:251688960"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2008-03</w:t>
                      </w:r>
                    </w:p>
                  </w:txbxContent>
                </v:textbox>
              </v:shape>
            </w:pict>
          </mc:Fallback>
        </mc:AlternateContent>
      </w:r>
      <w:r>
        <mc:AlternateContent>
          <mc:Choice Requires="wps">
            <w:drawing>
              <wp:anchor distT="0" distB="0" distL="0" distR="0" simplePos="0" relativeHeight="251712512" behindDoc="0" locked="0" layoutInCell="0" allowOverlap="1">
                <wp:simplePos x="0" y="0"/>
                <wp:positionH relativeFrom="page">
                  <wp:posOffset>2323405</wp:posOffset>
                </wp:positionH>
                <wp:positionV relativeFrom="page">
                  <wp:posOffset>8546015</wp:posOffset>
                </wp:positionV>
                <wp:extent cx="318134" cy="125729"/>
                <wp:effectExtent l="0" t="0" r="0" b="0"/>
                <wp:wrapNone/>
                <wp:docPr id="56" name="TextBox 56"/>
                <wp:cNvGraphicFramePr/>
                <a:graphic xmlns:a="http://schemas.openxmlformats.org/drawingml/2006/main">
                  <a:graphicData uri="http://schemas.microsoft.com/office/word/2010/wordprocessingShape">
                    <wps:wsp xmlns:wps="http://schemas.microsoft.com/office/word/2010/wordprocessingShape">
                      <wps:cNvSpPr txBox="1"/>
                      <wps:spPr>
                        <a:xfrm rot="16200000">
                          <a:off x="2323405"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2008-09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6" o:spid="_x0000_s1056" type="#_x0000_t202" style="width:25.05pt;height:9.9pt;margin-top:672.91pt;margin-left:182.95pt;mso-position-horizontal-relative:page;mso-position-vertical-relative:page;mso-wrap-distance-bottom:0;mso-wrap-distance-left:0;mso-wrap-distance-right:0;mso-wrap-distance-top:0;position:absolute;rotation:270;v-text-anchor:top;z-index:251711488"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2008-09</w:t>
                      </w:r>
                    </w:p>
                  </w:txbxContent>
                </v:textbox>
              </v:shape>
            </w:pict>
          </mc:Fallback>
        </mc:AlternateContent>
      </w:r>
      <w:r>
        <mc:AlternateContent>
          <mc:Choice Requires="wps">
            <w:drawing>
              <wp:anchor distT="0" distB="0" distL="0" distR="0" simplePos="0" relativeHeight="251704320" behindDoc="0" locked="0" layoutInCell="0" allowOverlap="1">
                <wp:simplePos x="0" y="0"/>
                <wp:positionH relativeFrom="page">
                  <wp:posOffset>2480758</wp:posOffset>
                </wp:positionH>
                <wp:positionV relativeFrom="page">
                  <wp:posOffset>8546015</wp:posOffset>
                </wp:positionV>
                <wp:extent cx="318134" cy="125729"/>
                <wp:effectExtent l="0" t="0" r="0" b="0"/>
                <wp:wrapNone/>
                <wp:docPr id="58" name="TextBox 58"/>
                <wp:cNvGraphicFramePr/>
                <a:graphic xmlns:a="http://schemas.openxmlformats.org/drawingml/2006/main">
                  <a:graphicData uri="http://schemas.microsoft.com/office/word/2010/wordprocessingShape">
                    <wps:wsp xmlns:wps="http://schemas.microsoft.com/office/word/2010/wordprocessingShape">
                      <wps:cNvSpPr txBox="1"/>
                      <wps:spPr>
                        <a:xfrm rot="16200000">
                          <a:off x="2480758"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2009-03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8" o:spid="_x0000_s1057" type="#_x0000_t202" style="width:25.05pt;height:9.9pt;margin-top:672.91pt;margin-left:195.34pt;mso-position-horizontal-relative:page;mso-position-vertical-relative:page;mso-wrap-distance-bottom:0;mso-wrap-distance-left:0;mso-wrap-distance-right:0;mso-wrap-distance-top:0;position:absolute;rotation:270;v-text-anchor:top;z-index:251703296"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2009-03</w:t>
                      </w:r>
                    </w:p>
                  </w:txbxContent>
                </v:textbox>
              </v:shape>
            </w:pict>
          </mc:Fallback>
        </mc:AlternateContent>
      </w:r>
      <w:r>
        <mc:AlternateContent>
          <mc:Choice Requires="wps">
            <w:drawing>
              <wp:anchor distT="0" distB="0" distL="0" distR="0" simplePos="0" relativeHeight="251681792" behindDoc="0" locked="0" layoutInCell="0" allowOverlap="1">
                <wp:simplePos x="0" y="0"/>
                <wp:positionH relativeFrom="page">
                  <wp:posOffset>2557011</wp:posOffset>
                </wp:positionH>
                <wp:positionV relativeFrom="page">
                  <wp:posOffset>8465042</wp:posOffset>
                </wp:positionV>
                <wp:extent cx="480059" cy="125729"/>
                <wp:effectExtent l="0" t="0" r="0" b="0"/>
                <wp:wrapNone/>
                <wp:docPr id="60" name="TextBox 60"/>
                <wp:cNvGraphicFramePr/>
                <a:graphic xmlns:a="http://schemas.openxmlformats.org/drawingml/2006/main">
                  <a:graphicData uri="http://schemas.microsoft.com/office/word/2010/wordprocessingShape">
                    <wps:wsp xmlns:wps="http://schemas.microsoft.com/office/word/2010/wordprocessingShape">
                      <wps:cNvSpPr txBox="1"/>
                      <wps:spPr>
                        <a:xfrm rot="16200000">
                          <a:off x="2557011" y="8465042"/>
                          <a:ext cx="480059"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2009-09</w:t>
                            </w:r>
                            <w:r>
                              <w:rPr>
                                <w:rFonts w:ascii="Calibri" w:eastAsia="Calibri" w:hAnsi="Calibri" w:cs="Calibri"/>
                                <w:color w:val="838383"/>
                                <w:sz w:val="13"/>
                                <w:szCs w:val="13"/>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0" o:spid="_x0000_s1058" type="#_x0000_t202" style="width:37.8pt;height:9.9pt;margin-top:666.54pt;margin-left:201.34pt;mso-position-horizontal-relative:page;mso-position-vertical-relative:page;mso-wrap-distance-bottom:0;mso-wrap-distance-left:0;mso-wrap-distance-right:0;mso-wrap-distance-top:0;position:absolute;rotation:270;v-text-anchor:top;z-index:251680768"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2009-09</w:t>
                      </w:r>
                      <w:r>
                        <w:rPr>
                          <w:rFonts w:ascii="Calibri" w:eastAsia="Calibri" w:hAnsi="Calibri" w:cs="Calibri"/>
                          <w:color w:val="838383"/>
                          <w:sz w:val="13"/>
                          <w:szCs w:val="13"/>
                        </w:rPr>
                        <w:t xml:space="preserve">         </w:t>
                      </w:r>
                    </w:p>
                  </w:txbxContent>
                </v:textbox>
              </v:shape>
            </w:pict>
          </mc:Fallback>
        </mc:AlternateContent>
      </w:r>
      <w:r>
        <mc:AlternateContent>
          <mc:Choice Requires="wps">
            <w:drawing>
              <wp:anchor distT="0" distB="0" distL="0" distR="0" simplePos="0" relativeHeight="251708416" behindDoc="0" locked="0" layoutInCell="0" allowOverlap="1">
                <wp:simplePos x="0" y="0"/>
                <wp:positionH relativeFrom="page">
                  <wp:posOffset>2795591</wp:posOffset>
                </wp:positionH>
                <wp:positionV relativeFrom="page">
                  <wp:posOffset>8546015</wp:posOffset>
                </wp:positionV>
                <wp:extent cx="318134" cy="125729"/>
                <wp:effectExtent l="0" t="0" r="0" b="0"/>
                <wp:wrapNone/>
                <wp:docPr id="62" name="TextBox 62"/>
                <wp:cNvGraphicFramePr/>
                <a:graphic xmlns:a="http://schemas.openxmlformats.org/drawingml/2006/main">
                  <a:graphicData uri="http://schemas.microsoft.com/office/word/2010/wordprocessingShape">
                    <wps:wsp xmlns:wps="http://schemas.microsoft.com/office/word/2010/wordprocessingShape">
                      <wps:cNvSpPr txBox="1"/>
                      <wps:spPr>
                        <a:xfrm rot="16200000">
                          <a:off x="2795591"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2010-03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2" o:spid="_x0000_s1059" type="#_x0000_t202" style="width:25.05pt;height:9.9pt;margin-top:672.91pt;margin-left:220.13pt;mso-position-horizontal-relative:page;mso-position-vertical-relative:page;mso-wrap-distance-bottom:0;mso-wrap-distance-left:0;mso-wrap-distance-right:0;mso-wrap-distance-top:0;position:absolute;rotation:270;v-text-anchor:top;z-index:251707392"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2010-03</w:t>
                      </w:r>
                    </w:p>
                  </w:txbxContent>
                </v:textbox>
              </v:shape>
            </w:pict>
          </mc:Fallback>
        </mc:AlternateContent>
      </w:r>
      <w:r>
        <mc:AlternateContent>
          <mc:Choice Requires="wps">
            <w:drawing>
              <wp:anchor distT="0" distB="0" distL="0" distR="0" simplePos="0" relativeHeight="251710464" behindDoc="0" locked="0" layoutInCell="0" allowOverlap="1">
                <wp:simplePos x="0" y="0"/>
                <wp:positionH relativeFrom="page">
                  <wp:posOffset>2952817</wp:posOffset>
                </wp:positionH>
                <wp:positionV relativeFrom="page">
                  <wp:posOffset>8546015</wp:posOffset>
                </wp:positionV>
                <wp:extent cx="318134" cy="125729"/>
                <wp:effectExtent l="0" t="0" r="0" b="0"/>
                <wp:wrapNone/>
                <wp:docPr id="64" name="TextBox 64"/>
                <wp:cNvGraphicFramePr/>
                <a:graphic xmlns:a="http://schemas.openxmlformats.org/drawingml/2006/main">
                  <a:graphicData uri="http://schemas.microsoft.com/office/word/2010/wordprocessingShape">
                    <wps:wsp xmlns:wps="http://schemas.microsoft.com/office/word/2010/wordprocessingShape">
                      <wps:cNvSpPr txBox="1"/>
                      <wps:spPr>
                        <a:xfrm rot="16200000">
                          <a:off x="2952817"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2010-09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4" o:spid="_x0000_s1060" type="#_x0000_t202" style="width:25.05pt;height:9.9pt;margin-top:672.91pt;margin-left:232.51pt;mso-position-horizontal-relative:page;mso-position-vertical-relative:page;mso-wrap-distance-bottom:0;mso-wrap-distance-left:0;mso-wrap-distance-right:0;mso-wrap-distance-top:0;position:absolute;rotation:270;v-text-anchor:top;z-index:251709440"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2010-09</w:t>
                      </w:r>
                    </w:p>
                  </w:txbxContent>
                </v:textbox>
              </v:shape>
            </w:pict>
          </mc:Fallback>
        </mc:AlternateContent>
      </w:r>
      <w:r>
        <mc:AlternateContent>
          <mc:Choice Requires="wps">
            <w:drawing>
              <wp:anchor distT="0" distB="0" distL="0" distR="0" simplePos="0" relativeHeight="251683840" behindDoc="0" locked="0" layoutInCell="0" allowOverlap="1">
                <wp:simplePos x="0" y="0"/>
                <wp:positionH relativeFrom="page">
                  <wp:posOffset>3110170</wp:posOffset>
                </wp:positionH>
                <wp:positionV relativeFrom="page">
                  <wp:posOffset>8546015</wp:posOffset>
                </wp:positionV>
                <wp:extent cx="318134" cy="125729"/>
                <wp:effectExtent l="0" t="0" r="0" b="0"/>
                <wp:wrapNone/>
                <wp:docPr id="66" name="TextBox 66"/>
                <wp:cNvGraphicFramePr/>
                <a:graphic xmlns:a="http://schemas.openxmlformats.org/drawingml/2006/main">
                  <a:graphicData uri="http://schemas.microsoft.com/office/word/2010/wordprocessingShape">
                    <wps:wsp xmlns:wps="http://schemas.microsoft.com/office/word/2010/wordprocessingShape">
                      <wps:cNvSpPr txBox="1"/>
                      <wps:spPr>
                        <a:xfrm rot="16200000">
                          <a:off x="3110170"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2011-03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6" o:spid="_x0000_s1061" type="#_x0000_t202" style="width:25.05pt;height:9.9pt;margin-top:672.91pt;margin-left:244.9pt;mso-position-horizontal-relative:page;mso-position-vertical-relative:page;mso-wrap-distance-bottom:0;mso-wrap-distance-left:0;mso-wrap-distance-right:0;mso-wrap-distance-top:0;position:absolute;rotation:270;v-text-anchor:top;z-index:251682816"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2011-03</w:t>
                      </w:r>
                    </w:p>
                  </w:txbxContent>
                </v:textbox>
              </v:shape>
            </w:pict>
          </mc:Fallback>
        </mc:AlternateContent>
      </w:r>
      <w:r>
        <mc:AlternateContent>
          <mc:Choice Requires="wps">
            <w:drawing>
              <wp:anchor distT="0" distB="0" distL="0" distR="0" simplePos="0" relativeHeight="251685888" behindDoc="0" locked="0" layoutInCell="0" allowOverlap="1">
                <wp:simplePos x="0" y="0"/>
                <wp:positionH relativeFrom="page">
                  <wp:posOffset>3267396</wp:posOffset>
                </wp:positionH>
                <wp:positionV relativeFrom="page">
                  <wp:posOffset>8546015</wp:posOffset>
                </wp:positionV>
                <wp:extent cx="318134" cy="125729"/>
                <wp:effectExtent l="0" t="0" r="0" b="0"/>
                <wp:wrapNone/>
                <wp:docPr id="68" name="TextBox 68"/>
                <wp:cNvGraphicFramePr/>
                <a:graphic xmlns:a="http://schemas.openxmlformats.org/drawingml/2006/main">
                  <a:graphicData uri="http://schemas.microsoft.com/office/word/2010/wordprocessingShape">
                    <wps:wsp xmlns:wps="http://schemas.microsoft.com/office/word/2010/wordprocessingShape">
                      <wps:cNvSpPr txBox="1"/>
                      <wps:spPr>
                        <a:xfrm rot="16200000">
                          <a:off x="3267396" y="8546015"/>
                          <a:ext cx="318134" cy="1257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2011-09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8" o:spid="_x0000_s1062" type="#_x0000_t202" style="width:25.05pt;height:9.9pt;margin-top:672.91pt;margin-left:257.28pt;mso-position-horizontal-relative:page;mso-position-vertical-relative:page;mso-wrap-distance-bottom:0;mso-wrap-distance-left:0;mso-wrap-distance-right:0;mso-wrap-distance-top:0;position:absolute;rotation:270;v-text-anchor:top;z-index:251684864" o:allowincell="f" filled="f" fillcolor="this" stroked="f">
                <v:textbox inset="0,0,0,0">
                  <w:txbxContent>
                    <w:p>
                      <w:pPr>
                        <w:spacing w:before="53" w:line="188" w:lineRule="auto"/>
                        <w:ind w:left="20"/>
                        <w:rPr>
                          <w:rFonts w:ascii="Calibri" w:eastAsia="Calibri" w:hAnsi="Calibri" w:cs="Calibri"/>
                          <w:sz w:val="13"/>
                          <w:szCs w:val="13"/>
                        </w:rPr>
                      </w:pPr>
                      <w:r>
                        <w:rPr>
                          <w:rFonts w:ascii="Calibri" w:eastAsia="Calibri" w:hAnsi="Calibri" w:cs="Calibri"/>
                          <w:color w:val="838383"/>
                          <w:spacing w:val="3"/>
                          <w:sz w:val="13"/>
                          <w:szCs w:val="13"/>
                        </w:rPr>
                        <w:t>2011-09</w:t>
                      </w:r>
                    </w:p>
                  </w:txbxContent>
                </v:textbox>
              </v:shape>
            </w:pict>
          </mc:Fallback>
        </mc:AlternateContent>
      </w:r>
      <w:r>
        <w:pict>
          <v:rect id="_x0000_s1063" style="width:482.25pt;height:0.75pt;margin-top:78.8pt;margin-left:56.55pt;mso-position-horizontal-relative:page;mso-position-vertical-relative:page;position:absolute;z-index:251679744" o:allowincell="f" filled="t" fillcolor="#044e7e" stroked="f"/>
        </w:pict>
      </w:r>
      <w:r>
        <w:pict>
          <v:shape id="_x0000_s1064" style="width:492.85pt;height:1pt;margin-top:282.89pt;margin-left:51.24pt;mso-position-horizontal-relative:page;mso-position-vertical-relative:page;position:absolute;z-index:251678720" coordorigin="0,0" coordsize="9857,20" o:allowincell="f" path="m,19l4918,19l4918,l,l,19xem4918,19l4937,19l4937,l4918,l4918,19xem4937,19l9856,19l9856,l4937,l4937,19xe" filled="t" fillcolor="#044e7e" stroked="f"/>
        </w:pict>
      </w:r>
      <w:r>
        <w:pict>
          <v:shape id="_x0000_s1065" style="width:492.85pt;height:1pt;margin-top:718.78pt;margin-left:51.24pt;mso-position-horizontal-relative:page;mso-position-vertical-relative:page;position:absolute;z-index:251677696" coordorigin="0,0" coordsize="9857,20" o:allowincell="f" path="m,19l4928,19l4928,l,l,19xem4928,19l4947,19l4947,l4928,l4928,19xem4947,19l9856,19l9856,l4947,l4947,19xe" filled="t" fillcolor="#044e7e" stroked="f"/>
        </w:pict>
      </w:r>
      <w:r>
        <w:pict>
          <v:shape id="_x0000_s1066" style="width:482.25pt;height:16.85pt;margin-top:777.15pt;margin-left:56.55pt;mso-position-horizontal-relative:page;mso-position-vertical-relative:page;position:absolute;z-index:251676672" coordorigin="0,0" coordsize="9645,337" o:allowincell="f" path="m,15l9645,15l9645,l,l,15xem,336l9645,336l9645,295l,295l,336xe" filled="t" fillcolor="#044e7e" stroked="f"/>
        </w:pict>
      </w:r>
      <w:r>
        <w:drawing>
          <wp:anchor distT="0" distB="0" distL="0" distR="0" simplePos="0" relativeHeight="251675648" behindDoc="0" locked="0" layoutInCell="0" allowOverlap="1">
            <wp:simplePos x="0" y="0"/>
            <wp:positionH relativeFrom="page">
              <wp:posOffset>1148575</wp:posOffset>
            </wp:positionH>
            <wp:positionV relativeFrom="page">
              <wp:posOffset>1951165</wp:posOffset>
            </wp:positionV>
            <wp:extent cx="2339860" cy="1043177"/>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28"/>
                    <a:stretch>
                      <a:fillRect/>
                    </a:stretch>
                  </pic:blipFill>
                  <pic:spPr>
                    <a:xfrm>
                      <a:off x="0" y="0"/>
                      <a:ext cx="2339860" cy="1043177"/>
                    </a:xfrm>
                    <a:prstGeom prst="rect">
                      <a:avLst/>
                    </a:prstGeom>
                  </pic:spPr>
                </pic:pic>
              </a:graphicData>
            </a:graphic>
          </wp:anchor>
        </w:drawing>
      </w:r>
      <w:r>
        <w:drawing>
          <wp:anchor distT="0" distB="0" distL="0" distR="0" simplePos="0" relativeHeight="251674624" behindDoc="0" locked="0" layoutInCell="0" allowOverlap="1">
            <wp:simplePos x="0" y="0"/>
            <wp:positionH relativeFrom="page">
              <wp:posOffset>3843020</wp:posOffset>
            </wp:positionH>
            <wp:positionV relativeFrom="page">
              <wp:posOffset>1960919</wp:posOffset>
            </wp:positionV>
            <wp:extent cx="2990214" cy="1279955"/>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29"/>
                    <a:stretch>
                      <a:fillRect/>
                    </a:stretch>
                  </pic:blipFill>
                  <pic:spPr>
                    <a:xfrm>
                      <a:off x="0" y="0"/>
                      <a:ext cx="2990214" cy="1279955"/>
                    </a:xfrm>
                    <a:prstGeom prst="rect">
                      <a:avLst/>
                    </a:prstGeom>
                  </pic:spPr>
                </pic:pic>
              </a:graphicData>
            </a:graphic>
          </wp:anchor>
        </w:drawing>
      </w:r>
      <w:r>
        <w:rPr>
          <w:b/>
          <w:bCs/>
          <w:sz w:val="18"/>
          <w:szCs w:val="18"/>
          <w14:textOutline w14:w="3265">
            <w14:solidFill>
              <w14:srgbClr w14:val="000000"/>
            </w14:solidFill>
            <w14:prstDash w14:val="solid"/>
            <w14:miter w14:lim="10"/>
          </w14:textOutline>
        </w:rPr>
        <w:t>图</w:t>
      </w:r>
      <w:r>
        <w:rPr>
          <w:b/>
          <w:bCs/>
          <w:sz w:val="18"/>
          <w:szCs w:val="18"/>
        </w:rPr>
        <w:t xml:space="preserve"> </w:t>
      </w:r>
      <w:r>
        <w:rPr>
          <w:rFonts w:ascii="Times New Roman" w:eastAsia="Times New Roman" w:hAnsi="Times New Roman" w:cs="Times New Roman"/>
          <w:b/>
          <w:bCs/>
          <w:sz w:val="18"/>
          <w:szCs w:val="18"/>
        </w:rPr>
        <w:t>3:</w:t>
      </w:r>
      <w:r>
        <w:rPr>
          <w:b/>
          <w:bCs/>
          <w:sz w:val="18"/>
          <w:szCs w:val="18"/>
          <w14:textOutline w14:w="3265">
            <w14:solidFill>
              <w14:srgbClr w14:val="000000"/>
            </w14:solidFill>
            <w14:prstDash w14:val="solid"/>
            <w14:miter w14:lim="10"/>
          </w14:textOutline>
        </w:rPr>
        <w:t>美国</w:t>
      </w:r>
      <w:r>
        <w:rPr>
          <w:b/>
          <w:bCs/>
          <w:sz w:val="18"/>
          <w:szCs w:val="18"/>
        </w:rPr>
        <w:t xml:space="preserve"> </w:t>
      </w:r>
      <w:r>
        <w:rPr>
          <w:rFonts w:ascii="Times New Roman" w:eastAsia="Times New Roman" w:hAnsi="Times New Roman" w:cs="Times New Roman"/>
          <w:b/>
          <w:bCs/>
          <w:sz w:val="18"/>
          <w:szCs w:val="18"/>
        </w:rPr>
        <w:t xml:space="preserve">2008 </w:t>
      </w:r>
      <w:r>
        <w:rPr>
          <w:b/>
          <w:bCs/>
          <w:sz w:val="18"/>
          <w:szCs w:val="18"/>
          <w14:textOutline w14:w="3265">
            <w14:solidFill>
              <w14:srgbClr w14:val="000000"/>
            </w14:solidFill>
            <w14:prstDash w14:val="solid"/>
            <w14:miter w14:lim="10"/>
          </w14:textOutline>
        </w:rPr>
        <w:t>年金融危机前后联邦基金利率走</w:t>
      </w:r>
      <w:r>
        <w:rPr>
          <w:b/>
          <w:bCs/>
          <w:spacing w:val="-1"/>
          <w:sz w:val="18"/>
          <w:szCs w:val="18"/>
          <w14:textOutline w14:w="3265">
            <w14:solidFill>
              <w14:srgbClr w14:val="000000"/>
            </w14:solidFill>
            <w14:prstDash w14:val="solid"/>
            <w14:miter w14:lim="10"/>
          </w14:textOutline>
        </w:rPr>
        <w:t>势（</w:t>
      </w:r>
      <w:r>
        <w:rPr>
          <w:rFonts w:ascii="Times New Roman" w:eastAsia="Times New Roman" w:hAnsi="Times New Roman" w:cs="Times New Roman"/>
          <w:b/>
          <w:bCs/>
          <w:spacing w:val="-1"/>
          <w:sz w:val="18"/>
          <w:szCs w:val="18"/>
        </w:rPr>
        <w:t>%</w:t>
      </w:r>
      <w:r>
        <w:rPr>
          <w:b/>
          <w:bCs/>
          <w:spacing w:val="-1"/>
          <w:sz w:val="18"/>
          <w:szCs w:val="18"/>
          <w14:textOutline w14:w="3265">
            <w14:solidFill>
              <w14:srgbClr w14:val="000000"/>
            </w14:solidFill>
            <w14:prstDash w14:val="solid"/>
            <w14:miter w14:lim="10"/>
          </w14:textOutline>
        </w:rPr>
        <w:t>）</w:t>
      </w:r>
      <w:r>
        <w:rPr>
          <w:b/>
          <w:bCs/>
          <w:spacing w:val="-1"/>
          <w:sz w:val="18"/>
          <w:szCs w:val="18"/>
        </w:rPr>
        <w:t xml:space="preserve">         </w:t>
      </w:r>
      <w:r>
        <w:rPr>
          <w:b/>
          <w:bCs/>
          <w:spacing w:val="-1"/>
          <w:sz w:val="18"/>
          <w:szCs w:val="18"/>
          <w14:textOutline w14:w="3265">
            <w14:solidFill>
              <w14:srgbClr w14:val="000000"/>
            </w14:solidFill>
            <w14:prstDash w14:val="solid"/>
            <w14:miter w14:lim="10"/>
          </w14:textOutline>
        </w:rPr>
        <w:t>图</w:t>
      </w:r>
      <w:r>
        <w:rPr>
          <w:b/>
          <w:bCs/>
          <w:spacing w:val="-1"/>
          <w:sz w:val="18"/>
          <w:szCs w:val="18"/>
        </w:rPr>
        <w:t xml:space="preserve"> </w:t>
      </w:r>
      <w:r>
        <w:rPr>
          <w:rFonts w:ascii="Times New Roman" w:eastAsia="Times New Roman" w:hAnsi="Times New Roman" w:cs="Times New Roman"/>
          <w:b/>
          <w:bCs/>
          <w:spacing w:val="-1"/>
          <w:sz w:val="18"/>
          <w:szCs w:val="18"/>
        </w:rPr>
        <w:t>4:</w:t>
      </w:r>
      <w:r>
        <w:rPr>
          <w:b/>
          <w:bCs/>
          <w:spacing w:val="-1"/>
          <w:sz w:val="18"/>
          <w:szCs w:val="18"/>
          <w14:textOutline w14:w="3265">
            <w14:solidFill>
              <w14:srgbClr w14:val="000000"/>
            </w14:solidFill>
            <w14:prstDash w14:val="solid"/>
            <w14:miter w14:lim="10"/>
          </w14:textOutline>
        </w:rPr>
        <w:t>量化宽松生效路径</w:t>
      </w:r>
    </w:p>
    <w:p>
      <w:pPr>
        <w:spacing w:line="28" w:lineRule="exact"/>
        <w:ind w:firstLine="252"/>
      </w:pPr>
      <w:r>
        <w:pict>
          <v:shape id="_x0000_i1067" style="width:492.85pt;height:1.45pt;mso-position-horizontal-relative:char;mso-position-vertical-relative:line" coordorigin="0,0" coordsize="9857,29" path="m,28l4918,28l4918,l,l,28xem4918,28l4947,28l4947,l4918,l4918,28xem4947,28l9856,28l9856,l4947,l4947,28xe" filled="t" fillcolor="#044e7e" stroked="f">
            <w10:wrap type="none"/>
          </v:shape>
        </w:pict>
      </w:r>
    </w:p>
    <w:p>
      <w:pPr>
        <w:spacing w:line="271" w:lineRule="auto"/>
        <w:rPr>
          <w:rFonts w:ascii="Arial"/>
          <w:sz w:val="21"/>
        </w:rPr>
      </w:pPr>
    </w:p>
    <w:p>
      <w:pPr>
        <w:spacing w:before="40" w:line="188" w:lineRule="auto"/>
        <w:ind w:left="819"/>
        <w:rPr>
          <w:rFonts w:ascii="Calibri" w:eastAsia="Calibri" w:hAnsi="Calibri" w:cs="Calibri"/>
          <w:sz w:val="13"/>
          <w:szCs w:val="13"/>
        </w:rPr>
      </w:pPr>
      <w:r>
        <w:rPr>
          <w:rFonts w:ascii="Calibri" w:eastAsia="Calibri" w:hAnsi="Calibri" w:cs="Calibri"/>
          <w:color w:val="838383"/>
          <w:sz w:val="13"/>
          <w:szCs w:val="13"/>
        </w:rPr>
        <w:t>6</w:t>
      </w:r>
    </w:p>
    <w:p>
      <w:pPr>
        <w:spacing w:before="179" w:line="186" w:lineRule="auto"/>
        <w:ind w:left="818"/>
        <w:rPr>
          <w:rFonts w:ascii="Calibri" w:eastAsia="Calibri" w:hAnsi="Calibri" w:cs="Calibri"/>
          <w:sz w:val="13"/>
          <w:szCs w:val="13"/>
        </w:rPr>
      </w:pPr>
      <w:r>
        <w:rPr>
          <w:rFonts w:ascii="Calibri" w:eastAsia="Calibri" w:hAnsi="Calibri" w:cs="Calibri"/>
          <w:color w:val="838383"/>
          <w:sz w:val="13"/>
          <w:szCs w:val="13"/>
        </w:rPr>
        <w:t>5</w:t>
      </w:r>
    </w:p>
    <w:p>
      <w:pPr>
        <w:spacing w:before="179" w:line="186" w:lineRule="auto"/>
        <w:ind w:left="815"/>
        <w:rPr>
          <w:rFonts w:ascii="Calibri" w:eastAsia="Calibri" w:hAnsi="Calibri" w:cs="Calibri"/>
          <w:sz w:val="13"/>
          <w:szCs w:val="13"/>
        </w:rPr>
      </w:pPr>
      <w:r>
        <w:rPr>
          <w:rFonts w:ascii="Calibri" w:eastAsia="Calibri" w:hAnsi="Calibri" w:cs="Calibri"/>
          <w:color w:val="838383"/>
          <w:spacing w:val="1"/>
          <w:sz w:val="13"/>
          <w:szCs w:val="13"/>
        </w:rPr>
        <w:t>4</w:t>
      </w:r>
    </w:p>
    <w:p>
      <w:pPr>
        <w:spacing w:before="178" w:line="188" w:lineRule="auto"/>
        <w:ind w:left="818"/>
        <w:rPr>
          <w:rFonts w:ascii="Calibri" w:eastAsia="Calibri" w:hAnsi="Calibri" w:cs="Calibri"/>
          <w:sz w:val="13"/>
          <w:szCs w:val="13"/>
        </w:rPr>
      </w:pPr>
      <w:r>
        <w:rPr>
          <w:rFonts w:ascii="Calibri" w:eastAsia="Calibri" w:hAnsi="Calibri" w:cs="Calibri"/>
          <w:color w:val="838383"/>
          <w:sz w:val="13"/>
          <w:szCs w:val="13"/>
        </w:rPr>
        <w:t>3</w:t>
      </w:r>
    </w:p>
    <w:p>
      <w:pPr>
        <w:spacing w:before="177" w:line="188" w:lineRule="auto"/>
        <w:ind w:left="819"/>
        <w:rPr>
          <w:rFonts w:ascii="Calibri" w:eastAsia="Calibri" w:hAnsi="Calibri" w:cs="Calibri"/>
          <w:sz w:val="13"/>
          <w:szCs w:val="13"/>
        </w:rPr>
      </w:pPr>
      <w:r>
        <w:rPr>
          <w:rFonts w:ascii="Calibri" w:eastAsia="Calibri" w:hAnsi="Calibri" w:cs="Calibri"/>
          <w:color w:val="838383"/>
          <w:sz w:val="13"/>
          <w:szCs w:val="13"/>
        </w:rPr>
        <w:t>2</w:t>
      </w:r>
    </w:p>
    <w:p>
      <w:pPr>
        <w:spacing w:before="179" w:line="187" w:lineRule="auto"/>
        <w:ind w:left="823"/>
        <w:rPr>
          <w:rFonts w:ascii="Calibri" w:eastAsia="Calibri" w:hAnsi="Calibri" w:cs="Calibri"/>
          <w:sz w:val="13"/>
          <w:szCs w:val="13"/>
        </w:rPr>
      </w:pPr>
      <w:r>
        <w:rPr>
          <w:rFonts w:ascii="Calibri" w:eastAsia="Calibri" w:hAnsi="Calibri" w:cs="Calibri"/>
          <w:color w:val="838383"/>
          <w:sz w:val="13"/>
          <w:szCs w:val="13"/>
        </w:rPr>
        <w:t>1</w:t>
      </w:r>
    </w:p>
    <w:p>
      <w:pPr>
        <w:spacing w:before="178" w:line="188" w:lineRule="auto"/>
        <w:ind w:left="816"/>
        <w:rPr>
          <w:rFonts w:ascii="Calibri" w:eastAsia="Calibri" w:hAnsi="Calibri" w:cs="Calibri"/>
          <w:sz w:val="13"/>
          <w:szCs w:val="13"/>
        </w:rPr>
      </w:pPr>
      <w:r>
        <w:rPr>
          <w:rFonts w:ascii="Calibri" w:eastAsia="Calibri" w:hAnsi="Calibri" w:cs="Calibri"/>
          <w:color w:val="838383"/>
          <w:sz w:val="13"/>
          <w:szCs w:val="13"/>
        </w:rPr>
        <w:t>0</w:t>
      </w:r>
    </w:p>
    <w:p>
      <w:pPr>
        <w:spacing w:before="61" w:line="501" w:lineRule="exact"/>
        <w:ind w:firstLine="567"/>
      </w:pPr>
      <w:r>
        <w:rPr>
          <w:position w:val="-10"/>
        </w:rPr>
        <w:drawing>
          <wp:inline distT="0" distB="0" distL="0" distR="0">
            <wp:extent cx="2266518" cy="318134"/>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30"/>
                    <a:stretch>
                      <a:fillRect/>
                    </a:stretch>
                  </pic:blipFill>
                  <pic:spPr>
                    <a:xfrm>
                      <a:off x="0" y="0"/>
                      <a:ext cx="2266518" cy="318134"/>
                    </a:xfrm>
                    <a:prstGeom prst="rect">
                      <a:avLst/>
                    </a:prstGeom>
                  </pic:spPr>
                </pic:pic>
              </a:graphicData>
            </a:graphic>
          </wp:inline>
        </w:drawing>
      </w:r>
    </w:p>
    <w:p>
      <w:pPr>
        <w:spacing w:line="336" w:lineRule="auto"/>
        <w:rPr>
          <w:rFonts w:ascii="Arial"/>
          <w:sz w:val="21"/>
        </w:rPr>
      </w:pPr>
    </w:p>
    <w:p>
      <w:pPr>
        <w:pStyle w:val="BodyText"/>
        <w:spacing w:before="69" w:line="185" w:lineRule="auto"/>
        <w:ind w:left="360"/>
        <w:rPr>
          <w:sz w:val="16"/>
          <w:szCs w:val="16"/>
        </w:rPr>
      </w:pPr>
      <w:r>
        <w:rPr>
          <w:i/>
          <w:iCs/>
          <w:spacing w:val="3"/>
          <w:sz w:val="16"/>
          <w:szCs w:val="16"/>
        </w:rPr>
        <w:t>数据来源：</w:t>
      </w:r>
      <w:r>
        <w:rPr>
          <w:rFonts w:ascii="Times New Roman" w:eastAsia="Times New Roman" w:hAnsi="Times New Roman" w:cs="Times New Roman"/>
          <w:i/>
          <w:iCs/>
          <w:sz w:val="16"/>
          <w:szCs w:val="16"/>
        </w:rPr>
        <w:t>Wind</w:t>
      </w:r>
      <w:r>
        <w:rPr>
          <w:i/>
          <w:iCs/>
          <w:spacing w:val="3"/>
          <w:sz w:val="16"/>
          <w:szCs w:val="16"/>
        </w:rPr>
        <w:t>，中信建投证券</w:t>
      </w:r>
      <w:r>
        <w:rPr>
          <w:spacing w:val="3"/>
          <w:sz w:val="16"/>
          <w:szCs w:val="16"/>
        </w:rPr>
        <w:t xml:space="preserve">                                      </w:t>
      </w:r>
      <w:r>
        <w:rPr>
          <w:spacing w:val="2"/>
          <w:sz w:val="16"/>
          <w:szCs w:val="16"/>
        </w:rPr>
        <w:t xml:space="preserve">               </w:t>
      </w:r>
      <w:r>
        <w:rPr>
          <w:i/>
          <w:iCs/>
          <w:spacing w:val="2"/>
          <w:sz w:val="16"/>
          <w:szCs w:val="16"/>
        </w:rPr>
        <w:t>数据来源：中信建投证券</w:t>
      </w:r>
    </w:p>
    <w:p>
      <w:pPr>
        <w:spacing w:line="307" w:lineRule="auto"/>
        <w:rPr>
          <w:rFonts w:ascii="Arial"/>
          <w:sz w:val="21"/>
        </w:rPr>
      </w:pPr>
    </w:p>
    <w:p>
      <w:pPr>
        <w:pStyle w:val="BodyText"/>
        <w:spacing w:before="82" w:line="217" w:lineRule="auto"/>
        <w:ind w:left="367" w:right="119" w:firstLine="401"/>
      </w:pPr>
      <w:r>
        <w:rPr>
          <w:spacing w:val="10"/>
        </w:rPr>
        <w:t xml:space="preserve">在量化宽松以外，美国联邦存款保险公司于 </w:t>
      </w:r>
      <w:r>
        <w:rPr>
          <w:rFonts w:ascii="Times New Roman" w:eastAsia="Times New Roman" w:hAnsi="Times New Roman" w:cs="Times New Roman"/>
          <w:spacing w:val="10"/>
        </w:rPr>
        <w:t>200</w:t>
      </w:r>
      <w:r>
        <w:rPr>
          <w:rFonts w:ascii="Times New Roman" w:eastAsia="Times New Roman" w:hAnsi="Times New Roman" w:cs="Times New Roman"/>
          <w:spacing w:val="9"/>
        </w:rPr>
        <w:t xml:space="preserve">8 </w:t>
      </w:r>
      <w:r>
        <w:rPr>
          <w:spacing w:val="9"/>
        </w:rPr>
        <w:t>年</w:t>
      </w:r>
      <w:r>
        <w:rPr>
          <w:spacing w:val="18"/>
        </w:rPr>
        <w:t xml:space="preserve"> </w:t>
      </w:r>
      <w:r>
        <w:rPr>
          <w:rFonts w:ascii="Times New Roman" w:eastAsia="Times New Roman" w:hAnsi="Times New Roman" w:cs="Times New Roman"/>
          <w:spacing w:val="9"/>
        </w:rPr>
        <w:t xml:space="preserve">11 </w:t>
      </w:r>
      <w:r>
        <w:rPr>
          <w:spacing w:val="9"/>
        </w:rPr>
        <w:t>月启动临时流动性担保计划（</w:t>
      </w:r>
      <w:r>
        <w:rPr>
          <w:rFonts w:ascii="Times New Roman" w:eastAsia="Times New Roman" w:hAnsi="Times New Roman" w:cs="Times New Roman"/>
        </w:rPr>
        <w:t>Temporary</w:t>
      </w:r>
      <w:r>
        <w:rPr>
          <w:rFonts w:ascii="Times New Roman" w:eastAsia="Times New Roman" w:hAnsi="Times New Roman" w:cs="Times New Roman"/>
          <w:spacing w:val="9"/>
        </w:rPr>
        <w:t xml:space="preserve"> </w:t>
      </w:r>
      <w:r>
        <w:rPr>
          <w:rFonts w:ascii="Times New Roman" w:eastAsia="Times New Roman" w:hAnsi="Times New Roman" w:cs="Times New Roman"/>
        </w:rPr>
        <w:t xml:space="preserve">Liquidity    </w:t>
      </w:r>
      <w:r>
        <w:rPr>
          <w:rFonts w:ascii="Times New Roman" w:eastAsia="Times New Roman" w:hAnsi="Times New Roman" w:cs="Times New Roman"/>
        </w:rPr>
        <w:t>Guarantee</w:t>
      </w:r>
      <w:r>
        <w:rPr>
          <w:rFonts w:ascii="Times New Roman" w:eastAsia="Times New Roman" w:hAnsi="Times New Roman" w:cs="Times New Roman"/>
          <w:spacing w:val="6"/>
        </w:rPr>
        <w:t xml:space="preserve"> </w:t>
      </w:r>
      <w:r>
        <w:rPr>
          <w:rFonts w:ascii="Times New Roman" w:eastAsia="Times New Roman" w:hAnsi="Times New Roman" w:cs="Times New Roman"/>
        </w:rPr>
        <w:t>Program</w:t>
      </w:r>
      <w:r>
        <w:rPr>
          <w:rFonts w:ascii="Times New Roman" w:eastAsia="Times New Roman" w:hAnsi="Times New Roman" w:cs="Times New Roman"/>
          <w:spacing w:val="-27"/>
        </w:rPr>
        <w:t xml:space="preserve"> </w:t>
      </w:r>
      <w:r>
        <w:rPr>
          <w:spacing w:val="6"/>
        </w:rPr>
        <w:t>，</w:t>
      </w:r>
      <w:r>
        <w:rPr>
          <w:rFonts w:ascii="Times New Roman" w:eastAsia="Times New Roman" w:hAnsi="Times New Roman" w:cs="Times New Roman"/>
        </w:rPr>
        <w:t>TLGP</w:t>
      </w:r>
      <w:r>
        <w:rPr>
          <w:rFonts w:ascii="Times New Roman" w:eastAsia="Times New Roman" w:hAnsi="Times New Roman" w:cs="Times New Roman"/>
          <w:spacing w:val="6"/>
        </w:rPr>
        <w:t>)</w:t>
      </w:r>
      <w:r>
        <w:rPr>
          <w:spacing w:val="6"/>
        </w:rPr>
        <w:t>，增加对金融机构存款账户的保险范围， 为存款证明和商业票据提供担保，</w:t>
      </w:r>
      <w:r>
        <w:rPr>
          <w:spacing w:val="5"/>
        </w:rPr>
        <w:t xml:space="preserve"> 维持公众</w:t>
      </w:r>
      <w:r>
        <w:t xml:space="preserve"> </w:t>
      </w:r>
      <w:r>
        <w:rPr>
          <w:spacing w:val="9"/>
        </w:rPr>
        <w:t>对存款机构的信心，避免发生进一步银行挤兑，有助于提高银行间同业拆借</w:t>
      </w:r>
      <w:r>
        <w:rPr>
          <w:spacing w:val="8"/>
        </w:rPr>
        <w:t>市场流动性。</w:t>
      </w:r>
    </w:p>
    <w:p>
      <w:pPr>
        <w:pStyle w:val="BodyText"/>
        <w:spacing w:before="303" w:line="187" w:lineRule="auto"/>
        <w:ind w:left="378"/>
      </w:pPr>
      <w:r>
        <w:rPr>
          <w:b/>
          <w:bCs/>
          <w:spacing w:val="5"/>
          <w14:textOutline w14:w="3614">
            <w14:solidFill>
              <w14:srgbClr w14:val="000000"/>
            </w14:solidFill>
            <w14:prstDash w14:val="solid"/>
            <w14:miter w14:lim="10"/>
          </w14:textOutline>
        </w:rPr>
        <w:t>（</w:t>
      </w:r>
      <w:r>
        <w:rPr>
          <w:rFonts w:ascii="Times New Roman" w:eastAsia="Times New Roman" w:hAnsi="Times New Roman" w:cs="Times New Roman"/>
          <w:b/>
          <w:bCs/>
          <w:spacing w:val="5"/>
        </w:rPr>
        <w:t>3</w:t>
      </w:r>
      <w:r>
        <w:rPr>
          <w:b/>
          <w:bCs/>
          <w:spacing w:val="5"/>
          <w14:textOutline w14:w="3614">
            <w14:solidFill>
              <w14:srgbClr w14:val="000000"/>
            </w14:solidFill>
            <w14:prstDash w14:val="solid"/>
            <w14:miter w14:lim="10"/>
          </w14:textOutline>
        </w:rPr>
        <w:t>）</w:t>
      </w:r>
      <w:r>
        <w:rPr>
          <w:b/>
          <w:bCs/>
          <w:spacing w:val="-28"/>
        </w:rPr>
        <w:t xml:space="preserve"> </w:t>
      </w:r>
      <w:r>
        <w:rPr>
          <w:b/>
          <w:bCs/>
          <w:spacing w:val="5"/>
          <w14:textOutline w14:w="3614">
            <w14:solidFill>
              <w14:srgbClr w14:val="000000"/>
            </w14:solidFill>
            <w14:prstDash w14:val="solid"/>
            <w14:miter w14:lim="10"/>
          </w14:textOutline>
        </w:rPr>
        <w:t>扩张性的财政政策</w:t>
      </w:r>
    </w:p>
    <w:p>
      <w:pPr>
        <w:pStyle w:val="BodyText"/>
        <w:spacing w:before="214" w:line="222" w:lineRule="auto"/>
        <w:ind w:left="364" w:right="110" w:firstLine="407"/>
      </w:pPr>
      <w:r>
        <w:rPr>
          <w:spacing w:val="6"/>
        </w:rPr>
        <w:t>为刺激经济复苏，美国陆续出台包括减税、</w:t>
      </w:r>
      <w:r>
        <w:rPr>
          <w:spacing w:val="5"/>
        </w:rPr>
        <w:t xml:space="preserve">增加公共支出在内的财政政策，用于稳经济、保就业、保增长。 </w:t>
      </w:r>
      <w:r>
        <w:rPr>
          <w:rFonts w:ascii="Times New Roman" w:eastAsia="Times New Roman" w:hAnsi="Times New Roman" w:cs="Times New Roman"/>
          <w:spacing w:val="4"/>
        </w:rPr>
        <w:t xml:space="preserve">2008 </w:t>
      </w:r>
      <w:r>
        <w:rPr>
          <w:spacing w:val="4"/>
        </w:rPr>
        <w:t xml:space="preserve">年 </w:t>
      </w:r>
      <w:r>
        <w:rPr>
          <w:rFonts w:ascii="Times New Roman" w:eastAsia="Times New Roman" w:hAnsi="Times New Roman" w:cs="Times New Roman"/>
          <w:spacing w:val="4"/>
        </w:rPr>
        <w:t>2</w:t>
      </w:r>
      <w:r>
        <w:rPr>
          <w:rFonts w:ascii="Times New Roman" w:eastAsia="Times New Roman" w:hAnsi="Times New Roman" w:cs="Times New Roman"/>
          <w:spacing w:val="17"/>
          <w:w w:val="101"/>
        </w:rPr>
        <w:t xml:space="preserve"> </w:t>
      </w:r>
      <w:r>
        <w:rPr>
          <w:spacing w:val="4"/>
        </w:rPr>
        <w:t xml:space="preserve">月 </w:t>
      </w:r>
      <w:r>
        <w:rPr>
          <w:rFonts w:ascii="Times New Roman" w:eastAsia="Times New Roman" w:hAnsi="Times New Roman" w:cs="Times New Roman"/>
          <w:spacing w:val="4"/>
        </w:rPr>
        <w:t xml:space="preserve">3  </w:t>
      </w:r>
      <w:r>
        <w:rPr>
          <w:spacing w:val="4"/>
        </w:rPr>
        <w:t>日，时任美国总统布什签署</w:t>
      </w:r>
      <w:r>
        <w:rPr>
          <w:spacing w:val="3"/>
        </w:rPr>
        <w:t>一揽子经济刺激法案，</w:t>
      </w:r>
      <w:r>
        <w:rPr>
          <w:spacing w:val="21"/>
        </w:rPr>
        <w:t xml:space="preserve">  </w:t>
      </w:r>
      <w:r>
        <w:rPr>
          <w:spacing w:val="3"/>
        </w:rPr>
        <w:t>总额约为</w:t>
      </w:r>
      <w:r>
        <w:rPr>
          <w:spacing w:val="20"/>
        </w:rPr>
        <w:t xml:space="preserve"> </w:t>
      </w:r>
      <w:r>
        <w:rPr>
          <w:rFonts w:ascii="Times New Roman" w:eastAsia="Times New Roman" w:hAnsi="Times New Roman" w:cs="Times New Roman"/>
          <w:spacing w:val="3"/>
        </w:rPr>
        <w:t xml:space="preserve">1680 </w:t>
      </w:r>
      <w:r>
        <w:rPr>
          <w:spacing w:val="3"/>
        </w:rPr>
        <w:t xml:space="preserve">亿美元，主要通过退税来促进  </w:t>
      </w:r>
      <w:r>
        <w:rPr>
          <w:spacing w:val="6"/>
        </w:rPr>
        <w:t>消费投资。继布什政府出台</w:t>
      </w:r>
      <w:r>
        <w:rPr>
          <w:spacing w:val="21"/>
        </w:rPr>
        <w:t xml:space="preserve"> </w:t>
      </w:r>
      <w:r>
        <w:rPr>
          <w:rFonts w:ascii="Times New Roman" w:eastAsia="Times New Roman" w:hAnsi="Times New Roman" w:cs="Times New Roman"/>
          <w:spacing w:val="6"/>
        </w:rPr>
        <w:t xml:space="preserve">1680 </w:t>
      </w:r>
      <w:r>
        <w:rPr>
          <w:spacing w:val="6"/>
        </w:rPr>
        <w:t>亿美元减税方案之后，</w:t>
      </w:r>
      <w:r>
        <w:rPr>
          <w:spacing w:val="32"/>
        </w:rPr>
        <w:t xml:space="preserve"> </w:t>
      </w:r>
      <w:r>
        <w:rPr>
          <w:rFonts w:ascii="Times New Roman" w:eastAsia="Times New Roman" w:hAnsi="Times New Roman" w:cs="Times New Roman"/>
          <w:spacing w:val="6"/>
        </w:rPr>
        <w:t xml:space="preserve">2009 </w:t>
      </w:r>
      <w:r>
        <w:rPr>
          <w:spacing w:val="6"/>
        </w:rPr>
        <w:t xml:space="preserve">年 </w:t>
      </w:r>
      <w:r>
        <w:rPr>
          <w:rFonts w:ascii="Times New Roman" w:eastAsia="Times New Roman" w:hAnsi="Times New Roman" w:cs="Times New Roman"/>
          <w:spacing w:val="6"/>
        </w:rPr>
        <w:t>2</w:t>
      </w:r>
      <w:r>
        <w:rPr>
          <w:rFonts w:ascii="Times New Roman" w:eastAsia="Times New Roman" w:hAnsi="Times New Roman" w:cs="Times New Roman"/>
          <w:spacing w:val="16"/>
          <w:w w:val="101"/>
        </w:rPr>
        <w:t xml:space="preserve"> </w:t>
      </w:r>
      <w:r>
        <w:rPr>
          <w:spacing w:val="6"/>
        </w:rPr>
        <w:t>月，新上任的奥巴</w:t>
      </w:r>
      <w:r>
        <w:rPr>
          <w:spacing w:val="5"/>
        </w:rPr>
        <w:t>马政府通过《</w:t>
      </w:r>
      <w:r>
        <w:rPr>
          <w:rFonts w:ascii="Times New Roman" w:eastAsia="Times New Roman" w:hAnsi="Times New Roman" w:cs="Times New Roman"/>
          <w:spacing w:val="5"/>
        </w:rPr>
        <w:t xml:space="preserve">2009 </w:t>
      </w:r>
      <w:r>
        <w:rPr>
          <w:spacing w:val="5"/>
        </w:rPr>
        <w:t xml:space="preserve">年美国 </w:t>
      </w:r>
      <w:r>
        <w:rPr>
          <w:spacing w:val="3"/>
        </w:rPr>
        <w:t>复苏与再投资法》，</w:t>
      </w:r>
      <w:r>
        <w:rPr>
          <w:spacing w:val="30"/>
          <w:w w:val="101"/>
        </w:rPr>
        <w:t xml:space="preserve"> </w:t>
      </w:r>
      <w:r>
        <w:rPr>
          <w:spacing w:val="3"/>
        </w:rPr>
        <w:t xml:space="preserve">该方案总额为 </w:t>
      </w:r>
      <w:r>
        <w:rPr>
          <w:rFonts w:ascii="Times New Roman" w:eastAsia="Times New Roman" w:hAnsi="Times New Roman" w:cs="Times New Roman"/>
          <w:spacing w:val="3"/>
        </w:rPr>
        <w:t xml:space="preserve">7870 </w:t>
      </w:r>
      <w:r>
        <w:rPr>
          <w:spacing w:val="3"/>
        </w:rPr>
        <w:t xml:space="preserve">亿美元，  主要由 </w:t>
      </w:r>
      <w:r>
        <w:rPr>
          <w:rFonts w:ascii="Times New Roman" w:eastAsia="Times New Roman" w:hAnsi="Times New Roman" w:cs="Times New Roman"/>
          <w:spacing w:val="3"/>
        </w:rPr>
        <w:t>2860</w:t>
      </w:r>
      <w:r>
        <w:rPr>
          <w:rFonts w:ascii="Times New Roman" w:eastAsia="Times New Roman" w:hAnsi="Times New Roman" w:cs="Times New Roman"/>
          <w:spacing w:val="13"/>
        </w:rPr>
        <w:t xml:space="preserve"> </w:t>
      </w:r>
      <w:r>
        <w:rPr>
          <w:spacing w:val="3"/>
        </w:rPr>
        <w:t xml:space="preserve">亿美元的个人企业减税政策和 </w:t>
      </w:r>
      <w:r>
        <w:rPr>
          <w:rFonts w:ascii="Times New Roman" w:eastAsia="Times New Roman" w:hAnsi="Times New Roman" w:cs="Times New Roman"/>
          <w:spacing w:val="3"/>
        </w:rPr>
        <w:t xml:space="preserve">5010 </w:t>
      </w:r>
      <w:r>
        <w:rPr>
          <w:spacing w:val="3"/>
        </w:rPr>
        <w:t>亿美元的政府</w:t>
      </w:r>
      <w:r>
        <w:t xml:space="preserve"> </w:t>
      </w:r>
      <w:r>
        <w:rPr>
          <w:spacing w:val="7"/>
        </w:rPr>
        <w:t>开支计划组成，</w:t>
      </w:r>
      <w:r>
        <w:t xml:space="preserve">  </w:t>
      </w:r>
      <w:r>
        <w:rPr>
          <w:spacing w:val="7"/>
        </w:rPr>
        <w:t>将在减税、基础建设及公共投资、环境及能源安全、低收入人群福利等多方面</w:t>
      </w:r>
      <w:r>
        <w:rPr>
          <w:spacing w:val="6"/>
        </w:rPr>
        <w:t>展开投资计划。</w:t>
      </w:r>
    </w:p>
    <w:p>
      <w:pPr>
        <w:pStyle w:val="BodyText"/>
        <w:spacing w:before="278" w:line="185" w:lineRule="auto"/>
        <w:ind w:left="850"/>
        <w:rPr>
          <w:sz w:val="24"/>
          <w:szCs w:val="24"/>
        </w:rPr>
      </w:pPr>
      <w:r>
        <w:rPr>
          <w:rFonts w:ascii="Times New Roman" w:eastAsia="Times New Roman" w:hAnsi="Times New Roman" w:cs="Times New Roman"/>
          <w:color w:val="044E7E"/>
          <w:spacing w:val="-11"/>
          <w:sz w:val="24"/>
          <w:szCs w:val="24"/>
        </w:rPr>
        <w:t>3</w:t>
      </w:r>
      <w:r>
        <w:rPr>
          <w:rFonts w:ascii="Times New Roman" w:eastAsia="Times New Roman" w:hAnsi="Times New Roman" w:cs="Times New Roman"/>
          <w:color w:val="044E7E"/>
          <w:spacing w:val="-23"/>
          <w:sz w:val="24"/>
          <w:szCs w:val="24"/>
        </w:rPr>
        <w:t xml:space="preserve"> </w:t>
      </w:r>
      <w:r>
        <w:rPr>
          <w:color w:val="044E7E"/>
          <w:spacing w:val="-11"/>
          <w:sz w:val="24"/>
          <w:szCs w:val="24"/>
        </w:rPr>
        <w:t>、效果</w:t>
      </w:r>
    </w:p>
    <w:p>
      <w:pPr>
        <w:pStyle w:val="BodyText"/>
        <w:spacing w:before="266" w:line="210" w:lineRule="auto"/>
        <w:ind w:left="387" w:right="230" w:firstLine="387"/>
      </w:pPr>
      <w:r>
        <w:rPr>
          <w:spacing w:val="6"/>
        </w:rPr>
        <w:t xml:space="preserve">结合一系列风险处置和扩张性货币财政政策，美国经济复苏情况良好，  </w:t>
      </w:r>
      <w:r>
        <w:rPr>
          <w:rFonts w:ascii="Times New Roman" w:eastAsia="Times New Roman" w:hAnsi="Times New Roman" w:cs="Times New Roman"/>
        </w:rPr>
        <w:t>GDP</w:t>
      </w:r>
      <w:r>
        <w:rPr>
          <w:rFonts w:ascii="Times New Roman" w:eastAsia="Times New Roman" w:hAnsi="Times New Roman" w:cs="Times New Roman"/>
          <w:spacing w:val="6"/>
        </w:rPr>
        <w:t xml:space="preserve"> </w:t>
      </w:r>
      <w:r>
        <w:rPr>
          <w:spacing w:val="6"/>
        </w:rPr>
        <w:t xml:space="preserve">增速于 </w:t>
      </w:r>
      <w:r>
        <w:rPr>
          <w:rFonts w:ascii="Times New Roman" w:eastAsia="Times New Roman" w:hAnsi="Times New Roman" w:cs="Times New Roman"/>
          <w:spacing w:val="6"/>
        </w:rPr>
        <w:t>2</w:t>
      </w:r>
      <w:r>
        <w:rPr>
          <w:rFonts w:ascii="Times New Roman" w:eastAsia="Times New Roman" w:hAnsi="Times New Roman" w:cs="Times New Roman"/>
          <w:spacing w:val="5"/>
        </w:rPr>
        <w:t xml:space="preserve">009 </w:t>
      </w:r>
      <w:r>
        <w:rPr>
          <w:spacing w:val="5"/>
        </w:rPr>
        <w:t>年一季度筑底、</w:t>
      </w:r>
      <w:r>
        <w:t xml:space="preserve"> </w:t>
      </w:r>
      <w:r>
        <w:rPr>
          <w:spacing w:val="6"/>
        </w:rPr>
        <w:t xml:space="preserve">四季度转正。股市于 </w:t>
      </w:r>
      <w:r>
        <w:rPr>
          <w:rFonts w:ascii="Times New Roman" w:eastAsia="Times New Roman" w:hAnsi="Times New Roman" w:cs="Times New Roman"/>
          <w:spacing w:val="6"/>
        </w:rPr>
        <w:t xml:space="preserve">2009 </w:t>
      </w:r>
      <w:r>
        <w:rPr>
          <w:spacing w:val="6"/>
        </w:rPr>
        <w:t xml:space="preserve">年 </w:t>
      </w:r>
      <w:r>
        <w:rPr>
          <w:rFonts w:ascii="Times New Roman" w:eastAsia="Times New Roman" w:hAnsi="Times New Roman" w:cs="Times New Roman"/>
          <w:spacing w:val="6"/>
        </w:rPr>
        <w:t>3</w:t>
      </w:r>
      <w:r>
        <w:rPr>
          <w:rFonts w:ascii="Times New Roman" w:eastAsia="Times New Roman" w:hAnsi="Times New Roman" w:cs="Times New Roman"/>
          <w:spacing w:val="28"/>
          <w:w w:val="101"/>
        </w:rPr>
        <w:t xml:space="preserve"> </w:t>
      </w:r>
      <w:r>
        <w:rPr>
          <w:spacing w:val="6"/>
        </w:rPr>
        <w:t xml:space="preserve">月止跌回升，于 </w:t>
      </w:r>
      <w:r>
        <w:rPr>
          <w:rFonts w:ascii="Times New Roman" w:eastAsia="Times New Roman" w:hAnsi="Times New Roman" w:cs="Times New Roman"/>
          <w:spacing w:val="6"/>
        </w:rPr>
        <w:t xml:space="preserve">2012 </w:t>
      </w:r>
      <w:r>
        <w:rPr>
          <w:spacing w:val="6"/>
        </w:rPr>
        <w:t>年底恢复至危机发生前水平。</w:t>
      </w:r>
    </w:p>
    <w:p>
      <w:pPr>
        <w:pStyle w:val="BodyText"/>
        <w:spacing w:before="312" w:line="191" w:lineRule="auto"/>
        <w:ind w:left="378"/>
        <w:rPr>
          <w:sz w:val="18"/>
          <w:szCs w:val="18"/>
        </w:rPr>
      </w:pPr>
      <w:r>
        <w:rPr>
          <w:b/>
          <w:bCs/>
          <w:sz w:val="18"/>
          <w:szCs w:val="18"/>
          <w14:textOutline w14:w="3265">
            <w14:solidFill>
              <w14:srgbClr w14:val="000000"/>
            </w14:solidFill>
            <w14:prstDash w14:val="solid"/>
            <w14:miter w14:lim="10"/>
          </w14:textOutline>
        </w:rPr>
        <w:t>图</w:t>
      </w:r>
      <w:r>
        <w:rPr>
          <w:b/>
          <w:bCs/>
          <w:sz w:val="18"/>
          <w:szCs w:val="18"/>
        </w:rPr>
        <w:t xml:space="preserve"> </w:t>
      </w:r>
      <w:r>
        <w:rPr>
          <w:rFonts w:ascii="Times New Roman" w:eastAsia="Times New Roman" w:hAnsi="Times New Roman" w:cs="Times New Roman"/>
          <w:b/>
          <w:bCs/>
          <w:sz w:val="18"/>
          <w:szCs w:val="18"/>
        </w:rPr>
        <w:t>5:</w:t>
      </w:r>
      <w:r>
        <w:rPr>
          <w:b/>
          <w:bCs/>
          <w:sz w:val="18"/>
          <w:szCs w:val="18"/>
          <w14:textOutline w14:w="3265">
            <w14:solidFill>
              <w14:srgbClr w14:val="000000"/>
            </w14:solidFill>
            <w14:prstDash w14:val="solid"/>
            <w14:miter w14:lim="10"/>
          </w14:textOutline>
        </w:rPr>
        <w:t>美国金融危机发生前后</w:t>
      </w:r>
      <w:r>
        <w:rPr>
          <w:b/>
          <w:bCs/>
          <w:sz w:val="18"/>
          <w:szCs w:val="18"/>
        </w:rPr>
        <w:t xml:space="preserve"> </w:t>
      </w:r>
      <w:r>
        <w:rPr>
          <w:rFonts w:ascii="Times New Roman" w:eastAsia="Times New Roman" w:hAnsi="Times New Roman" w:cs="Times New Roman"/>
          <w:b/>
          <w:bCs/>
          <w:sz w:val="18"/>
          <w:szCs w:val="18"/>
        </w:rPr>
        <w:t xml:space="preserve">GDP </w:t>
      </w:r>
      <w:r>
        <w:rPr>
          <w:b/>
          <w:bCs/>
          <w:sz w:val="18"/>
          <w:szCs w:val="18"/>
          <w14:textOutline w14:w="3265">
            <w14:solidFill>
              <w14:srgbClr w14:val="000000"/>
            </w14:solidFill>
            <w14:prstDash w14:val="solid"/>
            <w14:miter w14:lim="10"/>
          </w14:textOutline>
        </w:rPr>
        <w:t>增速（</w:t>
      </w:r>
      <w:r>
        <w:rPr>
          <w:rFonts w:ascii="Times New Roman" w:eastAsia="Times New Roman" w:hAnsi="Times New Roman" w:cs="Times New Roman"/>
          <w:b/>
          <w:bCs/>
          <w:sz w:val="18"/>
          <w:szCs w:val="18"/>
        </w:rPr>
        <w:t>%</w:t>
      </w:r>
      <w:r>
        <w:rPr>
          <w:b/>
          <w:bCs/>
          <w:spacing w:val="-1"/>
          <w:sz w:val="18"/>
          <w:szCs w:val="18"/>
          <w14:textOutline w14:w="3265">
            <w14:solidFill>
              <w14:srgbClr w14:val="000000"/>
            </w14:solidFill>
            <w14:prstDash w14:val="solid"/>
            <w14:miter w14:lim="10"/>
          </w14:textOutline>
        </w:rPr>
        <w:t>）</w:t>
      </w:r>
      <w:r>
        <w:rPr>
          <w:b/>
          <w:bCs/>
          <w:spacing w:val="-1"/>
          <w:sz w:val="18"/>
          <w:szCs w:val="18"/>
        </w:rPr>
        <w:t xml:space="preserve">                          </w:t>
      </w:r>
      <w:r>
        <w:rPr>
          <w:b/>
          <w:bCs/>
          <w:spacing w:val="-1"/>
          <w:sz w:val="18"/>
          <w:szCs w:val="18"/>
          <w14:textOutline w14:w="3265">
            <w14:solidFill>
              <w14:srgbClr w14:val="000000"/>
            </w14:solidFill>
            <w14:prstDash w14:val="solid"/>
            <w14:miter w14:lim="10"/>
          </w14:textOutline>
        </w:rPr>
        <w:t>图</w:t>
      </w:r>
      <w:r>
        <w:rPr>
          <w:b/>
          <w:bCs/>
          <w:spacing w:val="-1"/>
          <w:sz w:val="18"/>
          <w:szCs w:val="18"/>
        </w:rPr>
        <w:t xml:space="preserve"> </w:t>
      </w:r>
      <w:r>
        <w:rPr>
          <w:rFonts w:ascii="Times New Roman" w:eastAsia="Times New Roman" w:hAnsi="Times New Roman" w:cs="Times New Roman"/>
          <w:b/>
          <w:bCs/>
          <w:spacing w:val="-1"/>
          <w:sz w:val="18"/>
          <w:szCs w:val="18"/>
        </w:rPr>
        <w:t>6:</w:t>
      </w:r>
      <w:r>
        <w:rPr>
          <w:b/>
          <w:bCs/>
          <w:spacing w:val="-1"/>
          <w:sz w:val="18"/>
          <w:szCs w:val="18"/>
          <w14:textOutline w14:w="3265">
            <w14:solidFill>
              <w14:srgbClr w14:val="000000"/>
            </w14:solidFill>
            <w14:prstDash w14:val="solid"/>
            <w14:miter w14:lim="10"/>
          </w14:textOutline>
        </w:rPr>
        <w:t>美国金融危机发生前后标普</w:t>
      </w:r>
      <w:r>
        <w:rPr>
          <w:b/>
          <w:bCs/>
          <w:spacing w:val="-1"/>
          <w:sz w:val="18"/>
          <w:szCs w:val="18"/>
        </w:rPr>
        <w:t xml:space="preserve"> </w:t>
      </w:r>
      <w:r>
        <w:rPr>
          <w:rFonts w:ascii="Times New Roman" w:eastAsia="Times New Roman" w:hAnsi="Times New Roman" w:cs="Times New Roman"/>
          <w:b/>
          <w:bCs/>
          <w:spacing w:val="-1"/>
          <w:sz w:val="18"/>
          <w:szCs w:val="18"/>
        </w:rPr>
        <w:t xml:space="preserve">500 </w:t>
      </w:r>
      <w:r>
        <w:rPr>
          <w:b/>
          <w:bCs/>
          <w:spacing w:val="-1"/>
          <w:sz w:val="18"/>
          <w:szCs w:val="18"/>
          <w14:textOutline w14:w="3265">
            <w14:solidFill>
              <w14:srgbClr w14:val="000000"/>
            </w14:solidFill>
            <w14:prstDash w14:val="solid"/>
            <w14:miter w14:lim="10"/>
          </w14:textOutline>
        </w:rPr>
        <w:t>指数</w:t>
      </w:r>
    </w:p>
    <w:p>
      <w:pPr>
        <w:spacing w:line="29" w:lineRule="exact"/>
        <w:ind w:firstLine="252"/>
      </w:pPr>
      <w:r>
        <w:pict>
          <v:shape id="_x0000_i1068" style="width:492.85pt;height:1.45pt;mso-position-horizontal-relative:char;mso-position-vertical-relative:line" coordorigin="0,0" coordsize="9857,29" path="m,28l4928,28l4928,l,l,28xem4928,28l4956,28l4956,l4928,l4928,28xem4956,28l9856,28l9856,l4956,l4956,28xe" filled="t" fillcolor="#044e7e" stroked="f">
            <w10:wrap type="none"/>
          </v:shape>
        </w:pict>
      </w:r>
    </w:p>
    <w:p>
      <w:pPr>
        <w:spacing w:line="210" w:lineRule="exact"/>
      </w:pPr>
    </w:p>
    <w:p>
      <w:pPr>
        <w:spacing w:line="210" w:lineRule="exact"/>
        <w:sectPr>
          <w:headerReference w:type="default" r:id="rId31"/>
          <w:footerReference w:type="default" r:id="rId32"/>
          <w:pgSz w:w="11907" w:h="16839"/>
          <w:pgMar w:top="1945" w:right="1025" w:bottom="1215" w:left="772" w:header="900" w:footer="705" w:gutter="0"/>
          <w:pgNumType w:start="10"/>
          <w:cols w:num="1" w:space="708" w:equalWidth="0">
            <w:col w:w="10110" w:space="0"/>
          </w:cols>
        </w:sectPr>
      </w:pPr>
    </w:p>
    <w:p>
      <w:pPr>
        <w:spacing w:before="1" w:line="187" w:lineRule="auto"/>
        <w:ind w:left="589"/>
        <w:rPr>
          <w:rFonts w:ascii="Calibri" w:eastAsia="Calibri" w:hAnsi="Calibri" w:cs="Calibri"/>
          <w:sz w:val="13"/>
          <w:szCs w:val="13"/>
        </w:rPr>
      </w:pPr>
      <w:r>
        <w:rPr>
          <w:rFonts w:ascii="Calibri" w:eastAsia="Calibri" w:hAnsi="Calibri" w:cs="Calibri"/>
          <w:color w:val="838383"/>
          <w:spacing w:val="-1"/>
          <w:sz w:val="13"/>
          <w:szCs w:val="13"/>
        </w:rPr>
        <w:t>10</w:t>
      </w:r>
    </w:p>
    <w:p>
      <w:pPr>
        <w:spacing w:before="164" w:line="188" w:lineRule="auto"/>
        <w:ind w:left="654"/>
        <w:rPr>
          <w:rFonts w:ascii="Calibri" w:eastAsia="Calibri" w:hAnsi="Calibri" w:cs="Calibri"/>
          <w:sz w:val="13"/>
          <w:szCs w:val="13"/>
        </w:rPr>
      </w:pPr>
      <w:r>
        <w:rPr>
          <w:rFonts w:ascii="Calibri" w:eastAsia="Calibri" w:hAnsi="Calibri" w:cs="Calibri"/>
          <w:color w:val="838383"/>
          <w:sz w:val="13"/>
          <w:szCs w:val="13"/>
        </w:rPr>
        <w:t>8</w:t>
      </w:r>
    </w:p>
    <w:p>
      <w:pPr>
        <w:spacing w:before="163" w:line="188" w:lineRule="auto"/>
        <w:ind w:left="655"/>
        <w:rPr>
          <w:rFonts w:ascii="Calibri" w:eastAsia="Calibri" w:hAnsi="Calibri" w:cs="Calibri"/>
          <w:sz w:val="13"/>
          <w:szCs w:val="13"/>
        </w:rPr>
      </w:pPr>
      <w:r>
        <w:rPr>
          <w:rFonts w:ascii="Calibri" w:eastAsia="Calibri" w:hAnsi="Calibri" w:cs="Calibri"/>
          <w:color w:val="838383"/>
          <w:sz w:val="13"/>
          <w:szCs w:val="13"/>
        </w:rPr>
        <w:t>6</w:t>
      </w:r>
    </w:p>
    <w:p>
      <w:pPr>
        <w:spacing w:before="165" w:line="186" w:lineRule="auto"/>
        <w:ind w:left="651"/>
        <w:rPr>
          <w:rFonts w:ascii="Calibri" w:eastAsia="Calibri" w:hAnsi="Calibri" w:cs="Calibri"/>
          <w:sz w:val="13"/>
          <w:szCs w:val="13"/>
        </w:rPr>
      </w:pPr>
      <w:r>
        <w:rPr>
          <w:rFonts w:ascii="Calibri" w:eastAsia="Calibri" w:hAnsi="Calibri" w:cs="Calibri"/>
          <w:color w:val="838383"/>
          <w:spacing w:val="1"/>
          <w:sz w:val="13"/>
          <w:szCs w:val="13"/>
        </w:rPr>
        <w:t>4</w:t>
      </w:r>
    </w:p>
    <w:p>
      <w:pPr>
        <w:spacing w:before="164" w:line="188" w:lineRule="auto"/>
        <w:ind w:left="656"/>
        <w:rPr>
          <w:rFonts w:ascii="Calibri" w:eastAsia="Calibri" w:hAnsi="Calibri" w:cs="Calibri"/>
          <w:sz w:val="13"/>
          <w:szCs w:val="13"/>
        </w:rPr>
      </w:pPr>
      <w:r>
        <w:rPr>
          <w:rFonts w:ascii="Calibri" w:eastAsia="Calibri" w:hAnsi="Calibri" w:cs="Calibri"/>
          <w:color w:val="838383"/>
          <w:sz w:val="13"/>
          <w:szCs w:val="13"/>
        </w:rPr>
        <w:t>2</w:t>
      </w:r>
    </w:p>
    <w:p>
      <w:pPr>
        <w:spacing w:before="164" w:line="188" w:lineRule="auto"/>
        <w:ind w:left="653"/>
        <w:rPr>
          <w:rFonts w:ascii="Calibri" w:eastAsia="Calibri" w:hAnsi="Calibri" w:cs="Calibri"/>
          <w:sz w:val="13"/>
          <w:szCs w:val="13"/>
        </w:rPr>
      </w:pPr>
      <w:r>
        <w:rPr>
          <w:rFonts w:ascii="Calibri" w:eastAsia="Calibri" w:hAnsi="Calibri" w:cs="Calibri"/>
          <w:color w:val="838383"/>
          <w:sz w:val="13"/>
          <w:szCs w:val="13"/>
        </w:rPr>
        <w:t>0</w:t>
      </w:r>
    </w:p>
    <w:p>
      <w:pPr>
        <w:spacing w:before="164" w:line="188" w:lineRule="auto"/>
        <w:ind w:left="610"/>
        <w:rPr>
          <w:rFonts w:ascii="Calibri" w:eastAsia="Calibri" w:hAnsi="Calibri" w:cs="Calibri"/>
          <w:sz w:val="13"/>
          <w:szCs w:val="13"/>
        </w:rPr>
      </w:pPr>
      <w:r>
        <w:rPr>
          <w:rFonts w:ascii="Calibri" w:eastAsia="Calibri" w:hAnsi="Calibri" w:cs="Calibri"/>
          <w:color w:val="838383"/>
          <w:spacing w:val="1"/>
          <w:sz w:val="13"/>
          <w:szCs w:val="13"/>
        </w:rPr>
        <w:t>-2</w:t>
      </w:r>
    </w:p>
    <w:p>
      <w:pPr>
        <w:spacing w:before="165" w:line="186" w:lineRule="auto"/>
        <w:ind w:left="610"/>
        <w:rPr>
          <w:rFonts w:ascii="Calibri" w:eastAsia="Calibri" w:hAnsi="Calibri" w:cs="Calibri"/>
          <w:sz w:val="13"/>
          <w:szCs w:val="13"/>
        </w:rPr>
      </w:pPr>
      <w:r>
        <w:rPr>
          <w:rFonts w:ascii="Calibri" w:eastAsia="Calibri" w:hAnsi="Calibri" w:cs="Calibri"/>
          <w:color w:val="838383"/>
          <w:spacing w:val="1"/>
          <w:sz w:val="13"/>
          <w:szCs w:val="13"/>
        </w:rPr>
        <w:t>-4</w:t>
      </w:r>
    </w:p>
    <w:p>
      <w:pPr>
        <w:spacing w:before="164" w:line="188" w:lineRule="auto"/>
        <w:ind w:left="610"/>
        <w:rPr>
          <w:rFonts w:ascii="Calibri" w:eastAsia="Calibri" w:hAnsi="Calibri" w:cs="Calibri"/>
          <w:sz w:val="13"/>
          <w:szCs w:val="13"/>
        </w:rPr>
      </w:pPr>
      <w:r>
        <w:rPr>
          <w:rFonts w:ascii="Calibri" w:eastAsia="Calibri" w:hAnsi="Calibri" w:cs="Calibri"/>
          <w:color w:val="838383"/>
          <w:spacing w:val="1"/>
          <w:sz w:val="13"/>
          <w:szCs w:val="13"/>
        </w:rPr>
        <w:t>-6</w:t>
      </w:r>
    </w:p>
    <w:p>
      <w:pPr>
        <w:spacing w:line="14" w:lineRule="auto"/>
        <w:rPr>
          <w:rFonts w:ascii="Arial"/>
          <w:sz w:val="2"/>
        </w:rPr>
      </w:pPr>
      <w:r>
        <w:rPr>
          <w:rFonts w:ascii="Arial" w:eastAsia="Arial" w:hAnsi="Arial" w:cs="Arial"/>
          <w:sz w:val="2"/>
          <w:szCs w:val="2"/>
        </w:rPr>
        <w:br w:type="column"/>
      </w:r>
    </w:p>
    <w:p>
      <w:pPr>
        <w:spacing w:line="349" w:lineRule="auto"/>
        <w:rPr>
          <w:rFonts w:ascii="Arial"/>
          <w:sz w:val="21"/>
        </w:rPr>
      </w:pPr>
    </w:p>
    <w:p>
      <w:pPr>
        <w:spacing w:before="1" w:line="1317" w:lineRule="exact"/>
        <w:ind w:firstLine="11"/>
      </w:pPr>
      <w:r>
        <w:rPr>
          <w:position w:val="-26"/>
        </w:rPr>
        <w:pict>
          <v:group id="_x0000_i1069" style="width:194.55pt;height:65.9pt;mso-position-horizontal-relative:char;mso-position-vertical-relative:line" coordorigin="0,0" coordsize="3891,1318" filled="f" stroked="f">
            <v:shape id="_x0000_s1070" style="width:3888;height:51;position:absolute;top:1088" coordorigin="0,0" coordsize="3888,51" path="m7,44l3888,44m7,l7,44m255,l255,44m502,l502,44m749,l749,44m999,l999,44m1246,l1246,44m1493,l1493,44m1740,l1740,44m1990,l1990,44m2237,l2237,44m2484,l2484,44m2732,l2732,44m2981,l2981,44m3228,l3228,44m3476,l3476,44m3723,l3723,44e" filled="f" strokecolor="#d9d9d9" strokeweight="0.75pt"/>
            <v:shape id="_x0000_s1071" style="width:3886;height:1318;left:5;position:absolute" coordorigin="0,0" coordsize="3886,1318" path="m22,183l146,111l271,221l393,190l518,214l640,185l765,22l890,236l1012,106l1137,113l1262,447l1384,418l1509,490l1631,497l1756,408l1881,394l2003,406l2128,725l2251,893l2375,1294m2872,992l2995,804l3119,502l3242,454l3367,507l3491,483l3614,605l3739,624l3862,701e" filled="f" strokecolor="red" strokeweight="2.25pt">
              <v:stroke endcap="round"/>
            </v:shape>
            <w10:wrap type="none"/>
          </v:group>
        </w:pict>
      </w:r>
    </w:p>
    <w:p>
      <w:pPr>
        <w:spacing w:line="14" w:lineRule="auto"/>
        <w:rPr>
          <w:rFonts w:ascii="Arial"/>
          <w:sz w:val="2"/>
        </w:rPr>
        <w:sectPr>
          <w:headerReference w:type="default" r:id="rId33"/>
          <w:footerReference w:type="default" r:id="rId34"/>
          <w:type w:val="continuous"/>
          <w:pgSz w:w="11907" w:h="16839"/>
          <w:pgMar w:top="1945" w:right="1025" w:bottom="1215" w:left="772" w:header="900" w:footer="705" w:gutter="0"/>
          <w:pgNumType w:start="11"/>
          <w:cols w:num="4" w:space="708" w:equalWidth="0">
            <w:col w:w="762" w:space="100"/>
            <w:col w:w="4216" w:space="100"/>
            <w:col w:w="720" w:space="0"/>
            <w:col w:w="4212" w:space="0"/>
          </w:cols>
        </w:sectPr>
      </w:pPr>
      <w:r>
        <w:rPr>
          <w:rFonts w:ascii="Arial" w:eastAsia="Arial" w:hAnsi="Arial" w:cs="Arial"/>
          <w:sz w:val="2"/>
          <w:szCs w:val="2"/>
        </w:rPr>
        <w:br w:type="column"/>
      </w:r>
    </w:p>
    <w:p>
      <w:pPr>
        <w:spacing w:before="87" w:line="190" w:lineRule="auto"/>
        <w:ind w:left="260"/>
        <w:rPr>
          <w:rFonts w:ascii="Calibri" w:eastAsia="Calibri" w:hAnsi="Calibri" w:cs="Calibri"/>
          <w:sz w:val="13"/>
          <w:szCs w:val="13"/>
        </w:rPr>
      </w:pPr>
      <w:r>
        <w:rPr>
          <w:rFonts w:ascii="Calibri" w:eastAsia="Calibri" w:hAnsi="Calibri" w:cs="Calibri"/>
          <w:color w:val="838383"/>
          <w:spacing w:val="1"/>
          <w:sz w:val="13"/>
          <w:szCs w:val="13"/>
        </w:rPr>
        <w:t>1,550</w:t>
      </w:r>
    </w:p>
    <w:p>
      <w:pPr>
        <w:spacing w:before="70" w:line="190" w:lineRule="auto"/>
        <w:ind w:left="260"/>
        <w:rPr>
          <w:rFonts w:ascii="Calibri" w:eastAsia="Calibri" w:hAnsi="Calibri" w:cs="Calibri"/>
          <w:sz w:val="13"/>
          <w:szCs w:val="13"/>
        </w:rPr>
      </w:pPr>
      <w:r>
        <w:rPr>
          <w:rFonts w:ascii="Calibri" w:eastAsia="Calibri" w:hAnsi="Calibri" w:cs="Calibri"/>
          <w:color w:val="838383"/>
          <w:spacing w:val="1"/>
          <w:sz w:val="13"/>
          <w:szCs w:val="13"/>
        </w:rPr>
        <w:t>1,450</w:t>
      </w:r>
    </w:p>
    <w:p>
      <w:pPr>
        <w:spacing w:before="70" w:line="190" w:lineRule="auto"/>
        <w:ind w:left="260"/>
        <w:rPr>
          <w:rFonts w:ascii="Calibri" w:eastAsia="Calibri" w:hAnsi="Calibri" w:cs="Calibri"/>
          <w:sz w:val="13"/>
          <w:szCs w:val="13"/>
        </w:rPr>
      </w:pPr>
      <w:r>
        <w:rPr>
          <w:rFonts w:ascii="Calibri" w:eastAsia="Calibri" w:hAnsi="Calibri" w:cs="Calibri"/>
          <w:color w:val="838383"/>
          <w:spacing w:val="1"/>
          <w:sz w:val="13"/>
          <w:szCs w:val="13"/>
        </w:rPr>
        <w:t>1,350</w:t>
      </w:r>
    </w:p>
    <w:p>
      <w:pPr>
        <w:spacing w:before="70" w:line="190" w:lineRule="auto"/>
        <w:ind w:left="260"/>
        <w:rPr>
          <w:rFonts w:ascii="Calibri" w:eastAsia="Calibri" w:hAnsi="Calibri" w:cs="Calibri"/>
          <w:sz w:val="13"/>
          <w:szCs w:val="13"/>
        </w:rPr>
      </w:pPr>
      <w:r>
        <w:rPr>
          <w:rFonts w:ascii="Calibri" w:eastAsia="Calibri" w:hAnsi="Calibri" w:cs="Calibri"/>
          <w:color w:val="838383"/>
          <w:spacing w:val="1"/>
          <w:sz w:val="13"/>
          <w:szCs w:val="13"/>
        </w:rPr>
        <w:t>1,250</w:t>
      </w:r>
    </w:p>
    <w:p>
      <w:pPr>
        <w:spacing w:before="70" w:line="190" w:lineRule="auto"/>
        <w:ind w:left="260"/>
        <w:rPr>
          <w:rFonts w:ascii="Calibri" w:eastAsia="Calibri" w:hAnsi="Calibri" w:cs="Calibri"/>
          <w:sz w:val="13"/>
          <w:szCs w:val="13"/>
        </w:rPr>
      </w:pPr>
      <w:r>
        <w:rPr>
          <w:rFonts w:ascii="Calibri" w:eastAsia="Calibri" w:hAnsi="Calibri" w:cs="Calibri"/>
          <w:color w:val="838383"/>
          <w:spacing w:val="1"/>
          <w:sz w:val="13"/>
          <w:szCs w:val="13"/>
        </w:rPr>
        <w:t>1,150</w:t>
      </w:r>
    </w:p>
    <w:p>
      <w:pPr>
        <w:spacing w:before="70" w:line="190" w:lineRule="auto"/>
        <w:ind w:left="260"/>
        <w:rPr>
          <w:rFonts w:ascii="Calibri" w:eastAsia="Calibri" w:hAnsi="Calibri" w:cs="Calibri"/>
          <w:sz w:val="13"/>
          <w:szCs w:val="13"/>
        </w:rPr>
      </w:pPr>
      <w:r>
        <w:rPr>
          <w:rFonts w:ascii="Calibri" w:eastAsia="Calibri" w:hAnsi="Calibri" w:cs="Calibri"/>
          <w:color w:val="838383"/>
          <w:spacing w:val="1"/>
          <w:sz w:val="13"/>
          <w:szCs w:val="13"/>
        </w:rPr>
        <w:t>1,050</w:t>
      </w:r>
    </w:p>
    <w:p>
      <w:pPr>
        <w:spacing w:before="70" w:line="188" w:lineRule="auto"/>
        <w:ind w:left="359"/>
        <w:rPr>
          <w:rFonts w:ascii="Calibri" w:eastAsia="Calibri" w:hAnsi="Calibri" w:cs="Calibri"/>
          <w:sz w:val="13"/>
          <w:szCs w:val="13"/>
        </w:rPr>
      </w:pPr>
      <w:r>
        <w:rPr>
          <w:rFonts w:ascii="Calibri" w:eastAsia="Calibri" w:hAnsi="Calibri" w:cs="Calibri"/>
          <w:color w:val="838383"/>
          <w:spacing w:val="2"/>
          <w:sz w:val="13"/>
          <w:szCs w:val="13"/>
        </w:rPr>
        <w:t>950</w:t>
      </w:r>
    </w:p>
    <w:p>
      <w:pPr>
        <w:spacing w:before="72" w:line="188" w:lineRule="auto"/>
        <w:ind w:left="359"/>
        <w:rPr>
          <w:rFonts w:ascii="Calibri" w:eastAsia="Calibri" w:hAnsi="Calibri" w:cs="Calibri"/>
          <w:sz w:val="13"/>
          <w:szCs w:val="13"/>
        </w:rPr>
      </w:pPr>
      <w:r>
        <w:rPr>
          <w:rFonts w:ascii="Calibri" w:eastAsia="Calibri" w:hAnsi="Calibri" w:cs="Calibri"/>
          <w:color w:val="838383"/>
          <w:spacing w:val="2"/>
          <w:sz w:val="13"/>
          <w:szCs w:val="13"/>
        </w:rPr>
        <w:t>850</w:t>
      </w:r>
    </w:p>
    <w:p>
      <w:pPr>
        <w:spacing w:before="71" w:line="188" w:lineRule="auto"/>
        <w:ind w:left="360"/>
        <w:rPr>
          <w:rFonts w:ascii="Calibri" w:eastAsia="Calibri" w:hAnsi="Calibri" w:cs="Calibri"/>
          <w:sz w:val="13"/>
          <w:szCs w:val="13"/>
        </w:rPr>
      </w:pPr>
      <w:r>
        <w:rPr>
          <w:rFonts w:ascii="Calibri" w:eastAsia="Calibri" w:hAnsi="Calibri" w:cs="Calibri"/>
          <w:color w:val="838383"/>
          <w:spacing w:val="2"/>
          <w:sz w:val="13"/>
          <w:szCs w:val="13"/>
        </w:rPr>
        <w:t>750</w:t>
      </w:r>
    </w:p>
    <w:p>
      <w:pPr>
        <w:spacing w:before="71" w:line="188" w:lineRule="auto"/>
        <w:ind w:left="361"/>
        <w:rPr>
          <w:rFonts w:ascii="Calibri" w:eastAsia="Calibri" w:hAnsi="Calibri" w:cs="Calibri"/>
          <w:sz w:val="13"/>
          <w:szCs w:val="13"/>
        </w:rPr>
      </w:pPr>
      <w:r>
        <w:rPr>
          <w:rFonts w:ascii="Calibri" w:eastAsia="Calibri" w:hAnsi="Calibri" w:cs="Calibri"/>
          <w:color w:val="838383"/>
          <w:spacing w:val="2"/>
          <w:sz w:val="13"/>
          <w:szCs w:val="13"/>
        </w:rPr>
        <w:t>650</w:t>
      </w:r>
    </w:p>
    <w:p>
      <w:pPr>
        <w:spacing w:line="14" w:lineRule="auto"/>
        <w:rPr>
          <w:rFonts w:ascii="Arial"/>
          <w:sz w:val="2"/>
        </w:rPr>
      </w:pPr>
      <w:r>
        <w:rPr>
          <w:rFonts w:ascii="Arial" w:eastAsia="Arial" w:hAnsi="Arial" w:cs="Arial"/>
          <w:sz w:val="2"/>
          <w:szCs w:val="2"/>
        </w:rPr>
        <w:br w:type="column"/>
      </w:r>
    </w:p>
    <w:p>
      <w:pPr>
        <w:spacing w:before="131" w:line="1577" w:lineRule="exact"/>
        <w:ind w:firstLine="17"/>
      </w:pPr>
      <w:r>
        <w:rPr>
          <w:position w:val="-31"/>
        </w:rPr>
        <w:pict>
          <v:shape id="_x0000_i1072" style="width:191.8pt;height:78.85pt;mso-position-horizontal-relative:char;mso-position-vertical-relative:line" coordorigin="0,0" coordsize="3836,1576" path="m22,534l86,536l150,502l215,486l280,510l342,582l407,570l472,517l537,457l599,368l664,318l729,262l794,248l856,207l921,282l986,171l1050,78l1115,70l1178,58l1242,188l1307,104l1372,22l1434,171l1499,140l1564,337l1629,382l1691,457l1756,354l1821,289l1886,411l1948,574l2013,526l2078,654l2142,1138l2207,1306l2270,1318l2334,1340l2399,1460l2464,1553l2526,1376l2591,1268l2656,1222l2721,1203l2783,1059l2848,992l2913,946l2978,906l3042,862l3105,836l3170,903l3234,781l3299,692l3362,834l3426,915l3491,922l3556,908l3618,838l3683,742l3748,690l3812,606e" filled="f" strokecolor="red" strokeweight="2.25pt">
            <v:stroke endcap="round"/>
            <w10:wrap type="none"/>
          </v:shape>
        </w:pict>
      </w:r>
    </w:p>
    <w:p>
      <w:pPr>
        <w:spacing w:before="142" w:line="52" w:lineRule="exact"/>
      </w:pPr>
      <w:r>
        <w:rPr>
          <w:position w:val="-1"/>
        </w:rPr>
        <w:pict>
          <v:shape id="_x0000_i1073" style="width:193.5pt;height:2.6pt;mso-position-horizontal-relative:char;mso-position-vertical-relative:line" coordorigin="0,0" coordsize="3870,51" path="m7,44l3861,44m7,l7,44m264,l264,44m520,l520,44m777,l777,44m1034,l1034,44m1291,l1291,44m1548,l1548,44m1807,l1807,44m2064,l2064,44m2320,l2320,44m2577,l2577,44m2834,l2834,44m3091,l3091,44m3348,l3348,44m3604,l3604,44m3861,l3861,44e" filled="f" strokecolor="#d9d9d9" strokeweight="0.75pt">
            <w10:wrap type="none"/>
          </v:shape>
        </w:pict>
      </w:r>
    </w:p>
    <w:p>
      <w:pPr>
        <w:spacing w:line="84" w:lineRule="exact"/>
      </w:pPr>
    </w:p>
    <w:tbl>
      <w:tblPr>
        <w:tblStyle w:val="TableNormal4"/>
        <w:tblW w:w="3688" w:type="dxa"/>
        <w:tblInd w:w="0" w:type="dxa"/>
        <w:tblBorders>
          <w:top w:val="nil"/>
          <w:left w:val="nil"/>
          <w:bottom w:val="nil"/>
          <w:right w:val="nil"/>
          <w:insideH w:val="nil"/>
          <w:insideV w:val="nil"/>
        </w:tblBorders>
        <w:tblLayout w:type="fixed"/>
      </w:tblPr>
      <w:tblGrid>
        <w:gridCol w:w="174"/>
        <w:gridCol w:w="257"/>
        <w:gridCol w:w="257"/>
        <w:gridCol w:w="257"/>
        <w:gridCol w:w="257"/>
        <w:gridCol w:w="257"/>
        <w:gridCol w:w="257"/>
        <w:gridCol w:w="257"/>
        <w:gridCol w:w="257"/>
        <w:gridCol w:w="257"/>
        <w:gridCol w:w="257"/>
        <w:gridCol w:w="257"/>
        <w:gridCol w:w="257"/>
        <w:gridCol w:w="257"/>
        <w:gridCol w:w="173"/>
      </w:tblGrid>
      <w:tr>
        <w:tblPrEx>
          <w:tblW w:w="3688" w:type="dxa"/>
          <w:tblInd w:w="0" w:type="dxa"/>
          <w:tblBorders>
            <w:top w:val="nil"/>
            <w:left w:val="nil"/>
            <w:bottom w:val="nil"/>
            <w:right w:val="nil"/>
            <w:insideH w:val="nil"/>
            <w:insideV w:val="nil"/>
          </w:tblBorders>
          <w:tblLayout w:type="fixed"/>
        </w:tblPrEx>
        <w:trPr>
          <w:trHeight w:val="459"/>
        </w:trPr>
        <w:tc>
          <w:tcPr>
            <w:tcW w:w="174" w:type="dxa"/>
            <w:textDirection w:val="btLr"/>
            <w:vAlign w:val="top"/>
          </w:tcPr>
          <w:p>
            <w:pPr>
              <w:spacing w:line="187" w:lineRule="auto"/>
              <w:rPr>
                <w:rFonts w:ascii="Calibri" w:eastAsia="Calibri" w:hAnsi="Calibri" w:cs="Calibri"/>
                <w:sz w:val="13"/>
                <w:szCs w:val="13"/>
              </w:rPr>
            </w:pPr>
            <w:r>
              <w:rPr>
                <w:rFonts w:ascii="Calibri" w:eastAsia="Calibri" w:hAnsi="Calibri" w:cs="Calibri"/>
                <w:color w:val="838383"/>
                <w:spacing w:val="3"/>
                <w:sz w:val="13"/>
                <w:szCs w:val="13"/>
              </w:rPr>
              <w:t>2006-01</w:t>
            </w:r>
          </w:p>
        </w:tc>
        <w:tc>
          <w:tcPr>
            <w:tcW w:w="257" w:type="dxa"/>
            <w:textDirection w:val="btLr"/>
            <w:vAlign w:val="top"/>
          </w:tcPr>
          <w:p>
            <w:pPr>
              <w:spacing w:before="82" w:line="188" w:lineRule="auto"/>
              <w:rPr>
                <w:rFonts w:ascii="Calibri" w:eastAsia="Calibri" w:hAnsi="Calibri" w:cs="Calibri"/>
                <w:sz w:val="13"/>
                <w:szCs w:val="13"/>
              </w:rPr>
            </w:pPr>
            <w:r>
              <w:rPr>
                <w:rFonts w:ascii="Calibri" w:eastAsia="Calibri" w:hAnsi="Calibri" w:cs="Calibri"/>
                <w:color w:val="838383"/>
                <w:spacing w:val="3"/>
                <w:sz w:val="13"/>
                <w:szCs w:val="13"/>
              </w:rPr>
              <w:t>2006-05</w:t>
            </w:r>
          </w:p>
        </w:tc>
        <w:tc>
          <w:tcPr>
            <w:tcW w:w="257" w:type="dxa"/>
            <w:textDirection w:val="btLr"/>
            <w:vAlign w:val="top"/>
          </w:tcPr>
          <w:p>
            <w:pPr>
              <w:spacing w:before="83" w:line="188" w:lineRule="auto"/>
              <w:rPr>
                <w:rFonts w:ascii="Calibri" w:eastAsia="Calibri" w:hAnsi="Calibri" w:cs="Calibri"/>
                <w:sz w:val="13"/>
                <w:szCs w:val="13"/>
              </w:rPr>
            </w:pPr>
            <w:r>
              <w:rPr>
                <w:rFonts w:ascii="Calibri" w:eastAsia="Calibri" w:hAnsi="Calibri" w:cs="Calibri"/>
                <w:color w:val="838383"/>
                <w:spacing w:val="3"/>
                <w:sz w:val="13"/>
                <w:szCs w:val="13"/>
              </w:rPr>
              <w:t>2006-09</w:t>
            </w:r>
          </w:p>
        </w:tc>
        <w:tc>
          <w:tcPr>
            <w:tcW w:w="257" w:type="dxa"/>
            <w:textDirection w:val="btLr"/>
            <w:vAlign w:val="top"/>
          </w:tcPr>
          <w:p>
            <w:pPr>
              <w:spacing w:before="82" w:line="188" w:lineRule="auto"/>
              <w:rPr>
                <w:rFonts w:ascii="Calibri" w:eastAsia="Calibri" w:hAnsi="Calibri" w:cs="Calibri"/>
                <w:sz w:val="13"/>
                <w:szCs w:val="13"/>
              </w:rPr>
            </w:pPr>
            <w:r>
              <w:rPr>
                <w:rFonts w:ascii="Calibri" w:eastAsia="Calibri" w:hAnsi="Calibri" w:cs="Calibri"/>
                <w:color w:val="838383"/>
                <w:spacing w:val="3"/>
                <w:sz w:val="13"/>
                <w:szCs w:val="13"/>
              </w:rPr>
              <w:t>2007-01</w:t>
            </w:r>
          </w:p>
        </w:tc>
        <w:tc>
          <w:tcPr>
            <w:tcW w:w="257" w:type="dxa"/>
            <w:textDirection w:val="btLr"/>
            <w:vAlign w:val="top"/>
          </w:tcPr>
          <w:p>
            <w:pPr>
              <w:spacing w:before="83" w:line="188" w:lineRule="auto"/>
              <w:rPr>
                <w:rFonts w:ascii="Calibri" w:eastAsia="Calibri" w:hAnsi="Calibri" w:cs="Calibri"/>
                <w:sz w:val="13"/>
                <w:szCs w:val="13"/>
              </w:rPr>
            </w:pPr>
            <w:r>
              <w:rPr>
                <w:rFonts w:ascii="Calibri" w:eastAsia="Calibri" w:hAnsi="Calibri" w:cs="Calibri"/>
                <w:color w:val="838383"/>
                <w:spacing w:val="3"/>
                <w:sz w:val="13"/>
                <w:szCs w:val="13"/>
              </w:rPr>
              <w:t>2007-05</w:t>
            </w:r>
          </w:p>
        </w:tc>
        <w:tc>
          <w:tcPr>
            <w:tcW w:w="257" w:type="dxa"/>
            <w:textDirection w:val="btLr"/>
            <w:vAlign w:val="top"/>
          </w:tcPr>
          <w:p>
            <w:pPr>
              <w:spacing w:before="82" w:line="188" w:lineRule="auto"/>
              <w:rPr>
                <w:rFonts w:ascii="Calibri" w:eastAsia="Calibri" w:hAnsi="Calibri" w:cs="Calibri"/>
                <w:sz w:val="13"/>
                <w:szCs w:val="13"/>
              </w:rPr>
            </w:pPr>
            <w:r>
              <w:rPr>
                <w:rFonts w:ascii="Calibri" w:eastAsia="Calibri" w:hAnsi="Calibri" w:cs="Calibri"/>
                <w:color w:val="838383"/>
                <w:spacing w:val="3"/>
                <w:sz w:val="13"/>
                <w:szCs w:val="13"/>
              </w:rPr>
              <w:t>2007-09</w:t>
            </w:r>
          </w:p>
        </w:tc>
        <w:tc>
          <w:tcPr>
            <w:tcW w:w="257" w:type="dxa"/>
            <w:textDirection w:val="btLr"/>
            <w:vAlign w:val="top"/>
          </w:tcPr>
          <w:p>
            <w:pPr>
              <w:spacing w:before="83" w:line="188" w:lineRule="auto"/>
              <w:rPr>
                <w:rFonts w:ascii="Calibri" w:eastAsia="Calibri" w:hAnsi="Calibri" w:cs="Calibri"/>
                <w:sz w:val="13"/>
                <w:szCs w:val="13"/>
              </w:rPr>
            </w:pPr>
            <w:r>
              <w:rPr>
                <w:rFonts w:ascii="Calibri" w:eastAsia="Calibri" w:hAnsi="Calibri" w:cs="Calibri"/>
                <w:color w:val="838383"/>
                <w:spacing w:val="3"/>
                <w:sz w:val="13"/>
                <w:szCs w:val="13"/>
              </w:rPr>
              <w:t>2008-01</w:t>
            </w:r>
          </w:p>
        </w:tc>
        <w:tc>
          <w:tcPr>
            <w:tcW w:w="257" w:type="dxa"/>
            <w:textDirection w:val="btLr"/>
            <w:vAlign w:val="top"/>
          </w:tcPr>
          <w:p>
            <w:pPr>
              <w:spacing w:before="82" w:line="188" w:lineRule="auto"/>
              <w:rPr>
                <w:rFonts w:ascii="Calibri" w:eastAsia="Calibri" w:hAnsi="Calibri" w:cs="Calibri"/>
                <w:sz w:val="13"/>
                <w:szCs w:val="13"/>
              </w:rPr>
            </w:pPr>
            <w:r>
              <w:rPr>
                <w:rFonts w:ascii="Calibri" w:eastAsia="Calibri" w:hAnsi="Calibri" w:cs="Calibri"/>
                <w:color w:val="838383"/>
                <w:spacing w:val="3"/>
                <w:sz w:val="13"/>
                <w:szCs w:val="13"/>
              </w:rPr>
              <w:t>2008-05</w:t>
            </w:r>
          </w:p>
        </w:tc>
        <w:tc>
          <w:tcPr>
            <w:tcW w:w="257" w:type="dxa"/>
            <w:textDirection w:val="btLr"/>
            <w:vAlign w:val="top"/>
          </w:tcPr>
          <w:p>
            <w:pPr>
              <w:spacing w:before="83" w:line="188" w:lineRule="auto"/>
              <w:rPr>
                <w:rFonts w:ascii="Calibri" w:eastAsia="Calibri" w:hAnsi="Calibri" w:cs="Calibri"/>
                <w:sz w:val="13"/>
                <w:szCs w:val="13"/>
              </w:rPr>
            </w:pPr>
            <w:r>
              <w:rPr>
                <w:rFonts w:ascii="Calibri" w:eastAsia="Calibri" w:hAnsi="Calibri" w:cs="Calibri"/>
                <w:color w:val="838383"/>
                <w:spacing w:val="3"/>
                <w:sz w:val="13"/>
                <w:szCs w:val="13"/>
              </w:rPr>
              <w:t>2008-09</w:t>
            </w:r>
          </w:p>
        </w:tc>
        <w:tc>
          <w:tcPr>
            <w:tcW w:w="257" w:type="dxa"/>
            <w:textDirection w:val="btLr"/>
            <w:vAlign w:val="top"/>
          </w:tcPr>
          <w:p>
            <w:pPr>
              <w:spacing w:before="82" w:line="188" w:lineRule="auto"/>
              <w:rPr>
                <w:rFonts w:ascii="Calibri" w:eastAsia="Calibri" w:hAnsi="Calibri" w:cs="Calibri"/>
                <w:sz w:val="13"/>
                <w:szCs w:val="13"/>
              </w:rPr>
            </w:pPr>
            <w:r>
              <w:rPr>
                <w:rFonts w:ascii="Calibri" w:eastAsia="Calibri" w:hAnsi="Calibri" w:cs="Calibri"/>
                <w:color w:val="838383"/>
                <w:spacing w:val="3"/>
                <w:sz w:val="13"/>
                <w:szCs w:val="13"/>
              </w:rPr>
              <w:t>2009-01</w:t>
            </w:r>
          </w:p>
        </w:tc>
        <w:tc>
          <w:tcPr>
            <w:tcW w:w="257" w:type="dxa"/>
            <w:textDirection w:val="btLr"/>
            <w:vAlign w:val="top"/>
          </w:tcPr>
          <w:p>
            <w:pPr>
              <w:spacing w:before="83" w:line="188" w:lineRule="auto"/>
              <w:jc w:val="right"/>
              <w:rPr>
                <w:rFonts w:ascii="Calibri" w:eastAsia="Calibri" w:hAnsi="Calibri" w:cs="Calibri"/>
                <w:sz w:val="13"/>
                <w:szCs w:val="13"/>
              </w:rPr>
            </w:pPr>
            <w:r>
              <w:rPr>
                <w:rFonts w:ascii="Calibri" w:eastAsia="Calibri" w:hAnsi="Calibri" w:cs="Calibri"/>
                <w:color w:val="838383"/>
                <w:spacing w:val="3"/>
                <w:sz w:val="13"/>
                <w:szCs w:val="13"/>
              </w:rPr>
              <w:t>2009-05</w:t>
            </w:r>
          </w:p>
        </w:tc>
        <w:tc>
          <w:tcPr>
            <w:tcW w:w="257" w:type="dxa"/>
            <w:textDirection w:val="btLr"/>
            <w:vAlign w:val="top"/>
          </w:tcPr>
          <w:p>
            <w:pPr>
              <w:spacing w:before="83" w:line="188" w:lineRule="auto"/>
              <w:rPr>
                <w:rFonts w:ascii="Calibri" w:eastAsia="Calibri" w:hAnsi="Calibri" w:cs="Calibri"/>
                <w:sz w:val="13"/>
                <w:szCs w:val="13"/>
              </w:rPr>
            </w:pPr>
            <w:r>
              <w:rPr>
                <w:rFonts w:ascii="Calibri" w:eastAsia="Calibri" w:hAnsi="Calibri" w:cs="Calibri"/>
                <w:color w:val="838383"/>
                <w:spacing w:val="3"/>
                <w:sz w:val="13"/>
                <w:szCs w:val="13"/>
              </w:rPr>
              <w:t>2009-09</w:t>
            </w:r>
          </w:p>
        </w:tc>
        <w:tc>
          <w:tcPr>
            <w:tcW w:w="257" w:type="dxa"/>
            <w:textDirection w:val="btLr"/>
            <w:vAlign w:val="top"/>
          </w:tcPr>
          <w:p>
            <w:pPr>
              <w:spacing w:before="82" w:line="188" w:lineRule="auto"/>
              <w:rPr>
                <w:rFonts w:ascii="Calibri" w:eastAsia="Calibri" w:hAnsi="Calibri" w:cs="Calibri"/>
                <w:sz w:val="13"/>
                <w:szCs w:val="13"/>
              </w:rPr>
            </w:pPr>
            <w:r>
              <w:rPr>
                <w:rFonts w:ascii="Calibri" w:eastAsia="Calibri" w:hAnsi="Calibri" w:cs="Calibri"/>
                <w:color w:val="838383"/>
                <w:spacing w:val="3"/>
                <w:sz w:val="13"/>
                <w:szCs w:val="13"/>
              </w:rPr>
              <w:t>2010-01</w:t>
            </w:r>
          </w:p>
        </w:tc>
        <w:tc>
          <w:tcPr>
            <w:tcW w:w="257" w:type="dxa"/>
            <w:textDirection w:val="btLr"/>
            <w:vAlign w:val="top"/>
          </w:tcPr>
          <w:p>
            <w:pPr>
              <w:spacing w:before="83" w:line="188" w:lineRule="auto"/>
              <w:rPr>
                <w:rFonts w:ascii="Calibri" w:eastAsia="Calibri" w:hAnsi="Calibri" w:cs="Calibri"/>
                <w:sz w:val="13"/>
                <w:szCs w:val="13"/>
              </w:rPr>
            </w:pPr>
            <w:r>
              <w:rPr>
                <w:rFonts w:ascii="Calibri" w:eastAsia="Calibri" w:hAnsi="Calibri" w:cs="Calibri"/>
                <w:color w:val="838383"/>
                <w:spacing w:val="3"/>
                <w:sz w:val="13"/>
                <w:szCs w:val="13"/>
              </w:rPr>
              <w:t>2010-05</w:t>
            </w:r>
          </w:p>
        </w:tc>
        <w:tc>
          <w:tcPr>
            <w:tcW w:w="173" w:type="dxa"/>
            <w:textDirection w:val="btLr"/>
            <w:vAlign w:val="top"/>
          </w:tcPr>
          <w:p>
            <w:pPr>
              <w:spacing w:before="83" w:line="90" w:lineRule="exact"/>
              <w:rPr>
                <w:rFonts w:ascii="Calibri" w:eastAsia="Calibri" w:hAnsi="Calibri" w:cs="Calibri"/>
                <w:sz w:val="13"/>
                <w:szCs w:val="13"/>
              </w:rPr>
            </w:pPr>
            <w:r>
              <w:rPr>
                <w:rFonts w:ascii="Calibri" w:eastAsia="Calibri" w:hAnsi="Calibri" w:cs="Calibri"/>
                <w:color w:val="838383"/>
                <w:spacing w:val="3"/>
                <w:position w:val="-1"/>
                <w:sz w:val="13"/>
                <w:szCs w:val="13"/>
              </w:rPr>
              <w:t>2010-09</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35"/>
          <w:footerReference w:type="default" r:id="rId36"/>
          <w:type w:val="nextPage"/>
          <w:pgSz w:w="11907" w:h="16839"/>
          <w:pgMar w:top="1945" w:right="1025" w:bottom="1215" w:left="772" w:header="900" w:footer="705" w:gutter="0"/>
          <w:pgNumType w:start="12"/>
          <w:cols w:num="4" w:space="708" w:equalWidth="0">
            <w:col w:w="762" w:space="100"/>
            <w:col w:w="4216" w:space="100"/>
            <w:col w:w="720" w:space="0"/>
            <w:col w:w="4212" w:space="0"/>
          </w:cols>
          <w:titlePg w:val="0"/>
        </w:sectPr>
      </w:pPr>
    </w:p>
    <w:p>
      <w:pPr>
        <w:pStyle w:val="BodyText"/>
        <w:spacing w:before="276" w:line="161" w:lineRule="exact"/>
        <w:ind w:left="360"/>
        <w:rPr>
          <w:sz w:val="16"/>
          <w:szCs w:val="16"/>
        </w:rPr>
      </w:pPr>
      <w:r>
        <w:rPr>
          <w:i/>
          <w:iCs/>
          <w:spacing w:val="2"/>
          <w:position w:val="-1"/>
          <w:sz w:val="16"/>
          <w:szCs w:val="16"/>
        </w:rPr>
        <w:t>数据来源：</w:t>
      </w:r>
      <w:r>
        <w:rPr>
          <w:rFonts w:ascii="Times New Roman" w:eastAsia="Times New Roman" w:hAnsi="Times New Roman" w:cs="Times New Roman"/>
          <w:i/>
          <w:iCs/>
          <w:position w:val="-1"/>
          <w:sz w:val="16"/>
          <w:szCs w:val="16"/>
        </w:rPr>
        <w:t>Wind</w:t>
      </w:r>
      <w:r>
        <w:rPr>
          <w:i/>
          <w:iCs/>
          <w:spacing w:val="2"/>
          <w:position w:val="-1"/>
          <w:sz w:val="16"/>
          <w:szCs w:val="16"/>
        </w:rPr>
        <w:t>，中信建投证券</w:t>
      </w:r>
      <w:r>
        <w:rPr>
          <w:spacing w:val="2"/>
          <w:position w:val="-1"/>
          <w:sz w:val="16"/>
          <w:szCs w:val="16"/>
        </w:rPr>
        <w:t xml:space="preserve">                                                      </w:t>
      </w:r>
      <w:r>
        <w:rPr>
          <w:i/>
          <w:iCs/>
          <w:spacing w:val="2"/>
          <w:position w:val="-1"/>
          <w:sz w:val="16"/>
          <w:szCs w:val="16"/>
        </w:rPr>
        <w:t>数据来源：</w:t>
      </w:r>
      <w:r>
        <w:rPr>
          <w:rFonts w:ascii="Times New Roman" w:eastAsia="Times New Roman" w:hAnsi="Times New Roman" w:cs="Times New Roman"/>
          <w:i/>
          <w:iCs/>
          <w:position w:val="-1"/>
          <w:sz w:val="16"/>
          <w:szCs w:val="16"/>
        </w:rPr>
        <w:t>Wind</w:t>
      </w:r>
      <w:r>
        <w:rPr>
          <w:i/>
          <w:iCs/>
          <w:spacing w:val="2"/>
          <w:position w:val="-1"/>
          <w:sz w:val="16"/>
          <w:szCs w:val="16"/>
        </w:rPr>
        <w:t>，中信建投证券</w:t>
      </w:r>
    </w:p>
    <w:p>
      <w:pPr>
        <w:spacing w:line="161" w:lineRule="exact"/>
        <w:rPr>
          <w:sz w:val="16"/>
          <w:szCs w:val="16"/>
        </w:rPr>
        <w:sectPr>
          <w:headerReference w:type="default" r:id="rId37"/>
          <w:footerReference w:type="default" r:id="rId38"/>
          <w:type w:val="continuous"/>
          <w:pgSz w:w="11907" w:h="16839"/>
          <w:pgMar w:top="1945" w:right="1025" w:bottom="1215" w:left="772" w:header="900" w:footer="705" w:gutter="0"/>
          <w:pgNumType w:start="13"/>
          <w:cols w:num="1" w:space="708" w:equalWidth="0">
            <w:col w:w="10110" w:space="0"/>
          </w:cols>
        </w:sectPr>
      </w:pPr>
    </w:p>
    <w:p>
      <w:pPr>
        <w:spacing w:line="300" w:lineRule="auto"/>
        <w:rPr>
          <w:rFonts w:ascii="Arial"/>
          <w:sz w:val="21"/>
        </w:rPr>
      </w:pPr>
      <w:r>
        <w:pict>
          <v:rect id="_x0000_s1074" style="width:482.25pt;height:2.05pt;margin-top:791.9pt;margin-left:56.55pt;mso-position-horizontal-relative:page;mso-position-vertical-relative:page;position:absolute;z-index:251713536" o:allowincell="f" filled="t" fillcolor="#044e7e" stroked="f"/>
        </w:pict>
      </w:r>
      <w:r>
        <w:pict>
          <v:shape id="_x0000_s1075" style="width:482.25pt;height:0.75pt;margin-top:78.8pt;margin-left:56.55pt;mso-position-horizontal-relative:page;mso-position-vertical-relative:page;position:absolute;z-index:251714560" coordorigin="0,0" coordsize="9645,15" o:allowincell="f" path="m,15l9645,15l9645,l,l,15xe" filled="t" fillcolor="#044e7e" stroked="f"/>
        </w:pict>
      </w:r>
    </w:p>
    <w:p>
      <w:pPr>
        <w:pStyle w:val="BodyText"/>
        <w:spacing w:before="120" w:line="181" w:lineRule="auto"/>
        <w:ind w:left="126"/>
        <w:rPr>
          <w:sz w:val="28"/>
          <w:szCs w:val="28"/>
        </w:rPr>
      </w:pPr>
      <w:bookmarkStart w:id="21" w:name="bookmark36"/>
      <w:bookmarkEnd w:id="21"/>
      <w:bookmarkStart w:id="22" w:name="bookmark37"/>
      <w:bookmarkEnd w:id="22"/>
      <w:bookmarkStart w:id="23" w:name="bookmark35"/>
      <w:bookmarkEnd w:id="23"/>
      <w:r>
        <w:rPr>
          <w:b/>
          <w:bCs/>
          <w:spacing w:val="-12"/>
          <w:w w:val="97"/>
          <w:sz w:val="28"/>
          <w:szCs w:val="28"/>
          <w14:textOutline w14:w="5094">
            <w14:solidFill>
              <w14:srgbClr w14:val="000000"/>
            </w14:solidFill>
            <w14:prstDash w14:val="solid"/>
            <w14:miter w14:lim="10"/>
          </w14:textOutline>
        </w:rPr>
        <w:t>（二）</w:t>
      </w:r>
      <w:r>
        <w:rPr>
          <w:b/>
          <w:bCs/>
          <w:spacing w:val="47"/>
          <w:sz w:val="28"/>
          <w:szCs w:val="28"/>
        </w:rPr>
        <w:t xml:space="preserve"> </w:t>
      </w:r>
      <w:r>
        <w:rPr>
          <w:b/>
          <w:bCs/>
          <w:spacing w:val="-12"/>
          <w:w w:val="97"/>
          <w:sz w:val="28"/>
          <w:szCs w:val="28"/>
          <w14:textOutline w14:w="5094">
            <w14:solidFill>
              <w14:srgbClr w14:val="000000"/>
            </w14:solidFill>
            <w14:prstDash w14:val="solid"/>
            <w14:miter w14:lim="10"/>
          </w14:textOutline>
        </w:rPr>
        <w:t>经验总结</w:t>
      </w:r>
    </w:p>
    <w:p>
      <w:pPr>
        <w:pStyle w:val="BodyText"/>
        <w:spacing w:before="124" w:line="184" w:lineRule="auto"/>
        <w:ind w:left="616"/>
        <w:rPr>
          <w:sz w:val="24"/>
          <w:szCs w:val="24"/>
        </w:rPr>
      </w:pPr>
      <w:r>
        <w:rPr>
          <w:rFonts w:ascii="Times New Roman" w:eastAsia="Times New Roman" w:hAnsi="Times New Roman" w:cs="Times New Roman"/>
          <w:color w:val="044E7E"/>
          <w:spacing w:val="-5"/>
          <w:sz w:val="24"/>
          <w:szCs w:val="24"/>
        </w:rPr>
        <w:t>1</w:t>
      </w:r>
      <w:r>
        <w:rPr>
          <w:rFonts w:ascii="Times New Roman" w:eastAsia="Times New Roman" w:hAnsi="Times New Roman" w:cs="Times New Roman"/>
          <w:color w:val="044E7E"/>
          <w:spacing w:val="-23"/>
          <w:sz w:val="24"/>
          <w:szCs w:val="24"/>
        </w:rPr>
        <w:t xml:space="preserve"> </w:t>
      </w:r>
      <w:r>
        <w:rPr>
          <w:color w:val="044E7E"/>
          <w:spacing w:val="-5"/>
          <w:sz w:val="24"/>
          <w:szCs w:val="24"/>
        </w:rPr>
        <w:t>、力度要够，避免战线过长</w:t>
      </w:r>
    </w:p>
    <w:p>
      <w:pPr>
        <w:pStyle w:val="BodyText"/>
        <w:spacing w:before="268" w:line="223" w:lineRule="auto"/>
        <w:ind w:left="114" w:right="133" w:firstLine="412"/>
      </w:pPr>
      <w:r>
        <w:rPr>
          <w:spacing w:val="10"/>
        </w:rPr>
        <w:t>时任美国财政部部长的亨利·保尔森在他的回忆录《峭壁边缘》中写道，</w:t>
      </w:r>
      <w:r>
        <w:rPr>
          <w:rFonts w:ascii="Times New Roman" w:eastAsia="Times New Roman" w:hAnsi="Times New Roman" w:cs="Times New Roman"/>
          <w:spacing w:val="9"/>
        </w:rPr>
        <w:t xml:space="preserve">2008 </w:t>
      </w:r>
      <w:r>
        <w:rPr>
          <w:spacing w:val="9"/>
        </w:rPr>
        <w:t xml:space="preserve">年 </w:t>
      </w:r>
      <w:r>
        <w:rPr>
          <w:rFonts w:ascii="Times New Roman" w:eastAsia="Times New Roman" w:hAnsi="Times New Roman" w:cs="Times New Roman"/>
          <w:spacing w:val="9"/>
        </w:rPr>
        <w:t xml:space="preserve">9 </w:t>
      </w:r>
      <w:r>
        <w:rPr>
          <w:spacing w:val="9"/>
        </w:rPr>
        <w:t xml:space="preserve">月 </w:t>
      </w:r>
      <w:r>
        <w:rPr>
          <w:rFonts w:ascii="Times New Roman" w:eastAsia="Times New Roman" w:hAnsi="Times New Roman" w:cs="Times New Roman"/>
          <w:spacing w:val="9"/>
        </w:rPr>
        <w:t xml:space="preserve">17  </w:t>
      </w:r>
      <w:r>
        <w:rPr>
          <w:spacing w:val="9"/>
        </w:rPr>
        <w:t>日，随着形势的</w:t>
      </w:r>
      <w:r>
        <w:t xml:space="preserve">  </w:t>
      </w:r>
      <w:r>
        <w:rPr>
          <w:spacing w:val="7"/>
        </w:rPr>
        <w:t>进一步恶化，保尔森向财政部同僚表示，“现在到了紧要</w:t>
      </w:r>
      <w:r>
        <w:rPr>
          <w:spacing w:val="6"/>
        </w:rPr>
        <w:t>关头，</w:t>
      </w:r>
      <w:r>
        <w:rPr>
          <w:spacing w:val="20"/>
          <w:w w:val="101"/>
        </w:rPr>
        <w:t xml:space="preserve">  </w:t>
      </w:r>
      <w:r>
        <w:rPr>
          <w:spacing w:val="6"/>
        </w:rPr>
        <w:t>我们这次救火，必须一举成功，眼下我们要直</w:t>
      </w:r>
      <w:r>
        <w:t xml:space="preserve"> </w:t>
      </w:r>
      <w:r>
        <w:rPr>
          <w:spacing w:val="9"/>
        </w:rPr>
        <w:t>击这次危机的软肋”，</w:t>
      </w:r>
      <w:r>
        <w:rPr>
          <w:spacing w:val="27"/>
        </w:rPr>
        <w:t xml:space="preserve">  </w:t>
      </w:r>
      <w:r>
        <w:rPr>
          <w:spacing w:val="9"/>
        </w:rPr>
        <w:t>“我们的行动必须是决定性、全方位的。”前美联储主席本·伯南克在《行动的勇气》</w:t>
      </w:r>
      <w:r>
        <w:t xml:space="preserve"> </w:t>
      </w:r>
      <w:r>
        <w:rPr>
          <w:spacing w:val="9"/>
        </w:rPr>
        <w:t xml:space="preserve">一书中提到，当有议员质疑美联储向美国国际集团提供 </w:t>
      </w:r>
      <w:r>
        <w:rPr>
          <w:rFonts w:ascii="Times New Roman" w:eastAsia="Times New Roman" w:hAnsi="Times New Roman" w:cs="Times New Roman"/>
          <w:spacing w:val="9"/>
        </w:rPr>
        <w:t xml:space="preserve">850 </w:t>
      </w:r>
      <w:r>
        <w:rPr>
          <w:spacing w:val="9"/>
        </w:rPr>
        <w:t>亿贷款的决定时，伯南克直截了当地表示“我们有</w:t>
      </w:r>
      <w:r>
        <w:rPr>
          <w:spacing w:val="3"/>
        </w:rPr>
        <w:t xml:space="preserve"> </w:t>
      </w:r>
      <w:r>
        <w:rPr>
          <w:rFonts w:ascii="Times New Roman" w:eastAsia="Times New Roman" w:hAnsi="Times New Roman" w:cs="Times New Roman"/>
          <w:spacing w:val="8"/>
        </w:rPr>
        <w:t xml:space="preserve">8000 </w:t>
      </w:r>
      <w:r>
        <w:rPr>
          <w:spacing w:val="8"/>
        </w:rPr>
        <w:t>亿美元可以支配”，并且“根据《联邦储备法》第</w:t>
      </w:r>
      <w:r>
        <w:rPr>
          <w:spacing w:val="34"/>
          <w:w w:val="101"/>
        </w:rPr>
        <w:t xml:space="preserve"> </w:t>
      </w:r>
      <w:r>
        <w:rPr>
          <w:rFonts w:ascii="Times New Roman" w:eastAsia="Times New Roman" w:hAnsi="Times New Roman" w:cs="Times New Roman"/>
          <w:spacing w:val="8"/>
        </w:rPr>
        <w:t xml:space="preserve">13 </w:t>
      </w:r>
      <w:r>
        <w:rPr>
          <w:spacing w:val="8"/>
        </w:rPr>
        <w:t xml:space="preserve">条第 </w:t>
      </w:r>
      <w:r>
        <w:rPr>
          <w:rFonts w:ascii="Times New Roman" w:eastAsia="Times New Roman" w:hAnsi="Times New Roman" w:cs="Times New Roman"/>
          <w:spacing w:val="8"/>
        </w:rPr>
        <w:t xml:space="preserve">3 </w:t>
      </w:r>
      <w:r>
        <w:rPr>
          <w:spacing w:val="8"/>
        </w:rPr>
        <w:t>款的规定，</w:t>
      </w:r>
      <w:r>
        <w:rPr>
          <w:spacing w:val="7"/>
        </w:rPr>
        <w:t>美联储有权发放必要的贷款去阻</w:t>
      </w:r>
      <w:r>
        <w:t xml:space="preserve">  </w:t>
      </w:r>
      <w:r>
        <w:rPr>
          <w:spacing w:val="14"/>
        </w:rPr>
        <w:t>止金融危机，我们当前就是在做这件事。”</w:t>
      </w:r>
    </w:p>
    <w:p>
      <w:pPr>
        <w:pStyle w:val="BodyText"/>
        <w:spacing w:before="301" w:line="225" w:lineRule="auto"/>
        <w:ind w:left="114" w:right="95" w:firstLine="398"/>
        <w:jc w:val="both"/>
      </w:pPr>
      <w:r>
        <w:rPr>
          <w:rFonts w:ascii="Times New Roman" w:eastAsia="Times New Roman" w:hAnsi="Times New Roman" w:cs="Times New Roman"/>
          <w:spacing w:val="5"/>
        </w:rPr>
        <w:t xml:space="preserve">2008 </w:t>
      </w:r>
      <w:r>
        <w:rPr>
          <w:spacing w:val="5"/>
        </w:rPr>
        <w:t xml:space="preserve">年 </w:t>
      </w:r>
      <w:r>
        <w:rPr>
          <w:rFonts w:ascii="Times New Roman" w:eastAsia="Times New Roman" w:hAnsi="Times New Roman" w:cs="Times New Roman"/>
          <w:spacing w:val="5"/>
        </w:rPr>
        <w:t>3</w:t>
      </w:r>
      <w:r>
        <w:rPr>
          <w:rFonts w:ascii="Times New Roman" w:eastAsia="Times New Roman" w:hAnsi="Times New Roman" w:cs="Times New Roman"/>
          <w:spacing w:val="16"/>
          <w:w w:val="101"/>
        </w:rPr>
        <w:t xml:space="preserve"> </w:t>
      </w:r>
      <w:r>
        <w:rPr>
          <w:spacing w:val="5"/>
        </w:rPr>
        <w:t>月，</w:t>
      </w:r>
      <w:r>
        <w:rPr>
          <w:spacing w:val="30"/>
        </w:rPr>
        <w:t xml:space="preserve"> </w:t>
      </w:r>
      <w:r>
        <w:rPr>
          <w:spacing w:val="5"/>
        </w:rPr>
        <w:t>时任美国总统布什在佛罗里达州访问时发表讲话称</w:t>
      </w:r>
      <w:r>
        <w:rPr>
          <w:spacing w:val="4"/>
        </w:rPr>
        <w:t>，</w:t>
      </w:r>
      <w:r>
        <w:rPr>
          <w:spacing w:val="40"/>
        </w:rPr>
        <w:t xml:space="preserve"> </w:t>
      </w:r>
      <w:r>
        <w:rPr>
          <w:spacing w:val="4"/>
        </w:rPr>
        <w:t>“美联储和财政部将在关键时刻迅速采</w:t>
      </w:r>
      <w:r>
        <w:t xml:space="preserve"> </w:t>
      </w:r>
      <w:r>
        <w:rPr>
          <w:spacing w:val="5"/>
        </w:rPr>
        <w:t xml:space="preserve">取行动巩固金融市场的稳定。”从 </w:t>
      </w:r>
      <w:r>
        <w:rPr>
          <w:rFonts w:ascii="Times New Roman" w:eastAsia="Times New Roman" w:hAnsi="Times New Roman" w:cs="Times New Roman"/>
          <w:spacing w:val="5"/>
        </w:rPr>
        <w:t xml:space="preserve">2007 </w:t>
      </w:r>
      <w:r>
        <w:rPr>
          <w:spacing w:val="5"/>
        </w:rPr>
        <w:t xml:space="preserve">年 </w:t>
      </w:r>
      <w:r>
        <w:rPr>
          <w:rFonts w:ascii="Times New Roman" w:eastAsia="Times New Roman" w:hAnsi="Times New Roman" w:cs="Times New Roman"/>
          <w:spacing w:val="5"/>
        </w:rPr>
        <w:t>8</w:t>
      </w:r>
      <w:r>
        <w:rPr>
          <w:rFonts w:ascii="Times New Roman" w:eastAsia="Times New Roman" w:hAnsi="Times New Roman" w:cs="Times New Roman"/>
          <w:spacing w:val="35"/>
        </w:rPr>
        <w:t xml:space="preserve"> </w:t>
      </w:r>
      <w:r>
        <w:rPr>
          <w:spacing w:val="5"/>
        </w:rPr>
        <w:t>月贝尔斯登宣布旗下两只对冲基金倒闭起，</w:t>
      </w:r>
      <w:r>
        <w:rPr>
          <w:spacing w:val="38"/>
          <w:w w:val="101"/>
        </w:rPr>
        <w:t xml:space="preserve"> </w:t>
      </w:r>
      <w:r>
        <w:rPr>
          <w:spacing w:val="5"/>
        </w:rPr>
        <w:t>美联储开始向金融体系</w:t>
      </w:r>
      <w:r>
        <w:t xml:space="preserve"> </w:t>
      </w:r>
      <w:r>
        <w:rPr>
          <w:spacing w:val="6"/>
        </w:rPr>
        <w:t>注入流动性，</w:t>
      </w:r>
      <w:r>
        <w:rPr>
          <w:spacing w:val="18"/>
          <w:w w:val="101"/>
        </w:rPr>
        <w:t xml:space="preserve"> </w:t>
      </w:r>
      <w:r>
        <w:rPr>
          <w:spacing w:val="6"/>
        </w:rPr>
        <w:t xml:space="preserve">先是于 </w:t>
      </w:r>
      <w:r>
        <w:rPr>
          <w:rFonts w:ascii="Times New Roman" w:eastAsia="Times New Roman" w:hAnsi="Times New Roman" w:cs="Times New Roman"/>
          <w:spacing w:val="6"/>
        </w:rPr>
        <w:t>9</w:t>
      </w:r>
      <w:r>
        <w:rPr>
          <w:rFonts w:ascii="Times New Roman" w:eastAsia="Times New Roman" w:hAnsi="Times New Roman" w:cs="Times New Roman"/>
          <w:spacing w:val="16"/>
          <w:w w:val="101"/>
        </w:rPr>
        <w:t xml:space="preserve"> </w:t>
      </w:r>
      <w:r>
        <w:rPr>
          <w:spacing w:val="6"/>
        </w:rPr>
        <w:t xml:space="preserve">月宣布降息 </w:t>
      </w:r>
      <w:r>
        <w:rPr>
          <w:rFonts w:ascii="Times New Roman" w:eastAsia="Times New Roman" w:hAnsi="Times New Roman" w:cs="Times New Roman"/>
          <w:spacing w:val="6"/>
        </w:rPr>
        <w:t xml:space="preserve">50 </w:t>
      </w:r>
      <w:r>
        <w:rPr>
          <w:spacing w:val="6"/>
        </w:rPr>
        <w:t>个基点，后续创下向非商业银行提供紧急贷款的先例</w:t>
      </w:r>
      <w:r>
        <w:rPr>
          <w:spacing w:val="5"/>
        </w:rPr>
        <w:t>，促成摩根大通收购</w:t>
      </w:r>
      <w:r>
        <w:t xml:space="preserve"> </w:t>
      </w:r>
      <w:r>
        <w:rPr>
          <w:spacing w:val="6"/>
        </w:rPr>
        <w:t xml:space="preserve">贝尔斯登；再到 </w:t>
      </w:r>
      <w:r>
        <w:rPr>
          <w:rFonts w:ascii="Times New Roman" w:eastAsia="Times New Roman" w:hAnsi="Times New Roman" w:cs="Times New Roman"/>
          <w:spacing w:val="6"/>
        </w:rPr>
        <w:t xml:space="preserve">2008 </w:t>
      </w:r>
      <w:r>
        <w:rPr>
          <w:spacing w:val="6"/>
        </w:rPr>
        <w:t xml:space="preserve">年 </w:t>
      </w:r>
      <w:r>
        <w:rPr>
          <w:rFonts w:ascii="Times New Roman" w:eastAsia="Times New Roman" w:hAnsi="Times New Roman" w:cs="Times New Roman"/>
          <w:spacing w:val="6"/>
        </w:rPr>
        <w:t>7</w:t>
      </w:r>
      <w:r>
        <w:rPr>
          <w:rFonts w:ascii="Times New Roman" w:eastAsia="Times New Roman" w:hAnsi="Times New Roman" w:cs="Times New Roman"/>
          <w:spacing w:val="14"/>
          <w:w w:val="101"/>
        </w:rPr>
        <w:t xml:space="preserve"> </w:t>
      </w:r>
      <w:r>
        <w:rPr>
          <w:spacing w:val="6"/>
        </w:rPr>
        <w:t xml:space="preserve">月房地美和房利美遭受 </w:t>
      </w:r>
      <w:r>
        <w:rPr>
          <w:rFonts w:ascii="Times New Roman" w:eastAsia="Times New Roman" w:hAnsi="Times New Roman" w:cs="Times New Roman"/>
          <w:spacing w:val="6"/>
        </w:rPr>
        <w:t>700</w:t>
      </w:r>
      <w:r>
        <w:rPr>
          <w:rFonts w:ascii="Times New Roman" w:eastAsia="Times New Roman" w:hAnsi="Times New Roman" w:cs="Times New Roman"/>
          <w:spacing w:val="5"/>
        </w:rPr>
        <w:t xml:space="preserve"> </w:t>
      </w:r>
      <w:r>
        <w:rPr>
          <w:spacing w:val="5"/>
        </w:rPr>
        <w:t>亿美元巨额亏损时， 美国财政部和美联储在两月内迅速接</w:t>
      </w:r>
      <w:r>
        <w:t xml:space="preserve"> </w:t>
      </w:r>
      <w:r>
        <w:rPr>
          <w:spacing w:val="7"/>
        </w:rPr>
        <w:t xml:space="preserve">管“两房”，并在 </w:t>
      </w:r>
      <w:r>
        <w:rPr>
          <w:rFonts w:ascii="Times New Roman" w:eastAsia="Times New Roman" w:hAnsi="Times New Roman" w:cs="Times New Roman"/>
          <w:spacing w:val="7"/>
        </w:rPr>
        <w:t>9</w:t>
      </w:r>
      <w:r>
        <w:rPr>
          <w:rFonts w:ascii="Times New Roman" w:eastAsia="Times New Roman" w:hAnsi="Times New Roman" w:cs="Times New Roman"/>
          <w:spacing w:val="33"/>
          <w:w w:val="101"/>
        </w:rPr>
        <w:t xml:space="preserve"> </w:t>
      </w:r>
      <w:r>
        <w:rPr>
          <w:spacing w:val="7"/>
        </w:rPr>
        <w:t xml:space="preserve">月推出高达 </w:t>
      </w:r>
      <w:r>
        <w:rPr>
          <w:rFonts w:ascii="Times New Roman" w:eastAsia="Times New Roman" w:hAnsi="Times New Roman" w:cs="Times New Roman"/>
          <w:spacing w:val="7"/>
        </w:rPr>
        <w:t xml:space="preserve">7000 </w:t>
      </w:r>
      <w:r>
        <w:rPr>
          <w:spacing w:val="7"/>
        </w:rPr>
        <w:t>亿美元的救助计划；以及在一个月内高效表决通过</w:t>
      </w:r>
      <w:r>
        <w:rPr>
          <w:spacing w:val="19"/>
          <w:w w:val="101"/>
        </w:rPr>
        <w:t xml:space="preserve"> </w:t>
      </w:r>
      <w:r>
        <w:rPr>
          <w:rFonts w:ascii="Times New Roman" w:eastAsia="Times New Roman" w:hAnsi="Times New Roman" w:cs="Times New Roman"/>
          <w:spacing w:val="7"/>
        </w:rPr>
        <w:t xml:space="preserve">1680 </w:t>
      </w:r>
      <w:r>
        <w:rPr>
          <w:spacing w:val="7"/>
        </w:rPr>
        <w:t xml:space="preserve">亿美元的经济刺 </w:t>
      </w:r>
      <w:r>
        <w:rPr>
          <w:spacing w:val="4"/>
        </w:rPr>
        <w:t>激法案。美国救市举措的共同特点是力度大、速度快、范围广，</w:t>
      </w:r>
      <w:r>
        <w:rPr>
          <w:spacing w:val="23"/>
          <w:w w:val="101"/>
        </w:rPr>
        <w:t xml:space="preserve">  </w:t>
      </w:r>
      <w:r>
        <w:rPr>
          <w:spacing w:val="4"/>
        </w:rPr>
        <w:t>体现了美国政府在危机中的果断和决心，</w:t>
      </w:r>
      <w:r>
        <w:rPr>
          <w:spacing w:val="1"/>
        </w:rPr>
        <w:t xml:space="preserve">  </w:t>
      </w:r>
      <w:r>
        <w:rPr>
          <w:spacing w:val="4"/>
        </w:rPr>
        <w:t>通过</w:t>
      </w:r>
      <w:r>
        <w:t xml:space="preserve">  </w:t>
      </w:r>
      <w:r>
        <w:rPr>
          <w:spacing w:val="8"/>
        </w:rPr>
        <w:t>救助系统重要性金融机构，</w:t>
      </w:r>
      <w:r>
        <w:rPr>
          <w:spacing w:val="35"/>
          <w:w w:val="101"/>
        </w:rPr>
        <w:t xml:space="preserve"> </w:t>
      </w:r>
      <w:r>
        <w:rPr>
          <w:spacing w:val="8"/>
        </w:rPr>
        <w:t>迅速切断风险传染网络，通过一系列刺激性货币</w:t>
      </w:r>
      <w:r>
        <w:rPr>
          <w:spacing w:val="7"/>
        </w:rPr>
        <w:t>和财政政策帮助经济企稳复苏，避</w:t>
      </w:r>
      <w:r>
        <w:t xml:space="preserve">  </w:t>
      </w:r>
      <w:r>
        <w:rPr>
          <w:spacing w:val="3"/>
        </w:rPr>
        <w:t>免将战线拉长。</w:t>
      </w:r>
    </w:p>
    <w:p>
      <w:pPr>
        <w:pStyle w:val="BodyText"/>
        <w:spacing w:before="278" w:line="185" w:lineRule="auto"/>
        <w:ind w:left="593"/>
        <w:rPr>
          <w:sz w:val="24"/>
          <w:szCs w:val="24"/>
        </w:rPr>
      </w:pPr>
      <w:r>
        <w:rPr>
          <w:rFonts w:ascii="Times New Roman" w:eastAsia="Times New Roman" w:hAnsi="Times New Roman" w:cs="Times New Roman"/>
          <w:color w:val="044E7E"/>
          <w:spacing w:val="-4"/>
          <w:sz w:val="24"/>
          <w:szCs w:val="24"/>
        </w:rPr>
        <w:t>2</w:t>
      </w:r>
      <w:r>
        <w:rPr>
          <w:rFonts w:ascii="Times New Roman" w:eastAsia="Times New Roman" w:hAnsi="Times New Roman" w:cs="Times New Roman"/>
          <w:color w:val="044E7E"/>
          <w:spacing w:val="-14"/>
          <w:sz w:val="24"/>
          <w:szCs w:val="24"/>
        </w:rPr>
        <w:t xml:space="preserve"> </w:t>
      </w:r>
      <w:r>
        <w:rPr>
          <w:color w:val="044E7E"/>
          <w:spacing w:val="-4"/>
          <w:sz w:val="24"/>
          <w:szCs w:val="24"/>
        </w:rPr>
        <w:t>、制度要改，解决根本问题</w:t>
      </w:r>
    </w:p>
    <w:p>
      <w:pPr>
        <w:pStyle w:val="BodyText"/>
        <w:spacing w:before="267" w:line="224" w:lineRule="auto"/>
        <w:ind w:left="114" w:right="95" w:firstLine="398"/>
        <w:jc w:val="both"/>
      </w:pPr>
      <w:r>
        <w:rPr>
          <w:rFonts w:ascii="Times New Roman" w:eastAsia="Times New Roman" w:hAnsi="Times New Roman" w:cs="Times New Roman"/>
          <w:spacing w:val="7"/>
        </w:rPr>
        <w:t xml:space="preserve">2008 </w:t>
      </w:r>
      <w:r>
        <w:rPr>
          <w:spacing w:val="7"/>
        </w:rPr>
        <w:t>年金融危机暴露出美国金融体系存在制度上的根本问题。其一是金融监管的不足，</w:t>
      </w:r>
      <w:r>
        <w:rPr>
          <w:spacing w:val="43"/>
        </w:rPr>
        <w:t xml:space="preserve"> </w:t>
      </w:r>
      <w:r>
        <w:rPr>
          <w:spacing w:val="7"/>
        </w:rPr>
        <w:t>导致金融机构过度</w:t>
      </w:r>
      <w:r>
        <w:t xml:space="preserve"> </w:t>
      </w:r>
      <w:r>
        <w:rPr>
          <w:spacing w:val="7"/>
        </w:rPr>
        <w:t>借贷，高杠杆经营，追逐短期利益，</w:t>
      </w:r>
      <w:r>
        <w:rPr>
          <w:spacing w:val="22"/>
        </w:rPr>
        <w:t xml:space="preserve">  </w:t>
      </w:r>
      <w:r>
        <w:rPr>
          <w:spacing w:val="7"/>
        </w:rPr>
        <w:t>忽视长期风险</w:t>
      </w:r>
      <w:r>
        <w:rPr>
          <w:spacing w:val="6"/>
        </w:rPr>
        <w:t>，从而积累巨大的金融脆弱性。其二是金融创新的滥用和失</w:t>
      </w:r>
      <w:r>
        <w:t xml:space="preserve">  </w:t>
      </w:r>
      <w:r>
        <w:rPr>
          <w:spacing w:val="7"/>
        </w:rPr>
        <w:t>控，导致金融市场出现复杂的金融衍生品，  如信用违约掉期（</w:t>
      </w:r>
      <w:r>
        <w:rPr>
          <w:rFonts w:ascii="Times New Roman" w:eastAsia="Times New Roman" w:hAnsi="Times New Roman" w:cs="Times New Roman"/>
        </w:rPr>
        <w:t>CDS</w:t>
      </w:r>
      <w:r>
        <w:rPr>
          <w:spacing w:val="7"/>
        </w:rPr>
        <w:t>）</w:t>
      </w:r>
      <w:r>
        <w:rPr>
          <w:spacing w:val="-19"/>
        </w:rPr>
        <w:t xml:space="preserve"> </w:t>
      </w:r>
      <w:r>
        <w:rPr>
          <w:spacing w:val="7"/>
        </w:rPr>
        <w:t>、抵押贷款支持证券（</w:t>
      </w:r>
      <w:r>
        <w:rPr>
          <w:rFonts w:ascii="Times New Roman" w:eastAsia="Times New Roman" w:hAnsi="Times New Roman" w:cs="Times New Roman"/>
        </w:rPr>
        <w:t>MBS</w:t>
      </w:r>
      <w:r>
        <w:rPr>
          <w:spacing w:val="7"/>
        </w:rPr>
        <w:t>）、资产支持</w:t>
      </w:r>
      <w:r>
        <w:t xml:space="preserve"> </w:t>
      </w:r>
      <w:r>
        <w:rPr>
          <w:spacing w:val="3"/>
        </w:rPr>
        <w:t>商业票据（</w:t>
      </w:r>
      <w:r>
        <w:rPr>
          <w:rFonts w:ascii="Times New Roman" w:eastAsia="Times New Roman" w:hAnsi="Times New Roman" w:cs="Times New Roman"/>
        </w:rPr>
        <w:t>ABCP</w:t>
      </w:r>
      <w:r>
        <w:rPr>
          <w:spacing w:val="3"/>
        </w:rPr>
        <w:t>）等， 这些金融产品的风险难以评估和管理，  加之评级机构违反职业道德违规评级，</w:t>
      </w:r>
      <w:r>
        <w:rPr>
          <w:spacing w:val="20"/>
        </w:rPr>
        <w:t xml:space="preserve"> </w:t>
      </w:r>
      <w:r>
        <w:rPr>
          <w:spacing w:val="3"/>
        </w:rPr>
        <w:t>增加金融</w:t>
      </w:r>
      <w:r>
        <w:t xml:space="preserve"> </w:t>
      </w:r>
      <w:r>
        <w:rPr>
          <w:spacing w:val="6"/>
        </w:rPr>
        <w:t>市场的不透明度和不确定性。</w:t>
      </w:r>
      <w:r>
        <w:rPr>
          <w:spacing w:val="-30"/>
        </w:rPr>
        <w:t xml:space="preserve"> </w:t>
      </w:r>
      <w:r>
        <w:rPr>
          <w:spacing w:val="6"/>
        </w:rPr>
        <w:t>其三是金融全球化的挑战和风险，</w:t>
      </w:r>
      <w:r>
        <w:rPr>
          <w:spacing w:val="20"/>
          <w:w w:val="101"/>
        </w:rPr>
        <w:t xml:space="preserve">  </w:t>
      </w:r>
      <w:r>
        <w:rPr>
          <w:spacing w:val="6"/>
        </w:rPr>
        <w:t>此次自华尔街酝酿的金融危机迅速传染到美国</w:t>
      </w:r>
      <w:r>
        <w:t xml:space="preserve">  </w:t>
      </w:r>
      <w:r>
        <w:rPr>
          <w:spacing w:val="7"/>
        </w:rPr>
        <w:t>经济实体，并席卷全球，展现出强大的外溢效应，  随着金融全球化网络不断扩大加深，金融监管的协调和合作</w:t>
      </w:r>
      <w:r>
        <w:rPr>
          <w:spacing w:val="2"/>
        </w:rPr>
        <w:t xml:space="preserve">  </w:t>
      </w:r>
      <w:r>
        <w:rPr>
          <w:spacing w:val="9"/>
        </w:rPr>
        <w:t>面临困难，金融稳定的维护需要更多的国际合作和协调。</w:t>
      </w:r>
    </w:p>
    <w:p>
      <w:pPr>
        <w:pStyle w:val="BodyText"/>
        <w:spacing w:before="302" w:line="222" w:lineRule="auto"/>
        <w:ind w:left="120" w:right="136" w:firstLine="398"/>
      </w:pPr>
      <w:r>
        <w:rPr>
          <w:spacing w:val="9"/>
        </w:rPr>
        <w:t xml:space="preserve">美国监管当局在 </w:t>
      </w:r>
      <w:r>
        <w:rPr>
          <w:rFonts w:ascii="Times New Roman" w:eastAsia="Times New Roman" w:hAnsi="Times New Roman" w:cs="Times New Roman"/>
          <w:spacing w:val="9"/>
        </w:rPr>
        <w:t xml:space="preserve">2008 </w:t>
      </w:r>
      <w:r>
        <w:rPr>
          <w:spacing w:val="9"/>
        </w:rPr>
        <w:t>年金融危机后陆续</w:t>
      </w:r>
      <w:r>
        <w:rPr>
          <w:spacing w:val="8"/>
        </w:rPr>
        <w:t>出台《多德</w:t>
      </w:r>
      <w:r>
        <w:rPr>
          <w:rFonts w:ascii="Times New Roman" w:eastAsia="Times New Roman" w:hAnsi="Times New Roman" w:cs="Times New Roman"/>
          <w:spacing w:val="8"/>
        </w:rPr>
        <w:t>-</w:t>
      </w:r>
      <w:r>
        <w:rPr>
          <w:spacing w:val="8"/>
        </w:rPr>
        <w:t xml:space="preserve">弗兰克法案》等强监管法案，积极推动金融监管体系 </w:t>
      </w:r>
      <w:r>
        <w:rPr>
          <w:spacing w:val="5"/>
        </w:rPr>
        <w:t>改革，</w:t>
      </w:r>
      <w:r>
        <w:rPr>
          <w:spacing w:val="-26"/>
        </w:rPr>
        <w:t xml:space="preserve"> </w:t>
      </w:r>
      <w:r>
        <w:rPr>
          <w:spacing w:val="5"/>
        </w:rPr>
        <w:t>主要着力于防范系统性金融风险和建立宏观审慎监管框架。各国纷纷对其金融监管体系和框架</w:t>
      </w:r>
      <w:r>
        <w:rPr>
          <w:spacing w:val="4"/>
        </w:rPr>
        <w:t>进行改革，</w:t>
      </w:r>
      <w:r>
        <w:t xml:space="preserve"> </w:t>
      </w:r>
      <w:r>
        <w:rPr>
          <w:spacing w:val="10"/>
        </w:rPr>
        <w:t>强化宏观审慎管理的职能和工具，以提高金融体系的韧性和抵御</w:t>
      </w:r>
      <w:r>
        <w:rPr>
          <w:spacing w:val="9"/>
        </w:rPr>
        <w:t>风险的能力。例如，欧盟成立欧盟系统风险委</w:t>
      </w:r>
      <w:r>
        <w:t xml:space="preserve"> </w:t>
      </w:r>
      <w:r>
        <w:rPr>
          <w:spacing w:val="12"/>
        </w:rPr>
        <w:t>员会（</w:t>
      </w:r>
      <w:r>
        <w:rPr>
          <w:rFonts w:ascii="Times New Roman" w:eastAsia="Times New Roman" w:hAnsi="Times New Roman" w:cs="Times New Roman"/>
        </w:rPr>
        <w:t>ESRB</w:t>
      </w:r>
      <w:r>
        <w:rPr>
          <w:spacing w:val="-8"/>
        </w:rPr>
        <w:t>），</w:t>
      </w:r>
      <w:r>
        <w:rPr>
          <w:spacing w:val="12"/>
        </w:rPr>
        <w:t>美国成立金融稳定监管委员会（</w:t>
      </w:r>
      <w:r>
        <w:rPr>
          <w:rFonts w:ascii="Times New Roman" w:eastAsia="Times New Roman" w:hAnsi="Times New Roman" w:cs="Times New Roman"/>
        </w:rPr>
        <w:t>FSOC</w:t>
      </w:r>
      <w:r>
        <w:rPr>
          <w:spacing w:val="-8"/>
        </w:rPr>
        <w:t>），</w:t>
      </w:r>
      <w:r>
        <w:rPr>
          <w:spacing w:val="38"/>
          <w:w w:val="101"/>
        </w:rPr>
        <w:t xml:space="preserve"> </w:t>
      </w:r>
      <w:r>
        <w:rPr>
          <w:spacing w:val="12"/>
        </w:rPr>
        <w:t>英国成立金融</w:t>
      </w:r>
      <w:r>
        <w:rPr>
          <w:spacing w:val="11"/>
        </w:rPr>
        <w:t>政策委员会（</w:t>
      </w:r>
      <w:r>
        <w:rPr>
          <w:rFonts w:ascii="Times New Roman" w:eastAsia="Times New Roman" w:hAnsi="Times New Roman" w:cs="Times New Roman"/>
        </w:rPr>
        <w:t>FPC</w:t>
      </w:r>
      <w:r>
        <w:rPr>
          <w:spacing w:val="-8"/>
        </w:rPr>
        <w:t>），</w:t>
      </w:r>
      <w:r>
        <w:rPr>
          <w:spacing w:val="11"/>
        </w:rPr>
        <w:t xml:space="preserve">中国成立国务 </w:t>
      </w:r>
      <w:r>
        <w:rPr>
          <w:spacing w:val="6"/>
        </w:rPr>
        <w:t>院金融稳定发展委员会等。</w:t>
      </w:r>
    </w:p>
    <w:p>
      <w:pPr>
        <w:pStyle w:val="BodyText"/>
        <w:spacing w:before="312" w:line="191" w:lineRule="auto"/>
        <w:ind w:left="117"/>
        <w:rPr>
          <w:sz w:val="18"/>
          <w:szCs w:val="18"/>
        </w:rPr>
      </w:pPr>
      <w:r>
        <w:rPr>
          <w:b/>
          <w:bCs/>
          <w:spacing w:val="-1"/>
          <w:sz w:val="18"/>
          <w:szCs w:val="18"/>
          <w14:textOutline w14:w="3265">
            <w14:solidFill>
              <w14:srgbClr w14:val="000000"/>
            </w14:solidFill>
            <w14:prstDash w14:val="solid"/>
            <w14:miter w14:lim="10"/>
          </w14:textOutline>
        </w:rPr>
        <w:t>表</w:t>
      </w:r>
      <w:r>
        <w:rPr>
          <w:b/>
          <w:bCs/>
          <w:spacing w:val="-1"/>
          <w:sz w:val="18"/>
          <w:szCs w:val="18"/>
        </w:rPr>
        <w:t xml:space="preserve"> </w:t>
      </w:r>
      <w:r>
        <w:rPr>
          <w:rFonts w:ascii="Times New Roman" w:eastAsia="Times New Roman" w:hAnsi="Times New Roman" w:cs="Times New Roman"/>
          <w:b/>
          <w:bCs/>
          <w:spacing w:val="-1"/>
          <w:sz w:val="18"/>
          <w:szCs w:val="18"/>
        </w:rPr>
        <w:t>2:</w:t>
      </w:r>
      <w:r>
        <w:rPr>
          <w:b/>
          <w:bCs/>
          <w:spacing w:val="-1"/>
          <w:sz w:val="18"/>
          <w:szCs w:val="18"/>
          <w14:textOutline w14:w="3265">
            <w14:solidFill>
              <w14:srgbClr w14:val="000000"/>
            </w14:solidFill>
            <w14:prstDash w14:val="solid"/>
            <w14:miter w14:lim="10"/>
          </w14:textOutline>
        </w:rPr>
        <w:t>美国自金融危机后出台的强监管法案</w:t>
      </w:r>
    </w:p>
    <w:tbl>
      <w:tblPr>
        <w:tblStyle w:val="TableNormal5"/>
        <w:tblW w:w="9839" w:type="dxa"/>
        <w:tblInd w:w="0" w:type="dxa"/>
        <w:tblBorders>
          <w:top w:val="nil"/>
          <w:left w:val="nil"/>
          <w:bottom w:val="nil"/>
          <w:right w:val="nil"/>
          <w:insideH w:val="nil"/>
          <w:insideV w:val="nil"/>
        </w:tblBorders>
        <w:tblLayout w:type="fixed"/>
      </w:tblPr>
      <w:tblGrid>
        <w:gridCol w:w="1558"/>
        <w:gridCol w:w="1526"/>
        <w:gridCol w:w="2599"/>
        <w:gridCol w:w="4156"/>
      </w:tblGrid>
      <w:tr>
        <w:tblPrEx>
          <w:tblW w:w="9839" w:type="dxa"/>
          <w:tblInd w:w="0" w:type="dxa"/>
          <w:tblBorders>
            <w:top w:val="nil"/>
            <w:left w:val="nil"/>
            <w:bottom w:val="nil"/>
            <w:right w:val="nil"/>
            <w:insideH w:val="nil"/>
            <w:insideV w:val="nil"/>
          </w:tblBorders>
          <w:tblLayout w:type="fixed"/>
        </w:tblPrEx>
        <w:trPr>
          <w:trHeight w:val="323"/>
        </w:trPr>
        <w:tc>
          <w:tcPr>
            <w:tcW w:w="1558" w:type="dxa"/>
            <w:tcBorders>
              <w:top w:val="single" w:sz="10" w:space="0" w:color="044E7E"/>
              <w:bottom w:val="single" w:sz="6" w:space="0" w:color="044E7E"/>
            </w:tcBorders>
            <w:vAlign w:val="top"/>
          </w:tcPr>
          <w:p>
            <w:pPr>
              <w:pStyle w:val="TableText"/>
              <w:spacing w:before="60" w:line="186" w:lineRule="auto"/>
              <w:ind w:left="560"/>
            </w:pPr>
            <w:r>
              <w:t>时间</w:t>
            </w:r>
          </w:p>
        </w:tc>
        <w:tc>
          <w:tcPr>
            <w:tcW w:w="1526" w:type="dxa"/>
            <w:tcBorders>
              <w:top w:val="single" w:sz="10" w:space="0" w:color="044E7E"/>
              <w:bottom w:val="single" w:sz="6" w:space="0" w:color="044E7E"/>
            </w:tcBorders>
            <w:vAlign w:val="top"/>
          </w:tcPr>
          <w:p>
            <w:pPr>
              <w:pStyle w:val="TableText"/>
              <w:spacing w:before="60" w:line="186" w:lineRule="auto"/>
              <w:ind w:left="279"/>
            </w:pPr>
            <w:r>
              <w:rPr>
                <w:spacing w:val="6"/>
              </w:rPr>
              <w:t>发布主体</w:t>
            </w:r>
          </w:p>
        </w:tc>
        <w:tc>
          <w:tcPr>
            <w:tcW w:w="2599" w:type="dxa"/>
            <w:tcBorders>
              <w:top w:val="single" w:sz="10" w:space="0" w:color="044E7E"/>
              <w:bottom w:val="single" w:sz="6" w:space="0" w:color="044E7E"/>
            </w:tcBorders>
            <w:vAlign w:val="top"/>
          </w:tcPr>
          <w:p>
            <w:pPr>
              <w:pStyle w:val="TableText"/>
              <w:spacing w:before="60" w:line="186" w:lineRule="auto"/>
              <w:ind w:left="969"/>
            </w:pPr>
            <w:r>
              <w:rPr>
                <w:spacing w:val="7"/>
              </w:rPr>
              <w:t>法案名称</w:t>
            </w:r>
          </w:p>
        </w:tc>
        <w:tc>
          <w:tcPr>
            <w:tcW w:w="4156" w:type="dxa"/>
            <w:tcBorders>
              <w:top w:val="single" w:sz="10" w:space="0" w:color="044E7E"/>
              <w:bottom w:val="single" w:sz="6" w:space="0" w:color="044E7E"/>
            </w:tcBorders>
            <w:vAlign w:val="top"/>
          </w:tcPr>
          <w:p>
            <w:pPr>
              <w:pStyle w:val="TableText"/>
              <w:spacing w:before="60" w:line="186" w:lineRule="auto"/>
              <w:ind w:left="1803"/>
            </w:pPr>
            <w:r>
              <w:rPr>
                <w:spacing w:val="6"/>
              </w:rPr>
              <w:t>主要内容</w:t>
            </w:r>
          </w:p>
        </w:tc>
      </w:tr>
      <w:tr>
        <w:tblPrEx>
          <w:tblW w:w="9839" w:type="dxa"/>
          <w:tblInd w:w="0" w:type="dxa"/>
          <w:tblLayout w:type="fixed"/>
        </w:tblPrEx>
        <w:trPr>
          <w:trHeight w:val="624"/>
        </w:trPr>
        <w:tc>
          <w:tcPr>
            <w:tcW w:w="1558" w:type="dxa"/>
            <w:tcBorders>
              <w:top w:val="single" w:sz="6" w:space="0" w:color="044E7E"/>
              <w:bottom w:val="single" w:sz="6" w:space="0" w:color="044E7E"/>
            </w:tcBorders>
            <w:vAlign w:val="top"/>
          </w:tcPr>
          <w:p>
            <w:pPr>
              <w:pStyle w:val="TableText"/>
              <w:spacing w:before="210" w:line="191" w:lineRule="auto"/>
              <w:ind w:left="172"/>
            </w:pPr>
            <w:r>
              <w:rPr>
                <w:rFonts w:ascii="Times New Roman" w:eastAsia="Times New Roman" w:hAnsi="Times New Roman" w:cs="Times New Roman"/>
              </w:rPr>
              <w:t>2009</w:t>
            </w:r>
            <w:r>
              <w:rPr>
                <w:rFonts w:ascii="Times New Roman" w:eastAsia="Times New Roman" w:hAnsi="Times New Roman" w:cs="Times New Roman"/>
                <w:spacing w:val="17"/>
              </w:rPr>
              <w:t xml:space="preserve"> </w:t>
            </w:r>
            <w:r>
              <w:t>年</w:t>
            </w:r>
            <w:r>
              <w:rPr>
                <w:spacing w:val="15"/>
              </w:rPr>
              <w:t xml:space="preserve"> </w:t>
            </w:r>
            <w:r>
              <w:rPr>
                <w:rFonts w:ascii="Times New Roman" w:eastAsia="Times New Roman" w:hAnsi="Times New Roman" w:cs="Times New Roman"/>
              </w:rPr>
              <w:t>11</w:t>
            </w:r>
            <w:r>
              <w:rPr>
                <w:rFonts w:ascii="Times New Roman" w:eastAsia="Times New Roman" w:hAnsi="Times New Roman" w:cs="Times New Roman"/>
                <w:spacing w:val="16"/>
                <w:w w:val="101"/>
              </w:rPr>
              <w:t xml:space="preserve"> </w:t>
            </w:r>
            <w:r>
              <w:t>月</w:t>
            </w:r>
          </w:p>
        </w:tc>
        <w:tc>
          <w:tcPr>
            <w:tcW w:w="1526" w:type="dxa"/>
            <w:tcBorders>
              <w:top w:val="single" w:sz="6" w:space="0" w:color="044E7E"/>
              <w:bottom w:val="single" w:sz="6" w:space="0" w:color="044E7E"/>
            </w:tcBorders>
            <w:vAlign w:val="top"/>
          </w:tcPr>
          <w:p>
            <w:pPr>
              <w:pStyle w:val="TableText"/>
              <w:spacing w:before="209" w:line="192" w:lineRule="auto"/>
              <w:ind w:left="378"/>
            </w:pPr>
            <w:r>
              <w:rPr>
                <w:spacing w:val="6"/>
              </w:rPr>
              <w:t>美联储</w:t>
            </w:r>
          </w:p>
        </w:tc>
        <w:tc>
          <w:tcPr>
            <w:tcW w:w="2599" w:type="dxa"/>
            <w:tcBorders>
              <w:top w:val="single" w:sz="6" w:space="0" w:color="044E7E"/>
              <w:bottom w:val="single" w:sz="6" w:space="0" w:color="044E7E"/>
            </w:tcBorders>
            <w:vAlign w:val="top"/>
          </w:tcPr>
          <w:p>
            <w:pPr>
              <w:pStyle w:val="TableText"/>
              <w:spacing w:before="209" w:line="192" w:lineRule="auto"/>
              <w:ind w:left="374"/>
            </w:pPr>
            <w:r>
              <w:rPr>
                <w:spacing w:val="7"/>
              </w:rPr>
              <w:t>《监管资本评估计划》</w:t>
            </w:r>
          </w:p>
        </w:tc>
        <w:tc>
          <w:tcPr>
            <w:tcW w:w="4156" w:type="dxa"/>
            <w:tcBorders>
              <w:top w:val="single" w:sz="6" w:space="0" w:color="044E7E"/>
              <w:bottom w:val="single" w:sz="6" w:space="0" w:color="044E7E"/>
            </w:tcBorders>
            <w:vAlign w:val="top"/>
          </w:tcPr>
          <w:p>
            <w:pPr>
              <w:pStyle w:val="TableText"/>
              <w:spacing w:before="54" w:line="206" w:lineRule="auto"/>
              <w:ind w:left="2001" w:right="111" w:hanging="1653"/>
            </w:pPr>
            <w:r>
              <w:rPr>
                <w:spacing w:val="4"/>
              </w:rPr>
              <w:t>开展严格的资本压力测试，防范银行流动性</w:t>
            </w:r>
            <w:r>
              <w:rPr>
                <w:spacing w:val="9"/>
              </w:rPr>
              <w:t xml:space="preserve"> </w:t>
            </w:r>
            <w:r>
              <w:rPr>
                <w:spacing w:val="4"/>
              </w:rPr>
              <w:t>风险</w:t>
            </w:r>
          </w:p>
        </w:tc>
      </w:tr>
    </w:tbl>
    <w:p>
      <w:pPr>
        <w:sectPr>
          <w:headerReference w:type="default" r:id="rId39"/>
          <w:footerReference w:type="default" r:id="rId40"/>
          <w:pgSz w:w="11907" w:h="16839"/>
          <w:pgMar w:top="1945" w:right="1042" w:bottom="1215" w:left="1024" w:header="900" w:footer="705" w:gutter="0"/>
          <w:pgNumType w:start="14"/>
          <w:cols w:space="708"/>
        </w:sectPr>
      </w:pPr>
    </w:p>
    <w:tbl>
      <w:tblPr>
        <w:tblStyle w:val="TableNormal6"/>
        <w:tblW w:w="9839" w:type="dxa"/>
        <w:tblInd w:w="0" w:type="dxa"/>
        <w:tblBorders>
          <w:top w:val="nil"/>
          <w:left w:val="nil"/>
          <w:bottom w:val="nil"/>
          <w:right w:val="nil"/>
          <w:insideH w:val="nil"/>
          <w:insideV w:val="nil"/>
        </w:tblBorders>
        <w:tblLayout w:type="fixed"/>
      </w:tblPr>
      <w:tblGrid>
        <w:gridCol w:w="1558"/>
        <w:gridCol w:w="1526"/>
        <w:gridCol w:w="2599"/>
        <w:gridCol w:w="4156"/>
      </w:tblGrid>
      <w:tr>
        <w:tblPrEx>
          <w:tblW w:w="9839" w:type="dxa"/>
          <w:tblInd w:w="0" w:type="dxa"/>
          <w:tblBorders>
            <w:top w:val="nil"/>
            <w:left w:val="nil"/>
            <w:bottom w:val="nil"/>
            <w:right w:val="nil"/>
            <w:insideH w:val="nil"/>
            <w:insideV w:val="nil"/>
          </w:tblBorders>
          <w:tblLayout w:type="fixed"/>
        </w:tblPrEx>
        <w:trPr>
          <w:trHeight w:val="1178"/>
        </w:trPr>
        <w:tc>
          <w:tcPr>
            <w:tcW w:w="1558" w:type="dxa"/>
            <w:tcBorders>
              <w:top w:val="single" w:sz="6" w:space="0" w:color="044E7E"/>
              <w:bottom w:val="single" w:sz="6" w:space="0" w:color="044E7E"/>
            </w:tcBorders>
            <w:vAlign w:val="top"/>
          </w:tcPr>
          <w:p>
            <w:pPr>
              <w:pStyle w:val="TableText"/>
              <w:spacing w:before="216" w:line="191" w:lineRule="auto"/>
              <w:ind w:left="172"/>
            </w:pPr>
            <w:r>
              <w:rPr>
                <w:rFonts w:ascii="Times New Roman" w:eastAsia="Times New Roman" w:hAnsi="Times New Roman" w:cs="Times New Roman"/>
              </w:rPr>
              <w:t>2010</w:t>
            </w:r>
            <w:r>
              <w:rPr>
                <w:rFonts w:ascii="Times New Roman" w:eastAsia="Times New Roman" w:hAnsi="Times New Roman" w:cs="Times New Roman"/>
                <w:spacing w:val="17"/>
              </w:rPr>
              <w:t xml:space="preserve"> </w:t>
            </w:r>
            <w:r>
              <w:t>年</w:t>
            </w:r>
            <w:r>
              <w:rPr>
                <w:spacing w:val="15"/>
              </w:rPr>
              <w:t xml:space="preserve"> </w:t>
            </w:r>
            <w:r>
              <w:rPr>
                <w:rFonts w:ascii="Times New Roman" w:eastAsia="Times New Roman" w:hAnsi="Times New Roman" w:cs="Times New Roman"/>
              </w:rPr>
              <w:t>10</w:t>
            </w:r>
            <w:r>
              <w:rPr>
                <w:rFonts w:ascii="Times New Roman" w:eastAsia="Times New Roman" w:hAnsi="Times New Roman" w:cs="Times New Roman"/>
                <w:spacing w:val="16"/>
                <w:w w:val="101"/>
              </w:rPr>
              <w:t xml:space="preserve"> </w:t>
            </w:r>
            <w:r>
              <w:t>月</w:t>
            </w:r>
          </w:p>
        </w:tc>
        <w:tc>
          <w:tcPr>
            <w:tcW w:w="1526" w:type="dxa"/>
            <w:tcBorders>
              <w:top w:val="single" w:sz="6" w:space="0" w:color="044E7E"/>
              <w:bottom w:val="single" w:sz="6" w:space="0" w:color="044E7E"/>
            </w:tcBorders>
            <w:vAlign w:val="top"/>
          </w:tcPr>
          <w:p>
            <w:pPr>
              <w:pStyle w:val="TableText"/>
              <w:spacing w:before="216" w:line="191" w:lineRule="auto"/>
              <w:ind w:left="278"/>
            </w:pPr>
            <w:r>
              <w:rPr>
                <w:spacing w:val="6"/>
              </w:rPr>
              <w:t>美国国会</w:t>
            </w:r>
          </w:p>
        </w:tc>
        <w:tc>
          <w:tcPr>
            <w:tcW w:w="2599" w:type="dxa"/>
            <w:tcBorders>
              <w:top w:val="single" w:sz="6" w:space="0" w:color="044E7E"/>
              <w:bottom w:val="single" w:sz="6" w:space="0" w:color="044E7E"/>
            </w:tcBorders>
            <w:vAlign w:val="top"/>
          </w:tcPr>
          <w:p>
            <w:pPr>
              <w:pStyle w:val="TableText"/>
              <w:spacing w:before="217" w:line="191" w:lineRule="auto"/>
              <w:ind w:left="438"/>
            </w:pPr>
            <w:r>
              <w:rPr>
                <w:spacing w:val="6"/>
              </w:rPr>
              <w:t>《多德</w:t>
            </w:r>
            <w:r>
              <w:rPr>
                <w:rFonts w:ascii="Times New Roman" w:eastAsia="Times New Roman" w:hAnsi="Times New Roman" w:cs="Times New Roman"/>
                <w:spacing w:val="6"/>
              </w:rPr>
              <w:t>-</w:t>
            </w:r>
            <w:r>
              <w:rPr>
                <w:spacing w:val="6"/>
              </w:rPr>
              <w:t>弗兰克法案》</w:t>
            </w:r>
          </w:p>
        </w:tc>
        <w:tc>
          <w:tcPr>
            <w:tcW w:w="4156" w:type="dxa"/>
            <w:tcBorders>
              <w:top w:val="single" w:sz="6" w:space="0" w:color="044E7E"/>
              <w:bottom w:val="single" w:sz="6" w:space="0" w:color="044E7E"/>
            </w:tcBorders>
            <w:vAlign w:val="top"/>
          </w:tcPr>
          <w:p>
            <w:pPr>
              <w:pStyle w:val="TableText"/>
              <w:spacing w:before="59" w:line="211" w:lineRule="auto"/>
              <w:ind w:left="352" w:right="111" w:hanging="2"/>
            </w:pPr>
            <w:r>
              <w:rPr>
                <w:spacing w:val="4"/>
              </w:rPr>
              <w:t>建立金融稳定监督委员会，对系统重要性金</w:t>
            </w:r>
            <w:r>
              <w:rPr>
                <w:spacing w:val="7"/>
              </w:rPr>
              <w:t xml:space="preserve"> </w:t>
            </w:r>
            <w:r>
              <w:rPr>
                <w:spacing w:val="4"/>
              </w:rPr>
              <w:t>融机构进行更严格的监管和资本要求；建立</w:t>
            </w:r>
          </w:p>
        </w:tc>
      </w:tr>
    </w:tbl>
    <w:p>
      <w:pPr>
        <w:spacing w:line="54" w:lineRule="exact"/>
        <w:rPr>
          <w:rFonts w:ascii="Arial"/>
          <w:sz w:val="4"/>
        </w:rPr>
      </w:pPr>
    </w:p>
    <w:p>
      <w:pPr>
        <w:spacing w:line="54" w:lineRule="exact"/>
        <w:rPr>
          <w:rFonts w:ascii="Arial" w:eastAsia="Arial" w:hAnsi="Arial" w:cs="Arial"/>
          <w:sz w:val="4"/>
          <w:szCs w:val="4"/>
        </w:rPr>
        <w:sectPr>
          <w:headerReference w:type="default" r:id="rId41"/>
          <w:footerReference w:type="default" r:id="rId42"/>
          <w:type w:val="nextPage"/>
          <w:pgSz w:w="11907" w:h="16839"/>
          <w:pgMar w:top="1945" w:right="1042" w:bottom="1215" w:left="1024" w:header="900" w:footer="705" w:gutter="0"/>
          <w:pgNumType w:start="15"/>
          <w:cols w:space="708"/>
          <w:titlePg w:val="0"/>
        </w:sectPr>
      </w:pPr>
    </w:p>
    <w:tbl>
      <w:tblPr>
        <w:tblStyle w:val="TableNormal7"/>
        <w:tblW w:w="9839" w:type="dxa"/>
        <w:tblInd w:w="0" w:type="dxa"/>
        <w:tblBorders>
          <w:top w:val="nil"/>
          <w:left w:val="nil"/>
          <w:bottom w:val="nil"/>
          <w:right w:val="nil"/>
          <w:insideH w:val="nil"/>
          <w:insideV w:val="nil"/>
        </w:tblBorders>
        <w:tblLayout w:type="fixed"/>
      </w:tblPr>
      <w:tblGrid>
        <w:gridCol w:w="1508"/>
        <w:gridCol w:w="1475"/>
        <w:gridCol w:w="2850"/>
        <w:gridCol w:w="4006"/>
      </w:tblGrid>
      <w:tr>
        <w:tblPrEx>
          <w:tblW w:w="9839" w:type="dxa"/>
          <w:tblInd w:w="0" w:type="dxa"/>
          <w:tblBorders>
            <w:top w:val="nil"/>
            <w:left w:val="nil"/>
            <w:bottom w:val="nil"/>
            <w:right w:val="nil"/>
            <w:insideH w:val="nil"/>
            <w:insideV w:val="nil"/>
          </w:tblBorders>
          <w:tblLayout w:type="fixed"/>
        </w:tblPrEx>
        <w:trPr>
          <w:trHeight w:val="1969"/>
        </w:trPr>
        <w:tc>
          <w:tcPr>
            <w:tcW w:w="9839" w:type="dxa"/>
            <w:gridSpan w:val="4"/>
            <w:tcBorders>
              <w:top w:val="single" w:sz="6" w:space="0" w:color="044E7E"/>
              <w:bottom w:val="single" w:sz="6" w:space="0" w:color="044E7E"/>
            </w:tcBorders>
            <w:vAlign w:val="top"/>
          </w:tcPr>
          <w:p>
            <w:pPr>
              <w:pStyle w:val="TableText"/>
              <w:spacing w:before="291" w:line="191" w:lineRule="auto"/>
              <w:ind w:left="6034"/>
            </w:pPr>
            <w:r>
              <w:pict>
                <v:rect id="_x0000_s1076" style="width:482.25pt;height:2.05pt;margin-top:791.9pt;margin-left:56.55pt;mso-position-horizontal-relative:page;mso-position-vertical-relative:page;position:absolute;z-index:251715584" o:allowincell="f" filled="t" fillcolor="#044e7e" stroked="f"/>
              </w:pict>
            </w:r>
            <w:r>
              <w:rPr>
                <w:spacing w:val="4"/>
              </w:rPr>
              <w:t>消费者金融保护局；建立有序清算机制解决</w:t>
            </w:r>
          </w:p>
          <w:p>
            <w:pPr>
              <w:pStyle w:val="TableText"/>
              <w:spacing w:before="52" w:line="191" w:lineRule="auto"/>
              <w:ind w:left="6034"/>
            </w:pPr>
            <w:r>
              <w:rPr>
                <w:spacing w:val="3"/>
              </w:rPr>
              <w:t>系统重要性金融机构的破产问题；</w:t>
            </w:r>
            <w:r>
              <w:rPr>
                <w:spacing w:val="-32"/>
              </w:rPr>
              <w:t xml:space="preserve"> </w:t>
            </w:r>
            <w:r>
              <w:rPr>
                <w:spacing w:val="3"/>
              </w:rPr>
              <w:t>对对冲基</w:t>
            </w:r>
          </w:p>
          <w:p>
            <w:pPr>
              <w:pStyle w:val="TableText"/>
              <w:spacing w:before="51" w:line="192" w:lineRule="auto"/>
              <w:ind w:left="6032"/>
            </w:pPr>
            <w:r>
              <w:rPr>
                <w:spacing w:val="4"/>
              </w:rPr>
              <w:t>金、私募股权基金、风险投资基金等非银行</w:t>
            </w:r>
          </w:p>
          <w:p>
            <w:pPr>
              <w:pStyle w:val="TableText"/>
              <w:spacing w:before="52" w:line="191" w:lineRule="auto"/>
              <w:ind w:left="6032"/>
            </w:pPr>
            <w:r>
              <w:rPr>
                <w:spacing w:val="4"/>
              </w:rPr>
              <w:t>金融机构进行登记和报告义务，增加其信息</w:t>
            </w:r>
          </w:p>
          <w:p>
            <w:pPr>
              <w:pStyle w:val="TableText"/>
              <w:spacing w:before="51" w:line="192" w:lineRule="auto"/>
              <w:ind w:left="7485"/>
            </w:pPr>
            <w:r>
              <w:rPr>
                <w:spacing w:val="7"/>
              </w:rPr>
              <w:t>披露程度</w:t>
            </w:r>
          </w:p>
        </w:tc>
      </w:tr>
      <w:tr>
        <w:tblPrEx>
          <w:tblW w:w="9839" w:type="dxa"/>
          <w:tblInd w:w="0" w:type="dxa"/>
          <w:tblLayout w:type="fixed"/>
        </w:tblPrEx>
        <w:trPr>
          <w:trHeight w:val="568"/>
        </w:trPr>
        <w:tc>
          <w:tcPr>
            <w:tcW w:w="1508" w:type="dxa"/>
            <w:tcBorders>
              <w:top w:val="single" w:sz="6" w:space="0" w:color="044E7E"/>
              <w:bottom w:val="single" w:sz="6" w:space="0" w:color="044E7E"/>
            </w:tcBorders>
            <w:vAlign w:val="top"/>
          </w:tcPr>
          <w:p>
            <w:pPr>
              <w:pStyle w:val="TableText"/>
              <w:spacing w:before="42" w:line="191" w:lineRule="auto"/>
              <w:ind w:left="172"/>
            </w:pPr>
            <w:r>
              <w:rPr>
                <w:rFonts w:ascii="Times New Roman" w:eastAsia="Times New Roman" w:hAnsi="Times New Roman" w:cs="Times New Roman"/>
              </w:rPr>
              <w:t>2010</w:t>
            </w:r>
            <w:r>
              <w:rPr>
                <w:rFonts w:ascii="Times New Roman" w:eastAsia="Times New Roman" w:hAnsi="Times New Roman" w:cs="Times New Roman"/>
                <w:spacing w:val="17"/>
              </w:rPr>
              <w:t xml:space="preserve"> </w:t>
            </w:r>
            <w:r>
              <w:t>年</w:t>
            </w:r>
            <w:r>
              <w:rPr>
                <w:spacing w:val="15"/>
              </w:rPr>
              <w:t xml:space="preserve"> </w:t>
            </w:r>
            <w:r>
              <w:rPr>
                <w:rFonts w:ascii="Times New Roman" w:eastAsia="Times New Roman" w:hAnsi="Times New Roman" w:cs="Times New Roman"/>
              </w:rPr>
              <w:t>11</w:t>
            </w:r>
            <w:r>
              <w:rPr>
                <w:rFonts w:ascii="Times New Roman" w:eastAsia="Times New Roman" w:hAnsi="Times New Roman" w:cs="Times New Roman"/>
                <w:spacing w:val="16"/>
                <w:w w:val="101"/>
              </w:rPr>
              <w:t xml:space="preserve"> </w:t>
            </w:r>
            <w:r>
              <w:t>月</w:t>
            </w:r>
          </w:p>
        </w:tc>
        <w:tc>
          <w:tcPr>
            <w:tcW w:w="1475" w:type="dxa"/>
            <w:tcBorders>
              <w:top w:val="single" w:sz="6" w:space="0" w:color="044E7E"/>
              <w:bottom w:val="single" w:sz="6" w:space="0" w:color="044E7E"/>
            </w:tcBorders>
            <w:vAlign w:val="top"/>
          </w:tcPr>
          <w:p>
            <w:pPr>
              <w:pStyle w:val="TableText"/>
              <w:spacing w:before="41" w:line="192" w:lineRule="auto"/>
              <w:ind w:left="428"/>
            </w:pPr>
            <w:r>
              <w:rPr>
                <w:spacing w:val="6"/>
              </w:rPr>
              <w:t>美联储</w:t>
            </w:r>
          </w:p>
        </w:tc>
        <w:tc>
          <w:tcPr>
            <w:tcW w:w="2850" w:type="dxa"/>
            <w:tcBorders>
              <w:top w:val="single" w:sz="6" w:space="0" w:color="044E7E"/>
              <w:bottom w:val="single" w:sz="6" w:space="0" w:color="044E7E"/>
            </w:tcBorders>
            <w:vAlign w:val="top"/>
          </w:tcPr>
          <w:p>
            <w:pPr>
              <w:pStyle w:val="TableText"/>
              <w:spacing w:before="41" w:line="191" w:lineRule="auto"/>
              <w:ind w:left="175"/>
            </w:pPr>
            <w:r>
              <w:rPr>
                <w:spacing w:val="7"/>
              </w:rPr>
              <w:t>《综合资本压力分析与回顾》</w:t>
            </w:r>
          </w:p>
        </w:tc>
        <w:tc>
          <w:tcPr>
            <w:tcW w:w="4006" w:type="dxa"/>
            <w:tcBorders>
              <w:top w:val="single" w:sz="6" w:space="0" w:color="044E7E"/>
              <w:bottom w:val="single" w:sz="6" w:space="0" w:color="044E7E"/>
            </w:tcBorders>
            <w:vAlign w:val="top"/>
          </w:tcPr>
          <w:p>
            <w:pPr>
              <w:pStyle w:val="TableText"/>
              <w:spacing w:before="1" w:line="168" w:lineRule="auto"/>
              <w:ind w:left="253" w:right="109" w:hanging="55"/>
            </w:pPr>
            <w:r>
              <w:rPr>
                <w:spacing w:val="4"/>
              </w:rPr>
              <w:t xml:space="preserve">要求 </w:t>
            </w:r>
            <w:r>
              <w:rPr>
                <w:rFonts w:ascii="Times New Roman" w:eastAsia="Times New Roman" w:hAnsi="Times New Roman" w:cs="Times New Roman"/>
                <w:spacing w:val="4"/>
              </w:rPr>
              <w:t>19</w:t>
            </w:r>
            <w:r>
              <w:rPr>
                <w:rFonts w:ascii="Times New Roman" w:eastAsia="Times New Roman" w:hAnsi="Times New Roman" w:cs="Times New Roman"/>
                <w:spacing w:val="-11"/>
              </w:rPr>
              <w:t xml:space="preserve"> </w:t>
            </w:r>
            <w:r>
              <w:rPr>
                <w:spacing w:val="4"/>
              </w:rPr>
              <w:t xml:space="preserve">家在美总资产超过 </w:t>
            </w:r>
            <w:r>
              <w:rPr>
                <w:rFonts w:ascii="Times New Roman" w:eastAsia="Times New Roman" w:hAnsi="Times New Roman" w:cs="Times New Roman"/>
                <w:spacing w:val="4"/>
              </w:rPr>
              <w:t>1000</w:t>
            </w:r>
            <w:r>
              <w:rPr>
                <w:rFonts w:ascii="Times New Roman" w:eastAsia="Times New Roman" w:hAnsi="Times New Roman" w:cs="Times New Roman"/>
                <w:spacing w:val="-12"/>
              </w:rPr>
              <w:t xml:space="preserve"> </w:t>
            </w:r>
            <w:r>
              <w:rPr>
                <w:spacing w:val="4"/>
              </w:rPr>
              <w:t>亿美元的银</w:t>
            </w:r>
            <w:r>
              <w:t xml:space="preserve"> </w:t>
            </w:r>
            <w:r>
              <w:rPr>
                <w:spacing w:val="9"/>
              </w:rPr>
              <w:t>行控股公司等按年度实施针对性压力测试</w:t>
            </w:r>
          </w:p>
        </w:tc>
      </w:tr>
      <w:tr>
        <w:tblPrEx>
          <w:tblW w:w="9839" w:type="dxa"/>
          <w:tblInd w:w="0" w:type="dxa"/>
          <w:tblLayout w:type="fixed"/>
        </w:tblPrEx>
        <w:trPr>
          <w:trHeight w:val="570"/>
        </w:trPr>
        <w:tc>
          <w:tcPr>
            <w:tcW w:w="1508" w:type="dxa"/>
            <w:tcBorders>
              <w:top w:val="single" w:sz="6" w:space="0" w:color="044E7E"/>
              <w:bottom w:val="single" w:sz="6" w:space="0" w:color="044E7E"/>
            </w:tcBorders>
            <w:vAlign w:val="top"/>
          </w:tcPr>
          <w:p>
            <w:pPr>
              <w:pStyle w:val="TableText"/>
              <w:spacing w:before="104" w:line="191" w:lineRule="auto"/>
              <w:ind w:left="220"/>
            </w:pPr>
            <w:r>
              <w:rPr>
                <w:rFonts w:ascii="Times New Roman" w:eastAsia="Times New Roman" w:hAnsi="Times New Roman" w:cs="Times New Roman"/>
                <w:spacing w:val="1"/>
              </w:rPr>
              <w:t>2013</w:t>
            </w:r>
            <w:r>
              <w:rPr>
                <w:rFonts w:ascii="Times New Roman" w:eastAsia="Times New Roman" w:hAnsi="Times New Roman" w:cs="Times New Roman"/>
                <w:spacing w:val="18"/>
                <w:w w:val="101"/>
              </w:rPr>
              <w:t xml:space="preserve"> </w:t>
            </w:r>
            <w:r>
              <w:rPr>
                <w:spacing w:val="1"/>
              </w:rPr>
              <w:t xml:space="preserve">年 </w:t>
            </w:r>
            <w:r>
              <w:rPr>
                <w:rFonts w:ascii="Times New Roman" w:eastAsia="Times New Roman" w:hAnsi="Times New Roman" w:cs="Times New Roman"/>
                <w:spacing w:val="1"/>
              </w:rPr>
              <w:t>3</w:t>
            </w:r>
            <w:r>
              <w:rPr>
                <w:rFonts w:ascii="Times New Roman" w:eastAsia="Times New Roman" w:hAnsi="Times New Roman" w:cs="Times New Roman"/>
                <w:spacing w:val="16"/>
                <w:w w:val="101"/>
              </w:rPr>
              <w:t xml:space="preserve"> </w:t>
            </w:r>
            <w:r>
              <w:rPr>
                <w:spacing w:val="1"/>
              </w:rPr>
              <w:t>月</w:t>
            </w:r>
          </w:p>
        </w:tc>
        <w:tc>
          <w:tcPr>
            <w:tcW w:w="1475" w:type="dxa"/>
            <w:tcBorders>
              <w:top w:val="single" w:sz="6" w:space="0" w:color="044E7E"/>
              <w:bottom w:val="single" w:sz="6" w:space="0" w:color="044E7E"/>
            </w:tcBorders>
            <w:vAlign w:val="top"/>
          </w:tcPr>
          <w:p>
            <w:pPr>
              <w:pStyle w:val="TableText"/>
              <w:spacing w:before="103" w:line="192" w:lineRule="auto"/>
              <w:ind w:left="227"/>
            </w:pPr>
            <w:r>
              <w:rPr>
                <w:spacing w:val="7"/>
              </w:rPr>
              <w:t>美国财政部</w:t>
            </w:r>
          </w:p>
        </w:tc>
        <w:tc>
          <w:tcPr>
            <w:tcW w:w="2850" w:type="dxa"/>
            <w:tcBorders>
              <w:top w:val="single" w:sz="6" w:space="0" w:color="044E7E"/>
              <w:bottom w:val="single" w:sz="6" w:space="0" w:color="044E7E"/>
            </w:tcBorders>
            <w:vAlign w:val="top"/>
          </w:tcPr>
          <w:p>
            <w:pPr>
              <w:pStyle w:val="TableText"/>
              <w:spacing w:before="104" w:line="191" w:lineRule="auto"/>
              <w:ind w:left="273"/>
            </w:pPr>
            <w:r>
              <w:rPr>
                <w:spacing w:val="7"/>
              </w:rPr>
              <w:t>《海外账户税收合规法案》</w:t>
            </w:r>
          </w:p>
        </w:tc>
        <w:tc>
          <w:tcPr>
            <w:tcW w:w="4006" w:type="dxa"/>
            <w:tcBorders>
              <w:top w:val="single" w:sz="6" w:space="0" w:color="044E7E"/>
              <w:bottom w:val="single" w:sz="6" w:space="0" w:color="044E7E"/>
            </w:tcBorders>
            <w:vAlign w:val="top"/>
          </w:tcPr>
          <w:p>
            <w:pPr>
              <w:pStyle w:val="TableText"/>
              <w:spacing w:before="1" w:line="191" w:lineRule="auto"/>
              <w:ind w:left="471" w:right="166" w:hanging="220"/>
            </w:pPr>
            <w:r>
              <w:rPr>
                <w:spacing w:val="9"/>
              </w:rPr>
              <w:t>要求全球金融机构向美国监管当局通报美</w:t>
            </w:r>
            <w:r>
              <w:rPr>
                <w:spacing w:val="4"/>
              </w:rPr>
              <w:t xml:space="preserve"> </w:t>
            </w:r>
            <w:r>
              <w:t>国公民在海外的金融资料，  以备查税</w:t>
            </w:r>
          </w:p>
        </w:tc>
      </w:tr>
      <w:tr>
        <w:tblPrEx>
          <w:tblW w:w="9839" w:type="dxa"/>
          <w:tblInd w:w="0" w:type="dxa"/>
          <w:tblLayout w:type="fixed"/>
        </w:tblPrEx>
        <w:trPr>
          <w:trHeight w:val="578"/>
        </w:trPr>
        <w:tc>
          <w:tcPr>
            <w:tcW w:w="1508" w:type="dxa"/>
            <w:tcBorders>
              <w:top w:val="single" w:sz="6" w:space="0" w:color="044E7E"/>
              <w:bottom w:val="single" w:sz="6" w:space="0" w:color="044E7E"/>
            </w:tcBorders>
            <w:vAlign w:val="top"/>
          </w:tcPr>
          <w:p>
            <w:pPr>
              <w:pStyle w:val="TableText"/>
              <w:spacing w:before="163" w:line="191" w:lineRule="auto"/>
              <w:ind w:left="220"/>
            </w:pPr>
            <w:r>
              <w:rPr>
                <w:rFonts w:ascii="Times New Roman" w:eastAsia="Times New Roman" w:hAnsi="Times New Roman" w:cs="Times New Roman"/>
                <w:spacing w:val="1"/>
              </w:rPr>
              <w:t>2014</w:t>
            </w:r>
            <w:r>
              <w:rPr>
                <w:rFonts w:ascii="Times New Roman" w:eastAsia="Times New Roman" w:hAnsi="Times New Roman" w:cs="Times New Roman"/>
                <w:spacing w:val="18"/>
                <w:w w:val="101"/>
              </w:rPr>
              <w:t xml:space="preserve"> </w:t>
            </w:r>
            <w:r>
              <w:rPr>
                <w:spacing w:val="1"/>
              </w:rPr>
              <w:t xml:space="preserve">年 </w:t>
            </w:r>
            <w:r>
              <w:rPr>
                <w:rFonts w:ascii="Times New Roman" w:eastAsia="Times New Roman" w:hAnsi="Times New Roman" w:cs="Times New Roman"/>
                <w:spacing w:val="1"/>
              </w:rPr>
              <w:t>2</w:t>
            </w:r>
            <w:r>
              <w:rPr>
                <w:rFonts w:ascii="Times New Roman" w:eastAsia="Times New Roman" w:hAnsi="Times New Roman" w:cs="Times New Roman"/>
                <w:spacing w:val="16"/>
                <w:w w:val="101"/>
              </w:rPr>
              <w:t xml:space="preserve"> </w:t>
            </w:r>
            <w:r>
              <w:rPr>
                <w:spacing w:val="1"/>
              </w:rPr>
              <w:t>月</w:t>
            </w:r>
          </w:p>
        </w:tc>
        <w:tc>
          <w:tcPr>
            <w:tcW w:w="1475" w:type="dxa"/>
            <w:tcBorders>
              <w:top w:val="single" w:sz="6" w:space="0" w:color="044E7E"/>
              <w:bottom w:val="single" w:sz="6" w:space="0" w:color="044E7E"/>
            </w:tcBorders>
            <w:vAlign w:val="top"/>
          </w:tcPr>
          <w:p>
            <w:pPr>
              <w:pStyle w:val="TableText"/>
              <w:spacing w:before="162" w:line="192" w:lineRule="auto"/>
              <w:ind w:left="428"/>
            </w:pPr>
            <w:r>
              <w:rPr>
                <w:spacing w:val="6"/>
              </w:rPr>
              <w:t>美联储</w:t>
            </w:r>
          </w:p>
        </w:tc>
        <w:tc>
          <w:tcPr>
            <w:tcW w:w="2850" w:type="dxa"/>
            <w:tcBorders>
              <w:top w:val="single" w:sz="6" w:space="0" w:color="044E7E"/>
              <w:bottom w:val="single" w:sz="6" w:space="0" w:color="044E7E"/>
            </w:tcBorders>
            <w:vAlign w:val="top"/>
          </w:tcPr>
          <w:p>
            <w:pPr>
              <w:pStyle w:val="TableText"/>
              <w:spacing w:before="162" w:line="192" w:lineRule="auto"/>
              <w:ind w:left="475"/>
            </w:pPr>
            <w:r>
              <w:rPr>
                <w:spacing w:val="7"/>
              </w:rPr>
              <w:t>《强化审慎标准法案》</w:t>
            </w:r>
          </w:p>
        </w:tc>
        <w:tc>
          <w:tcPr>
            <w:tcW w:w="4006" w:type="dxa"/>
            <w:tcBorders>
              <w:top w:val="single" w:sz="6" w:space="0" w:color="044E7E"/>
              <w:bottom w:val="single" w:sz="6" w:space="0" w:color="044E7E"/>
            </w:tcBorders>
            <w:vAlign w:val="top"/>
          </w:tcPr>
          <w:p>
            <w:pPr>
              <w:pStyle w:val="TableText"/>
              <w:spacing w:before="5" w:line="207" w:lineRule="auto"/>
              <w:ind w:left="966" w:right="111" w:hanging="769"/>
            </w:pPr>
            <w:r>
              <w:rPr>
                <w:spacing w:val="4"/>
              </w:rPr>
              <w:t>加大对银行系统性风险的管理，要求更严格</w:t>
            </w:r>
            <w:r>
              <w:rPr>
                <w:spacing w:val="9"/>
              </w:rPr>
              <w:t xml:space="preserve"> </w:t>
            </w:r>
            <w:r>
              <w:rPr>
                <w:spacing w:val="7"/>
              </w:rPr>
              <w:t>的资本和流动性压力测试</w:t>
            </w:r>
          </w:p>
        </w:tc>
      </w:tr>
    </w:tbl>
    <w:p>
      <w:pPr>
        <w:pStyle w:val="BodyText"/>
        <w:spacing w:before="78" w:line="185" w:lineRule="auto"/>
        <w:ind w:left="113"/>
        <w:rPr>
          <w:sz w:val="16"/>
          <w:szCs w:val="16"/>
        </w:rPr>
      </w:pPr>
      <w:r>
        <w:rPr>
          <w:i/>
          <w:iCs/>
          <w:spacing w:val="-2"/>
          <w:sz w:val="16"/>
          <w:szCs w:val="16"/>
        </w:rPr>
        <w:t>资料来源：</w:t>
      </w:r>
      <w:r>
        <w:rPr>
          <w:rFonts w:ascii="Times New Roman" w:eastAsia="Times New Roman" w:hAnsi="Times New Roman" w:cs="Times New Roman"/>
          <w:i/>
          <w:iCs/>
          <w:spacing w:val="-2"/>
          <w:sz w:val="16"/>
          <w:szCs w:val="16"/>
        </w:rPr>
        <w:t>NIFD</w:t>
      </w:r>
      <w:r>
        <w:rPr>
          <w:i/>
          <w:iCs/>
          <w:spacing w:val="-2"/>
          <w:sz w:val="16"/>
          <w:szCs w:val="16"/>
        </w:rPr>
        <w:t>，金融监管研究，财新网，</w:t>
      </w:r>
      <w:r>
        <w:rPr>
          <w:spacing w:val="44"/>
          <w:w w:val="101"/>
          <w:sz w:val="16"/>
          <w:szCs w:val="16"/>
        </w:rPr>
        <w:t xml:space="preserve"> </w:t>
      </w:r>
      <w:r>
        <w:rPr>
          <w:i/>
          <w:iCs/>
          <w:spacing w:val="-2"/>
          <w:sz w:val="16"/>
          <w:szCs w:val="16"/>
        </w:rPr>
        <w:t>中信建投证券</w:t>
      </w:r>
    </w:p>
    <w:p>
      <w:pPr>
        <w:spacing w:line="266" w:lineRule="auto"/>
        <w:rPr>
          <w:rFonts w:ascii="Arial"/>
          <w:sz w:val="21"/>
        </w:rPr>
      </w:pPr>
    </w:p>
    <w:p>
      <w:pPr>
        <w:pStyle w:val="BodyText"/>
        <w:spacing w:before="103" w:line="184" w:lineRule="auto"/>
        <w:ind w:left="598"/>
        <w:rPr>
          <w:sz w:val="24"/>
          <w:szCs w:val="24"/>
        </w:rPr>
      </w:pPr>
      <w:r>
        <w:rPr>
          <w:rFonts w:ascii="Times New Roman" w:eastAsia="Times New Roman" w:hAnsi="Times New Roman" w:cs="Times New Roman"/>
          <w:color w:val="044E7E"/>
          <w:spacing w:val="-4"/>
          <w:sz w:val="24"/>
          <w:szCs w:val="24"/>
        </w:rPr>
        <w:t>3</w:t>
      </w:r>
      <w:r>
        <w:rPr>
          <w:rFonts w:ascii="Times New Roman" w:eastAsia="Times New Roman" w:hAnsi="Times New Roman" w:cs="Times New Roman"/>
          <w:color w:val="044E7E"/>
          <w:spacing w:val="-19"/>
          <w:sz w:val="24"/>
          <w:szCs w:val="24"/>
        </w:rPr>
        <w:t xml:space="preserve"> </w:t>
      </w:r>
      <w:r>
        <w:rPr>
          <w:color w:val="044E7E"/>
          <w:spacing w:val="-4"/>
          <w:sz w:val="24"/>
          <w:szCs w:val="24"/>
        </w:rPr>
        <w:t>、代价要付，没有免费午餐</w:t>
      </w:r>
    </w:p>
    <w:p>
      <w:pPr>
        <w:pStyle w:val="BodyText"/>
        <w:spacing w:before="268" w:line="224" w:lineRule="auto"/>
        <w:ind w:left="114" w:right="109" w:firstLine="403"/>
      </w:pPr>
      <w:r>
        <w:rPr>
          <w:spacing w:val="3"/>
        </w:rPr>
        <w:t xml:space="preserve">上述救市举措在一定程度上缓解金融危机的影响，  防止经济衰退进一步恶化，  同时也付出了切实的代价。  </w:t>
      </w:r>
      <w:r>
        <w:rPr>
          <w:spacing w:val="8"/>
        </w:rPr>
        <w:t>就《</w:t>
      </w:r>
      <w:r>
        <w:rPr>
          <w:rFonts w:ascii="Times New Roman" w:eastAsia="Times New Roman" w:hAnsi="Times New Roman" w:cs="Times New Roman"/>
          <w:spacing w:val="8"/>
        </w:rPr>
        <w:t xml:space="preserve">2009 </w:t>
      </w:r>
      <w:r>
        <w:rPr>
          <w:spacing w:val="8"/>
        </w:rPr>
        <w:t>年美国复苏与再投资法》而言，其成本是伊拉克战争成本</w:t>
      </w:r>
      <w:r>
        <w:rPr>
          <w:spacing w:val="7"/>
        </w:rPr>
        <w:t>的</w:t>
      </w:r>
      <w:r>
        <w:rPr>
          <w:spacing w:val="20"/>
        </w:rPr>
        <w:t xml:space="preserve"> </w:t>
      </w:r>
      <w:r>
        <w:rPr>
          <w:rFonts w:ascii="Times New Roman" w:eastAsia="Times New Roman" w:hAnsi="Times New Roman" w:cs="Times New Roman"/>
          <w:spacing w:val="7"/>
        </w:rPr>
        <w:t xml:space="preserve">1.3 </w:t>
      </w:r>
      <w:r>
        <w:rPr>
          <w:spacing w:val="7"/>
        </w:rPr>
        <w:t>倍，是美国史上最大财政赤字的</w:t>
      </w:r>
      <w:r>
        <w:rPr>
          <w:spacing w:val="19"/>
        </w:rPr>
        <w:t xml:space="preserve"> </w:t>
      </w:r>
      <w:r>
        <w:rPr>
          <w:rFonts w:ascii="Times New Roman" w:eastAsia="Times New Roman" w:hAnsi="Times New Roman" w:cs="Times New Roman"/>
          <w:spacing w:val="7"/>
        </w:rPr>
        <w:t>1.7</w:t>
      </w:r>
      <w:r>
        <w:rPr>
          <w:rFonts w:ascii="Times New Roman" w:eastAsia="Times New Roman" w:hAnsi="Times New Roman" w:cs="Times New Roman"/>
        </w:rPr>
        <w:t xml:space="preserve">    </w:t>
      </w:r>
      <w:r>
        <w:rPr>
          <w:spacing w:val="3"/>
        </w:rPr>
        <w:t xml:space="preserve">倍。而 </w:t>
      </w:r>
      <w:r>
        <w:rPr>
          <w:rFonts w:ascii="Times New Roman" w:eastAsia="Times New Roman" w:hAnsi="Times New Roman" w:cs="Times New Roman"/>
          <w:spacing w:val="3"/>
        </w:rPr>
        <w:t xml:space="preserve">2009 </w:t>
      </w:r>
      <w:r>
        <w:rPr>
          <w:spacing w:val="3"/>
        </w:rPr>
        <w:t>年以前，  美国救市措施主</w:t>
      </w:r>
      <w:r>
        <w:rPr>
          <w:spacing w:val="2"/>
        </w:rPr>
        <w:t>要为</w:t>
      </w:r>
      <w:r>
        <w:rPr>
          <w:spacing w:val="18"/>
          <w:w w:val="101"/>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16"/>
          <w:w w:val="101"/>
        </w:rPr>
        <w:t xml:space="preserve"> </w:t>
      </w:r>
      <w:r>
        <w:rPr>
          <w:spacing w:val="2"/>
        </w:rPr>
        <w:t>万亿美元的一揽子经济刺激方案，</w:t>
      </w:r>
      <w:r>
        <w:rPr>
          <w:spacing w:val="18"/>
          <w:w w:val="101"/>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19"/>
        </w:rPr>
        <w:t xml:space="preserve"> </w:t>
      </w:r>
      <w:r>
        <w:rPr>
          <w:spacing w:val="2"/>
        </w:rPr>
        <w:t>万亿美元的贷款及注资，以及</w:t>
      </w:r>
      <w:r>
        <w:t xml:space="preserve"> </w:t>
      </w:r>
      <w:r>
        <w:rPr>
          <w:rFonts w:ascii="Times New Roman" w:eastAsia="Times New Roman" w:hAnsi="Times New Roman" w:cs="Times New Roman"/>
          <w:spacing w:val="3"/>
        </w:rPr>
        <w:t>5.7</w:t>
      </w:r>
      <w:r>
        <w:rPr>
          <w:rFonts w:ascii="Times New Roman" w:eastAsia="Times New Roman" w:hAnsi="Times New Roman" w:cs="Times New Roman"/>
          <w:spacing w:val="17"/>
          <w:w w:val="101"/>
        </w:rPr>
        <w:t xml:space="preserve"> </w:t>
      </w:r>
      <w:r>
        <w:rPr>
          <w:spacing w:val="3"/>
        </w:rPr>
        <w:t>万亿美元的援助承诺，</w:t>
      </w:r>
      <w:r>
        <w:rPr>
          <w:spacing w:val="51"/>
        </w:rPr>
        <w:t xml:space="preserve"> </w:t>
      </w:r>
      <w:r>
        <w:rPr>
          <w:spacing w:val="3"/>
        </w:rPr>
        <w:t xml:space="preserve">救市总成本高达 </w:t>
      </w:r>
      <w:r>
        <w:rPr>
          <w:rFonts w:ascii="Times New Roman" w:eastAsia="Times New Roman" w:hAnsi="Times New Roman" w:cs="Times New Roman"/>
          <w:spacing w:val="3"/>
        </w:rPr>
        <w:t>9.7</w:t>
      </w:r>
      <w:r>
        <w:rPr>
          <w:rFonts w:ascii="Times New Roman" w:eastAsia="Times New Roman" w:hAnsi="Times New Roman" w:cs="Times New Roman"/>
          <w:spacing w:val="17"/>
        </w:rPr>
        <w:t xml:space="preserve"> </w:t>
      </w:r>
      <w:r>
        <w:rPr>
          <w:spacing w:val="3"/>
        </w:rPr>
        <w:t>万亿美元，</w:t>
      </w:r>
      <w:r>
        <w:rPr>
          <w:spacing w:val="23"/>
          <w:w w:val="101"/>
        </w:rPr>
        <w:t xml:space="preserve"> </w:t>
      </w:r>
      <w:r>
        <w:rPr>
          <w:spacing w:val="3"/>
        </w:rPr>
        <w:t xml:space="preserve">相当于 </w:t>
      </w:r>
      <w:r>
        <w:rPr>
          <w:rFonts w:ascii="Times New Roman" w:eastAsia="Times New Roman" w:hAnsi="Times New Roman" w:cs="Times New Roman"/>
          <w:spacing w:val="3"/>
        </w:rPr>
        <w:t xml:space="preserve">2008 </w:t>
      </w:r>
      <w:r>
        <w:rPr>
          <w:spacing w:val="3"/>
        </w:rPr>
        <w:t xml:space="preserve">年 </w:t>
      </w:r>
      <w:r>
        <w:rPr>
          <w:rFonts w:ascii="Times New Roman" w:eastAsia="Times New Roman" w:hAnsi="Times New Roman" w:cs="Times New Roman"/>
        </w:rPr>
        <w:t>GDP</w:t>
      </w:r>
      <w:r>
        <w:rPr>
          <w:rFonts w:ascii="Times New Roman" w:eastAsia="Times New Roman" w:hAnsi="Times New Roman" w:cs="Times New Roman"/>
          <w:spacing w:val="29"/>
        </w:rPr>
        <w:t xml:space="preserve"> </w:t>
      </w:r>
      <w:r>
        <w:rPr>
          <w:spacing w:val="3"/>
        </w:rPr>
        <w:t>的三分之二，可为全</w:t>
      </w:r>
      <w:r>
        <w:rPr>
          <w:spacing w:val="2"/>
        </w:rPr>
        <w:t xml:space="preserve">美 </w:t>
      </w:r>
      <w:r>
        <w:rPr>
          <w:rFonts w:ascii="Times New Roman" w:eastAsia="Times New Roman" w:hAnsi="Times New Roman" w:cs="Times New Roman"/>
          <w:spacing w:val="2"/>
        </w:rPr>
        <w:t>90%</w:t>
      </w:r>
      <w:r>
        <w:rPr>
          <w:spacing w:val="2"/>
        </w:rPr>
        <w:t>的家</w:t>
      </w:r>
      <w:r>
        <w:t xml:space="preserve"> </w:t>
      </w:r>
      <w:r>
        <w:rPr>
          <w:spacing w:val="9"/>
        </w:rPr>
        <w:t>庭还清房贷。美国高昂的救市成本最直接的影响是大幅推高政府的财政赤字和债务水平，</w:t>
      </w:r>
      <w:r>
        <w:rPr>
          <w:rFonts w:ascii="Times New Roman" w:eastAsia="Times New Roman" w:hAnsi="Times New Roman" w:cs="Times New Roman"/>
          <w:spacing w:val="9"/>
        </w:rPr>
        <w:t xml:space="preserve">2009 </w:t>
      </w:r>
      <w:r>
        <w:rPr>
          <w:spacing w:val="9"/>
        </w:rPr>
        <w:t>年美国财政赤字</w:t>
      </w:r>
      <w:r>
        <w:rPr>
          <w:spacing w:val="3"/>
        </w:rPr>
        <w:t xml:space="preserve"> </w:t>
      </w:r>
      <w:r>
        <w:rPr>
          <w:spacing w:val="3"/>
        </w:rPr>
        <w:t xml:space="preserve">是 </w:t>
      </w:r>
      <w:r>
        <w:rPr>
          <w:rFonts w:ascii="Times New Roman" w:eastAsia="Times New Roman" w:hAnsi="Times New Roman" w:cs="Times New Roman"/>
          <w:spacing w:val="3"/>
        </w:rPr>
        <w:t xml:space="preserve">2007 </w:t>
      </w:r>
      <w:r>
        <w:rPr>
          <w:spacing w:val="3"/>
        </w:rPr>
        <w:t xml:space="preserve">年的 </w:t>
      </w:r>
      <w:r>
        <w:rPr>
          <w:rFonts w:ascii="Times New Roman" w:eastAsia="Times New Roman" w:hAnsi="Times New Roman" w:cs="Times New Roman"/>
          <w:spacing w:val="3"/>
        </w:rPr>
        <w:t xml:space="preserve">7.83 </w:t>
      </w:r>
      <w:r>
        <w:rPr>
          <w:spacing w:val="3"/>
        </w:rPr>
        <w:t>倍，</w:t>
      </w:r>
      <w:r>
        <w:rPr>
          <w:spacing w:val="-2"/>
        </w:rPr>
        <w:t xml:space="preserve"> </w:t>
      </w:r>
      <w:r>
        <w:rPr>
          <w:spacing w:val="3"/>
        </w:rPr>
        <w:t xml:space="preserve">国债总额增长 </w:t>
      </w:r>
      <w:r>
        <w:rPr>
          <w:rFonts w:ascii="Times New Roman" w:eastAsia="Times New Roman" w:hAnsi="Times New Roman" w:cs="Times New Roman"/>
          <w:spacing w:val="3"/>
        </w:rPr>
        <w:t>41.38%</w:t>
      </w:r>
      <w:r>
        <w:rPr>
          <w:spacing w:val="3"/>
        </w:rPr>
        <w:t>，后续美国依靠美元霸权长期依赖高负债，</w:t>
      </w:r>
      <w:r>
        <w:rPr>
          <w:spacing w:val="-27"/>
        </w:rPr>
        <w:t xml:space="preserve"> </w:t>
      </w:r>
      <w:r>
        <w:rPr>
          <w:spacing w:val="3"/>
        </w:rPr>
        <w:t>且出现产业空心化问题，</w:t>
      </w:r>
      <w:r>
        <w:t xml:space="preserve"> </w:t>
      </w:r>
      <w:r>
        <w:rPr>
          <w:spacing w:val="7"/>
        </w:rPr>
        <w:t>为全球金融系统带来巨大风险隐患。</w:t>
      </w:r>
    </w:p>
    <w:p>
      <w:pPr>
        <w:pStyle w:val="BodyText"/>
        <w:spacing w:before="311" w:line="191" w:lineRule="auto"/>
        <w:ind w:left="125"/>
        <w:rPr>
          <w:sz w:val="18"/>
          <w:szCs w:val="18"/>
        </w:rPr>
      </w:pPr>
      <w:r>
        <w:rPr>
          <w:b/>
          <w:bCs/>
          <w:spacing w:val="1"/>
          <w:sz w:val="18"/>
          <w:szCs w:val="18"/>
          <w14:textOutline w14:w="3265">
            <w14:solidFill>
              <w14:srgbClr w14:val="000000"/>
            </w14:solidFill>
            <w14:prstDash w14:val="solid"/>
            <w14:miter w14:lim="10"/>
          </w14:textOutline>
        </w:rPr>
        <w:t>图</w:t>
      </w:r>
      <w:r>
        <w:rPr>
          <w:b/>
          <w:bCs/>
          <w:spacing w:val="1"/>
          <w:sz w:val="18"/>
          <w:szCs w:val="18"/>
        </w:rPr>
        <w:t xml:space="preserve"> </w:t>
      </w:r>
      <w:r>
        <w:rPr>
          <w:rFonts w:ascii="Times New Roman" w:eastAsia="Times New Roman" w:hAnsi="Times New Roman" w:cs="Times New Roman"/>
          <w:b/>
          <w:bCs/>
          <w:spacing w:val="1"/>
          <w:sz w:val="18"/>
          <w:szCs w:val="18"/>
        </w:rPr>
        <w:t>7:</w:t>
      </w:r>
      <w:r>
        <w:rPr>
          <w:b/>
          <w:bCs/>
          <w:spacing w:val="1"/>
          <w:sz w:val="18"/>
          <w:szCs w:val="18"/>
          <w14:textOutline w14:w="3265">
            <w14:solidFill>
              <w14:srgbClr w14:val="000000"/>
            </w14:solidFill>
            <w14:prstDash w14:val="solid"/>
            <w14:miter w14:lim="10"/>
          </w14:textOutline>
        </w:rPr>
        <w:t>美国金融危机发生前后财政赤字（十</w:t>
      </w:r>
      <w:r>
        <w:rPr>
          <w:b/>
          <w:bCs/>
          <w:sz w:val="18"/>
          <w:szCs w:val="18"/>
          <w14:textOutline w14:w="3265">
            <w14:solidFill>
              <w14:srgbClr w14:val="000000"/>
            </w14:solidFill>
            <w14:prstDash w14:val="solid"/>
            <w14:miter w14:lim="10"/>
          </w14:textOutline>
        </w:rPr>
        <w:t>亿美元）</w:t>
      </w:r>
      <w:r>
        <w:rPr>
          <w:b/>
          <w:bCs/>
          <w:sz w:val="18"/>
          <w:szCs w:val="18"/>
        </w:rPr>
        <w:t xml:space="preserve">                 </w:t>
      </w:r>
      <w:r>
        <w:rPr>
          <w:b/>
          <w:bCs/>
          <w:sz w:val="18"/>
          <w:szCs w:val="18"/>
          <w14:textOutline w14:w="3265">
            <w14:solidFill>
              <w14:srgbClr w14:val="000000"/>
            </w14:solidFill>
            <w14:prstDash w14:val="solid"/>
            <w14:miter w14:lim="10"/>
          </w14:textOutline>
        </w:rPr>
        <w:t>图</w:t>
      </w:r>
      <w:r>
        <w:rPr>
          <w:b/>
          <w:bCs/>
          <w:sz w:val="18"/>
          <w:szCs w:val="18"/>
        </w:rPr>
        <w:t xml:space="preserve"> </w:t>
      </w:r>
      <w:r>
        <w:rPr>
          <w:rFonts w:ascii="Times New Roman" w:eastAsia="Times New Roman" w:hAnsi="Times New Roman" w:cs="Times New Roman"/>
          <w:b/>
          <w:bCs/>
          <w:sz w:val="18"/>
          <w:szCs w:val="18"/>
        </w:rPr>
        <w:t>8:</w:t>
      </w:r>
      <w:r>
        <w:rPr>
          <w:b/>
          <w:bCs/>
          <w:sz w:val="18"/>
          <w:szCs w:val="18"/>
          <w14:textOutline w14:w="3265">
            <w14:solidFill>
              <w14:srgbClr w14:val="000000"/>
            </w14:solidFill>
            <w14:prstDash w14:val="solid"/>
            <w14:miter w14:lim="10"/>
          </w14:textOutline>
        </w:rPr>
        <w:t>美国金融危机发生前后国债水平（十亿美元）</w:t>
      </w:r>
    </w:p>
    <w:tbl>
      <w:tblPr>
        <w:tblStyle w:val="TableNormal7"/>
        <w:tblW w:w="9856" w:type="dxa"/>
        <w:tblInd w:w="0" w:type="dxa"/>
        <w:tblBorders>
          <w:top w:val="nil"/>
          <w:left w:val="nil"/>
          <w:bottom w:val="nil"/>
          <w:right w:val="nil"/>
          <w:insideH w:val="nil"/>
          <w:insideV w:val="nil"/>
        </w:tblBorders>
        <w:tblLayout w:type="fixed"/>
      </w:tblPr>
      <w:tblGrid>
        <w:gridCol w:w="670"/>
        <w:gridCol w:w="4181"/>
        <w:gridCol w:w="717"/>
        <w:gridCol w:w="251"/>
        <w:gridCol w:w="257"/>
        <w:gridCol w:w="257"/>
        <w:gridCol w:w="257"/>
        <w:gridCol w:w="257"/>
        <w:gridCol w:w="257"/>
        <w:gridCol w:w="257"/>
        <w:gridCol w:w="257"/>
        <w:gridCol w:w="257"/>
        <w:gridCol w:w="257"/>
        <w:gridCol w:w="257"/>
        <w:gridCol w:w="257"/>
        <w:gridCol w:w="257"/>
        <w:gridCol w:w="257"/>
        <w:gridCol w:w="696"/>
      </w:tblGrid>
      <w:tr>
        <w:tblPrEx>
          <w:tblW w:w="9856" w:type="dxa"/>
          <w:tblInd w:w="0" w:type="dxa"/>
          <w:tblBorders>
            <w:top w:val="nil"/>
            <w:left w:val="nil"/>
            <w:bottom w:val="nil"/>
            <w:right w:val="nil"/>
            <w:insideH w:val="nil"/>
            <w:insideV w:val="nil"/>
          </w:tblBorders>
          <w:tblLayout w:type="fixed"/>
        </w:tblPrEx>
        <w:trPr>
          <w:trHeight w:val="2333"/>
        </w:trPr>
        <w:tc>
          <w:tcPr>
            <w:tcW w:w="670" w:type="dxa"/>
            <w:vMerge w:val="restart"/>
            <w:tcBorders>
              <w:top w:val="single" w:sz="10" w:space="0" w:color="044E7E"/>
              <w:bottom w:val="nil"/>
            </w:tcBorders>
            <w:vAlign w:val="top"/>
          </w:tcPr>
          <w:p>
            <w:pPr>
              <w:spacing w:line="324" w:lineRule="auto"/>
              <w:rPr>
                <w:rFonts w:ascii="Arial"/>
                <w:sz w:val="21"/>
              </w:rPr>
            </w:pPr>
          </w:p>
          <w:p>
            <w:pPr>
              <w:spacing w:before="40" w:line="188" w:lineRule="auto"/>
              <w:ind w:left="336"/>
              <w:rPr>
                <w:rFonts w:ascii="Calibri" w:eastAsia="Calibri" w:hAnsi="Calibri" w:cs="Calibri"/>
                <w:sz w:val="13"/>
                <w:szCs w:val="13"/>
              </w:rPr>
            </w:pPr>
            <w:r>
              <w:rPr>
                <w:rFonts w:ascii="Calibri" w:eastAsia="Calibri" w:hAnsi="Calibri" w:cs="Calibri"/>
                <w:color w:val="838383"/>
                <w:spacing w:val="2"/>
                <w:sz w:val="13"/>
                <w:szCs w:val="13"/>
              </w:rPr>
              <w:t>1600</w:t>
            </w:r>
          </w:p>
          <w:p>
            <w:pPr>
              <w:spacing w:before="141" w:line="188" w:lineRule="auto"/>
              <w:ind w:left="336"/>
              <w:rPr>
                <w:rFonts w:ascii="Calibri" w:eastAsia="Calibri" w:hAnsi="Calibri" w:cs="Calibri"/>
                <w:sz w:val="13"/>
                <w:szCs w:val="13"/>
              </w:rPr>
            </w:pPr>
            <w:r>
              <w:rPr>
                <w:rFonts w:ascii="Calibri" w:eastAsia="Calibri" w:hAnsi="Calibri" w:cs="Calibri"/>
                <w:color w:val="838383"/>
                <w:spacing w:val="2"/>
                <w:sz w:val="13"/>
                <w:szCs w:val="13"/>
              </w:rPr>
              <w:t>1400</w:t>
            </w:r>
          </w:p>
          <w:p>
            <w:pPr>
              <w:spacing w:before="141" w:line="188" w:lineRule="auto"/>
              <w:ind w:left="336"/>
              <w:rPr>
                <w:rFonts w:ascii="Calibri" w:eastAsia="Calibri" w:hAnsi="Calibri" w:cs="Calibri"/>
                <w:sz w:val="13"/>
                <w:szCs w:val="13"/>
              </w:rPr>
            </w:pPr>
            <w:r>
              <w:rPr>
                <w:rFonts w:ascii="Calibri" w:eastAsia="Calibri" w:hAnsi="Calibri" w:cs="Calibri"/>
                <w:color w:val="838383"/>
                <w:spacing w:val="2"/>
                <w:sz w:val="13"/>
                <w:szCs w:val="13"/>
              </w:rPr>
              <w:t>1200</w:t>
            </w:r>
          </w:p>
          <w:p>
            <w:pPr>
              <w:spacing w:before="141" w:line="188" w:lineRule="auto"/>
              <w:ind w:left="336"/>
              <w:rPr>
                <w:rFonts w:ascii="Calibri" w:eastAsia="Calibri" w:hAnsi="Calibri" w:cs="Calibri"/>
                <w:sz w:val="13"/>
                <w:szCs w:val="13"/>
              </w:rPr>
            </w:pPr>
            <w:r>
              <w:rPr>
                <w:rFonts w:ascii="Calibri" w:eastAsia="Calibri" w:hAnsi="Calibri" w:cs="Calibri"/>
                <w:color w:val="838383"/>
                <w:spacing w:val="2"/>
                <w:sz w:val="13"/>
                <w:szCs w:val="13"/>
              </w:rPr>
              <w:t>1000</w:t>
            </w:r>
          </w:p>
          <w:p>
            <w:pPr>
              <w:spacing w:before="141" w:line="188" w:lineRule="auto"/>
              <w:ind w:left="401"/>
              <w:rPr>
                <w:rFonts w:ascii="Calibri" w:eastAsia="Calibri" w:hAnsi="Calibri" w:cs="Calibri"/>
                <w:sz w:val="13"/>
                <w:szCs w:val="13"/>
              </w:rPr>
            </w:pPr>
            <w:r>
              <w:rPr>
                <w:rFonts w:ascii="Calibri" w:eastAsia="Calibri" w:hAnsi="Calibri" w:cs="Calibri"/>
                <w:color w:val="838383"/>
                <w:spacing w:val="2"/>
                <w:sz w:val="13"/>
                <w:szCs w:val="13"/>
              </w:rPr>
              <w:t>800</w:t>
            </w:r>
          </w:p>
          <w:p>
            <w:pPr>
              <w:spacing w:before="141" w:line="188" w:lineRule="auto"/>
              <w:ind w:left="403"/>
              <w:rPr>
                <w:rFonts w:ascii="Calibri" w:eastAsia="Calibri" w:hAnsi="Calibri" w:cs="Calibri"/>
                <w:sz w:val="13"/>
                <w:szCs w:val="13"/>
              </w:rPr>
            </w:pPr>
            <w:r>
              <w:rPr>
                <w:rFonts w:ascii="Calibri" w:eastAsia="Calibri" w:hAnsi="Calibri" w:cs="Calibri"/>
                <w:color w:val="838383"/>
                <w:spacing w:val="2"/>
                <w:sz w:val="13"/>
                <w:szCs w:val="13"/>
              </w:rPr>
              <w:t>600</w:t>
            </w:r>
          </w:p>
          <w:p>
            <w:pPr>
              <w:spacing w:before="141" w:line="188" w:lineRule="auto"/>
              <w:ind w:left="399"/>
              <w:rPr>
                <w:rFonts w:ascii="Calibri" w:eastAsia="Calibri" w:hAnsi="Calibri" w:cs="Calibri"/>
                <w:sz w:val="13"/>
                <w:szCs w:val="13"/>
              </w:rPr>
            </w:pPr>
            <w:r>
              <w:rPr>
                <w:rFonts w:ascii="Calibri" w:eastAsia="Calibri" w:hAnsi="Calibri" w:cs="Calibri"/>
                <w:color w:val="838383"/>
                <w:spacing w:val="3"/>
                <w:sz w:val="13"/>
                <w:szCs w:val="13"/>
              </w:rPr>
              <w:t>400</w:t>
            </w:r>
          </w:p>
          <w:p>
            <w:pPr>
              <w:spacing w:before="141" w:line="188" w:lineRule="auto"/>
              <w:ind w:left="403"/>
              <w:rPr>
                <w:rFonts w:ascii="Calibri" w:eastAsia="Calibri" w:hAnsi="Calibri" w:cs="Calibri"/>
                <w:sz w:val="13"/>
                <w:szCs w:val="13"/>
              </w:rPr>
            </w:pPr>
            <w:r>
              <w:rPr>
                <w:rFonts w:ascii="Calibri" w:eastAsia="Calibri" w:hAnsi="Calibri" w:cs="Calibri"/>
                <w:color w:val="838383"/>
                <w:spacing w:val="2"/>
                <w:sz w:val="13"/>
                <w:szCs w:val="13"/>
              </w:rPr>
              <w:t>200</w:t>
            </w:r>
          </w:p>
          <w:p>
            <w:pPr>
              <w:spacing w:before="141" w:line="188" w:lineRule="auto"/>
              <w:ind w:left="542"/>
              <w:rPr>
                <w:rFonts w:ascii="Calibri" w:eastAsia="Calibri" w:hAnsi="Calibri" w:cs="Calibri"/>
                <w:sz w:val="13"/>
                <w:szCs w:val="13"/>
              </w:rPr>
            </w:pPr>
            <w:r>
              <w:rPr>
                <w:rFonts w:ascii="Calibri" w:eastAsia="Calibri" w:hAnsi="Calibri" w:cs="Calibri"/>
                <w:color w:val="838383"/>
                <w:sz w:val="13"/>
                <w:szCs w:val="13"/>
              </w:rPr>
              <w:t>0</w:t>
            </w:r>
          </w:p>
        </w:tc>
        <w:tc>
          <w:tcPr>
            <w:tcW w:w="4181" w:type="dxa"/>
            <w:vMerge w:val="restart"/>
            <w:tcBorders>
              <w:top w:val="single" w:sz="10" w:space="0" w:color="044E7E"/>
              <w:bottom w:val="nil"/>
            </w:tcBorders>
            <w:vAlign w:val="top"/>
          </w:tcPr>
          <w:p>
            <w:pPr>
              <w:spacing w:line="279" w:lineRule="auto"/>
              <w:rPr>
                <w:rFonts w:ascii="Arial"/>
                <w:sz w:val="21"/>
              </w:rPr>
            </w:pPr>
          </w:p>
          <w:p>
            <w:pPr>
              <w:spacing w:line="279" w:lineRule="auto"/>
              <w:rPr>
                <w:rFonts w:ascii="Arial"/>
                <w:sz w:val="21"/>
              </w:rPr>
            </w:pPr>
          </w:p>
          <w:p>
            <w:pPr>
              <w:spacing w:line="1749" w:lineRule="exact"/>
              <w:ind w:firstLine="423"/>
            </w:pPr>
            <w:r>
              <w:rPr>
                <w:position w:val="-34"/>
              </w:rPr>
              <w:pict>
                <v:shape id="_x0000_i1077" style="width:153.15pt;height:87.45pt;mso-position-horizontal-relative:char;mso-position-vertical-relative:line" coordorigin="0,0" coordsize="3062,1748" path="m22,1698l776,1726l1530,1072l2286,22l3039,282e" filled="f" strokecolor="red" strokeweight="2.25pt">
                  <v:stroke endcap="round"/>
                  <w10:wrap type="none"/>
                </v:shape>
              </w:pict>
            </w:r>
          </w:p>
          <w:p>
            <w:pPr>
              <w:spacing w:before="182" w:line="52" w:lineRule="exact"/>
              <w:ind w:firstLine="61"/>
            </w:pPr>
            <w:r>
              <w:rPr>
                <w:position w:val="-1"/>
              </w:rPr>
              <w:pict>
                <v:shape id="_x0000_i1078" style="width:189.35pt;height:2.6pt;mso-position-horizontal-relative:char;mso-position-vertical-relative:line" coordorigin="0,0" coordsize="3787,51" path="m7,44l3778,44m7,l7,44m761,l761,44m1515,l1515,44m2271,l2271,44m3024,l3024,44m3778,l3778,44e" filled="f" strokecolor="#d9d9d9" strokeweight="0.75pt">
                  <w10:wrap type="none"/>
                </v:shape>
              </w:pict>
            </w:r>
          </w:p>
          <w:p>
            <w:pPr>
              <w:spacing w:before="128" w:line="188" w:lineRule="auto"/>
              <w:ind w:left="311"/>
              <w:rPr>
                <w:rFonts w:ascii="Calibri" w:eastAsia="Calibri" w:hAnsi="Calibri" w:cs="Calibri"/>
                <w:sz w:val="13"/>
                <w:szCs w:val="13"/>
              </w:rPr>
            </w:pPr>
            <w:r>
              <w:rPr>
                <w:rFonts w:ascii="Calibri" w:eastAsia="Calibri" w:hAnsi="Calibri" w:cs="Calibri"/>
                <w:color w:val="838383"/>
                <w:spacing w:val="3"/>
                <w:sz w:val="13"/>
                <w:szCs w:val="13"/>
              </w:rPr>
              <w:t>2006</w:t>
            </w:r>
            <w:r>
              <w:rPr>
                <w:rFonts w:ascii="Calibri" w:eastAsia="Calibri" w:hAnsi="Calibri" w:cs="Calibri"/>
                <w:color w:val="838383"/>
                <w:sz w:val="13"/>
                <w:szCs w:val="13"/>
              </w:rPr>
              <w:t xml:space="preserve">                </w:t>
            </w:r>
            <w:r>
              <w:rPr>
                <w:rFonts w:ascii="Calibri" w:eastAsia="Calibri" w:hAnsi="Calibri" w:cs="Calibri"/>
                <w:color w:val="838383"/>
                <w:spacing w:val="3"/>
                <w:sz w:val="13"/>
                <w:szCs w:val="13"/>
              </w:rPr>
              <w:t>2007</w:t>
            </w:r>
            <w:r>
              <w:rPr>
                <w:rFonts w:ascii="Calibri" w:eastAsia="Calibri" w:hAnsi="Calibri" w:cs="Calibri"/>
                <w:color w:val="838383"/>
                <w:spacing w:val="1"/>
                <w:sz w:val="13"/>
                <w:szCs w:val="13"/>
              </w:rPr>
              <w:t xml:space="preserve">                </w:t>
            </w:r>
            <w:r>
              <w:rPr>
                <w:rFonts w:ascii="Calibri" w:eastAsia="Calibri" w:hAnsi="Calibri" w:cs="Calibri"/>
                <w:color w:val="838383"/>
                <w:spacing w:val="3"/>
                <w:sz w:val="13"/>
                <w:szCs w:val="13"/>
              </w:rPr>
              <w:t>2008</w:t>
            </w:r>
            <w:r>
              <w:rPr>
                <w:rFonts w:ascii="Calibri" w:eastAsia="Calibri" w:hAnsi="Calibri" w:cs="Calibri"/>
                <w:color w:val="838383"/>
                <w:sz w:val="13"/>
                <w:szCs w:val="13"/>
              </w:rPr>
              <w:t xml:space="preserve">                </w:t>
            </w:r>
            <w:r>
              <w:rPr>
                <w:rFonts w:ascii="Calibri" w:eastAsia="Calibri" w:hAnsi="Calibri" w:cs="Calibri"/>
                <w:color w:val="838383"/>
                <w:spacing w:val="3"/>
                <w:sz w:val="13"/>
                <w:szCs w:val="13"/>
              </w:rPr>
              <w:t>2009</w:t>
            </w:r>
            <w:r>
              <w:rPr>
                <w:rFonts w:ascii="Calibri" w:eastAsia="Calibri" w:hAnsi="Calibri" w:cs="Calibri"/>
                <w:color w:val="838383"/>
                <w:spacing w:val="1"/>
                <w:sz w:val="13"/>
                <w:szCs w:val="13"/>
              </w:rPr>
              <w:t xml:space="preserve">                </w:t>
            </w:r>
            <w:r>
              <w:rPr>
                <w:rFonts w:ascii="Calibri" w:eastAsia="Calibri" w:hAnsi="Calibri" w:cs="Calibri"/>
                <w:color w:val="838383"/>
                <w:spacing w:val="3"/>
                <w:sz w:val="13"/>
                <w:szCs w:val="13"/>
              </w:rPr>
              <w:t>2010</w:t>
            </w:r>
          </w:p>
        </w:tc>
        <w:tc>
          <w:tcPr>
            <w:tcW w:w="717" w:type="dxa"/>
            <w:vMerge w:val="restart"/>
            <w:tcBorders>
              <w:top w:val="single" w:sz="10" w:space="0" w:color="044E7E"/>
              <w:bottom w:val="nil"/>
            </w:tcBorders>
            <w:vAlign w:val="top"/>
          </w:tcPr>
          <w:p>
            <w:pPr>
              <w:spacing w:line="375" w:lineRule="auto"/>
              <w:rPr>
                <w:rFonts w:ascii="Arial"/>
                <w:sz w:val="21"/>
              </w:rPr>
            </w:pPr>
          </w:p>
          <w:p>
            <w:pPr>
              <w:spacing w:before="40" w:line="190" w:lineRule="auto"/>
              <w:ind w:left="333"/>
              <w:rPr>
                <w:rFonts w:ascii="Calibri" w:eastAsia="Calibri" w:hAnsi="Calibri" w:cs="Calibri"/>
                <w:sz w:val="13"/>
                <w:szCs w:val="13"/>
              </w:rPr>
            </w:pPr>
            <w:r>
              <w:rPr>
                <w:rFonts w:ascii="Calibri" w:eastAsia="Calibri" w:hAnsi="Calibri" w:cs="Calibri"/>
                <w:color w:val="838383"/>
                <w:spacing w:val="1"/>
                <w:sz w:val="13"/>
                <w:szCs w:val="13"/>
              </w:rPr>
              <w:t>1,550</w:t>
            </w:r>
          </w:p>
          <w:p>
            <w:pPr>
              <w:spacing w:before="77" w:line="190" w:lineRule="auto"/>
              <w:ind w:left="333"/>
              <w:rPr>
                <w:rFonts w:ascii="Calibri" w:eastAsia="Calibri" w:hAnsi="Calibri" w:cs="Calibri"/>
                <w:sz w:val="13"/>
                <w:szCs w:val="13"/>
              </w:rPr>
            </w:pPr>
            <w:r>
              <w:rPr>
                <w:rFonts w:ascii="Calibri" w:eastAsia="Calibri" w:hAnsi="Calibri" w:cs="Calibri"/>
                <w:color w:val="838383"/>
                <w:spacing w:val="1"/>
                <w:sz w:val="13"/>
                <w:szCs w:val="13"/>
              </w:rPr>
              <w:t>1,450</w:t>
            </w:r>
          </w:p>
          <w:p>
            <w:pPr>
              <w:spacing w:before="76" w:line="190" w:lineRule="auto"/>
              <w:ind w:left="333"/>
              <w:rPr>
                <w:rFonts w:ascii="Calibri" w:eastAsia="Calibri" w:hAnsi="Calibri" w:cs="Calibri"/>
                <w:sz w:val="13"/>
                <w:szCs w:val="13"/>
              </w:rPr>
            </w:pPr>
            <w:r>
              <w:rPr>
                <w:rFonts w:ascii="Calibri" w:eastAsia="Calibri" w:hAnsi="Calibri" w:cs="Calibri"/>
                <w:color w:val="838383"/>
                <w:spacing w:val="1"/>
                <w:sz w:val="13"/>
                <w:szCs w:val="13"/>
              </w:rPr>
              <w:t>1,350</w:t>
            </w:r>
          </w:p>
          <w:p>
            <w:pPr>
              <w:spacing w:before="77" w:line="190" w:lineRule="auto"/>
              <w:ind w:left="333"/>
              <w:rPr>
                <w:rFonts w:ascii="Calibri" w:eastAsia="Calibri" w:hAnsi="Calibri" w:cs="Calibri"/>
                <w:sz w:val="13"/>
                <w:szCs w:val="13"/>
              </w:rPr>
            </w:pPr>
            <w:r>
              <w:rPr>
                <w:rFonts w:ascii="Calibri" w:eastAsia="Calibri" w:hAnsi="Calibri" w:cs="Calibri"/>
                <w:color w:val="838383"/>
                <w:spacing w:val="1"/>
                <w:sz w:val="13"/>
                <w:szCs w:val="13"/>
              </w:rPr>
              <w:t>1,250</w:t>
            </w:r>
          </w:p>
          <w:p>
            <w:pPr>
              <w:spacing w:before="77" w:line="190" w:lineRule="auto"/>
              <w:ind w:left="333"/>
              <w:rPr>
                <w:rFonts w:ascii="Calibri" w:eastAsia="Calibri" w:hAnsi="Calibri" w:cs="Calibri"/>
                <w:sz w:val="13"/>
                <w:szCs w:val="13"/>
              </w:rPr>
            </w:pPr>
            <w:r>
              <w:rPr>
                <w:rFonts w:ascii="Calibri" w:eastAsia="Calibri" w:hAnsi="Calibri" w:cs="Calibri"/>
                <w:color w:val="838383"/>
                <w:spacing w:val="1"/>
                <w:sz w:val="13"/>
                <w:szCs w:val="13"/>
              </w:rPr>
              <w:t>1,150</w:t>
            </w:r>
          </w:p>
          <w:p>
            <w:pPr>
              <w:spacing w:before="77" w:line="190" w:lineRule="auto"/>
              <w:ind w:left="333"/>
              <w:rPr>
                <w:rFonts w:ascii="Calibri" w:eastAsia="Calibri" w:hAnsi="Calibri" w:cs="Calibri"/>
                <w:sz w:val="13"/>
                <w:szCs w:val="13"/>
              </w:rPr>
            </w:pPr>
            <w:r>
              <w:rPr>
                <w:rFonts w:ascii="Calibri" w:eastAsia="Calibri" w:hAnsi="Calibri" w:cs="Calibri"/>
                <w:color w:val="838383"/>
                <w:spacing w:val="1"/>
                <w:sz w:val="13"/>
                <w:szCs w:val="13"/>
              </w:rPr>
              <w:t>1,050</w:t>
            </w:r>
          </w:p>
          <w:p>
            <w:pPr>
              <w:spacing w:before="77" w:line="188" w:lineRule="auto"/>
              <w:ind w:left="433"/>
              <w:rPr>
                <w:rFonts w:ascii="Calibri" w:eastAsia="Calibri" w:hAnsi="Calibri" w:cs="Calibri"/>
                <w:sz w:val="13"/>
                <w:szCs w:val="13"/>
              </w:rPr>
            </w:pPr>
            <w:r>
              <w:rPr>
                <w:rFonts w:ascii="Calibri" w:eastAsia="Calibri" w:hAnsi="Calibri" w:cs="Calibri"/>
                <w:color w:val="838383"/>
                <w:spacing w:val="2"/>
                <w:sz w:val="13"/>
                <w:szCs w:val="13"/>
              </w:rPr>
              <w:t>950</w:t>
            </w:r>
          </w:p>
          <w:p>
            <w:pPr>
              <w:spacing w:before="79" w:line="188" w:lineRule="auto"/>
              <w:ind w:left="433"/>
              <w:rPr>
                <w:rFonts w:ascii="Calibri" w:eastAsia="Calibri" w:hAnsi="Calibri" w:cs="Calibri"/>
                <w:sz w:val="13"/>
                <w:szCs w:val="13"/>
              </w:rPr>
            </w:pPr>
            <w:r>
              <w:rPr>
                <w:rFonts w:ascii="Calibri" w:eastAsia="Calibri" w:hAnsi="Calibri" w:cs="Calibri"/>
                <w:color w:val="838383"/>
                <w:spacing w:val="2"/>
                <w:sz w:val="13"/>
                <w:szCs w:val="13"/>
              </w:rPr>
              <w:t>850</w:t>
            </w:r>
          </w:p>
          <w:p>
            <w:pPr>
              <w:spacing w:before="78" w:line="188" w:lineRule="auto"/>
              <w:ind w:left="434"/>
              <w:rPr>
                <w:rFonts w:ascii="Calibri" w:eastAsia="Calibri" w:hAnsi="Calibri" w:cs="Calibri"/>
                <w:sz w:val="13"/>
                <w:szCs w:val="13"/>
              </w:rPr>
            </w:pPr>
            <w:r>
              <w:rPr>
                <w:rFonts w:ascii="Calibri" w:eastAsia="Calibri" w:hAnsi="Calibri" w:cs="Calibri"/>
                <w:color w:val="838383"/>
                <w:spacing w:val="2"/>
                <w:sz w:val="13"/>
                <w:szCs w:val="13"/>
              </w:rPr>
              <w:t>750</w:t>
            </w:r>
          </w:p>
          <w:p>
            <w:pPr>
              <w:spacing w:before="79" w:line="188" w:lineRule="auto"/>
              <w:ind w:left="435"/>
              <w:rPr>
                <w:rFonts w:ascii="Calibri" w:eastAsia="Calibri" w:hAnsi="Calibri" w:cs="Calibri"/>
                <w:sz w:val="13"/>
                <w:szCs w:val="13"/>
              </w:rPr>
            </w:pPr>
            <w:r>
              <w:rPr>
                <w:rFonts w:ascii="Calibri" w:eastAsia="Calibri" w:hAnsi="Calibri" w:cs="Calibri"/>
                <w:color w:val="838383"/>
                <w:spacing w:val="2"/>
                <w:sz w:val="13"/>
                <w:szCs w:val="13"/>
              </w:rPr>
              <w:t>650</w:t>
            </w:r>
          </w:p>
        </w:tc>
        <w:tc>
          <w:tcPr>
            <w:tcW w:w="4288" w:type="dxa"/>
            <w:gridSpan w:val="15"/>
            <w:tcBorders>
              <w:top w:val="single" w:sz="10" w:space="0" w:color="044E7E"/>
            </w:tcBorders>
            <w:vAlign w:val="top"/>
          </w:tcPr>
          <w:p>
            <w:pPr>
              <w:spacing w:line="460" w:lineRule="auto"/>
              <w:rPr>
                <w:rFonts w:ascii="Arial"/>
                <w:sz w:val="21"/>
              </w:rPr>
            </w:pPr>
          </w:p>
          <w:p>
            <w:pPr>
              <w:spacing w:line="1632" w:lineRule="exact"/>
              <w:ind w:firstLine="93"/>
            </w:pPr>
            <w:r>
              <w:rPr>
                <w:position w:val="-32"/>
              </w:rPr>
              <w:pict>
                <v:shape id="_x0000_i1079" style="width:191.8pt;height:81.6pt;mso-position-horizontal-relative:char;mso-position-vertical-relative:line" coordorigin="0,0" coordsize="3836,1631" path="m22,551l86,556l150,520l215,503l280,527l342,602l407,590l472,535l537,472l599,379l664,328l729,273l794,256l856,215l921,292l986,177l1050,81l1115,74l1178,59l1242,194l1307,107l1372,22l1434,177l1499,146l1564,347l1629,398l1691,475l1756,364l1821,299l1886,424l1948,595l2013,547l2078,676l2142,1180l2207,1353l2270,1365l2334,1389l2399,1511l2464,1609l2526,1425l2591,1315l2656,1267l2721,1247l2783,1096l2848,1027l2913,979l2978,938l3042,892l3105,866l3170,935l3234,808l3299,717l3362,863l3426,947l3491,955l3556,940l3618,868l3683,767l3748,712l3812,626e" filled="f" strokecolor="red" strokeweight="2.25pt">
                  <v:stroke endcap="round"/>
                  <w10:wrap type="none"/>
                </v:shape>
              </w:pict>
            </w:r>
          </w:p>
          <w:p>
            <w:pPr>
              <w:spacing w:before="150" w:line="52" w:lineRule="exact"/>
              <w:ind w:firstLine="76"/>
            </w:pPr>
            <w:r>
              <w:rPr>
                <w:position w:val="-1"/>
              </w:rPr>
              <w:pict>
                <v:shape id="_x0000_i1080" style="width:193.5pt;height:2.6pt;mso-position-horizontal-relative:char;mso-position-vertical-relative:line" coordorigin="0,0" coordsize="3870,51" path="m7,44l3861,44m7,l7,44m264,l264,44m520,l520,44m777,l777,44m1034,l1034,44m1291,l1291,44m1548,l1548,44m1807,l1807,44m2064,l2064,44m2320,l2320,44m2577,l2577,44m2834,l2834,44m3091,l3091,44m3348,l3348,44m3604,l3604,44m3861,l3861,44e" filled="f" strokecolor="#d9d9d9" strokeweight="0.75pt">
                  <w10:wrap type="none"/>
                </v:shape>
              </w:pict>
            </w:r>
          </w:p>
        </w:tc>
      </w:tr>
      <w:tr>
        <w:tblPrEx>
          <w:tblW w:w="9856" w:type="dxa"/>
          <w:tblInd w:w="0" w:type="dxa"/>
          <w:tblLayout w:type="fixed"/>
        </w:tblPrEx>
        <w:trPr>
          <w:trHeight w:val="793"/>
        </w:trPr>
        <w:tc>
          <w:tcPr>
            <w:tcW w:w="670" w:type="dxa"/>
            <w:vMerge/>
            <w:tcBorders>
              <w:top w:val="nil"/>
              <w:bottom w:val="single" w:sz="6" w:space="0" w:color="044E7E"/>
            </w:tcBorders>
            <w:vAlign w:val="top"/>
          </w:tcPr>
          <w:p>
            <w:pPr>
              <w:rPr>
                <w:rFonts w:ascii="Arial"/>
                <w:sz w:val="21"/>
              </w:rPr>
            </w:pPr>
          </w:p>
        </w:tc>
        <w:tc>
          <w:tcPr>
            <w:tcW w:w="4181" w:type="dxa"/>
            <w:vMerge/>
            <w:tcBorders>
              <w:top w:val="nil"/>
              <w:bottom w:val="single" w:sz="6" w:space="0" w:color="044E7E"/>
            </w:tcBorders>
            <w:vAlign w:val="top"/>
          </w:tcPr>
          <w:p>
            <w:pPr>
              <w:rPr>
                <w:rFonts w:ascii="Arial"/>
                <w:sz w:val="21"/>
              </w:rPr>
            </w:pPr>
          </w:p>
        </w:tc>
        <w:tc>
          <w:tcPr>
            <w:tcW w:w="717" w:type="dxa"/>
            <w:vMerge/>
            <w:tcBorders>
              <w:top w:val="nil"/>
              <w:bottom w:val="single" w:sz="6" w:space="0" w:color="044E7E"/>
            </w:tcBorders>
            <w:vAlign w:val="top"/>
          </w:tcPr>
          <w:p>
            <w:pPr>
              <w:rPr>
                <w:rFonts w:ascii="Arial"/>
                <w:sz w:val="21"/>
              </w:rPr>
            </w:pPr>
          </w:p>
        </w:tc>
        <w:tc>
          <w:tcPr>
            <w:tcW w:w="251" w:type="dxa"/>
            <w:tcBorders>
              <w:bottom w:val="single" w:sz="6" w:space="0" w:color="044E7E"/>
            </w:tcBorders>
            <w:textDirection w:val="btLr"/>
            <w:vAlign w:val="top"/>
          </w:tcPr>
          <w:p>
            <w:pPr>
              <w:spacing w:before="77" w:line="188" w:lineRule="auto"/>
              <w:ind w:left="292"/>
              <w:rPr>
                <w:rFonts w:ascii="Calibri" w:eastAsia="Calibri" w:hAnsi="Calibri" w:cs="Calibri"/>
                <w:sz w:val="13"/>
                <w:szCs w:val="13"/>
              </w:rPr>
            </w:pPr>
            <w:r>
              <w:rPr>
                <w:rFonts w:ascii="Calibri" w:eastAsia="Calibri" w:hAnsi="Calibri" w:cs="Calibri"/>
                <w:color w:val="838383"/>
                <w:spacing w:val="3"/>
                <w:sz w:val="13"/>
                <w:szCs w:val="13"/>
              </w:rPr>
              <w:t>2006-01</w:t>
            </w:r>
          </w:p>
        </w:tc>
        <w:tc>
          <w:tcPr>
            <w:tcW w:w="257" w:type="dxa"/>
            <w:tcBorders>
              <w:bottom w:val="single" w:sz="6" w:space="0" w:color="044E7E"/>
            </w:tcBorders>
            <w:textDirection w:val="btLr"/>
            <w:vAlign w:val="top"/>
          </w:tcPr>
          <w:p>
            <w:pPr>
              <w:spacing w:before="83" w:line="188" w:lineRule="auto"/>
              <w:ind w:left="292"/>
              <w:rPr>
                <w:rFonts w:ascii="Calibri" w:eastAsia="Calibri" w:hAnsi="Calibri" w:cs="Calibri"/>
                <w:sz w:val="13"/>
                <w:szCs w:val="13"/>
              </w:rPr>
            </w:pPr>
            <w:r>
              <w:rPr>
                <w:rFonts w:ascii="Calibri" w:eastAsia="Calibri" w:hAnsi="Calibri" w:cs="Calibri"/>
                <w:color w:val="838383"/>
                <w:spacing w:val="3"/>
                <w:sz w:val="13"/>
                <w:szCs w:val="13"/>
              </w:rPr>
              <w:t>2006-05</w:t>
            </w:r>
          </w:p>
        </w:tc>
        <w:tc>
          <w:tcPr>
            <w:tcW w:w="257" w:type="dxa"/>
            <w:tcBorders>
              <w:bottom w:val="single" w:sz="6" w:space="0" w:color="044E7E"/>
            </w:tcBorders>
            <w:textDirection w:val="btLr"/>
            <w:vAlign w:val="top"/>
          </w:tcPr>
          <w:p>
            <w:pPr>
              <w:spacing w:before="83" w:line="188" w:lineRule="auto"/>
              <w:ind w:left="292"/>
              <w:rPr>
                <w:rFonts w:ascii="Calibri" w:eastAsia="Calibri" w:hAnsi="Calibri" w:cs="Calibri"/>
                <w:sz w:val="13"/>
                <w:szCs w:val="13"/>
              </w:rPr>
            </w:pPr>
            <w:r>
              <w:rPr>
                <w:rFonts w:ascii="Calibri" w:eastAsia="Calibri" w:hAnsi="Calibri" w:cs="Calibri"/>
                <w:color w:val="838383"/>
                <w:spacing w:val="3"/>
                <w:sz w:val="13"/>
                <w:szCs w:val="13"/>
              </w:rPr>
              <w:t>2006-09</w:t>
            </w:r>
          </w:p>
        </w:tc>
        <w:tc>
          <w:tcPr>
            <w:tcW w:w="257" w:type="dxa"/>
            <w:tcBorders>
              <w:bottom w:val="single" w:sz="6" w:space="0" w:color="044E7E"/>
            </w:tcBorders>
            <w:textDirection w:val="btLr"/>
            <w:vAlign w:val="top"/>
          </w:tcPr>
          <w:p>
            <w:pPr>
              <w:spacing w:before="82" w:line="188" w:lineRule="auto"/>
              <w:ind w:left="292"/>
              <w:rPr>
                <w:rFonts w:ascii="Calibri" w:eastAsia="Calibri" w:hAnsi="Calibri" w:cs="Calibri"/>
                <w:sz w:val="13"/>
                <w:szCs w:val="13"/>
              </w:rPr>
            </w:pPr>
            <w:r>
              <w:rPr>
                <w:rFonts w:ascii="Calibri" w:eastAsia="Calibri" w:hAnsi="Calibri" w:cs="Calibri"/>
                <w:color w:val="838383"/>
                <w:spacing w:val="3"/>
                <w:sz w:val="13"/>
                <w:szCs w:val="13"/>
              </w:rPr>
              <w:t>2007-01</w:t>
            </w:r>
          </w:p>
        </w:tc>
        <w:tc>
          <w:tcPr>
            <w:tcW w:w="257" w:type="dxa"/>
            <w:tcBorders>
              <w:bottom w:val="single" w:sz="6" w:space="0" w:color="044E7E"/>
            </w:tcBorders>
            <w:textDirection w:val="btLr"/>
            <w:vAlign w:val="top"/>
          </w:tcPr>
          <w:p>
            <w:pPr>
              <w:spacing w:before="83" w:line="188" w:lineRule="auto"/>
              <w:ind w:left="292"/>
              <w:rPr>
                <w:rFonts w:ascii="Calibri" w:eastAsia="Calibri" w:hAnsi="Calibri" w:cs="Calibri"/>
                <w:sz w:val="13"/>
                <w:szCs w:val="13"/>
              </w:rPr>
            </w:pPr>
            <w:r>
              <w:rPr>
                <w:rFonts w:ascii="Calibri" w:eastAsia="Calibri" w:hAnsi="Calibri" w:cs="Calibri"/>
                <w:color w:val="838383"/>
                <w:spacing w:val="3"/>
                <w:sz w:val="13"/>
                <w:szCs w:val="13"/>
              </w:rPr>
              <w:t>2007-05</w:t>
            </w:r>
          </w:p>
        </w:tc>
        <w:tc>
          <w:tcPr>
            <w:tcW w:w="257" w:type="dxa"/>
            <w:tcBorders>
              <w:bottom w:val="single" w:sz="6" w:space="0" w:color="044E7E"/>
            </w:tcBorders>
            <w:textDirection w:val="btLr"/>
            <w:vAlign w:val="top"/>
          </w:tcPr>
          <w:p>
            <w:pPr>
              <w:spacing w:before="82" w:line="188" w:lineRule="auto"/>
              <w:ind w:left="292"/>
              <w:rPr>
                <w:rFonts w:ascii="Calibri" w:eastAsia="Calibri" w:hAnsi="Calibri" w:cs="Calibri"/>
                <w:sz w:val="13"/>
                <w:szCs w:val="13"/>
              </w:rPr>
            </w:pPr>
            <w:r>
              <w:rPr>
                <w:rFonts w:ascii="Calibri" w:eastAsia="Calibri" w:hAnsi="Calibri" w:cs="Calibri"/>
                <w:color w:val="838383"/>
                <w:spacing w:val="3"/>
                <w:sz w:val="13"/>
                <w:szCs w:val="13"/>
              </w:rPr>
              <w:t>2007-09</w:t>
            </w:r>
          </w:p>
        </w:tc>
        <w:tc>
          <w:tcPr>
            <w:tcW w:w="257" w:type="dxa"/>
            <w:tcBorders>
              <w:bottom w:val="single" w:sz="6" w:space="0" w:color="044E7E"/>
            </w:tcBorders>
            <w:textDirection w:val="btLr"/>
            <w:vAlign w:val="top"/>
          </w:tcPr>
          <w:p>
            <w:pPr>
              <w:spacing w:before="83" w:line="188" w:lineRule="auto"/>
              <w:ind w:left="292"/>
              <w:rPr>
                <w:rFonts w:ascii="Calibri" w:eastAsia="Calibri" w:hAnsi="Calibri" w:cs="Calibri"/>
                <w:sz w:val="13"/>
                <w:szCs w:val="13"/>
              </w:rPr>
            </w:pPr>
            <w:r>
              <w:rPr>
                <w:rFonts w:ascii="Calibri" w:eastAsia="Calibri" w:hAnsi="Calibri" w:cs="Calibri"/>
                <w:color w:val="838383"/>
                <w:spacing w:val="3"/>
                <w:sz w:val="13"/>
                <w:szCs w:val="13"/>
              </w:rPr>
              <w:t>2008-01</w:t>
            </w:r>
          </w:p>
        </w:tc>
        <w:tc>
          <w:tcPr>
            <w:tcW w:w="257" w:type="dxa"/>
            <w:tcBorders>
              <w:bottom w:val="single" w:sz="6" w:space="0" w:color="044E7E"/>
            </w:tcBorders>
            <w:textDirection w:val="btLr"/>
            <w:vAlign w:val="top"/>
          </w:tcPr>
          <w:p>
            <w:pPr>
              <w:spacing w:before="82" w:line="188" w:lineRule="auto"/>
              <w:ind w:left="292"/>
              <w:rPr>
                <w:rFonts w:ascii="Calibri" w:eastAsia="Calibri" w:hAnsi="Calibri" w:cs="Calibri"/>
                <w:sz w:val="13"/>
                <w:szCs w:val="13"/>
              </w:rPr>
            </w:pPr>
            <w:r>
              <w:rPr>
                <w:rFonts w:ascii="Calibri" w:eastAsia="Calibri" w:hAnsi="Calibri" w:cs="Calibri"/>
                <w:color w:val="838383"/>
                <w:spacing w:val="3"/>
                <w:sz w:val="13"/>
                <w:szCs w:val="13"/>
              </w:rPr>
              <w:t>2008-05</w:t>
            </w:r>
          </w:p>
        </w:tc>
        <w:tc>
          <w:tcPr>
            <w:tcW w:w="257" w:type="dxa"/>
            <w:tcBorders>
              <w:bottom w:val="single" w:sz="6" w:space="0" w:color="044E7E"/>
            </w:tcBorders>
            <w:textDirection w:val="btLr"/>
            <w:vAlign w:val="top"/>
          </w:tcPr>
          <w:p>
            <w:pPr>
              <w:spacing w:before="83" w:line="188" w:lineRule="auto"/>
              <w:ind w:left="292"/>
              <w:rPr>
                <w:rFonts w:ascii="Calibri" w:eastAsia="Calibri" w:hAnsi="Calibri" w:cs="Calibri"/>
                <w:sz w:val="13"/>
                <w:szCs w:val="13"/>
              </w:rPr>
            </w:pPr>
            <w:r>
              <w:rPr>
                <w:rFonts w:ascii="Calibri" w:eastAsia="Calibri" w:hAnsi="Calibri" w:cs="Calibri"/>
                <w:color w:val="838383"/>
                <w:spacing w:val="3"/>
                <w:sz w:val="13"/>
                <w:szCs w:val="13"/>
              </w:rPr>
              <w:t>2008-09</w:t>
            </w:r>
          </w:p>
        </w:tc>
        <w:tc>
          <w:tcPr>
            <w:tcW w:w="257" w:type="dxa"/>
            <w:tcBorders>
              <w:bottom w:val="single" w:sz="6" w:space="0" w:color="044E7E"/>
            </w:tcBorders>
            <w:textDirection w:val="btLr"/>
            <w:vAlign w:val="top"/>
          </w:tcPr>
          <w:p>
            <w:pPr>
              <w:spacing w:before="82" w:line="188" w:lineRule="auto"/>
              <w:ind w:left="292"/>
              <w:rPr>
                <w:rFonts w:ascii="Calibri" w:eastAsia="Calibri" w:hAnsi="Calibri" w:cs="Calibri"/>
                <w:sz w:val="13"/>
                <w:szCs w:val="13"/>
              </w:rPr>
            </w:pPr>
            <w:r>
              <w:rPr>
                <w:rFonts w:ascii="Calibri" w:eastAsia="Calibri" w:hAnsi="Calibri" w:cs="Calibri"/>
                <w:color w:val="838383"/>
                <w:spacing w:val="3"/>
                <w:sz w:val="13"/>
                <w:szCs w:val="13"/>
              </w:rPr>
              <w:t>2009-01</w:t>
            </w:r>
          </w:p>
        </w:tc>
        <w:tc>
          <w:tcPr>
            <w:tcW w:w="257" w:type="dxa"/>
            <w:tcBorders>
              <w:bottom w:val="single" w:sz="6" w:space="0" w:color="044E7E"/>
            </w:tcBorders>
            <w:textDirection w:val="btLr"/>
            <w:vAlign w:val="top"/>
          </w:tcPr>
          <w:p>
            <w:pPr>
              <w:spacing w:before="83" w:line="188" w:lineRule="auto"/>
              <w:ind w:left="292"/>
              <w:rPr>
                <w:rFonts w:ascii="Calibri" w:eastAsia="Calibri" w:hAnsi="Calibri" w:cs="Calibri"/>
                <w:sz w:val="13"/>
                <w:szCs w:val="13"/>
              </w:rPr>
            </w:pPr>
            <w:r>
              <w:rPr>
                <w:rFonts w:ascii="Calibri" w:eastAsia="Calibri" w:hAnsi="Calibri" w:cs="Calibri"/>
                <w:color w:val="838383"/>
                <w:spacing w:val="3"/>
                <w:sz w:val="13"/>
                <w:szCs w:val="13"/>
              </w:rPr>
              <w:t>2009-05</w:t>
            </w:r>
          </w:p>
        </w:tc>
        <w:tc>
          <w:tcPr>
            <w:tcW w:w="257" w:type="dxa"/>
            <w:tcBorders>
              <w:bottom w:val="single" w:sz="6" w:space="0" w:color="044E7E"/>
            </w:tcBorders>
            <w:textDirection w:val="btLr"/>
            <w:vAlign w:val="top"/>
          </w:tcPr>
          <w:p>
            <w:pPr>
              <w:spacing w:before="83" w:line="188" w:lineRule="auto"/>
              <w:ind w:left="292"/>
              <w:rPr>
                <w:rFonts w:ascii="Calibri" w:eastAsia="Calibri" w:hAnsi="Calibri" w:cs="Calibri"/>
                <w:sz w:val="13"/>
                <w:szCs w:val="13"/>
              </w:rPr>
            </w:pPr>
            <w:r>
              <w:rPr>
                <w:rFonts w:ascii="Calibri" w:eastAsia="Calibri" w:hAnsi="Calibri" w:cs="Calibri"/>
                <w:color w:val="838383"/>
                <w:spacing w:val="3"/>
                <w:sz w:val="13"/>
                <w:szCs w:val="13"/>
              </w:rPr>
              <w:t>2009-09</w:t>
            </w:r>
          </w:p>
        </w:tc>
        <w:tc>
          <w:tcPr>
            <w:tcW w:w="257" w:type="dxa"/>
            <w:tcBorders>
              <w:bottom w:val="single" w:sz="6" w:space="0" w:color="044E7E"/>
            </w:tcBorders>
            <w:textDirection w:val="btLr"/>
            <w:vAlign w:val="top"/>
          </w:tcPr>
          <w:p>
            <w:pPr>
              <w:spacing w:before="82" w:line="188" w:lineRule="auto"/>
              <w:ind w:left="292"/>
              <w:rPr>
                <w:rFonts w:ascii="Calibri" w:eastAsia="Calibri" w:hAnsi="Calibri" w:cs="Calibri"/>
                <w:sz w:val="13"/>
                <w:szCs w:val="13"/>
              </w:rPr>
            </w:pPr>
            <w:r>
              <w:rPr>
                <w:rFonts w:ascii="Calibri" w:eastAsia="Calibri" w:hAnsi="Calibri" w:cs="Calibri"/>
                <w:color w:val="838383"/>
                <w:spacing w:val="3"/>
                <w:sz w:val="13"/>
                <w:szCs w:val="13"/>
              </w:rPr>
              <w:t>2010-01</w:t>
            </w:r>
          </w:p>
        </w:tc>
        <w:tc>
          <w:tcPr>
            <w:tcW w:w="257" w:type="dxa"/>
            <w:tcBorders>
              <w:bottom w:val="single" w:sz="6" w:space="0" w:color="044E7E"/>
            </w:tcBorders>
            <w:textDirection w:val="btLr"/>
            <w:vAlign w:val="top"/>
          </w:tcPr>
          <w:p>
            <w:pPr>
              <w:spacing w:before="83" w:line="188" w:lineRule="auto"/>
              <w:ind w:left="292"/>
              <w:rPr>
                <w:rFonts w:ascii="Calibri" w:eastAsia="Calibri" w:hAnsi="Calibri" w:cs="Calibri"/>
                <w:sz w:val="13"/>
                <w:szCs w:val="13"/>
              </w:rPr>
            </w:pPr>
            <w:r>
              <w:rPr>
                <w:rFonts w:ascii="Calibri" w:eastAsia="Calibri" w:hAnsi="Calibri" w:cs="Calibri"/>
                <w:color w:val="838383"/>
                <w:spacing w:val="3"/>
                <w:sz w:val="13"/>
                <w:szCs w:val="13"/>
              </w:rPr>
              <w:t>2010-05</w:t>
            </w:r>
          </w:p>
        </w:tc>
        <w:tc>
          <w:tcPr>
            <w:tcW w:w="696" w:type="dxa"/>
            <w:tcBorders>
              <w:bottom w:val="single" w:sz="6" w:space="0" w:color="044E7E"/>
            </w:tcBorders>
            <w:textDirection w:val="btLr"/>
            <w:vAlign w:val="top"/>
          </w:tcPr>
          <w:p>
            <w:pPr>
              <w:spacing w:before="82" w:line="188" w:lineRule="auto"/>
              <w:ind w:left="292"/>
              <w:rPr>
                <w:rFonts w:ascii="Calibri" w:eastAsia="Calibri" w:hAnsi="Calibri" w:cs="Calibri"/>
                <w:sz w:val="13"/>
                <w:szCs w:val="13"/>
              </w:rPr>
            </w:pPr>
            <w:r>
              <w:rPr>
                <w:rFonts w:ascii="Calibri" w:eastAsia="Calibri" w:hAnsi="Calibri" w:cs="Calibri"/>
                <w:color w:val="838383"/>
                <w:spacing w:val="3"/>
                <w:sz w:val="13"/>
                <w:szCs w:val="13"/>
              </w:rPr>
              <w:t>2010-09</w:t>
            </w:r>
          </w:p>
        </w:tc>
      </w:tr>
      <w:tr>
        <w:tblPrEx>
          <w:tblW w:w="9856" w:type="dxa"/>
          <w:tblInd w:w="0" w:type="dxa"/>
          <w:tblLayout w:type="fixed"/>
        </w:tblPrEx>
        <w:trPr>
          <w:trHeight w:val="585"/>
        </w:trPr>
        <w:tc>
          <w:tcPr>
            <w:tcW w:w="9856" w:type="dxa"/>
            <w:gridSpan w:val="18"/>
            <w:tcBorders>
              <w:top w:val="single" w:sz="6" w:space="0" w:color="044E7E"/>
            </w:tcBorders>
            <w:vAlign w:val="top"/>
          </w:tcPr>
          <w:p>
            <w:pPr>
              <w:pStyle w:val="TableText"/>
              <w:spacing w:before="82" w:line="185" w:lineRule="auto"/>
              <w:ind w:left="108"/>
              <w:rPr>
                <w:sz w:val="16"/>
                <w:szCs w:val="16"/>
              </w:rPr>
            </w:pPr>
            <w:r>
              <w:rPr>
                <w:i/>
                <w:iCs/>
                <w:spacing w:val="2"/>
                <w:sz w:val="16"/>
                <w:szCs w:val="16"/>
              </w:rPr>
              <w:t>数据来源：</w:t>
            </w:r>
            <w:r>
              <w:rPr>
                <w:rFonts w:ascii="Times New Roman" w:eastAsia="Times New Roman" w:hAnsi="Times New Roman" w:cs="Times New Roman"/>
                <w:i/>
                <w:iCs/>
                <w:sz w:val="16"/>
                <w:szCs w:val="16"/>
              </w:rPr>
              <w:t>Wind</w:t>
            </w:r>
            <w:r>
              <w:rPr>
                <w:i/>
                <w:iCs/>
                <w:spacing w:val="2"/>
                <w:sz w:val="16"/>
                <w:szCs w:val="16"/>
              </w:rPr>
              <w:t>，中信建投证券</w:t>
            </w:r>
            <w:r>
              <w:rPr>
                <w:spacing w:val="2"/>
                <w:sz w:val="16"/>
                <w:szCs w:val="16"/>
              </w:rPr>
              <w:t xml:space="preserve">                                                      </w:t>
            </w:r>
            <w:r>
              <w:rPr>
                <w:i/>
                <w:iCs/>
                <w:spacing w:val="2"/>
                <w:sz w:val="16"/>
                <w:szCs w:val="16"/>
              </w:rPr>
              <w:t>数据来源：</w:t>
            </w:r>
            <w:r>
              <w:rPr>
                <w:rFonts w:ascii="Times New Roman" w:eastAsia="Times New Roman" w:hAnsi="Times New Roman" w:cs="Times New Roman"/>
                <w:i/>
                <w:iCs/>
                <w:sz w:val="16"/>
                <w:szCs w:val="16"/>
              </w:rPr>
              <w:t>Wind</w:t>
            </w:r>
            <w:r>
              <w:rPr>
                <w:i/>
                <w:iCs/>
                <w:spacing w:val="2"/>
                <w:sz w:val="16"/>
                <w:szCs w:val="16"/>
              </w:rPr>
              <w:t>，中信建投证券</w:t>
            </w:r>
          </w:p>
        </w:tc>
      </w:tr>
    </w:tbl>
    <w:p>
      <w:pPr>
        <w:sectPr>
          <w:headerReference w:type="default" r:id="rId43"/>
          <w:footerReference w:type="default" r:id="rId44"/>
          <w:pgSz w:w="11907" w:h="16839"/>
          <w:pgMar w:top="1945" w:right="1025" w:bottom="1215" w:left="1024" w:header="900" w:footer="705" w:gutter="0"/>
          <w:pgNumType w:start="16"/>
          <w:cols w:space="708"/>
        </w:sectPr>
      </w:pPr>
    </w:p>
    <w:tbl>
      <w:tblPr>
        <w:tblStyle w:val="TableNormal8"/>
        <w:tblW w:w="9856" w:type="dxa"/>
        <w:tblInd w:w="0" w:type="dxa"/>
        <w:tblBorders>
          <w:top w:val="nil"/>
          <w:left w:val="nil"/>
          <w:bottom w:val="nil"/>
          <w:right w:val="nil"/>
          <w:insideH w:val="nil"/>
          <w:insideV w:val="nil"/>
        </w:tblBorders>
        <w:tblLayout w:type="fixed"/>
      </w:tblPr>
      <w:tblGrid>
        <w:gridCol w:w="9856"/>
      </w:tblGrid>
      <w:tr>
        <w:tblPrEx>
          <w:tblW w:w="9856" w:type="dxa"/>
          <w:tblInd w:w="0" w:type="dxa"/>
          <w:tblBorders>
            <w:top w:val="nil"/>
            <w:left w:val="nil"/>
            <w:bottom w:val="nil"/>
            <w:right w:val="nil"/>
            <w:insideH w:val="nil"/>
            <w:insideV w:val="nil"/>
          </w:tblBorders>
          <w:tblLayout w:type="fixed"/>
        </w:tblPrEx>
        <w:trPr>
          <w:trHeight w:val="905"/>
        </w:trPr>
        <w:tc>
          <w:tcPr>
            <w:tcW w:w="9856" w:type="dxa"/>
            <w:vAlign w:val="top"/>
          </w:tcPr>
          <w:p>
            <w:pPr>
              <w:pStyle w:val="TableText"/>
              <w:spacing w:before="357" w:line="190" w:lineRule="auto"/>
              <w:ind w:left="125"/>
              <w:rPr>
                <w:sz w:val="31"/>
                <w:szCs w:val="31"/>
              </w:rPr>
            </w:pPr>
            <w:r>
              <w:rPr>
                <w:b/>
                <w:bCs/>
                <w:color w:val="044E7E"/>
                <w:spacing w:val="-10"/>
                <w:sz w:val="31"/>
                <w:szCs w:val="31"/>
                <w14:textOutline w14:w="5791">
                  <w14:solidFill>
                    <w14:srgbClr w14:val="044E7E"/>
                  </w14:solidFill>
                  <w14:prstDash w14:val="solid"/>
                  <w14:miter w14:lim="10"/>
                </w14:textOutline>
              </w:rPr>
              <w:t>二、</w:t>
            </w:r>
            <w:r>
              <w:rPr>
                <w:b/>
                <w:bCs/>
                <w:color w:val="044E7E"/>
                <w:spacing w:val="57"/>
                <w:sz w:val="31"/>
                <w:szCs w:val="31"/>
              </w:rPr>
              <w:t xml:space="preserve"> </w:t>
            </w:r>
            <w:r>
              <w:rPr>
                <w:b/>
                <w:bCs/>
                <w:color w:val="044E7E"/>
                <w:spacing w:val="-10"/>
                <w:sz w:val="31"/>
                <w:szCs w:val="31"/>
                <w14:textOutline w14:w="5791">
                  <w14:solidFill>
                    <w14:srgbClr w14:val="044E7E"/>
                  </w14:solidFill>
                  <w14:prstDash w14:val="solid"/>
                  <w14:miter w14:lim="10"/>
                </w14:textOutline>
              </w:rPr>
              <w:t>中国香港经验</w:t>
            </w:r>
          </w:p>
        </w:tc>
      </w:tr>
      <w:tr>
        <w:tblPrEx>
          <w:tblW w:w="9856" w:type="dxa"/>
          <w:tblInd w:w="0" w:type="dxa"/>
          <w:tblLayout w:type="fixed"/>
        </w:tblPrEx>
        <w:trPr>
          <w:trHeight w:val="1249"/>
        </w:trPr>
        <w:tc>
          <w:tcPr>
            <w:tcW w:w="9856" w:type="dxa"/>
            <w:tcBorders>
              <w:bottom w:val="single" w:sz="6" w:space="0" w:color="044E7E"/>
            </w:tcBorders>
            <w:vAlign w:val="top"/>
          </w:tcPr>
          <w:p>
            <w:pPr>
              <w:pStyle w:val="TableText"/>
              <w:spacing w:before="255" w:line="181" w:lineRule="auto"/>
              <w:ind w:left="126"/>
              <w:rPr>
                <w:sz w:val="28"/>
                <w:szCs w:val="28"/>
              </w:rPr>
            </w:pPr>
            <w:r>
              <w:rPr>
                <w:b/>
                <w:bCs/>
                <w:spacing w:val="-2"/>
                <w:sz w:val="28"/>
                <w:szCs w:val="28"/>
                <w14:textOutline w14:w="5094">
                  <w14:solidFill>
                    <w14:srgbClr w14:val="000000"/>
                  </w14:solidFill>
                  <w14:prstDash w14:val="solid"/>
                  <w14:miter w14:lim="10"/>
                </w14:textOutline>
              </w:rPr>
              <w:t>（一）事件经过</w:t>
            </w:r>
          </w:p>
        </w:tc>
      </w:tr>
    </w:tbl>
    <w:p>
      <w:pPr>
        <w:spacing w:line="54" w:lineRule="exact"/>
        <w:rPr>
          <w:rFonts w:ascii="Arial"/>
          <w:sz w:val="4"/>
        </w:rPr>
      </w:pPr>
    </w:p>
    <w:p>
      <w:pPr>
        <w:spacing w:line="54" w:lineRule="exact"/>
        <w:rPr>
          <w:rFonts w:ascii="Arial" w:eastAsia="Arial" w:hAnsi="Arial" w:cs="Arial"/>
          <w:sz w:val="4"/>
          <w:szCs w:val="4"/>
        </w:rPr>
        <w:sectPr>
          <w:headerReference w:type="default" r:id="rId45"/>
          <w:footerReference w:type="default" r:id="rId46"/>
          <w:type w:val="nextPage"/>
          <w:pgSz w:w="11907" w:h="16839"/>
          <w:pgMar w:top="1945" w:right="1025" w:bottom="1215" w:left="1024" w:header="900" w:footer="705" w:gutter="0"/>
          <w:pgNumType w:start="17"/>
          <w:cols w:space="708"/>
          <w:titlePg w:val="0"/>
        </w:sectPr>
      </w:pPr>
    </w:p>
    <w:p>
      <w:pPr>
        <w:pStyle w:val="BodyText"/>
        <w:spacing w:before="285" w:line="186" w:lineRule="auto"/>
        <w:ind w:left="510"/>
        <w:rPr>
          <w:sz w:val="24"/>
          <w:szCs w:val="24"/>
        </w:rPr>
      </w:pPr>
      <w:r>
        <w:pict>
          <v:rect id="_x0000_s1081" style="width:482.25pt;height:0.75pt;margin-top:777.15pt;margin-left:56.55pt;mso-position-horizontal-relative:page;mso-position-vertical-relative:page;position:absolute;z-index:251717632" o:allowincell="f" filled="t" fillcolor="#044e7e" stroked="f"/>
        </w:pict>
      </w:r>
      <w:r>
        <w:pict>
          <v:rect id="_x0000_s1082" style="width:482.25pt;height:2.05pt;margin-top:791.9pt;margin-left:56.55pt;mso-position-horizontal-relative:page;mso-position-vertical-relative:page;position:absolute;z-index:251716608" o:allowincell="f" filled="t" fillcolor="#044e7e" stroked="f"/>
        </w:pict>
      </w:r>
      <w:r>
        <w:pict>
          <v:shape id="_x0000_s1083" style="width:482.25pt;height:0.75pt;margin-top:78.8pt;margin-left:56.55pt;mso-position-horizontal-relative:page;mso-position-vertical-relative:page;position:absolute;z-index:251718656" coordorigin="0,0" coordsize="9645,15" o:allowincell="f" path="m,15l9645,15l9645,l,l,15xe" filled="t" fillcolor="#044e7e" stroked="f"/>
        </w:pict>
      </w:r>
      <w:r>
        <w:rPr>
          <w:rFonts w:ascii="Times New Roman" w:eastAsia="Times New Roman" w:hAnsi="Times New Roman" w:cs="Times New Roman"/>
          <w:color w:val="044E7E"/>
          <w:spacing w:val="-10"/>
          <w:sz w:val="24"/>
          <w:szCs w:val="24"/>
        </w:rPr>
        <w:t>1</w:t>
      </w:r>
      <w:r>
        <w:rPr>
          <w:color w:val="044E7E"/>
          <w:spacing w:val="-10"/>
          <w:sz w:val="24"/>
          <w:szCs w:val="24"/>
        </w:rPr>
        <w:t>、背景</w:t>
      </w:r>
    </w:p>
    <w:p>
      <w:pPr>
        <w:pStyle w:val="BodyText"/>
        <w:spacing w:before="262" w:line="187" w:lineRule="auto"/>
        <w:ind w:left="19"/>
      </w:pPr>
      <w:r>
        <w:rPr>
          <w:b/>
          <w:bCs/>
          <w:spacing w:val="7"/>
          <w14:textOutline w14:w="3614">
            <w14:solidFill>
              <w14:srgbClr w14:val="000000"/>
            </w14:solidFill>
            <w14:prstDash w14:val="solid"/>
            <w14:miter w14:lim="10"/>
          </w14:textOutline>
        </w:rPr>
        <w:t>（</w:t>
      </w:r>
      <w:r>
        <w:rPr>
          <w:rFonts w:ascii="Times New Roman" w:eastAsia="Times New Roman" w:hAnsi="Times New Roman" w:cs="Times New Roman"/>
          <w:b/>
          <w:bCs/>
          <w:spacing w:val="7"/>
        </w:rPr>
        <w:t>1</w:t>
      </w:r>
      <w:r>
        <w:rPr>
          <w:b/>
          <w:bCs/>
          <w:spacing w:val="7"/>
          <w14:textOutline w14:w="3614">
            <w14:solidFill>
              <w14:srgbClr w14:val="000000"/>
            </w14:solidFill>
            <w14:prstDash w14:val="solid"/>
            <w14:miter w14:lim="10"/>
          </w14:textOutline>
        </w:rPr>
        <w:t>）</w:t>
      </w:r>
      <w:r>
        <w:rPr>
          <w:b/>
          <w:bCs/>
          <w:spacing w:val="-27"/>
        </w:rPr>
        <w:t xml:space="preserve"> </w:t>
      </w:r>
      <w:r>
        <w:rPr>
          <w:b/>
          <w:bCs/>
          <w:spacing w:val="7"/>
          <w14:textOutline w14:w="3614">
            <w14:solidFill>
              <w14:srgbClr w14:val="000000"/>
            </w14:solidFill>
            <w14:prstDash w14:val="solid"/>
            <w14:miter w14:lim="10"/>
          </w14:textOutline>
        </w:rPr>
        <w:t>从做空泰铢起始的亚洲金融危机</w:t>
      </w:r>
    </w:p>
    <w:p>
      <w:pPr>
        <w:pStyle w:val="BodyText"/>
        <w:spacing w:before="210" w:line="227" w:lineRule="auto"/>
        <w:ind w:left="8" w:right="5" w:firstLine="398"/>
      </w:pPr>
      <w:r>
        <w:rPr>
          <w:rFonts w:ascii="Times New Roman" w:eastAsia="Times New Roman" w:hAnsi="Times New Roman" w:cs="Times New Roman"/>
          <w:spacing w:val="9"/>
        </w:rPr>
        <w:t xml:space="preserve">20 </w:t>
      </w:r>
      <w:r>
        <w:rPr>
          <w:spacing w:val="9"/>
        </w:rPr>
        <w:t xml:space="preserve">世纪 </w:t>
      </w:r>
      <w:r>
        <w:rPr>
          <w:rFonts w:ascii="Times New Roman" w:eastAsia="Times New Roman" w:hAnsi="Times New Roman" w:cs="Times New Roman"/>
          <w:spacing w:val="9"/>
        </w:rPr>
        <w:t xml:space="preserve">90 </w:t>
      </w:r>
      <w:r>
        <w:rPr>
          <w:spacing w:val="9"/>
        </w:rPr>
        <w:t>年代，全球多个经济体出现</w:t>
      </w:r>
      <w:r>
        <w:rPr>
          <w:spacing w:val="8"/>
        </w:rPr>
        <w:t xml:space="preserve">经济过热、过度举债、经常账户失衡的迹象，银行体系内期限和币  </w:t>
      </w:r>
      <w:r>
        <w:rPr>
          <w:spacing w:val="6"/>
        </w:rPr>
        <w:t>种错配风险逐步积累，对冲基金在内的国际游资对此虎视眈眈</w:t>
      </w:r>
      <w:r>
        <w:rPr>
          <w:spacing w:val="-26"/>
        </w:rPr>
        <w:t xml:space="preserve"> </w:t>
      </w:r>
      <w:r>
        <w:rPr>
          <w:spacing w:val="6"/>
        </w:rPr>
        <w:t>。</w:t>
      </w:r>
      <w:r>
        <w:rPr>
          <w:rFonts w:ascii="Times New Roman" w:eastAsia="Times New Roman" w:hAnsi="Times New Roman" w:cs="Times New Roman"/>
          <w:spacing w:val="6"/>
        </w:rPr>
        <w:t xml:space="preserve">1984 </w:t>
      </w:r>
      <w:r>
        <w:rPr>
          <w:spacing w:val="6"/>
        </w:rPr>
        <w:t>年起，  泰国实行钉住“一篮子货币”汇率</w:t>
      </w:r>
      <w:r>
        <w:t xml:space="preserve"> </w:t>
      </w:r>
      <w:r>
        <w:rPr>
          <w:spacing w:val="6"/>
        </w:rPr>
        <w:t xml:space="preserve">制度，由于篮子中美元权重高达 </w:t>
      </w:r>
      <w:r>
        <w:rPr>
          <w:rFonts w:ascii="Times New Roman" w:eastAsia="Times New Roman" w:hAnsi="Times New Roman" w:cs="Times New Roman"/>
          <w:spacing w:val="6"/>
        </w:rPr>
        <w:t>80%</w:t>
      </w:r>
      <w:r>
        <w:rPr>
          <w:spacing w:val="6"/>
        </w:rPr>
        <w:t xml:space="preserve">，该汇率制度事实上成为钉住美元制度，  外汇市场缺乏自动调节能力。在 </w:t>
      </w:r>
      <w:r>
        <w:rPr>
          <w:rFonts w:ascii="Times New Roman" w:eastAsia="Times New Roman" w:hAnsi="Times New Roman" w:cs="Times New Roman"/>
          <w:spacing w:val="4"/>
        </w:rPr>
        <w:t xml:space="preserve">1995 </w:t>
      </w:r>
      <w:r>
        <w:rPr>
          <w:spacing w:val="4"/>
        </w:rPr>
        <w:t>年美元大幅升值后，泰铢随之走高，</w:t>
      </w:r>
      <w:r>
        <w:rPr>
          <w:spacing w:val="47"/>
          <w:w w:val="101"/>
        </w:rPr>
        <w:t xml:space="preserve"> </w:t>
      </w:r>
      <w:r>
        <w:rPr>
          <w:spacing w:val="4"/>
        </w:rPr>
        <w:t>泰国出口竞争力下降，</w:t>
      </w:r>
      <w:r>
        <w:rPr>
          <w:spacing w:val="20"/>
        </w:rPr>
        <w:t xml:space="preserve">  </w:t>
      </w:r>
      <w:r>
        <w:rPr>
          <w:spacing w:val="4"/>
        </w:rPr>
        <w:t>导致经常账户赤字迅速扩大。由于外汇市场因</w:t>
      </w:r>
      <w:r>
        <w:t xml:space="preserve"> </w:t>
      </w:r>
      <w:r>
        <w:rPr>
          <w:spacing w:val="8"/>
        </w:rPr>
        <w:t>钉住汇率机制失去自动调节能力，无法平衡国际收支，</w:t>
      </w:r>
      <w:r>
        <w:rPr>
          <w:spacing w:val="34"/>
          <w:w w:val="101"/>
        </w:rPr>
        <w:t xml:space="preserve"> </w:t>
      </w:r>
      <w:r>
        <w:rPr>
          <w:spacing w:val="8"/>
        </w:rPr>
        <w:t>泰国政府选择开放离岸金融业务、允许非居民</w:t>
      </w:r>
      <w:r>
        <w:rPr>
          <w:spacing w:val="7"/>
        </w:rPr>
        <w:t>在泰开立</w:t>
      </w:r>
      <w:r>
        <w:t xml:space="preserve">  </w:t>
      </w:r>
      <w:r>
        <w:rPr>
          <w:spacing w:val="7"/>
        </w:rPr>
        <w:t>泰铢账户，以过早开放资本项目的风险和大举</w:t>
      </w:r>
      <w:r>
        <w:rPr>
          <w:spacing w:val="6"/>
        </w:rPr>
        <w:t>借入外债为代价，</w:t>
      </w:r>
      <w:r>
        <w:rPr>
          <w:spacing w:val="23"/>
        </w:rPr>
        <w:t xml:space="preserve">  </w:t>
      </w:r>
      <w:r>
        <w:rPr>
          <w:spacing w:val="6"/>
        </w:rPr>
        <w:t>弥补巨大的经常项目逆差。此举造成泰国资本</w:t>
      </w:r>
      <w:r>
        <w:t xml:space="preserve">  </w:t>
      </w:r>
      <w:r>
        <w:rPr>
          <w:spacing w:val="8"/>
        </w:rPr>
        <w:t>市场涌入大量热钱，资产价格泡沫形成。</w:t>
      </w:r>
      <w:r>
        <w:rPr>
          <w:spacing w:val="29"/>
        </w:rPr>
        <w:t xml:space="preserve"> </w:t>
      </w:r>
      <w:r>
        <w:rPr>
          <w:spacing w:val="8"/>
        </w:rPr>
        <w:t>一旦泡沫破裂，将触发市场信心下跌、资本外逃、泰铢贬值的</w:t>
      </w:r>
      <w:r>
        <w:rPr>
          <w:spacing w:val="7"/>
        </w:rPr>
        <w:t>恶性循</w:t>
      </w:r>
      <w:r>
        <w:t xml:space="preserve">  </w:t>
      </w:r>
      <w:r>
        <w:rPr>
          <w:spacing w:val="10"/>
        </w:rPr>
        <w:t>环，以索罗斯的“量子基金”为代表的国际</w:t>
      </w:r>
      <w:r>
        <w:rPr>
          <w:spacing w:val="9"/>
        </w:rPr>
        <w:t>游资相中这点，在泰国经济形势开始恶化、资产价格走低之际，利</w:t>
      </w:r>
      <w:r>
        <w:t xml:space="preserve">  </w:t>
      </w:r>
      <w:r>
        <w:rPr>
          <w:spacing w:val="-2"/>
        </w:rPr>
        <w:t>用资本市场开放的便利，</w:t>
      </w:r>
      <w:r>
        <w:rPr>
          <w:spacing w:val="13"/>
        </w:rPr>
        <w:t xml:space="preserve">  </w:t>
      </w:r>
      <w:r>
        <w:rPr>
          <w:spacing w:val="-2"/>
        </w:rPr>
        <w:t>于</w:t>
      </w:r>
      <w:r>
        <w:rPr>
          <w:spacing w:val="21"/>
          <w:w w:val="101"/>
        </w:rPr>
        <w:t xml:space="preserve"> </w:t>
      </w:r>
      <w:r>
        <w:rPr>
          <w:rFonts w:ascii="Times New Roman" w:eastAsia="Times New Roman" w:hAnsi="Times New Roman" w:cs="Times New Roman"/>
          <w:spacing w:val="-2"/>
        </w:rPr>
        <w:t>1997</w:t>
      </w:r>
      <w:r>
        <w:rPr>
          <w:rFonts w:ascii="Times New Roman" w:eastAsia="Times New Roman" w:hAnsi="Times New Roman" w:cs="Times New Roman"/>
          <w:spacing w:val="13"/>
        </w:rPr>
        <w:t xml:space="preserve"> </w:t>
      </w:r>
      <w:r>
        <w:rPr>
          <w:spacing w:val="-2"/>
        </w:rPr>
        <w:t>年初从泰国银行大举借入</w:t>
      </w:r>
      <w:r>
        <w:rPr>
          <w:spacing w:val="-3"/>
        </w:rPr>
        <w:t>泰铢，</w:t>
      </w:r>
      <w:r>
        <w:rPr>
          <w:spacing w:val="14"/>
        </w:rPr>
        <w:t xml:space="preserve">  </w:t>
      </w:r>
      <w:r>
        <w:rPr>
          <w:spacing w:val="-3"/>
        </w:rPr>
        <w:t>并在即期和远期市场卖出，  做空泰铢，  尽管泰</w:t>
      </w:r>
      <w:r>
        <w:t xml:space="preserve"> </w:t>
      </w:r>
      <w:r>
        <w:rPr>
          <w:spacing w:val="4"/>
        </w:rPr>
        <w:t>国央行采取购入泰铢和提高短期利率的反击方式，</w:t>
      </w:r>
      <w:r>
        <w:rPr>
          <w:spacing w:val="27"/>
        </w:rPr>
        <w:t xml:space="preserve"> </w:t>
      </w:r>
      <w:r>
        <w:rPr>
          <w:spacing w:val="4"/>
        </w:rPr>
        <w:t>但最终由于其美元储备有限，只能于</w:t>
      </w:r>
      <w:r>
        <w:rPr>
          <w:spacing w:val="21"/>
        </w:rPr>
        <w:t xml:space="preserve"> </w:t>
      </w:r>
      <w:r>
        <w:rPr>
          <w:rFonts w:ascii="Times New Roman" w:eastAsia="Times New Roman" w:hAnsi="Times New Roman" w:cs="Times New Roman"/>
          <w:spacing w:val="4"/>
        </w:rPr>
        <w:t xml:space="preserve">1997 </w:t>
      </w:r>
      <w:r>
        <w:rPr>
          <w:spacing w:val="4"/>
        </w:rPr>
        <w:t xml:space="preserve">年 </w:t>
      </w:r>
      <w:r>
        <w:rPr>
          <w:rFonts w:ascii="Times New Roman" w:eastAsia="Times New Roman" w:hAnsi="Times New Roman" w:cs="Times New Roman"/>
          <w:spacing w:val="4"/>
        </w:rPr>
        <w:t>7</w:t>
      </w:r>
      <w:r>
        <w:rPr>
          <w:rFonts w:ascii="Times New Roman" w:eastAsia="Times New Roman" w:hAnsi="Times New Roman" w:cs="Times New Roman"/>
          <w:spacing w:val="17"/>
        </w:rPr>
        <w:t xml:space="preserve"> </w:t>
      </w:r>
      <w:r>
        <w:rPr>
          <w:spacing w:val="4"/>
        </w:rPr>
        <w:t xml:space="preserve">月 </w:t>
      </w:r>
      <w:r>
        <w:rPr>
          <w:rFonts w:ascii="Times New Roman" w:eastAsia="Times New Roman" w:hAnsi="Times New Roman" w:cs="Times New Roman"/>
          <w:spacing w:val="4"/>
        </w:rPr>
        <w:t xml:space="preserve">2  </w:t>
      </w:r>
      <w:r>
        <w:rPr>
          <w:spacing w:val="4"/>
        </w:rPr>
        <w:t>日宣布放</w:t>
      </w:r>
      <w:r>
        <w:t xml:space="preserve"> </w:t>
      </w:r>
      <w:r>
        <w:rPr>
          <w:spacing w:val="9"/>
        </w:rPr>
        <w:t xml:space="preserve">弃钉住美元的固定汇率制度，改为有管理的浮动汇率制度，停止自由兑换，当日泰铢兑美元汇率跌幅达 </w:t>
      </w:r>
      <w:r>
        <w:rPr>
          <w:rFonts w:ascii="Times New Roman" w:eastAsia="Times New Roman" w:hAnsi="Times New Roman" w:cs="Times New Roman"/>
          <w:spacing w:val="9"/>
        </w:rPr>
        <w:t>30%</w:t>
      </w:r>
      <w:r>
        <w:rPr>
          <w:rFonts w:ascii="Times New Roman" w:eastAsia="Times New Roman" w:hAnsi="Times New Roman" w:cs="Times New Roman"/>
          <w:spacing w:val="-22"/>
        </w:rPr>
        <w:t xml:space="preserve"> </w:t>
      </w:r>
      <w:r>
        <w:rPr>
          <w:spacing w:val="9"/>
        </w:rPr>
        <w:t>，</w:t>
      </w:r>
      <w:r>
        <w:t xml:space="preserve"> </w:t>
      </w:r>
      <w:r>
        <w:rPr>
          <w:spacing w:val="10"/>
        </w:rPr>
        <w:t>泰国政府和民众经济腾飞后的多年财富积累被洗劫一空，并最终演变成为一场</w:t>
      </w:r>
      <w:r>
        <w:rPr>
          <w:spacing w:val="9"/>
        </w:rPr>
        <w:t>席卷全球新兴市场的亚洲金融危</w:t>
      </w:r>
      <w:r>
        <w:t xml:space="preserve">  </w:t>
      </w:r>
      <w:r>
        <w:rPr>
          <w:spacing w:val="-6"/>
        </w:rPr>
        <w:t>机。</w:t>
      </w:r>
    </w:p>
    <w:p>
      <w:pPr>
        <w:pStyle w:val="BodyText"/>
        <w:spacing w:before="301" w:line="187" w:lineRule="auto"/>
        <w:ind w:left="19"/>
      </w:pPr>
      <w:r>
        <w:rPr>
          <w:b/>
          <w:bCs/>
          <w:spacing w:val="5"/>
          <w14:textOutline w14:w="3614">
            <w14:solidFill>
              <w14:srgbClr w14:val="000000"/>
            </w14:solidFill>
            <w14:prstDash w14:val="solid"/>
            <w14:miter w14:lim="10"/>
          </w14:textOutline>
        </w:rPr>
        <w:t>（</w:t>
      </w:r>
      <w:r>
        <w:rPr>
          <w:rFonts w:ascii="Times New Roman" w:eastAsia="Times New Roman" w:hAnsi="Times New Roman" w:cs="Times New Roman"/>
          <w:b/>
          <w:bCs/>
          <w:spacing w:val="5"/>
        </w:rPr>
        <w:t>2</w:t>
      </w:r>
      <w:r>
        <w:rPr>
          <w:b/>
          <w:bCs/>
          <w:spacing w:val="5"/>
          <w14:textOutline w14:w="3614">
            <w14:solidFill>
              <w14:srgbClr w14:val="000000"/>
            </w14:solidFill>
            <w14:prstDash w14:val="solid"/>
            <w14:miter w14:lim="10"/>
          </w14:textOutline>
        </w:rPr>
        <w:t>）</w:t>
      </w:r>
      <w:r>
        <w:rPr>
          <w:b/>
          <w:bCs/>
          <w:spacing w:val="-33"/>
        </w:rPr>
        <w:t xml:space="preserve"> </w:t>
      </w:r>
      <w:r>
        <w:rPr>
          <w:b/>
          <w:bCs/>
          <w:spacing w:val="5"/>
          <w14:textOutline w14:w="3614">
            <w14:solidFill>
              <w14:srgbClr w14:val="000000"/>
            </w14:solidFill>
            <w14:prstDash w14:val="solid"/>
            <w14:miter w14:lim="10"/>
          </w14:textOutline>
        </w:rPr>
        <w:t>彼时的香港经济</w:t>
      </w:r>
    </w:p>
    <w:p>
      <w:pPr>
        <w:pStyle w:val="BodyText"/>
        <w:spacing w:before="217" w:line="226" w:lineRule="auto"/>
        <w:ind w:left="8" w:right="4" w:firstLine="417"/>
      </w:pPr>
      <w:r>
        <w:rPr>
          <w:rFonts w:ascii="Times New Roman" w:eastAsia="Times New Roman" w:hAnsi="Times New Roman" w:cs="Times New Roman"/>
          <w:spacing w:val="8"/>
        </w:rPr>
        <w:t xml:space="preserve">1960 </w:t>
      </w:r>
      <w:r>
        <w:rPr>
          <w:spacing w:val="8"/>
        </w:rPr>
        <w:t>年代，香港开始推行“出口导向型”战略，发展劳动</w:t>
      </w:r>
      <w:r>
        <w:rPr>
          <w:spacing w:val="7"/>
        </w:rPr>
        <w:t>密集型加工产业，并于</w:t>
      </w:r>
      <w:r>
        <w:rPr>
          <w:spacing w:val="20"/>
          <w:w w:val="101"/>
        </w:rPr>
        <w:t xml:space="preserve"> </w:t>
      </w:r>
      <w:r>
        <w:rPr>
          <w:rFonts w:ascii="Times New Roman" w:eastAsia="Times New Roman" w:hAnsi="Times New Roman" w:cs="Times New Roman"/>
          <w:spacing w:val="7"/>
        </w:rPr>
        <w:t xml:space="preserve">1970 </w:t>
      </w:r>
      <w:r>
        <w:rPr>
          <w:spacing w:val="7"/>
        </w:rPr>
        <w:t xml:space="preserve">年代迎来经济的高  </w:t>
      </w:r>
      <w:r>
        <w:rPr>
          <w:spacing w:val="7"/>
        </w:rPr>
        <w:t>速增长期，开始由发展中地区向先进经济体演变，</w:t>
      </w:r>
      <w:r>
        <w:rPr>
          <w:spacing w:val="9"/>
        </w:rPr>
        <w:t xml:space="preserve">  </w:t>
      </w:r>
      <w:r>
        <w:rPr>
          <w:spacing w:val="7"/>
        </w:rPr>
        <w:t>其制造业、房地产、贸易航运和金融业在此期间都得到快速</w:t>
      </w:r>
      <w:r>
        <w:t xml:space="preserve">  </w:t>
      </w:r>
      <w:r>
        <w:rPr>
          <w:spacing w:val="1"/>
        </w:rPr>
        <w:t>发展。</w:t>
      </w:r>
      <w:r>
        <w:rPr>
          <w:rFonts w:ascii="Times New Roman" w:eastAsia="Times New Roman" w:hAnsi="Times New Roman" w:cs="Times New Roman"/>
          <w:spacing w:val="1"/>
        </w:rPr>
        <w:t>1984</w:t>
      </w:r>
      <w:r>
        <w:rPr>
          <w:rFonts w:ascii="Times New Roman" w:eastAsia="Times New Roman" w:hAnsi="Times New Roman" w:cs="Times New Roman"/>
          <w:spacing w:val="27"/>
        </w:rPr>
        <w:t xml:space="preserve"> </w:t>
      </w:r>
      <w:r>
        <w:rPr>
          <w:spacing w:val="1"/>
        </w:rPr>
        <w:t>年中英就香港主权问题谈判取得新进展，并于</w:t>
      </w:r>
      <w:r>
        <w:rPr>
          <w:spacing w:val="19"/>
        </w:rPr>
        <w:t xml:space="preserve"> </w:t>
      </w:r>
      <w:r>
        <w:rPr>
          <w:rFonts w:ascii="Times New Roman" w:eastAsia="Times New Roman" w:hAnsi="Times New Roman" w:cs="Times New Roman"/>
          <w:spacing w:val="1"/>
        </w:rPr>
        <w:t>12</w:t>
      </w:r>
      <w:r>
        <w:rPr>
          <w:rFonts w:ascii="Times New Roman" w:eastAsia="Times New Roman" w:hAnsi="Times New Roman" w:cs="Times New Roman"/>
          <w:spacing w:val="17"/>
          <w:w w:val="101"/>
        </w:rPr>
        <w:t xml:space="preserve"> </w:t>
      </w:r>
      <w:r>
        <w:rPr>
          <w:spacing w:val="1"/>
        </w:rPr>
        <w:t>月</w:t>
      </w:r>
      <w:r>
        <w:rPr>
          <w:spacing w:val="17"/>
          <w:w w:val="101"/>
        </w:rPr>
        <w:t xml:space="preserve"> </w:t>
      </w:r>
      <w:r>
        <w:rPr>
          <w:rFonts w:ascii="Times New Roman" w:eastAsia="Times New Roman" w:hAnsi="Times New Roman" w:cs="Times New Roman"/>
          <w:spacing w:val="1"/>
        </w:rPr>
        <w:t>19</w:t>
      </w:r>
      <w:r>
        <w:rPr>
          <w:rFonts w:ascii="Times New Roman" w:eastAsia="Times New Roman" w:hAnsi="Times New Roman" w:cs="Times New Roman"/>
          <w:spacing w:val="46"/>
        </w:rPr>
        <w:t xml:space="preserve"> </w:t>
      </w:r>
      <w:r>
        <w:rPr>
          <w:spacing w:val="1"/>
        </w:rPr>
        <w:t>日签署《中英联合声明》，英国政府将于</w:t>
      </w:r>
      <w:r>
        <w:rPr>
          <w:spacing w:val="19"/>
        </w:rPr>
        <w:t xml:space="preserve"> </w:t>
      </w:r>
      <w:r>
        <w:rPr>
          <w:rFonts w:ascii="Times New Roman" w:eastAsia="Times New Roman" w:hAnsi="Times New Roman" w:cs="Times New Roman"/>
          <w:spacing w:val="1"/>
        </w:rPr>
        <w:t>1997</w:t>
      </w:r>
      <w:r>
        <w:rPr>
          <w:rFonts w:ascii="Times New Roman" w:eastAsia="Times New Roman" w:hAnsi="Times New Roman" w:cs="Times New Roman"/>
        </w:rPr>
        <w:t xml:space="preserve"> </w:t>
      </w:r>
      <w:r>
        <w:rPr>
          <w:spacing w:val="5"/>
        </w:rPr>
        <w:t xml:space="preserve">年 </w:t>
      </w:r>
      <w:r>
        <w:rPr>
          <w:rFonts w:ascii="Times New Roman" w:eastAsia="Times New Roman" w:hAnsi="Times New Roman" w:cs="Times New Roman"/>
          <w:spacing w:val="5"/>
        </w:rPr>
        <w:t>7</w:t>
      </w:r>
      <w:r>
        <w:rPr>
          <w:rFonts w:ascii="Times New Roman" w:eastAsia="Times New Roman" w:hAnsi="Times New Roman" w:cs="Times New Roman"/>
          <w:spacing w:val="18"/>
          <w:w w:val="101"/>
        </w:rPr>
        <w:t xml:space="preserve"> </w:t>
      </w:r>
      <w:r>
        <w:rPr>
          <w:spacing w:val="5"/>
        </w:rPr>
        <w:t>月</w:t>
      </w:r>
      <w:r>
        <w:rPr>
          <w:spacing w:val="17"/>
          <w:w w:val="101"/>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46"/>
        </w:rPr>
        <w:t xml:space="preserve"> </w:t>
      </w:r>
      <w:r>
        <w:rPr>
          <w:spacing w:val="5"/>
        </w:rPr>
        <w:t>日把香港地区主权交还中国政府，  中国将成立香港特别行政区，并施行“一国两制”，为香港的政治</w:t>
      </w:r>
      <w:r>
        <w:t xml:space="preserve">  </w:t>
      </w:r>
      <w:r>
        <w:rPr>
          <w:spacing w:val="5"/>
        </w:rPr>
        <w:t>前途提供一个明确的框架，</w:t>
      </w:r>
      <w:r>
        <w:rPr>
          <w:spacing w:val="44"/>
        </w:rPr>
        <w:t xml:space="preserve"> </w:t>
      </w:r>
      <w:r>
        <w:rPr>
          <w:spacing w:val="5"/>
        </w:rPr>
        <w:t xml:space="preserve">香港转口贸易蓬勃发展，金融市场逐步健全，渐渐成为亚洲主要的金融中心。  </w:t>
      </w:r>
      <w:r>
        <w:rPr>
          <w:rFonts w:ascii="Times New Roman" w:eastAsia="Times New Roman" w:hAnsi="Times New Roman" w:cs="Times New Roman"/>
          <w:spacing w:val="5"/>
        </w:rPr>
        <w:t>1985</w:t>
      </w:r>
      <w:r>
        <w:rPr>
          <w:rFonts w:ascii="Times New Roman" w:eastAsia="Times New Roman" w:hAnsi="Times New Roman" w:cs="Times New Roman"/>
        </w:rPr>
        <w:t xml:space="preserve">  </w:t>
      </w:r>
      <w:r>
        <w:rPr>
          <w:spacing w:val="5"/>
        </w:rPr>
        <w:t>年起香港政府实施土地限售计划，  一举推高香港房屋价格，居民财富和</w:t>
      </w:r>
      <w:r>
        <w:rPr>
          <w:spacing w:val="4"/>
        </w:rPr>
        <w:t>外资大量涌入房地产和股票市场，  开始</w:t>
      </w:r>
      <w:r>
        <w:t xml:space="preserve">  </w:t>
      </w:r>
      <w:r>
        <w:rPr>
          <w:spacing w:val="7"/>
        </w:rPr>
        <w:t>形成资产泡沫。</w:t>
      </w:r>
      <w:r>
        <w:rPr>
          <w:spacing w:val="-26"/>
        </w:rPr>
        <w:t xml:space="preserve"> </w:t>
      </w:r>
      <w:r>
        <w:rPr>
          <w:rFonts w:ascii="Times New Roman" w:eastAsia="Times New Roman" w:hAnsi="Times New Roman" w:cs="Times New Roman"/>
          <w:spacing w:val="7"/>
        </w:rPr>
        <w:t xml:space="preserve">1995 </w:t>
      </w:r>
      <w:r>
        <w:rPr>
          <w:spacing w:val="7"/>
        </w:rPr>
        <w:t>年起香港大幅下调楼宇按揭利率，</w:t>
      </w:r>
      <w:r>
        <w:rPr>
          <w:spacing w:val="32"/>
        </w:rPr>
        <w:t xml:space="preserve"> </w:t>
      </w:r>
      <w:r>
        <w:rPr>
          <w:spacing w:val="7"/>
        </w:rPr>
        <w:t>银行逐步放</w:t>
      </w:r>
      <w:r>
        <w:rPr>
          <w:spacing w:val="6"/>
        </w:rPr>
        <w:t>松住房按揭贷款审查标准，进一步推高楼市</w:t>
      </w:r>
      <w:r>
        <w:t xml:space="preserve"> </w:t>
      </w:r>
      <w:r>
        <w:rPr>
          <w:spacing w:val="4"/>
        </w:rPr>
        <w:t>价格。从</w:t>
      </w:r>
      <w:r>
        <w:rPr>
          <w:spacing w:val="18"/>
        </w:rPr>
        <w:t xml:space="preserve"> </w:t>
      </w:r>
      <w:r>
        <w:rPr>
          <w:rFonts w:ascii="Times New Roman" w:eastAsia="Times New Roman" w:hAnsi="Times New Roman" w:cs="Times New Roman"/>
          <w:spacing w:val="4"/>
        </w:rPr>
        <w:t xml:space="preserve">1985 </w:t>
      </w:r>
      <w:r>
        <w:rPr>
          <w:spacing w:val="4"/>
        </w:rPr>
        <w:t>年房地产市场复苏到</w:t>
      </w:r>
      <w:r>
        <w:rPr>
          <w:spacing w:val="18"/>
          <w:w w:val="101"/>
        </w:rPr>
        <w:t xml:space="preserve"> </w:t>
      </w:r>
      <w:r>
        <w:rPr>
          <w:rFonts w:ascii="Times New Roman" w:eastAsia="Times New Roman" w:hAnsi="Times New Roman" w:cs="Times New Roman"/>
          <w:spacing w:val="4"/>
        </w:rPr>
        <w:t xml:space="preserve">1997 </w:t>
      </w:r>
      <w:r>
        <w:rPr>
          <w:spacing w:val="4"/>
        </w:rPr>
        <w:t>年，香港房价上升近十倍，  恒生指数从</w:t>
      </w:r>
      <w:r>
        <w:rPr>
          <w:spacing w:val="21"/>
        </w:rPr>
        <w:t xml:space="preserve"> </w:t>
      </w:r>
      <w:r>
        <w:rPr>
          <w:rFonts w:ascii="Times New Roman" w:eastAsia="Times New Roman" w:hAnsi="Times New Roman" w:cs="Times New Roman"/>
          <w:spacing w:val="4"/>
        </w:rPr>
        <w:t xml:space="preserve">1991 </w:t>
      </w:r>
      <w:r>
        <w:rPr>
          <w:spacing w:val="4"/>
        </w:rPr>
        <w:t>年到</w:t>
      </w:r>
      <w:r>
        <w:rPr>
          <w:spacing w:val="18"/>
        </w:rPr>
        <w:t xml:space="preserve"> </w:t>
      </w:r>
      <w:r>
        <w:rPr>
          <w:rFonts w:ascii="Times New Roman" w:eastAsia="Times New Roman" w:hAnsi="Times New Roman" w:cs="Times New Roman"/>
          <w:spacing w:val="4"/>
        </w:rPr>
        <w:t>19</w:t>
      </w:r>
      <w:r>
        <w:rPr>
          <w:rFonts w:ascii="Times New Roman" w:eastAsia="Times New Roman" w:hAnsi="Times New Roman" w:cs="Times New Roman"/>
          <w:spacing w:val="3"/>
        </w:rPr>
        <w:t xml:space="preserve">97 </w:t>
      </w:r>
      <w:r>
        <w:rPr>
          <w:spacing w:val="3"/>
        </w:rPr>
        <w:t xml:space="preserve">年底上涨 </w:t>
      </w:r>
      <w:r>
        <w:rPr>
          <w:rFonts w:ascii="Times New Roman" w:eastAsia="Times New Roman" w:hAnsi="Times New Roman" w:cs="Times New Roman"/>
          <w:spacing w:val="3"/>
        </w:rPr>
        <w:t>2.4</w:t>
      </w:r>
      <w:r>
        <w:rPr>
          <w:rFonts w:ascii="Times New Roman" w:eastAsia="Times New Roman" w:hAnsi="Times New Roman" w:cs="Times New Roman"/>
        </w:rPr>
        <w:t xml:space="preserve">    </w:t>
      </w:r>
      <w:r>
        <w:rPr>
          <w:spacing w:val="6"/>
        </w:rPr>
        <w:t>倍。虽然与泰国相比，香港的经济基本面更加健康，市场经济制度更加完善，但香港经济偏重房地产和金融业，</w:t>
      </w:r>
      <w:r>
        <w:rPr>
          <w:spacing w:val="9"/>
        </w:rPr>
        <w:t xml:space="preserve"> </w:t>
      </w:r>
      <w:r>
        <w:rPr>
          <w:spacing w:val="8"/>
        </w:rPr>
        <w:t>高昂的楼价和租金在一定程度上打压实体行业生产，并</w:t>
      </w:r>
      <w:r>
        <w:rPr>
          <w:spacing w:val="7"/>
        </w:rPr>
        <w:t>且由于联系汇率制度，在</w:t>
      </w:r>
      <w:r>
        <w:rPr>
          <w:spacing w:val="21"/>
          <w:w w:val="101"/>
        </w:rPr>
        <w:t xml:space="preserve"> </w:t>
      </w:r>
      <w:r>
        <w:rPr>
          <w:rFonts w:ascii="Times New Roman" w:eastAsia="Times New Roman" w:hAnsi="Times New Roman" w:cs="Times New Roman"/>
          <w:spacing w:val="7"/>
        </w:rPr>
        <w:t xml:space="preserve">1995 </w:t>
      </w:r>
      <w:r>
        <w:rPr>
          <w:spacing w:val="7"/>
        </w:rPr>
        <w:t>年美元升值后，港元兑其</w:t>
      </w:r>
      <w:r>
        <w:t xml:space="preserve"> </w:t>
      </w:r>
      <w:r>
        <w:rPr>
          <w:spacing w:val="6"/>
        </w:rPr>
        <w:t>他货币汇率跟随走高，削弱香港的出口贸易。彼时的香港实体经济趋弱，资本市场泡沫严重，存在较大脆弱性。</w:t>
      </w:r>
    </w:p>
    <w:p>
      <w:pPr>
        <w:pStyle w:val="BodyText"/>
        <w:spacing w:before="299" w:line="187" w:lineRule="auto"/>
        <w:ind w:left="19"/>
      </w:pPr>
      <w:r>
        <w:rPr>
          <w:b/>
          <w:bCs/>
          <w:spacing w:val="8"/>
          <w14:textOutline w14:w="3614">
            <w14:solidFill>
              <w14:srgbClr w14:val="000000"/>
            </w14:solidFill>
            <w14:prstDash w14:val="solid"/>
            <w14:miter w14:lim="10"/>
          </w14:textOutline>
        </w:rPr>
        <w:t>（</w:t>
      </w:r>
      <w:r>
        <w:rPr>
          <w:rFonts w:ascii="Times New Roman" w:eastAsia="Times New Roman" w:hAnsi="Times New Roman" w:cs="Times New Roman"/>
          <w:b/>
          <w:bCs/>
          <w:spacing w:val="8"/>
        </w:rPr>
        <w:t>3</w:t>
      </w:r>
      <w:r>
        <w:rPr>
          <w:b/>
          <w:bCs/>
          <w:spacing w:val="8"/>
          <w14:textOutline w14:w="3614">
            <w14:solidFill>
              <w14:srgbClr w14:val="000000"/>
            </w14:solidFill>
            <w14:prstDash w14:val="solid"/>
            <w14:miter w14:lim="10"/>
          </w14:textOutline>
        </w:rPr>
        <w:t>）香港联系汇率制度</w:t>
      </w:r>
    </w:p>
    <w:p>
      <w:pPr>
        <w:pStyle w:val="BodyText"/>
        <w:spacing w:before="216" w:line="222" w:lineRule="auto"/>
        <w:ind w:left="8" w:firstLine="403"/>
        <w:jc w:val="both"/>
      </w:pPr>
      <w:r>
        <w:rPr>
          <w:spacing w:val="5"/>
        </w:rPr>
        <w:t>香港自</w:t>
      </w:r>
      <w:r>
        <w:rPr>
          <w:spacing w:val="17"/>
        </w:rPr>
        <w:t xml:space="preserve"> </w:t>
      </w:r>
      <w:r>
        <w:rPr>
          <w:rFonts w:ascii="Times New Roman" w:eastAsia="Times New Roman" w:hAnsi="Times New Roman" w:cs="Times New Roman"/>
          <w:spacing w:val="5"/>
        </w:rPr>
        <w:t xml:space="preserve">1841 </w:t>
      </w:r>
      <w:r>
        <w:rPr>
          <w:spacing w:val="5"/>
        </w:rPr>
        <w:t>年起受英国殖民统治，港英政府于</w:t>
      </w:r>
      <w:r>
        <w:rPr>
          <w:spacing w:val="19"/>
        </w:rPr>
        <w:t xml:space="preserve"> </w:t>
      </w:r>
      <w:r>
        <w:rPr>
          <w:rFonts w:ascii="Times New Roman" w:eastAsia="Times New Roman" w:hAnsi="Times New Roman" w:cs="Times New Roman"/>
          <w:spacing w:val="5"/>
        </w:rPr>
        <w:t>18</w:t>
      </w:r>
      <w:r>
        <w:rPr>
          <w:rFonts w:ascii="Times New Roman" w:eastAsia="Times New Roman" w:hAnsi="Times New Roman" w:cs="Times New Roman"/>
          <w:spacing w:val="4"/>
        </w:rPr>
        <w:t xml:space="preserve">66 </w:t>
      </w:r>
      <w:r>
        <w:rPr>
          <w:spacing w:val="4"/>
        </w:rPr>
        <w:t>年发行银元， 直到</w:t>
      </w:r>
      <w:r>
        <w:rPr>
          <w:spacing w:val="18"/>
        </w:rPr>
        <w:t xml:space="preserve"> </w:t>
      </w:r>
      <w:r>
        <w:rPr>
          <w:rFonts w:ascii="Times New Roman" w:eastAsia="Times New Roman" w:hAnsi="Times New Roman" w:cs="Times New Roman"/>
          <w:spacing w:val="4"/>
        </w:rPr>
        <w:t>1935</w:t>
      </w:r>
      <w:r>
        <w:rPr>
          <w:rFonts w:ascii="Times New Roman" w:eastAsia="Times New Roman" w:hAnsi="Times New Roman" w:cs="Times New Roman"/>
          <w:spacing w:val="12"/>
          <w:w w:val="101"/>
        </w:rPr>
        <w:t xml:space="preserve"> </w:t>
      </w:r>
      <w:r>
        <w:rPr>
          <w:spacing w:val="4"/>
        </w:rPr>
        <w:t>年全球白银危机前，香港都实</w:t>
      </w:r>
      <w:r>
        <w:t xml:space="preserve"> </w:t>
      </w:r>
      <w:r>
        <w:rPr>
          <w:spacing w:val="-1"/>
        </w:rPr>
        <w:t>行银本位货币制度。</w:t>
      </w:r>
      <w:r>
        <w:rPr>
          <w:spacing w:val="40"/>
          <w:w w:val="101"/>
        </w:rPr>
        <w:t xml:space="preserve"> </w:t>
      </w:r>
      <w:r>
        <w:rPr>
          <w:rFonts w:ascii="Times New Roman" w:eastAsia="Times New Roman" w:hAnsi="Times New Roman" w:cs="Times New Roman"/>
          <w:spacing w:val="-1"/>
        </w:rPr>
        <w:t xml:space="preserve">1935 </w:t>
      </w:r>
      <w:r>
        <w:rPr>
          <w:spacing w:val="-1"/>
        </w:rPr>
        <w:t>年</w:t>
      </w:r>
      <w:r>
        <w:rPr>
          <w:spacing w:val="17"/>
        </w:rPr>
        <w:t xml:space="preserve"> </w:t>
      </w:r>
      <w:r>
        <w:rPr>
          <w:rFonts w:ascii="Times New Roman" w:eastAsia="Times New Roman" w:hAnsi="Times New Roman" w:cs="Times New Roman"/>
          <w:spacing w:val="-1"/>
        </w:rPr>
        <w:t>11</w:t>
      </w:r>
      <w:r>
        <w:rPr>
          <w:rFonts w:ascii="Times New Roman" w:eastAsia="Times New Roman" w:hAnsi="Times New Roman" w:cs="Times New Roman"/>
          <w:spacing w:val="17"/>
          <w:w w:val="101"/>
        </w:rPr>
        <w:t xml:space="preserve"> </w:t>
      </w:r>
      <w:r>
        <w:rPr>
          <w:spacing w:val="-1"/>
        </w:rPr>
        <w:t>月，</w:t>
      </w:r>
      <w:r>
        <w:rPr>
          <w:spacing w:val="22"/>
          <w:w w:val="101"/>
        </w:rPr>
        <w:t xml:space="preserve"> </w:t>
      </w:r>
      <w:r>
        <w:rPr>
          <w:spacing w:val="-1"/>
        </w:rPr>
        <w:t>港英</w:t>
      </w:r>
      <w:r>
        <w:rPr>
          <w:spacing w:val="-2"/>
        </w:rPr>
        <w:t>政府放弃银本位，  宣布发行港元作为本地货币，</w:t>
      </w:r>
      <w:r>
        <w:rPr>
          <w:spacing w:val="20"/>
        </w:rPr>
        <w:t xml:space="preserve">  </w:t>
      </w:r>
      <w:r>
        <w:rPr>
          <w:spacing w:val="-2"/>
        </w:rPr>
        <w:t>并以</w:t>
      </w:r>
      <w:r>
        <w:rPr>
          <w:spacing w:val="20"/>
        </w:rPr>
        <w:t xml:space="preserve"> </w:t>
      </w:r>
      <w:r>
        <w:rPr>
          <w:rFonts w:ascii="Times New Roman" w:eastAsia="Times New Roman" w:hAnsi="Times New Roman" w:cs="Times New Roman"/>
          <w:spacing w:val="-2"/>
        </w:rPr>
        <w:t xml:space="preserve">16 </w:t>
      </w:r>
      <w:r>
        <w:rPr>
          <w:spacing w:val="-2"/>
        </w:rPr>
        <w:t>港元兑</w:t>
      </w:r>
      <w:r>
        <w:rPr>
          <w:spacing w:val="17"/>
          <w:w w:val="101"/>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12"/>
          <w:w w:val="101"/>
        </w:rPr>
        <w:t xml:space="preserve"> </w:t>
      </w:r>
      <w:r>
        <w:rPr>
          <w:spacing w:val="-2"/>
        </w:rPr>
        <w:t>英镑</w:t>
      </w:r>
      <w:r>
        <w:t xml:space="preserve"> </w:t>
      </w:r>
      <w:r>
        <w:t>的汇率与英镑挂钩，</w:t>
      </w:r>
      <w:r>
        <w:rPr>
          <w:spacing w:val="23"/>
          <w:w w:val="101"/>
        </w:rPr>
        <w:t xml:space="preserve"> </w:t>
      </w:r>
      <w:r>
        <w:t xml:space="preserve">并采取货币发行局制度的安排。  </w:t>
      </w:r>
      <w:r>
        <w:rPr>
          <w:rFonts w:ascii="Times New Roman" w:eastAsia="Times New Roman" w:hAnsi="Times New Roman" w:cs="Times New Roman"/>
        </w:rPr>
        <w:t>1972</w:t>
      </w:r>
      <w:r>
        <w:rPr>
          <w:rFonts w:ascii="Times New Roman" w:eastAsia="Times New Roman" w:hAnsi="Times New Roman" w:cs="Times New Roman"/>
          <w:spacing w:val="13"/>
          <w:w w:val="101"/>
        </w:rPr>
        <w:t xml:space="preserve"> </w:t>
      </w:r>
      <w:r>
        <w:t>年英镑</w:t>
      </w:r>
      <w:r>
        <w:rPr>
          <w:spacing w:val="-1"/>
        </w:rPr>
        <w:t xml:space="preserve">自由浮动后，  港元改为与美元挂钩。  </w:t>
      </w:r>
      <w:r>
        <w:rPr>
          <w:rFonts w:ascii="Times New Roman" w:eastAsia="Times New Roman" w:hAnsi="Times New Roman" w:cs="Times New Roman"/>
          <w:spacing w:val="-1"/>
        </w:rPr>
        <w:t>1974</w:t>
      </w:r>
      <w:r>
        <w:rPr>
          <w:rFonts w:ascii="Times New Roman" w:eastAsia="Times New Roman" w:hAnsi="Times New Roman" w:cs="Times New Roman"/>
          <w:spacing w:val="12"/>
          <w:w w:val="101"/>
        </w:rPr>
        <w:t xml:space="preserve"> </w:t>
      </w:r>
      <w:r>
        <w:rPr>
          <w:spacing w:val="-1"/>
        </w:rPr>
        <w:t>年美</w:t>
      </w:r>
      <w:r>
        <w:t xml:space="preserve"> </w:t>
      </w:r>
      <w:r>
        <w:rPr>
          <w:spacing w:val="2"/>
        </w:rPr>
        <w:t>元走弱，  香港开始实行浮动汇率制度，  但该</w:t>
      </w:r>
      <w:r>
        <w:rPr>
          <w:spacing w:val="1"/>
        </w:rPr>
        <w:t>制度后期导致货币超发，</w:t>
      </w:r>
      <w:r>
        <w:rPr>
          <w:spacing w:val="18"/>
          <w:w w:val="101"/>
        </w:rPr>
        <w:t xml:space="preserve"> </w:t>
      </w:r>
      <w:r>
        <w:rPr>
          <w:spacing w:val="1"/>
        </w:rPr>
        <w:t>港币严重贬值，港英政府遂于</w:t>
      </w:r>
      <w:r>
        <w:rPr>
          <w:spacing w:val="21"/>
          <w:w w:val="101"/>
        </w:rPr>
        <w:t xml:space="preserve"> </w:t>
      </w:r>
      <w:r>
        <w:rPr>
          <w:rFonts w:ascii="Times New Roman" w:eastAsia="Times New Roman" w:hAnsi="Times New Roman" w:cs="Times New Roman"/>
          <w:spacing w:val="1"/>
        </w:rPr>
        <w:t>1983</w:t>
      </w:r>
      <w:r>
        <w:rPr>
          <w:rFonts w:ascii="Times New Roman" w:eastAsia="Times New Roman" w:hAnsi="Times New Roman" w:cs="Times New Roman"/>
          <w:spacing w:val="12"/>
          <w:w w:val="101"/>
        </w:rPr>
        <w:t xml:space="preserve"> </w:t>
      </w:r>
      <w:r>
        <w:rPr>
          <w:spacing w:val="1"/>
        </w:rPr>
        <w:t>年开始</w:t>
      </w:r>
      <w:r>
        <w:t xml:space="preserve"> </w:t>
      </w:r>
      <w:r>
        <w:rPr>
          <w:spacing w:val="6"/>
        </w:rPr>
        <w:t>施行联系汇率制度。</w:t>
      </w:r>
    </w:p>
    <w:p>
      <w:pPr>
        <w:spacing w:line="222" w:lineRule="auto"/>
        <w:sectPr>
          <w:headerReference w:type="default" r:id="rId47"/>
          <w:footerReference w:type="default" r:id="rId48"/>
          <w:pgSz w:w="11907" w:h="16839"/>
          <w:pgMar w:top="1945" w:right="1130" w:bottom="1215" w:left="1130" w:header="900" w:footer="705" w:gutter="0"/>
          <w:pgNumType w:start="18"/>
          <w:cols w:space="708"/>
        </w:sectPr>
      </w:pPr>
    </w:p>
    <w:tbl>
      <w:tblPr>
        <w:tblStyle w:val="TableNormal9"/>
        <w:tblW w:w="9856" w:type="dxa"/>
        <w:tblInd w:w="0" w:type="dxa"/>
        <w:tblBorders>
          <w:top w:val="nil"/>
          <w:left w:val="nil"/>
          <w:bottom w:val="nil"/>
          <w:right w:val="nil"/>
          <w:insideH w:val="nil"/>
          <w:insideV w:val="nil"/>
        </w:tblBorders>
        <w:tblLayout w:type="fixed"/>
      </w:tblPr>
      <w:tblGrid>
        <w:gridCol w:w="4868"/>
        <w:gridCol w:w="4988"/>
      </w:tblGrid>
      <w:tr>
        <w:tblPrEx>
          <w:tblW w:w="9856" w:type="dxa"/>
          <w:tblInd w:w="0" w:type="dxa"/>
          <w:tblBorders>
            <w:top w:val="nil"/>
            <w:left w:val="nil"/>
            <w:bottom w:val="nil"/>
            <w:right w:val="nil"/>
            <w:insideH w:val="nil"/>
            <w:insideV w:val="nil"/>
          </w:tblBorders>
          <w:tblLayout w:type="fixed"/>
        </w:tblPrEx>
        <w:trPr>
          <w:trHeight w:val="903"/>
        </w:trPr>
        <w:tc>
          <w:tcPr>
            <w:tcW w:w="9856" w:type="dxa"/>
            <w:gridSpan w:val="2"/>
            <w:tcBorders>
              <w:top w:val="single" w:sz="6" w:space="0" w:color="044E7E"/>
              <w:bottom w:val="single" w:sz="10" w:space="0" w:color="044E7E"/>
            </w:tcBorders>
            <w:vAlign w:val="top"/>
          </w:tcPr>
          <w:p>
            <w:pPr>
              <w:pStyle w:val="TableText"/>
              <w:spacing w:before="300" w:line="195" w:lineRule="auto"/>
              <w:ind w:left="125"/>
              <w:rPr>
                <w:sz w:val="18"/>
                <w:szCs w:val="18"/>
              </w:rPr>
            </w:pPr>
            <w:r>
              <w:pict>
                <v:rect id="_x0000_s1084" style="width:482.25pt;height:2.05pt;margin-top:791.9pt;margin-left:56.55pt;mso-position-horizontal-relative:page;mso-position-vertical-relative:page;position:absolute;z-index:251719680" o:allowincell="f" filled="t" fillcolor="#044e7e" stroked="f"/>
              </w:pict>
            </w:r>
            <w:r>
              <w:rPr>
                <w:b/>
                <w:bCs/>
                <w:spacing w:val="-2"/>
                <w:sz w:val="18"/>
                <w:szCs w:val="18"/>
                <w14:textOutline w14:w="3265">
                  <w14:solidFill>
                    <w14:srgbClr w14:val="000000"/>
                  </w14:solidFill>
                  <w14:prstDash w14:val="solid"/>
                  <w14:miter w14:lim="10"/>
                </w14:textOutline>
              </w:rPr>
              <w:t>图</w:t>
            </w:r>
            <w:r>
              <w:rPr>
                <w:b/>
                <w:bCs/>
                <w:spacing w:val="-2"/>
                <w:sz w:val="18"/>
                <w:szCs w:val="18"/>
              </w:rPr>
              <w:t xml:space="preserve"> </w:t>
            </w:r>
            <w:r>
              <w:rPr>
                <w:rFonts w:ascii="Times New Roman" w:eastAsia="Times New Roman" w:hAnsi="Times New Roman" w:cs="Times New Roman"/>
                <w:b/>
                <w:bCs/>
                <w:spacing w:val="-2"/>
                <w:sz w:val="18"/>
                <w:szCs w:val="18"/>
              </w:rPr>
              <w:t>9:</w:t>
            </w:r>
            <w:r>
              <w:rPr>
                <w:b/>
                <w:bCs/>
                <w:spacing w:val="-2"/>
                <w:sz w:val="18"/>
                <w:szCs w:val="18"/>
                <w14:textOutline w14:w="3265">
                  <w14:solidFill>
                    <w14:srgbClr w14:val="000000"/>
                  </w14:solidFill>
                  <w14:prstDash w14:val="solid"/>
                  <w14:miter w14:lim="10"/>
                </w14:textOutline>
              </w:rPr>
              <w:t>香港</w:t>
            </w:r>
            <w:r>
              <w:rPr>
                <w:b/>
                <w:bCs/>
                <w:spacing w:val="-2"/>
                <w:sz w:val="18"/>
                <w:szCs w:val="18"/>
              </w:rPr>
              <w:t xml:space="preserve"> </w:t>
            </w:r>
            <w:r>
              <w:rPr>
                <w:rFonts w:ascii="Times New Roman" w:eastAsia="Times New Roman" w:hAnsi="Times New Roman" w:cs="Times New Roman"/>
                <w:b/>
                <w:bCs/>
                <w:spacing w:val="-2"/>
                <w:sz w:val="18"/>
                <w:szCs w:val="18"/>
              </w:rPr>
              <w:t xml:space="preserve">20 </w:t>
            </w:r>
            <w:r>
              <w:rPr>
                <w:b/>
                <w:bCs/>
                <w:spacing w:val="-2"/>
                <w:sz w:val="18"/>
                <w:szCs w:val="18"/>
                <w14:textOutline w14:w="3265">
                  <w14:solidFill>
                    <w14:srgbClr w14:val="000000"/>
                  </w14:solidFill>
                  <w14:prstDash w14:val="solid"/>
                  <w14:miter w14:lim="10"/>
                </w14:textOutline>
              </w:rPr>
              <w:t>世纪以来汇率制度变迁</w:t>
            </w:r>
          </w:p>
        </w:tc>
      </w:tr>
      <w:tr>
        <w:tblPrEx>
          <w:tblW w:w="9856" w:type="dxa"/>
          <w:tblInd w:w="0" w:type="dxa"/>
          <w:tblLayout w:type="fixed"/>
        </w:tblPrEx>
        <w:trPr>
          <w:trHeight w:val="3036"/>
        </w:trPr>
        <w:tc>
          <w:tcPr>
            <w:tcW w:w="9856" w:type="dxa"/>
            <w:gridSpan w:val="2"/>
            <w:tcBorders>
              <w:top w:val="single" w:sz="10" w:space="0" w:color="044E7E"/>
              <w:bottom w:val="single" w:sz="6" w:space="0" w:color="044E7E"/>
            </w:tcBorders>
            <w:vAlign w:val="top"/>
          </w:tcPr>
          <w:p>
            <w:pPr>
              <w:spacing w:line="2599" w:lineRule="exact"/>
              <w:ind w:firstLine="1798"/>
            </w:pPr>
            <w:r>
              <w:rPr>
                <w:position w:val="-51"/>
              </w:rPr>
              <w:drawing>
                <wp:inline distT="0" distB="0" distL="0" distR="0">
                  <wp:extent cx="3965575" cy="1650699"/>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49"/>
                          <a:stretch>
                            <a:fillRect/>
                          </a:stretch>
                        </pic:blipFill>
                        <pic:spPr>
                          <a:xfrm>
                            <a:off x="0" y="0"/>
                            <a:ext cx="3965575" cy="1650699"/>
                          </a:xfrm>
                          <a:prstGeom prst="rect">
                            <a:avLst/>
                          </a:prstGeom>
                        </pic:spPr>
                      </pic:pic>
                    </a:graphicData>
                  </a:graphic>
                </wp:inline>
              </w:drawing>
            </w:r>
          </w:p>
        </w:tc>
      </w:tr>
      <w:tr>
        <w:tblPrEx>
          <w:tblW w:w="9856" w:type="dxa"/>
          <w:tblInd w:w="0" w:type="dxa"/>
          <w:tblLayout w:type="fixed"/>
        </w:tblPrEx>
        <w:trPr>
          <w:trHeight w:val="2982"/>
        </w:trPr>
        <w:tc>
          <w:tcPr>
            <w:tcW w:w="9856" w:type="dxa"/>
            <w:gridSpan w:val="2"/>
            <w:tcBorders>
              <w:top w:val="single" w:sz="6" w:space="0" w:color="044E7E"/>
              <w:bottom w:val="single" w:sz="10" w:space="0" w:color="044E7E"/>
            </w:tcBorders>
            <w:vAlign w:val="top"/>
          </w:tcPr>
          <w:p>
            <w:pPr>
              <w:pStyle w:val="TableText"/>
              <w:spacing w:before="106" w:line="217" w:lineRule="auto"/>
              <w:ind w:left="116" w:right="107" w:firstLine="402"/>
            </w:pPr>
            <w:r>
              <w:rPr>
                <w:spacing w:val="2"/>
              </w:rPr>
              <w:t>为维持香港货币金融的稳定，</w:t>
            </w:r>
            <w:r>
              <w:rPr>
                <w:spacing w:val="-26"/>
              </w:rPr>
              <w:t xml:space="preserve"> </w:t>
            </w:r>
            <w:r>
              <w:rPr>
                <w:spacing w:val="2"/>
              </w:rPr>
              <w:t>自</w:t>
            </w:r>
            <w:r>
              <w:rPr>
                <w:spacing w:val="19"/>
              </w:rPr>
              <w:t xml:space="preserve"> </w:t>
            </w:r>
            <w:r>
              <w:rPr>
                <w:rFonts w:ascii="Times New Roman" w:eastAsia="Times New Roman" w:hAnsi="Times New Roman" w:cs="Times New Roman"/>
                <w:spacing w:val="2"/>
              </w:rPr>
              <w:t>1983</w:t>
            </w:r>
            <w:r>
              <w:rPr>
                <w:rFonts w:ascii="Times New Roman" w:eastAsia="Times New Roman" w:hAnsi="Times New Roman" w:cs="Times New Roman"/>
                <w:spacing w:val="13"/>
              </w:rPr>
              <w:t xml:space="preserve"> </w:t>
            </w:r>
            <w:r>
              <w:rPr>
                <w:spacing w:val="2"/>
              </w:rPr>
              <w:t>年</w:t>
            </w:r>
            <w:r>
              <w:rPr>
                <w:spacing w:val="17"/>
              </w:rPr>
              <w:t xml:space="preserve"> </w:t>
            </w:r>
            <w:r>
              <w:rPr>
                <w:rFonts w:ascii="Times New Roman" w:eastAsia="Times New Roman" w:hAnsi="Times New Roman" w:cs="Times New Roman"/>
                <w:spacing w:val="2"/>
              </w:rPr>
              <w:t>10</w:t>
            </w:r>
            <w:r>
              <w:rPr>
                <w:rFonts w:ascii="Times New Roman" w:eastAsia="Times New Roman" w:hAnsi="Times New Roman" w:cs="Times New Roman"/>
                <w:spacing w:val="17"/>
              </w:rPr>
              <w:t xml:space="preserve"> </w:t>
            </w:r>
            <w:r>
              <w:rPr>
                <w:spacing w:val="2"/>
              </w:rPr>
              <w:t>月</w:t>
            </w:r>
            <w:r>
              <w:rPr>
                <w:spacing w:val="17"/>
                <w:w w:val="101"/>
              </w:rPr>
              <w:t xml:space="preserve"> </w:t>
            </w:r>
            <w:r>
              <w:rPr>
                <w:rFonts w:ascii="Times New Roman" w:eastAsia="Times New Roman" w:hAnsi="Times New Roman" w:cs="Times New Roman"/>
                <w:spacing w:val="2"/>
              </w:rPr>
              <w:t>17</w:t>
            </w:r>
            <w:r>
              <w:rPr>
                <w:rFonts w:ascii="Times New Roman" w:eastAsia="Times New Roman" w:hAnsi="Times New Roman" w:cs="Times New Roman"/>
                <w:spacing w:val="46"/>
              </w:rPr>
              <w:t xml:space="preserve"> </w:t>
            </w:r>
            <w:r>
              <w:rPr>
                <w:spacing w:val="2"/>
              </w:rPr>
              <w:t>日起，</w:t>
            </w:r>
            <w:r>
              <w:rPr>
                <w:spacing w:val="22"/>
              </w:rPr>
              <w:t xml:space="preserve"> </w:t>
            </w:r>
            <w:r>
              <w:rPr>
                <w:spacing w:val="2"/>
              </w:rPr>
              <w:t>香港实施联系汇率制度，</w:t>
            </w:r>
            <w:r>
              <w:rPr>
                <w:spacing w:val="1"/>
              </w:rPr>
              <w:t>货币发行银行需以</w:t>
            </w:r>
            <w:r>
              <w:rPr>
                <w:spacing w:val="19"/>
                <w:w w:val="101"/>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13"/>
                <w:w w:val="101"/>
              </w:rPr>
              <w:t xml:space="preserve"> </w:t>
            </w:r>
            <w:r>
              <w:rPr>
                <w:spacing w:val="1"/>
              </w:rPr>
              <w:t>美元</w:t>
            </w:r>
            <w:r>
              <w:t xml:space="preserve"> </w:t>
            </w:r>
            <w:r>
              <w:rPr>
                <w:spacing w:val="3"/>
              </w:rPr>
              <w:t xml:space="preserve">兑 </w:t>
            </w:r>
            <w:r>
              <w:rPr>
                <w:rFonts w:ascii="Times New Roman" w:eastAsia="Times New Roman" w:hAnsi="Times New Roman" w:cs="Times New Roman"/>
                <w:spacing w:val="3"/>
              </w:rPr>
              <w:t xml:space="preserve">7.8 </w:t>
            </w:r>
            <w:r>
              <w:rPr>
                <w:spacing w:val="3"/>
              </w:rPr>
              <w:t>港元的比价，   向外汇基金缴纳美元，  换取等值的港元“负债证明书”后，才能增发港元现钞，待现钞从</w:t>
            </w:r>
            <w:r>
              <w:rPr>
                <w:spacing w:val="1"/>
              </w:rPr>
              <w:t xml:space="preserve">   </w:t>
            </w:r>
            <w:r>
              <w:rPr>
                <w:spacing w:val="6"/>
              </w:rPr>
              <w:t>流通中回流后，  发钞银行可按该比价将负债证明书交还，以兑回美元。联系汇率制度是一种货币发行局制度，</w:t>
            </w:r>
          </w:p>
          <w:p>
            <w:pPr>
              <w:pStyle w:val="TableText"/>
              <w:spacing w:before="52" w:line="220" w:lineRule="auto"/>
              <w:ind w:left="114" w:right="110" w:firstLine="2"/>
            </w:pPr>
            <w:r>
              <w:rPr>
                <w:spacing w:val="5"/>
              </w:rPr>
              <w:t xml:space="preserve">使港元汇率保持在 </w:t>
            </w:r>
            <w:r>
              <w:rPr>
                <w:rFonts w:ascii="Times New Roman" w:eastAsia="Times New Roman" w:hAnsi="Times New Roman" w:cs="Times New Roman"/>
                <w:spacing w:val="5"/>
              </w:rPr>
              <w:t>7.75</w:t>
            </w:r>
            <w:r>
              <w:rPr>
                <w:rFonts w:ascii="Times New Roman" w:eastAsia="Times New Roman" w:hAnsi="Times New Roman" w:cs="Times New Roman"/>
                <w:spacing w:val="25"/>
                <w:w w:val="101"/>
              </w:rPr>
              <w:t xml:space="preserve"> </w:t>
            </w:r>
            <w:r>
              <w:rPr>
                <w:spacing w:val="5"/>
              </w:rPr>
              <w:t xml:space="preserve">至 </w:t>
            </w:r>
            <w:r>
              <w:rPr>
                <w:rFonts w:ascii="Times New Roman" w:eastAsia="Times New Roman" w:hAnsi="Times New Roman" w:cs="Times New Roman"/>
                <w:spacing w:val="5"/>
              </w:rPr>
              <w:t xml:space="preserve">7.85 </w:t>
            </w:r>
            <w:r>
              <w:rPr>
                <w:spacing w:val="5"/>
              </w:rPr>
              <w:t>港元兑</w:t>
            </w:r>
            <w:r>
              <w:rPr>
                <w:spacing w:val="17"/>
                <w:w w:val="101"/>
              </w:rPr>
              <w:t xml:space="preserve"> </w:t>
            </w:r>
            <w:r>
              <w:rPr>
                <w:rFonts w:ascii="Times New Roman" w:eastAsia="Times New Roman" w:hAnsi="Times New Roman" w:cs="Times New Roman"/>
                <w:spacing w:val="5"/>
              </w:rPr>
              <w:t xml:space="preserve">1 </w:t>
            </w:r>
            <w:r>
              <w:rPr>
                <w:spacing w:val="5"/>
              </w:rPr>
              <w:t>美元的区间内。该制度由香港金融管理局提供兑换保证， 来维持港元汇</w:t>
            </w:r>
            <w:r>
              <w:t xml:space="preserve"> </w:t>
            </w:r>
            <w:r>
              <w:rPr>
                <w:spacing w:val="8"/>
              </w:rPr>
              <w:t xml:space="preserve">率稳定。若市场对港元需求大于供应，推动市场汇率上升至 </w:t>
            </w:r>
            <w:r>
              <w:rPr>
                <w:rFonts w:ascii="Times New Roman" w:eastAsia="Times New Roman" w:hAnsi="Times New Roman" w:cs="Times New Roman"/>
                <w:spacing w:val="8"/>
              </w:rPr>
              <w:t xml:space="preserve">7.75 </w:t>
            </w:r>
            <w:r>
              <w:rPr>
                <w:spacing w:val="8"/>
              </w:rPr>
              <w:t>港元兑</w:t>
            </w:r>
            <w:r>
              <w:rPr>
                <w:spacing w:val="18"/>
              </w:rPr>
              <w:t xml:space="preserve"> </w:t>
            </w:r>
            <w:r>
              <w:rPr>
                <w:rFonts w:ascii="Times New Roman" w:eastAsia="Times New Roman" w:hAnsi="Times New Roman" w:cs="Times New Roman"/>
                <w:spacing w:val="8"/>
              </w:rPr>
              <w:t xml:space="preserve">1 </w:t>
            </w:r>
            <w:r>
              <w:rPr>
                <w:spacing w:val="8"/>
              </w:rPr>
              <w:t>美元的强方兑换保证水平，则金管局</w:t>
            </w:r>
            <w:r>
              <w:t xml:space="preserve"> </w:t>
            </w:r>
            <w:r>
              <w:rPr>
                <w:spacing w:val="7"/>
              </w:rPr>
              <w:t>将向银行卖出港元、买入美元，</w:t>
            </w:r>
            <w:r>
              <w:rPr>
                <w:spacing w:val="29"/>
                <w:w w:val="101"/>
              </w:rPr>
              <w:t xml:space="preserve"> </w:t>
            </w:r>
            <w:r>
              <w:rPr>
                <w:spacing w:val="7"/>
              </w:rPr>
              <w:t>反之若港元供过于求，</w:t>
            </w:r>
            <w:r>
              <w:rPr>
                <w:spacing w:val="6"/>
              </w:rPr>
              <w:t xml:space="preserve">令市场汇率转弱至 </w:t>
            </w:r>
            <w:r>
              <w:rPr>
                <w:rFonts w:ascii="Times New Roman" w:eastAsia="Times New Roman" w:hAnsi="Times New Roman" w:cs="Times New Roman"/>
                <w:spacing w:val="6"/>
              </w:rPr>
              <w:t xml:space="preserve">7.85 </w:t>
            </w:r>
            <w:r>
              <w:rPr>
                <w:spacing w:val="6"/>
              </w:rPr>
              <w:t>港元兑</w:t>
            </w:r>
            <w:r>
              <w:rPr>
                <w:spacing w:val="17"/>
                <w:w w:val="101"/>
              </w:rPr>
              <w:t xml:space="preserve"> </w:t>
            </w:r>
            <w:r>
              <w:rPr>
                <w:rFonts w:ascii="Times New Roman" w:eastAsia="Times New Roman" w:hAnsi="Times New Roman" w:cs="Times New Roman"/>
                <w:spacing w:val="6"/>
              </w:rPr>
              <w:t xml:space="preserve">1 </w:t>
            </w:r>
            <w:r>
              <w:rPr>
                <w:spacing w:val="6"/>
              </w:rPr>
              <w:t>美元的弱方兑换保证汇</w:t>
            </w:r>
            <w:r>
              <w:t xml:space="preserve"> </w:t>
            </w:r>
            <w:r>
              <w:rPr>
                <w:spacing w:val="9"/>
              </w:rPr>
              <w:t>率，金管局将向银行买入港元以推高港元利率，以此维系汇率稳定在一定区</w:t>
            </w:r>
            <w:r>
              <w:rPr>
                <w:spacing w:val="8"/>
              </w:rPr>
              <w:t>间内。</w:t>
            </w:r>
          </w:p>
          <w:p>
            <w:pPr>
              <w:pStyle w:val="TableText"/>
              <w:spacing w:before="310" w:line="195" w:lineRule="auto"/>
              <w:ind w:left="125"/>
              <w:rPr>
                <w:sz w:val="18"/>
                <w:szCs w:val="18"/>
              </w:rPr>
            </w:pPr>
            <w:r>
              <w:rPr>
                <w:b/>
                <w:bCs/>
                <w:spacing w:val="-1"/>
                <w:sz w:val="18"/>
                <w:szCs w:val="18"/>
                <w14:textOutline w14:w="3265">
                  <w14:solidFill>
                    <w14:srgbClr w14:val="000000"/>
                  </w14:solidFill>
                  <w14:prstDash w14:val="solid"/>
                  <w14:miter w14:lim="10"/>
                </w14:textOutline>
              </w:rPr>
              <w:t>图</w:t>
            </w:r>
            <w:r>
              <w:rPr>
                <w:b/>
                <w:bCs/>
                <w:spacing w:val="-1"/>
                <w:sz w:val="18"/>
                <w:szCs w:val="18"/>
              </w:rPr>
              <w:t xml:space="preserve"> </w:t>
            </w:r>
            <w:r>
              <w:rPr>
                <w:rFonts w:ascii="Times New Roman" w:eastAsia="Times New Roman" w:hAnsi="Times New Roman" w:cs="Times New Roman"/>
                <w:b/>
                <w:bCs/>
                <w:spacing w:val="-1"/>
                <w:sz w:val="18"/>
                <w:szCs w:val="18"/>
              </w:rPr>
              <w:t>10:</w:t>
            </w:r>
            <w:r>
              <w:rPr>
                <w:b/>
                <w:bCs/>
                <w:spacing w:val="-1"/>
                <w:sz w:val="18"/>
                <w:szCs w:val="18"/>
                <w14:textOutline w14:w="3265">
                  <w14:solidFill>
                    <w14:srgbClr w14:val="000000"/>
                  </w14:solidFill>
                  <w14:prstDash w14:val="solid"/>
                  <w14:miter w14:lim="10"/>
                </w14:textOutline>
              </w:rPr>
              <w:t>港元兑换范围</w:t>
            </w:r>
            <w:r>
              <w:rPr>
                <w:b/>
                <w:bCs/>
                <w:spacing w:val="-1"/>
                <w:sz w:val="18"/>
                <w:szCs w:val="18"/>
              </w:rPr>
              <w:t xml:space="preserve">                                                                </w:t>
            </w:r>
            <w:r>
              <w:rPr>
                <w:b/>
                <w:bCs/>
                <w:spacing w:val="-1"/>
                <w:sz w:val="18"/>
                <w:szCs w:val="18"/>
                <w14:textOutline w14:w="3265">
                  <w14:solidFill>
                    <w14:srgbClr w14:val="000000"/>
                  </w14:solidFill>
                  <w14:prstDash w14:val="solid"/>
                  <w14:miter w14:lim="10"/>
                </w14:textOutline>
              </w:rPr>
              <w:t>图</w:t>
            </w:r>
            <w:r>
              <w:rPr>
                <w:b/>
                <w:bCs/>
                <w:spacing w:val="-1"/>
                <w:sz w:val="18"/>
                <w:szCs w:val="18"/>
              </w:rPr>
              <w:t xml:space="preserve"> </w:t>
            </w:r>
            <w:r>
              <w:rPr>
                <w:rFonts w:ascii="Times New Roman" w:eastAsia="Times New Roman" w:hAnsi="Times New Roman" w:cs="Times New Roman"/>
                <w:b/>
                <w:bCs/>
                <w:spacing w:val="-1"/>
                <w:sz w:val="18"/>
                <w:szCs w:val="18"/>
              </w:rPr>
              <w:t>11:</w:t>
            </w:r>
            <w:r>
              <w:rPr>
                <w:b/>
                <w:bCs/>
                <w:spacing w:val="-1"/>
                <w:sz w:val="18"/>
                <w:szCs w:val="18"/>
                <w14:textOutline w14:w="3265">
                  <w14:solidFill>
                    <w14:srgbClr w14:val="000000"/>
                  </w14:solidFill>
                  <w14:prstDash w14:val="solid"/>
                  <w14:miter w14:lim="10"/>
                </w14:textOutline>
              </w:rPr>
              <w:t>金管局履行兑换保证</w:t>
            </w:r>
          </w:p>
        </w:tc>
      </w:tr>
      <w:tr>
        <w:tblPrEx>
          <w:tblW w:w="9856" w:type="dxa"/>
          <w:tblInd w:w="0" w:type="dxa"/>
          <w:tblLayout w:type="fixed"/>
        </w:tblPrEx>
        <w:trPr>
          <w:trHeight w:val="3336"/>
        </w:trPr>
        <w:tc>
          <w:tcPr>
            <w:tcW w:w="4868" w:type="dxa"/>
            <w:tcBorders>
              <w:top w:val="single" w:sz="10" w:space="0" w:color="044E7E"/>
              <w:bottom w:val="single" w:sz="6" w:space="0" w:color="044E7E"/>
            </w:tcBorders>
            <w:vAlign w:val="top"/>
          </w:tcPr>
          <w:p>
            <w:pPr>
              <w:spacing w:line="3107" w:lineRule="exact"/>
              <w:ind w:firstLine="244"/>
            </w:pPr>
            <w:r>
              <w:rPr>
                <w:position w:val="-62"/>
              </w:rPr>
              <w:drawing>
                <wp:inline distT="0" distB="0" distL="0" distR="0">
                  <wp:extent cx="2813050" cy="1973279"/>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50"/>
                          <a:stretch>
                            <a:fillRect/>
                          </a:stretch>
                        </pic:blipFill>
                        <pic:spPr>
                          <a:xfrm>
                            <a:off x="0" y="0"/>
                            <a:ext cx="2813050" cy="1973279"/>
                          </a:xfrm>
                          <a:prstGeom prst="rect">
                            <a:avLst/>
                          </a:prstGeom>
                        </pic:spPr>
                      </pic:pic>
                    </a:graphicData>
                  </a:graphic>
                </wp:inline>
              </w:drawing>
            </w:r>
          </w:p>
        </w:tc>
        <w:tc>
          <w:tcPr>
            <w:tcW w:w="4988" w:type="dxa"/>
            <w:tcBorders>
              <w:top w:val="single" w:sz="10" w:space="0" w:color="044E7E"/>
              <w:bottom w:val="single" w:sz="6" w:space="0" w:color="044E7E"/>
            </w:tcBorders>
            <w:vAlign w:val="top"/>
          </w:tcPr>
          <w:p>
            <w:pPr>
              <w:spacing w:before="92" w:line="2869" w:lineRule="exact"/>
              <w:ind w:firstLine="193"/>
            </w:pPr>
            <w:r>
              <w:rPr>
                <w:position w:val="-57"/>
              </w:rPr>
              <w:drawing>
                <wp:inline distT="0" distB="0" distL="0" distR="0">
                  <wp:extent cx="2957195" cy="1821814"/>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51"/>
                          <a:stretch>
                            <a:fillRect/>
                          </a:stretch>
                        </pic:blipFill>
                        <pic:spPr>
                          <a:xfrm>
                            <a:off x="0" y="0"/>
                            <a:ext cx="2957195" cy="1821814"/>
                          </a:xfrm>
                          <a:prstGeom prst="rect">
                            <a:avLst/>
                          </a:prstGeom>
                        </pic:spPr>
                      </pic:pic>
                    </a:graphicData>
                  </a:graphic>
                </wp:inline>
              </w:drawing>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2" w:history="1">
        <w:r>
          <w:rPr>
            <w:rFonts w:ascii="SimSun" w:eastAsia="SimSun" w:hAnsi="SimSun" w:cs="SimSun"/>
            <w:b/>
            <w:bCs/>
            <w:noProof w:val="0"/>
            <w:snapToGrid/>
            <w:color w:val="0000EE"/>
            <w:kern w:val="0"/>
            <w:sz w:val="30"/>
            <w:szCs w:val="30"/>
            <w:u w:val="single" w:color="0000EE"/>
          </w:rPr>
          <w:t>https://d.book118.com/375121141020011113</w:t>
        </w:r>
      </w:hyperlink>
    </w:p>
    <w:p/>
    <w:sectPr>
      <w:headerReference w:type="default" r:id="rId53"/>
      <w:footerReference w:type="default" r:id="rId54"/>
      <w:pgSz w:w="11907" w:h="16839"/>
      <w:pgMar w:top="1945" w:right="1025" w:bottom="1215" w:left="1024" w:header="900" w:footer="705"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5" w:lineRule="auto"/>
      <w:ind w:right="13"/>
    </w:pPr>
    <w:r>
      <w:rPr>
        <w:color w:val="000080"/>
        <w:spacing w:val="5"/>
      </w:rPr>
      <w:t>本报告由中信建投证券股份有限公司在中华人民共和国（仅为本报告目的，</w:t>
    </w:r>
    <w:r>
      <w:rPr>
        <w:color w:val="000080"/>
        <w:spacing w:val="50"/>
        <w:w w:val="101"/>
      </w:rPr>
      <w:t xml:space="preserve"> </w:t>
    </w:r>
    <w:r>
      <w:rPr>
        <w:color w:val="000080"/>
        <w:spacing w:val="5"/>
      </w:rPr>
      <w:t>不</w:t>
    </w:r>
    <w:r>
      <w:rPr>
        <w:color w:val="000080"/>
        <w:spacing w:val="4"/>
      </w:rPr>
      <w:t>包括香港、澳门、台湾）</w:t>
    </w:r>
    <w:r>
      <w:rPr>
        <w:color w:val="000080"/>
        <w:spacing w:val="55"/>
      </w:rPr>
      <w:t xml:space="preserve"> </w:t>
    </w:r>
    <w:r>
      <w:rPr>
        <w:color w:val="000080"/>
        <w:spacing w:val="4"/>
      </w:rPr>
      <w:t>提供。在遵守适用的法律</w:t>
    </w:r>
    <w:r>
      <w:rPr>
        <w:color w:val="000080"/>
      </w:rPr>
      <w:t xml:space="preserve"> </w:t>
    </w:r>
    <w:r>
      <w:rPr>
        <w:color w:val="000080"/>
        <w:spacing w:val="10"/>
      </w:rPr>
      <w:t>法规情况下，本报告亦可能由中信建投（国际）证券有限公</w:t>
    </w:r>
    <w:r>
      <w:rPr>
        <w:color w:val="000080"/>
        <w:spacing w:val="9"/>
      </w:rPr>
      <w:t>司在香港提供。同时请务必阅读正文之后的免责条款和声明。</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5" w:lineRule="auto"/>
      <w:ind w:right="13"/>
    </w:pPr>
    <w:r>
      <w:rPr>
        <w:color w:val="000080"/>
        <w:spacing w:val="5"/>
      </w:rPr>
      <w:t>本报告由中信建投证券股份有限公司在中华人民共和国（仅为本报告目的，</w:t>
    </w:r>
    <w:r>
      <w:rPr>
        <w:color w:val="000080"/>
        <w:spacing w:val="50"/>
        <w:w w:val="101"/>
      </w:rPr>
      <w:t xml:space="preserve"> </w:t>
    </w:r>
    <w:r>
      <w:rPr>
        <w:color w:val="000080"/>
        <w:spacing w:val="5"/>
      </w:rPr>
      <w:t>不</w:t>
    </w:r>
    <w:r>
      <w:rPr>
        <w:color w:val="000080"/>
        <w:spacing w:val="4"/>
      </w:rPr>
      <w:t>包括香港、澳门、台湾）</w:t>
    </w:r>
    <w:r>
      <w:rPr>
        <w:color w:val="000080"/>
        <w:spacing w:val="55"/>
      </w:rPr>
      <w:t xml:space="preserve"> </w:t>
    </w:r>
    <w:r>
      <w:rPr>
        <w:color w:val="000080"/>
        <w:spacing w:val="4"/>
      </w:rPr>
      <w:t>提供。在遵守适用的法律</w:t>
    </w:r>
    <w:r>
      <w:rPr>
        <w:color w:val="000080"/>
      </w:rPr>
      <w:t xml:space="preserve"> </w:t>
    </w:r>
    <w:r>
      <w:rPr>
        <w:color w:val="000080"/>
        <w:spacing w:val="10"/>
      </w:rPr>
      <w:t>法规情况下，本报告亦可能由中信建投（国际）证券有限公</w:t>
    </w:r>
    <w:r>
      <w:rPr>
        <w:color w:val="000080"/>
        <w:spacing w:val="9"/>
      </w:rPr>
      <w:t>司在香港提供。同时请务必阅读正文之后的免责条款和声明。</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36"/>
      <w:rPr>
        <w:sz w:val="18"/>
        <w:szCs w:val="18"/>
      </w:rPr>
    </w:pPr>
    <w:r>
      <w:rPr>
        <w:spacing w:val="-2"/>
        <w:sz w:val="18"/>
        <w:szCs w:val="18"/>
      </w:rPr>
      <w:t>请务必阅读正文之后的免责条款和声明。</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36"/>
      <w:rPr>
        <w:sz w:val="18"/>
        <w:szCs w:val="18"/>
      </w:rPr>
    </w:pPr>
    <w:r>
      <w:rPr>
        <w:spacing w:val="-2"/>
        <w:sz w:val="18"/>
        <w:szCs w:val="18"/>
      </w:rPr>
      <w:t>请务必阅读正文之后的免责条款和声明。</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36"/>
      <w:rPr>
        <w:sz w:val="18"/>
        <w:szCs w:val="18"/>
      </w:rPr>
    </w:pPr>
    <w:r>
      <w:rPr>
        <w:spacing w:val="-2"/>
        <w:sz w:val="18"/>
        <w:szCs w:val="18"/>
      </w:rPr>
      <w:t>请务必阅读正文之后的免责条款和声明。</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3" w:line="184" w:lineRule="auto"/>
      <w:ind w:left="169"/>
      <w:rPr>
        <w:sz w:val="18"/>
        <w:szCs w:val="18"/>
      </w:rPr>
    </w:pPr>
    <w:r>
      <w:rPr>
        <w:spacing w:val="-2"/>
        <w:sz w:val="18"/>
        <w:szCs w:val="18"/>
      </w:rPr>
      <w:t>请务必阅读正文之后的免责条款和声明。</w:t>
    </w:r>
  </w:p>
  <w:p>
    <w:pPr>
      <w:spacing w:line="174" w:lineRule="auto"/>
      <w:ind w:left="966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3" w:line="184" w:lineRule="auto"/>
      <w:ind w:left="169"/>
      <w:rPr>
        <w:sz w:val="18"/>
        <w:szCs w:val="18"/>
      </w:rPr>
    </w:pPr>
    <w:r>
      <w:rPr>
        <w:spacing w:val="-2"/>
        <w:sz w:val="18"/>
        <w:szCs w:val="18"/>
      </w:rPr>
      <w:t>请务必阅读正文之后的免责条款和声明。</w:t>
    </w:r>
  </w:p>
  <w:p>
    <w:pPr>
      <w:spacing w:line="174" w:lineRule="auto"/>
      <w:ind w:left="966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3" w:line="184" w:lineRule="auto"/>
      <w:ind w:left="169"/>
      <w:rPr>
        <w:sz w:val="18"/>
        <w:szCs w:val="18"/>
      </w:rPr>
    </w:pPr>
    <w:r>
      <w:rPr>
        <w:spacing w:val="-2"/>
        <w:sz w:val="18"/>
        <w:szCs w:val="18"/>
      </w:rPr>
      <w:t>请务必阅读正文之后的免责条款和声明。</w:t>
    </w:r>
  </w:p>
  <w:p>
    <w:pPr>
      <w:spacing w:line="174" w:lineRule="auto"/>
      <w:ind w:left="964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3" w:line="184" w:lineRule="auto"/>
      <w:ind w:left="169"/>
      <w:rPr>
        <w:sz w:val="18"/>
        <w:szCs w:val="18"/>
      </w:rPr>
    </w:pPr>
    <w:r>
      <w:rPr>
        <w:spacing w:val="-2"/>
        <w:sz w:val="18"/>
        <w:szCs w:val="18"/>
      </w:rPr>
      <w:t>请务必阅读正文之后的免责条款和声明。</w:t>
    </w:r>
  </w:p>
  <w:p>
    <w:pPr>
      <w:spacing w:line="174" w:lineRule="auto"/>
      <w:ind w:left="964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3" w:line="184" w:lineRule="auto"/>
      <w:ind w:left="421"/>
      <w:rPr>
        <w:sz w:val="18"/>
        <w:szCs w:val="18"/>
      </w:rPr>
    </w:pPr>
    <w:r>
      <w:rPr>
        <w:spacing w:val="-2"/>
        <w:sz w:val="18"/>
        <w:szCs w:val="18"/>
      </w:rPr>
      <w:t>请务必阅读正文之后的免责条款和声明。</w:t>
    </w:r>
  </w:p>
  <w:p>
    <w:pPr>
      <w:spacing w:line="174" w:lineRule="auto"/>
      <w:ind w:left="99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3" w:line="184" w:lineRule="auto"/>
      <w:ind w:left="421"/>
      <w:rPr>
        <w:sz w:val="18"/>
        <w:szCs w:val="18"/>
      </w:rPr>
    </w:pPr>
    <w:r>
      <w:rPr>
        <w:spacing w:val="-2"/>
        <w:sz w:val="18"/>
        <w:szCs w:val="18"/>
      </w:rPr>
      <w:t>请务必阅读正文之后的免责条款和声明。</w:t>
    </w:r>
  </w:p>
  <w:p>
    <w:pPr>
      <w:spacing w:line="174" w:lineRule="auto"/>
      <w:ind w:left="99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3" w:line="184" w:lineRule="auto"/>
      <w:ind w:left="421"/>
      <w:rPr>
        <w:sz w:val="18"/>
        <w:szCs w:val="18"/>
      </w:rPr>
    </w:pPr>
    <w:r>
      <w:rPr>
        <w:spacing w:val="-2"/>
        <w:sz w:val="18"/>
        <w:szCs w:val="18"/>
      </w:rPr>
      <w:t>请务必阅读正文之后的免责条款和声明。</w:t>
    </w:r>
  </w:p>
  <w:p>
    <w:pPr>
      <w:spacing w:line="174" w:lineRule="auto"/>
      <w:ind w:left="99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3" w:line="184" w:lineRule="auto"/>
      <w:ind w:left="421"/>
      <w:rPr>
        <w:sz w:val="18"/>
        <w:szCs w:val="18"/>
      </w:rPr>
    </w:pPr>
    <w:r>
      <w:rPr>
        <w:spacing w:val="-2"/>
        <w:sz w:val="18"/>
        <w:szCs w:val="18"/>
      </w:rPr>
      <w:t>请务必阅读正文之后的免责条款和声明。</w:t>
    </w:r>
  </w:p>
  <w:p>
    <w:pPr>
      <w:spacing w:line="174" w:lineRule="auto"/>
      <w:ind w:left="99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3" w:line="184" w:lineRule="auto"/>
      <w:ind w:left="169"/>
      <w:rPr>
        <w:sz w:val="18"/>
        <w:szCs w:val="18"/>
      </w:rPr>
    </w:pPr>
    <w:r>
      <w:rPr>
        <w:spacing w:val="-2"/>
        <w:sz w:val="18"/>
        <w:szCs w:val="18"/>
      </w:rPr>
      <w:t>请务必阅读正文之后的免责条款和声明。</w:t>
    </w:r>
  </w:p>
  <w:p>
    <w:pPr>
      <w:spacing w:line="174" w:lineRule="auto"/>
      <w:ind w:left="9643"/>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3" w:line="184" w:lineRule="auto"/>
      <w:ind w:left="169"/>
      <w:rPr>
        <w:sz w:val="18"/>
        <w:szCs w:val="18"/>
      </w:rPr>
    </w:pPr>
    <w:r>
      <w:rPr>
        <w:spacing w:val="-2"/>
        <w:sz w:val="18"/>
        <w:szCs w:val="18"/>
      </w:rPr>
      <w:t>请务必阅读正文之后的免责条款和声明。</w:t>
    </w:r>
  </w:p>
  <w:p>
    <w:pPr>
      <w:spacing w:line="174" w:lineRule="auto"/>
      <w:ind w:left="9643"/>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5" w:line="184" w:lineRule="auto"/>
      <w:ind w:left="169"/>
      <w:rPr>
        <w:sz w:val="18"/>
        <w:szCs w:val="18"/>
      </w:rPr>
    </w:pPr>
    <w:r>
      <w:rPr>
        <w:spacing w:val="-2"/>
        <w:sz w:val="18"/>
        <w:szCs w:val="18"/>
      </w:rPr>
      <w:t>请务必阅读正文之后的免责条款和声明。</w:t>
    </w:r>
  </w:p>
  <w:p>
    <w:pPr>
      <w:spacing w:line="171" w:lineRule="auto"/>
      <w:ind w:left="964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5" w:line="184" w:lineRule="auto"/>
      <w:ind w:left="169"/>
      <w:rPr>
        <w:sz w:val="18"/>
        <w:szCs w:val="18"/>
      </w:rPr>
    </w:pPr>
    <w:r>
      <w:rPr>
        <w:spacing w:val="-2"/>
        <w:sz w:val="18"/>
        <w:szCs w:val="18"/>
      </w:rPr>
      <w:t>请务必阅读正文之后的免责条款和声明。</w:t>
    </w:r>
  </w:p>
  <w:p>
    <w:pPr>
      <w:spacing w:line="171" w:lineRule="auto"/>
      <w:ind w:left="964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3" w:line="184" w:lineRule="auto"/>
      <w:ind w:left="63"/>
      <w:rPr>
        <w:sz w:val="18"/>
        <w:szCs w:val="18"/>
      </w:rPr>
    </w:pPr>
    <w:r>
      <w:rPr>
        <w:spacing w:val="-2"/>
        <w:sz w:val="18"/>
        <w:szCs w:val="18"/>
      </w:rPr>
      <w:t>请务必阅读正文之后的免责条款和声明。</w:t>
    </w:r>
  </w:p>
  <w:p>
    <w:pPr>
      <w:spacing w:line="174" w:lineRule="auto"/>
      <w:ind w:right="13"/>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after="115" w:line="184" w:lineRule="auto"/>
      <w:ind w:left="169"/>
      <w:rPr>
        <w:sz w:val="18"/>
        <w:szCs w:val="18"/>
      </w:rPr>
    </w:pPr>
    <w:r>
      <w:rPr>
        <w:spacing w:val="-2"/>
        <w:sz w:val="18"/>
        <w:szCs w:val="18"/>
      </w:rPr>
      <w:t>请务必阅读正文之后的免责条款和声明。</w:t>
    </w:r>
  </w:p>
  <w:p>
    <w:pPr>
      <w:spacing w:line="171" w:lineRule="auto"/>
      <w:ind w:left="964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55" w:lineRule="exact"/>
      <w:ind w:firstLine="374"/>
    </w:pPr>
    <w:r>
      <w:rPr>
        <w:position w:val="-15"/>
      </w:rPr>
      <w:drawing>
        <wp:inline distT="0" distB="0" distL="0" distR="0">
          <wp:extent cx="1903476" cy="4794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903476" cy="47942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55" w:lineRule="exact"/>
      <w:ind w:firstLine="374"/>
    </w:pPr>
    <w:r>
      <w:rPr>
        <w:position w:val="-15"/>
      </w:rPr>
      <w:drawing>
        <wp:inline distT="0" distB="0" distL="0" distR="0">
          <wp:extent cx="1903476" cy="479425"/>
          <wp:effectExtent l="0" t="0" r="0" b="0"/>
          <wp:docPr id="1502215391" name="IM 2"/>
          <wp:cNvGraphicFramePr/>
          <a:graphic xmlns:a="http://schemas.openxmlformats.org/drawingml/2006/main">
            <a:graphicData uri="http://schemas.openxmlformats.org/drawingml/2006/picture">
              <pic:pic xmlns:pic="http://schemas.openxmlformats.org/drawingml/2006/picture">
                <pic:nvPicPr>
                  <pic:cNvPr id="1502215391" name="IM 2"/>
                  <pic:cNvPicPr/>
                </pic:nvPicPr>
                <pic:blipFill>
                  <a:blip xmlns:r="http://schemas.openxmlformats.org/officeDocument/2006/relationships" r:embed="rId1"/>
                  <a:stretch>
                    <a:fillRect/>
                  </a:stretch>
                </pic:blipFill>
                <pic:spPr>
                  <a:xfrm>
                    <a:off x="0" y="0"/>
                    <a:ext cx="1903476" cy="47942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0" w:line="192" w:lineRule="auto"/>
      <w:ind w:left="8781"/>
    </w:pPr>
    <w:r>
      <w:drawing>
        <wp:anchor distT="0" distB="0" distL="0" distR="0" simplePos="0" relativeHeight="251660288"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59264" behindDoc="1" locked="0" layoutInCell="1" allowOverlap="1">
              <wp:simplePos x="0" y="0"/>
              <wp:positionH relativeFrom="column">
                <wp:posOffset>2160270</wp:posOffset>
              </wp:positionH>
              <wp:positionV relativeFrom="paragraph">
                <wp:posOffset>146478</wp:posOffset>
              </wp:positionV>
              <wp:extent cx="3964304" cy="215900"/>
              <wp:effectExtent l="0" t="0" r="0" b="0"/>
              <wp:wrapNone/>
              <wp:docPr id="16" name="Rect 16"/>
              <wp:cNvGraphicFramePr/>
              <a:graphic xmlns:a="http://schemas.openxmlformats.org/drawingml/2006/main">
                <a:graphicData uri="http://schemas.microsoft.com/office/word/2010/wordprocessingShape">
                  <wps:wsp xmlns:wps="http://schemas.microsoft.com/office/word/2010/wordprocessingShape">
                    <wps:cNvSpPr/>
                    <wps:spPr>
                      <a:xfrm>
                        <a:off x="2160270" y="146478"/>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6" o:spid="_x0000_s2049" style="width:312.15pt;height:17pt;margin-top:11.53pt;margin-left:170.1pt;mso-wrap-distance-bottom:0;mso-wrap-distance-left:0;mso-wrap-distance-right:0;mso-wrap-distance-top:0;position:absolute;v-text-anchor:top;z-index:-251658240" fillcolor="#044e7e" stroked="f"/>
          </w:pict>
        </mc:Fallback>
      </mc:AlternateContent>
    </w:r>
    <w:r>
      <w:rPr>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625"/>
      <w:rPr>
        <w:sz w:val="16"/>
        <w:szCs w:val="16"/>
      </w:rPr>
    </w:pPr>
    <w:r>
      <w:rPr>
        <w:color w:val="044E7E"/>
        <w:spacing w:val="-1"/>
        <w:position w:val="-1"/>
        <w:sz w:val="16"/>
        <w:szCs w:val="16"/>
      </w:rPr>
      <w:t>政策深度报告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0" w:line="192" w:lineRule="auto"/>
      <w:ind w:left="8781"/>
    </w:pPr>
    <w:r>
      <w:drawing>
        <wp:anchor distT="0" distB="0" distL="0" distR="0" simplePos="0" relativeHeight="251663360"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182715060" name="IM 14"/>
          <wp:cNvGraphicFramePr/>
          <a:graphic xmlns:a="http://schemas.openxmlformats.org/drawingml/2006/main">
            <a:graphicData uri="http://schemas.openxmlformats.org/drawingml/2006/picture">
              <pic:pic xmlns:pic="http://schemas.openxmlformats.org/drawingml/2006/picture">
                <pic:nvPicPr>
                  <pic:cNvPr id="1182715060" name="IM 14"/>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62336" behindDoc="1" locked="0" layoutInCell="1" allowOverlap="1">
              <wp:simplePos x="0" y="0"/>
              <wp:positionH relativeFrom="column">
                <wp:posOffset>2160270</wp:posOffset>
              </wp:positionH>
              <wp:positionV relativeFrom="paragraph">
                <wp:posOffset>146478</wp:posOffset>
              </wp:positionV>
              <wp:extent cx="3964304" cy="215900"/>
              <wp:effectExtent l="0" t="0" r="0" b="0"/>
              <wp:wrapNone/>
              <wp:docPr id="1245552582" name="Rect 16"/>
              <wp:cNvGraphicFramePr/>
              <a:graphic xmlns:a="http://schemas.openxmlformats.org/drawingml/2006/main">
                <a:graphicData uri="http://schemas.microsoft.com/office/word/2010/wordprocessingShape">
                  <wps:wsp xmlns:wps="http://schemas.microsoft.com/office/word/2010/wordprocessingShape">
                    <wps:cNvSpPr/>
                    <wps:spPr>
                      <a:xfrm>
                        <a:off x="2160270" y="146478"/>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6" o:spid="_x0000_s2050" style="width:312.15pt;height:17pt;margin-top:11.53pt;margin-left:170.1pt;mso-wrap-distance-bottom:0;mso-wrap-distance-left:0;mso-wrap-distance-right:0;mso-wrap-distance-top:0;position:absolute;v-text-anchor:top;z-index:-251655168" fillcolor="#044e7e" stroked="f"/>
          </w:pict>
        </mc:Fallback>
      </mc:AlternateContent>
    </w:r>
    <w:r>
      <w:rPr>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625"/>
      <w:rPr>
        <w:sz w:val="16"/>
        <w:szCs w:val="16"/>
      </w:rPr>
    </w:pPr>
    <w:r>
      <w:rPr>
        <w:color w:val="044E7E"/>
        <w:spacing w:val="-1"/>
        <w:position w:val="-1"/>
        <w:sz w:val="16"/>
        <w:szCs w:val="16"/>
      </w:rPr>
      <w:t>政策深度报告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0" w:line="192" w:lineRule="auto"/>
      <w:ind w:left="8781"/>
    </w:pPr>
    <w:r>
      <w:drawing>
        <wp:anchor distT="0" distB="0" distL="0" distR="0" simplePos="0" relativeHeight="251666432"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65408" behindDoc="1" locked="0" layoutInCell="1" allowOverlap="1">
              <wp:simplePos x="0" y="0"/>
              <wp:positionH relativeFrom="column">
                <wp:posOffset>2160270</wp:posOffset>
              </wp:positionH>
              <wp:positionV relativeFrom="paragraph">
                <wp:posOffset>146478</wp:posOffset>
              </wp:positionV>
              <wp:extent cx="3964304" cy="215900"/>
              <wp:effectExtent l="0" t="0" r="0" b="0"/>
              <wp:wrapNone/>
              <wp:docPr id="20" name="Rect 20"/>
              <wp:cNvGraphicFramePr/>
              <a:graphic xmlns:a="http://schemas.openxmlformats.org/drawingml/2006/main">
                <a:graphicData uri="http://schemas.microsoft.com/office/word/2010/wordprocessingShape">
                  <wps:wsp xmlns:wps="http://schemas.microsoft.com/office/word/2010/wordprocessingShape">
                    <wps:cNvSpPr/>
                    <wps:spPr>
                      <a:xfrm>
                        <a:off x="2160270" y="146478"/>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0" o:spid="_x0000_s2051" style="width:312.15pt;height:17pt;margin-top:11.53pt;margin-left:170.1pt;mso-wrap-distance-bottom:0;mso-wrap-distance-left:0;mso-wrap-distance-right:0;mso-wrap-distance-top:0;position:absolute;v-text-anchor:top;z-index:-251652096" fillcolor="#044e7e" stroked="f"/>
          </w:pict>
        </mc:Fallback>
      </mc:AlternateContent>
    </w:r>
    <w:r>
      <w:rPr>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625"/>
      <w:rPr>
        <w:sz w:val="16"/>
        <w:szCs w:val="16"/>
      </w:rPr>
    </w:pPr>
    <w:r>
      <w:rPr>
        <w:color w:val="044E7E"/>
        <w:spacing w:val="-1"/>
        <w:position w:val="-1"/>
        <w:sz w:val="16"/>
        <w:szCs w:val="16"/>
      </w:rPr>
      <w:t>政策深度报告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8888"/>
    </w:pPr>
    <w:r>
      <w:drawing>
        <wp:anchor distT="0" distB="0" distL="0" distR="0" simplePos="0" relativeHeight="251669504"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68480" behindDoc="1" locked="0" layoutInCell="1" allowOverlap="1">
              <wp:simplePos x="0" y="0"/>
              <wp:positionH relativeFrom="column">
                <wp:posOffset>2227707</wp:posOffset>
              </wp:positionH>
              <wp:positionV relativeFrom="paragraph">
                <wp:posOffset>146596</wp:posOffset>
              </wp:positionV>
              <wp:extent cx="3964304" cy="215900"/>
              <wp:effectExtent l="0" t="0" r="0" b="0"/>
              <wp:wrapNone/>
              <wp:docPr id="24" name="Rect 24"/>
              <wp:cNvGraphicFramePr/>
              <a:graphic xmlns:a="http://schemas.openxmlformats.org/drawingml/2006/main">
                <a:graphicData uri="http://schemas.microsoft.com/office/word/2010/wordprocessingShape">
                  <wps:wsp xmlns:wps="http://schemas.microsoft.com/office/word/2010/wordprocessingShape">
                    <wps:cNvSpPr/>
                    <wps:spPr>
                      <a:xfrm>
                        <a:off x="2227707"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4" o:spid="_x0000_s2052" style="width:312.15pt;height:17pt;margin-top:11.54pt;margin-left:175.41pt;mso-wrap-distance-bottom:0;mso-wrap-distance-left:0;mso-wrap-distance-right:0;mso-wrap-distance-top:0;position:absolute;v-text-anchor:top;z-index:-251649024" fillcolor="#044e7e" stroked="f"/>
          </w:pict>
        </mc:Fallback>
      </mc:AlternateContent>
    </w:r>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731"/>
      <w:rPr>
        <w:sz w:val="16"/>
        <w:szCs w:val="16"/>
      </w:rPr>
    </w:pPr>
    <w:r>
      <w:rPr>
        <w:color w:val="044E7E"/>
        <w:spacing w:val="-1"/>
        <w:position w:val="-1"/>
        <w:sz w:val="16"/>
        <w:szCs w:val="16"/>
      </w:rPr>
      <w:t>政策深度报告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8888"/>
    </w:pPr>
    <w:r>
      <w:drawing>
        <wp:anchor distT="0" distB="0" distL="0" distR="0" simplePos="0" relativeHeight="251672576"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653445988" name="IM 22"/>
          <wp:cNvGraphicFramePr/>
          <a:graphic xmlns:a="http://schemas.openxmlformats.org/drawingml/2006/main">
            <a:graphicData uri="http://schemas.openxmlformats.org/drawingml/2006/picture">
              <pic:pic xmlns:pic="http://schemas.openxmlformats.org/drawingml/2006/picture">
                <pic:nvPicPr>
                  <pic:cNvPr id="1653445988" name="IM 2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71552" behindDoc="1" locked="0" layoutInCell="1" allowOverlap="1">
              <wp:simplePos x="0" y="0"/>
              <wp:positionH relativeFrom="column">
                <wp:posOffset>2227707</wp:posOffset>
              </wp:positionH>
              <wp:positionV relativeFrom="paragraph">
                <wp:posOffset>146596</wp:posOffset>
              </wp:positionV>
              <wp:extent cx="3964304" cy="215900"/>
              <wp:effectExtent l="0" t="0" r="0" b="0"/>
              <wp:wrapNone/>
              <wp:docPr id="1617460076" name="Rect 24"/>
              <wp:cNvGraphicFramePr/>
              <a:graphic xmlns:a="http://schemas.openxmlformats.org/drawingml/2006/main">
                <a:graphicData uri="http://schemas.microsoft.com/office/word/2010/wordprocessingShape">
                  <wps:wsp xmlns:wps="http://schemas.microsoft.com/office/word/2010/wordprocessingShape">
                    <wps:cNvSpPr/>
                    <wps:spPr>
                      <a:xfrm>
                        <a:off x="2227707"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4" o:spid="_x0000_s2053" style="width:312.15pt;height:17pt;margin-top:11.54pt;margin-left:175.41pt;mso-wrap-distance-bottom:0;mso-wrap-distance-left:0;mso-wrap-distance-right:0;mso-wrap-distance-top:0;position:absolute;v-text-anchor:top;z-index:-251645952" fillcolor="#044e7e" stroked="f"/>
          </w:pict>
        </mc:Fallback>
      </mc:AlternateContent>
    </w:r>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731"/>
      <w:rPr>
        <w:sz w:val="16"/>
        <w:szCs w:val="16"/>
      </w:rPr>
    </w:pPr>
    <w:r>
      <w:rPr>
        <w:color w:val="044E7E"/>
        <w:spacing w:val="-1"/>
        <w:position w:val="-1"/>
        <w:sz w:val="16"/>
        <w:szCs w:val="16"/>
      </w:rPr>
      <w:t>政策深度报告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8888"/>
    </w:pPr>
    <w:r>
      <w:drawing>
        <wp:anchor distT="0" distB="0" distL="0" distR="0" simplePos="0" relativeHeight="251675648"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74624" behindDoc="1" locked="0" layoutInCell="1" allowOverlap="1">
              <wp:simplePos x="0" y="0"/>
              <wp:positionH relativeFrom="column">
                <wp:posOffset>2227707</wp:posOffset>
              </wp:positionH>
              <wp:positionV relativeFrom="paragraph">
                <wp:posOffset>146596</wp:posOffset>
              </wp:positionV>
              <wp:extent cx="3964304" cy="215900"/>
              <wp:effectExtent l="0" t="0" r="0" b="0"/>
              <wp:wrapNone/>
              <wp:docPr id="32" name="Rect 32"/>
              <wp:cNvGraphicFramePr/>
              <a:graphic xmlns:a="http://schemas.openxmlformats.org/drawingml/2006/main">
                <a:graphicData uri="http://schemas.microsoft.com/office/word/2010/wordprocessingShape">
                  <wps:wsp xmlns:wps="http://schemas.microsoft.com/office/word/2010/wordprocessingShape">
                    <wps:cNvSpPr/>
                    <wps:spPr>
                      <a:xfrm>
                        <a:off x="2227707"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2" o:spid="_x0000_s2054" style="width:312.15pt;height:17pt;margin-top:11.54pt;margin-left:175.41pt;mso-wrap-distance-bottom:0;mso-wrap-distance-left:0;mso-wrap-distance-right:0;mso-wrap-distance-top:0;position:absolute;v-text-anchor:top;z-index:-251642880" fillcolor="#044e7e" stroked="f"/>
          </w:pict>
        </mc:Fallback>
      </mc:AlternateContent>
    </w:r>
    <w:bookmarkStart w:id="7" w:name="bookmark11"/>
    <w:bookmarkEnd w:id="7"/>
    <w:bookmarkStart w:id="8" w:name="bookmark12"/>
    <w:bookmarkEnd w:id="8"/>
    <w:bookmarkStart w:id="9" w:name="bookmark33"/>
    <w:bookmarkEnd w:id="9"/>
    <w:bookmarkStart w:id="10" w:name="bookmark34"/>
    <w:bookmarkEnd w:id="10"/>
    <w:bookmarkStart w:id="11" w:name="bookmark10"/>
    <w:bookmarkEnd w:id="11"/>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731"/>
      <w:rPr>
        <w:sz w:val="16"/>
        <w:szCs w:val="16"/>
      </w:rPr>
    </w:pPr>
    <w:r>
      <w:rPr>
        <w:color w:val="044E7E"/>
        <w:spacing w:val="-1"/>
        <w:position w:val="-1"/>
        <w:sz w:val="16"/>
        <w:szCs w:val="16"/>
      </w:rPr>
      <w:t>政策深度报告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8888"/>
    </w:pPr>
    <w:r>
      <w:drawing>
        <wp:anchor distT="0" distB="0" distL="0" distR="0" simplePos="0" relativeHeight="251678720"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765006392" name="IM 30"/>
          <wp:cNvGraphicFramePr/>
          <a:graphic xmlns:a="http://schemas.openxmlformats.org/drawingml/2006/main">
            <a:graphicData uri="http://schemas.openxmlformats.org/drawingml/2006/picture">
              <pic:pic xmlns:pic="http://schemas.openxmlformats.org/drawingml/2006/picture">
                <pic:nvPicPr>
                  <pic:cNvPr id="1765006392" name="IM 30"/>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77696" behindDoc="1" locked="0" layoutInCell="1" allowOverlap="1">
              <wp:simplePos x="0" y="0"/>
              <wp:positionH relativeFrom="column">
                <wp:posOffset>2227707</wp:posOffset>
              </wp:positionH>
              <wp:positionV relativeFrom="paragraph">
                <wp:posOffset>146596</wp:posOffset>
              </wp:positionV>
              <wp:extent cx="3964304" cy="215900"/>
              <wp:effectExtent l="0" t="0" r="0" b="0"/>
              <wp:wrapNone/>
              <wp:docPr id="675480805" name="Rect 32"/>
              <wp:cNvGraphicFramePr/>
              <a:graphic xmlns:a="http://schemas.openxmlformats.org/drawingml/2006/main">
                <a:graphicData uri="http://schemas.microsoft.com/office/word/2010/wordprocessingShape">
                  <wps:wsp xmlns:wps="http://schemas.microsoft.com/office/word/2010/wordprocessingShape">
                    <wps:cNvSpPr/>
                    <wps:spPr>
                      <a:xfrm>
                        <a:off x="2227707"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2" o:spid="_x0000_s2055" style="width:312.15pt;height:17pt;margin-top:11.54pt;margin-left:175.41pt;mso-wrap-distance-bottom:0;mso-wrap-distance-left:0;mso-wrap-distance-right:0;mso-wrap-distance-top:0;position:absolute;v-text-anchor:top;z-index:-251639808" fillcolor="#044e7e" stroked="f"/>
          </w:pict>
        </mc:Fallback>
      </mc:AlternateContent>
    </w:r>
    <w:bookmarkStart w:id="12" w:name="bookmark11_0"/>
    <w:bookmarkEnd w:id="12"/>
    <w:bookmarkStart w:id="13" w:name="bookmark12_0"/>
    <w:bookmarkEnd w:id="13"/>
    <w:bookmarkStart w:id="14" w:name="bookmark33_0"/>
    <w:bookmarkEnd w:id="14"/>
    <w:bookmarkStart w:id="15" w:name="bookmark34_0"/>
    <w:bookmarkEnd w:id="15"/>
    <w:bookmarkStart w:id="16" w:name="bookmark10_0"/>
    <w:bookmarkEnd w:id="16"/>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731"/>
      <w:rPr>
        <w:sz w:val="16"/>
        <w:szCs w:val="16"/>
      </w:rPr>
    </w:pPr>
    <w:r>
      <w:rPr>
        <w:color w:val="044E7E"/>
        <w:spacing w:val="-1"/>
        <w:position w:val="-1"/>
        <w:sz w:val="16"/>
        <w:szCs w:val="16"/>
      </w:rPr>
      <w:t>政策深度报告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9140"/>
    </w:pPr>
    <w:r>
      <w:drawing>
        <wp:anchor distT="0" distB="0" distL="0" distR="0" simplePos="0" relativeHeight="251681792"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80768" behindDoc="1" locked="0" layoutInCell="1" allowOverlap="1">
              <wp:simplePos x="0" y="0"/>
              <wp:positionH relativeFrom="column">
                <wp:posOffset>2388149</wp:posOffset>
              </wp:positionH>
              <wp:positionV relativeFrom="paragraph">
                <wp:posOffset>146596</wp:posOffset>
              </wp:positionV>
              <wp:extent cx="3964304" cy="215900"/>
              <wp:effectExtent l="0" t="0" r="0" b="0"/>
              <wp:wrapNone/>
              <wp:docPr id="36" name="Rect 36"/>
              <wp:cNvGraphicFramePr/>
              <a:graphic xmlns:a="http://schemas.openxmlformats.org/drawingml/2006/main">
                <a:graphicData uri="http://schemas.microsoft.com/office/word/2010/wordprocessingShape">
                  <wps:wsp xmlns:wps="http://schemas.microsoft.com/office/word/2010/wordprocessingShape">
                    <wps:cNvSpPr/>
                    <wps:spPr>
                      <a:xfrm>
                        <a:off x="2388149"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6" o:spid="_x0000_s2056" style="width:312.15pt;height:17pt;margin-top:11.54pt;margin-left:188.04pt;mso-wrap-distance-bottom:0;mso-wrap-distance-left:0;mso-wrap-distance-right:0;mso-wrap-distance-top:0;position:absolute;v-text-anchor:top;z-index:-251636736" fillcolor="#044e7e" stroked="f"/>
          </w:pict>
        </mc:Fallback>
      </mc:AlternateContent>
    </w:r>
    <w:bookmarkStart w:id="17" w:name="bookmark13"/>
    <w:bookmarkEnd w:id="17"/>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984"/>
      <w:rPr>
        <w:sz w:val="16"/>
        <w:szCs w:val="16"/>
      </w:rPr>
    </w:pPr>
    <w:r>
      <w:rPr>
        <w:color w:val="044E7E"/>
        <w:spacing w:val="-1"/>
        <w:position w:val="-1"/>
        <w:sz w:val="16"/>
        <w:szCs w:val="16"/>
      </w:rPr>
      <w:t>政策深度报告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9140"/>
    </w:pPr>
    <w:r>
      <w:drawing>
        <wp:anchor distT="0" distB="0" distL="0" distR="0" simplePos="0" relativeHeight="251684864"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556346955" name="IM 34"/>
          <wp:cNvGraphicFramePr/>
          <a:graphic xmlns:a="http://schemas.openxmlformats.org/drawingml/2006/main">
            <a:graphicData uri="http://schemas.openxmlformats.org/drawingml/2006/picture">
              <pic:pic xmlns:pic="http://schemas.openxmlformats.org/drawingml/2006/picture">
                <pic:nvPicPr>
                  <pic:cNvPr id="556346955" name="IM 34"/>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83840" behindDoc="1" locked="0" layoutInCell="1" allowOverlap="1">
              <wp:simplePos x="0" y="0"/>
              <wp:positionH relativeFrom="column">
                <wp:posOffset>2388149</wp:posOffset>
              </wp:positionH>
              <wp:positionV relativeFrom="paragraph">
                <wp:posOffset>146596</wp:posOffset>
              </wp:positionV>
              <wp:extent cx="3964304" cy="215900"/>
              <wp:effectExtent l="0" t="0" r="0" b="0"/>
              <wp:wrapNone/>
              <wp:docPr id="1307390290" name="Rect 36"/>
              <wp:cNvGraphicFramePr/>
              <a:graphic xmlns:a="http://schemas.openxmlformats.org/drawingml/2006/main">
                <a:graphicData uri="http://schemas.microsoft.com/office/word/2010/wordprocessingShape">
                  <wps:wsp xmlns:wps="http://schemas.microsoft.com/office/word/2010/wordprocessingShape">
                    <wps:cNvSpPr/>
                    <wps:spPr>
                      <a:xfrm>
                        <a:off x="2388149"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6" o:spid="_x0000_s2057" style="width:312.15pt;height:17pt;margin-top:11.54pt;margin-left:188.04pt;mso-wrap-distance-bottom:0;mso-wrap-distance-left:0;mso-wrap-distance-right:0;mso-wrap-distance-top:0;position:absolute;v-text-anchor:top;z-index:-251633664" fillcolor="#044e7e" stroked="f"/>
          </w:pict>
        </mc:Fallback>
      </mc:AlternateContent>
    </w:r>
    <w:bookmarkStart w:id="18" w:name="bookmark13_0"/>
    <w:bookmarkEnd w:id="18"/>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984"/>
      <w:rPr>
        <w:sz w:val="16"/>
        <w:szCs w:val="16"/>
      </w:rPr>
    </w:pPr>
    <w:r>
      <w:rPr>
        <w:color w:val="044E7E"/>
        <w:spacing w:val="-1"/>
        <w:position w:val="-1"/>
        <w:sz w:val="16"/>
        <w:szCs w:val="16"/>
      </w:rPr>
      <w:t>政策深度报告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9140"/>
    </w:pPr>
    <w:r>
      <w:drawing>
        <wp:anchor distT="0" distB="0" distL="0" distR="0" simplePos="0" relativeHeight="251687936"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955550279" name="IM 34"/>
          <wp:cNvGraphicFramePr/>
          <a:graphic xmlns:a="http://schemas.openxmlformats.org/drawingml/2006/main">
            <a:graphicData uri="http://schemas.openxmlformats.org/drawingml/2006/picture">
              <pic:pic xmlns:pic="http://schemas.openxmlformats.org/drawingml/2006/picture">
                <pic:nvPicPr>
                  <pic:cNvPr id="955550279" name="IM 34"/>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86912" behindDoc="1" locked="0" layoutInCell="1" allowOverlap="1">
              <wp:simplePos x="0" y="0"/>
              <wp:positionH relativeFrom="column">
                <wp:posOffset>2388149</wp:posOffset>
              </wp:positionH>
              <wp:positionV relativeFrom="paragraph">
                <wp:posOffset>146596</wp:posOffset>
              </wp:positionV>
              <wp:extent cx="3964304" cy="215900"/>
              <wp:effectExtent l="0" t="0" r="0" b="0"/>
              <wp:wrapNone/>
              <wp:docPr id="1974262776" name="Rect 36"/>
              <wp:cNvGraphicFramePr/>
              <a:graphic xmlns:a="http://schemas.openxmlformats.org/drawingml/2006/main">
                <a:graphicData uri="http://schemas.microsoft.com/office/word/2010/wordprocessingShape">
                  <wps:wsp xmlns:wps="http://schemas.microsoft.com/office/word/2010/wordprocessingShape">
                    <wps:cNvSpPr/>
                    <wps:spPr>
                      <a:xfrm>
                        <a:off x="2388149"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6" o:spid="_x0000_s2058" style="width:312.15pt;height:17pt;margin-top:11.54pt;margin-left:188.04pt;mso-wrap-distance-bottom:0;mso-wrap-distance-left:0;mso-wrap-distance-right:0;mso-wrap-distance-top:0;position:absolute;v-text-anchor:top;z-index:-251630592" fillcolor="#044e7e" stroked="f"/>
          </w:pict>
        </mc:Fallback>
      </mc:AlternateContent>
    </w:r>
    <w:bookmarkStart w:id="19" w:name="bookmark13_1"/>
    <w:bookmarkEnd w:id="19"/>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984"/>
      <w:rPr>
        <w:sz w:val="16"/>
        <w:szCs w:val="16"/>
      </w:rPr>
    </w:pPr>
    <w:r>
      <w:rPr>
        <w:color w:val="044E7E"/>
        <w:spacing w:val="-1"/>
        <w:position w:val="-1"/>
        <w:sz w:val="16"/>
        <w:szCs w:val="16"/>
      </w:rPr>
      <w:t>政策深度报告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9140"/>
    </w:pPr>
    <w:r>
      <w:drawing>
        <wp:anchor distT="0" distB="0" distL="0" distR="0" simplePos="0" relativeHeight="251691008"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807986957" name="IM 34"/>
          <wp:cNvGraphicFramePr/>
          <a:graphic xmlns:a="http://schemas.openxmlformats.org/drawingml/2006/main">
            <a:graphicData uri="http://schemas.openxmlformats.org/drawingml/2006/picture">
              <pic:pic xmlns:pic="http://schemas.openxmlformats.org/drawingml/2006/picture">
                <pic:nvPicPr>
                  <pic:cNvPr id="807986957" name="IM 34"/>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89984" behindDoc="1" locked="0" layoutInCell="1" allowOverlap="1">
              <wp:simplePos x="0" y="0"/>
              <wp:positionH relativeFrom="column">
                <wp:posOffset>2388149</wp:posOffset>
              </wp:positionH>
              <wp:positionV relativeFrom="paragraph">
                <wp:posOffset>146596</wp:posOffset>
              </wp:positionV>
              <wp:extent cx="3964304" cy="215900"/>
              <wp:effectExtent l="0" t="0" r="0" b="0"/>
              <wp:wrapNone/>
              <wp:docPr id="343483909" name="Rect 36"/>
              <wp:cNvGraphicFramePr/>
              <a:graphic xmlns:a="http://schemas.openxmlformats.org/drawingml/2006/main">
                <a:graphicData uri="http://schemas.microsoft.com/office/word/2010/wordprocessingShape">
                  <wps:wsp xmlns:wps="http://schemas.microsoft.com/office/word/2010/wordprocessingShape">
                    <wps:cNvSpPr/>
                    <wps:spPr>
                      <a:xfrm>
                        <a:off x="2388149"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6" o:spid="_x0000_s2059" style="width:312.15pt;height:17pt;margin-top:11.54pt;margin-left:188.04pt;mso-wrap-distance-bottom:0;mso-wrap-distance-left:0;mso-wrap-distance-right:0;mso-wrap-distance-top:0;position:absolute;v-text-anchor:top;z-index:-251627520" fillcolor="#044e7e" stroked="f"/>
          </w:pict>
        </mc:Fallback>
      </mc:AlternateContent>
    </w:r>
    <w:bookmarkStart w:id="20" w:name="bookmark13_0_0"/>
    <w:bookmarkEnd w:id="20"/>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984"/>
      <w:rPr>
        <w:sz w:val="16"/>
        <w:szCs w:val="16"/>
      </w:rPr>
    </w:pPr>
    <w:r>
      <w:rPr>
        <w:color w:val="044E7E"/>
        <w:spacing w:val="-1"/>
        <w:position w:val="-1"/>
        <w:sz w:val="16"/>
        <w:szCs w:val="16"/>
      </w:rPr>
      <w:t>政策深度报告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8888"/>
    </w:pPr>
    <w:r>
      <w:drawing>
        <wp:anchor distT="0" distB="0" distL="0" distR="0" simplePos="0" relativeHeight="251694080"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93056" behindDoc="1" locked="0" layoutInCell="1" allowOverlap="1">
              <wp:simplePos x="0" y="0"/>
              <wp:positionH relativeFrom="column">
                <wp:posOffset>2227707</wp:posOffset>
              </wp:positionH>
              <wp:positionV relativeFrom="paragraph">
                <wp:posOffset>146596</wp:posOffset>
              </wp:positionV>
              <wp:extent cx="3964304" cy="215900"/>
              <wp:effectExtent l="0" t="0" r="0" b="0"/>
              <wp:wrapNone/>
              <wp:docPr id="78" name="Rect 78"/>
              <wp:cNvGraphicFramePr/>
              <a:graphic xmlns:a="http://schemas.openxmlformats.org/drawingml/2006/main">
                <a:graphicData uri="http://schemas.microsoft.com/office/word/2010/wordprocessingShape">
                  <wps:wsp xmlns:wps="http://schemas.microsoft.com/office/word/2010/wordprocessingShape">
                    <wps:cNvSpPr/>
                    <wps:spPr>
                      <a:xfrm>
                        <a:off x="2227707"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78" o:spid="_x0000_s2060" style="width:312.15pt;height:17pt;margin-top:11.54pt;margin-left:175.41pt;mso-wrap-distance-bottom:0;mso-wrap-distance-left:0;mso-wrap-distance-right:0;mso-wrap-distance-top:0;position:absolute;v-text-anchor:top;z-index:-251624448" fillcolor="#044e7e" stroked="f"/>
          </w:pict>
        </mc:Fallback>
      </mc:AlternateContent>
    </w:r>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731"/>
      <w:rPr>
        <w:sz w:val="16"/>
        <w:szCs w:val="16"/>
      </w:rPr>
    </w:pPr>
    <w:r>
      <w:rPr>
        <w:color w:val="044E7E"/>
        <w:spacing w:val="-1"/>
        <w:position w:val="-1"/>
        <w:sz w:val="16"/>
        <w:szCs w:val="16"/>
      </w:rPr>
      <w:t>政策深度报告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8888"/>
    </w:pPr>
    <w:r>
      <w:drawing>
        <wp:anchor distT="0" distB="0" distL="0" distR="0" simplePos="0" relativeHeight="251697152"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331452123" name="IM 76"/>
          <wp:cNvGraphicFramePr/>
          <a:graphic xmlns:a="http://schemas.openxmlformats.org/drawingml/2006/main">
            <a:graphicData uri="http://schemas.openxmlformats.org/drawingml/2006/picture">
              <pic:pic xmlns:pic="http://schemas.openxmlformats.org/drawingml/2006/picture">
                <pic:nvPicPr>
                  <pic:cNvPr id="1331452123" name="IM 7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96128" behindDoc="1" locked="0" layoutInCell="1" allowOverlap="1">
              <wp:simplePos x="0" y="0"/>
              <wp:positionH relativeFrom="column">
                <wp:posOffset>2227707</wp:posOffset>
              </wp:positionH>
              <wp:positionV relativeFrom="paragraph">
                <wp:posOffset>146596</wp:posOffset>
              </wp:positionV>
              <wp:extent cx="3964304" cy="215900"/>
              <wp:effectExtent l="0" t="0" r="0" b="0"/>
              <wp:wrapNone/>
              <wp:docPr id="1646688380" name="Rect 78"/>
              <wp:cNvGraphicFramePr/>
              <a:graphic xmlns:a="http://schemas.openxmlformats.org/drawingml/2006/main">
                <a:graphicData uri="http://schemas.microsoft.com/office/word/2010/wordprocessingShape">
                  <wps:wsp xmlns:wps="http://schemas.microsoft.com/office/word/2010/wordprocessingShape">
                    <wps:cNvSpPr/>
                    <wps:spPr>
                      <a:xfrm>
                        <a:off x="2227707"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78" o:spid="_x0000_s2061" style="width:312.15pt;height:17pt;margin-top:11.54pt;margin-left:175.41pt;mso-wrap-distance-bottom:0;mso-wrap-distance-left:0;mso-wrap-distance-right:0;mso-wrap-distance-top:0;position:absolute;v-text-anchor:top;z-index:-251621376" fillcolor="#044e7e" stroked="f"/>
          </w:pict>
        </mc:Fallback>
      </mc:AlternateContent>
    </w:r>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731"/>
      <w:rPr>
        <w:sz w:val="16"/>
        <w:szCs w:val="16"/>
      </w:rPr>
    </w:pPr>
    <w:r>
      <w:rPr>
        <w:color w:val="044E7E"/>
        <w:spacing w:val="-1"/>
        <w:position w:val="-1"/>
        <w:sz w:val="16"/>
        <w:szCs w:val="16"/>
      </w:rPr>
      <w:t>政策深度报告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8888"/>
    </w:pPr>
    <w:r>
      <w:drawing>
        <wp:anchor distT="0" distB="0" distL="0" distR="0" simplePos="0" relativeHeight="251700224"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699200" behindDoc="1" locked="0" layoutInCell="1" allowOverlap="1">
              <wp:simplePos x="0" y="0"/>
              <wp:positionH relativeFrom="column">
                <wp:posOffset>2227707</wp:posOffset>
              </wp:positionH>
              <wp:positionV relativeFrom="paragraph">
                <wp:posOffset>146596</wp:posOffset>
              </wp:positionV>
              <wp:extent cx="3964304" cy="215900"/>
              <wp:effectExtent l="0" t="0" r="0" b="0"/>
              <wp:wrapNone/>
              <wp:docPr id="82" name="Rect 82"/>
              <wp:cNvGraphicFramePr/>
              <a:graphic xmlns:a="http://schemas.openxmlformats.org/drawingml/2006/main">
                <a:graphicData uri="http://schemas.microsoft.com/office/word/2010/wordprocessingShape">
                  <wps:wsp xmlns:wps="http://schemas.microsoft.com/office/word/2010/wordprocessingShape">
                    <wps:cNvSpPr/>
                    <wps:spPr>
                      <a:xfrm>
                        <a:off x="2227707"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2" o:spid="_x0000_s2062" style="width:312.15pt;height:17pt;margin-top:11.54pt;margin-left:175.41pt;mso-wrap-distance-bottom:0;mso-wrap-distance-left:0;mso-wrap-distance-right:0;mso-wrap-distance-top:0;position:absolute;v-text-anchor:top;z-index:-251618304" fillcolor="#044e7e" stroked="f"/>
          </w:pict>
        </mc:Fallback>
      </mc:AlternateContent>
    </w:r>
    <w:bookmarkStart w:id="24" w:name="bookmark38"/>
    <w:bookmarkEnd w:id="24"/>
    <w:bookmarkStart w:id="25" w:name="bookmark14"/>
    <w:bookmarkEnd w:id="25"/>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731"/>
      <w:rPr>
        <w:sz w:val="16"/>
        <w:szCs w:val="16"/>
      </w:rPr>
    </w:pPr>
    <w:r>
      <w:rPr>
        <w:color w:val="044E7E"/>
        <w:spacing w:val="-1"/>
        <w:position w:val="-1"/>
        <w:sz w:val="16"/>
        <w:szCs w:val="16"/>
      </w:rPr>
      <w:t>政策深度报告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8888"/>
    </w:pPr>
    <w:r>
      <w:drawing>
        <wp:anchor distT="0" distB="0" distL="0" distR="0" simplePos="0" relativeHeight="251703296"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500415053" name="IM 80"/>
          <wp:cNvGraphicFramePr/>
          <a:graphic xmlns:a="http://schemas.openxmlformats.org/drawingml/2006/main">
            <a:graphicData uri="http://schemas.openxmlformats.org/drawingml/2006/picture">
              <pic:pic xmlns:pic="http://schemas.openxmlformats.org/drawingml/2006/picture">
                <pic:nvPicPr>
                  <pic:cNvPr id="500415053" name="IM 80"/>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702272" behindDoc="1" locked="0" layoutInCell="1" allowOverlap="1">
              <wp:simplePos x="0" y="0"/>
              <wp:positionH relativeFrom="column">
                <wp:posOffset>2227707</wp:posOffset>
              </wp:positionH>
              <wp:positionV relativeFrom="paragraph">
                <wp:posOffset>146596</wp:posOffset>
              </wp:positionV>
              <wp:extent cx="3964304" cy="215900"/>
              <wp:effectExtent l="0" t="0" r="0" b="0"/>
              <wp:wrapNone/>
              <wp:docPr id="679121788" name="Rect 82"/>
              <wp:cNvGraphicFramePr/>
              <a:graphic xmlns:a="http://schemas.openxmlformats.org/drawingml/2006/main">
                <a:graphicData uri="http://schemas.microsoft.com/office/word/2010/wordprocessingShape">
                  <wps:wsp xmlns:wps="http://schemas.microsoft.com/office/word/2010/wordprocessingShape">
                    <wps:cNvSpPr/>
                    <wps:spPr>
                      <a:xfrm>
                        <a:off x="2227707"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2" o:spid="_x0000_s2063" style="width:312.15pt;height:17pt;margin-top:11.54pt;margin-left:175.41pt;mso-wrap-distance-bottom:0;mso-wrap-distance-left:0;mso-wrap-distance-right:0;mso-wrap-distance-top:0;position:absolute;v-text-anchor:top;z-index:-251615232" fillcolor="#044e7e" stroked="f"/>
          </w:pict>
        </mc:Fallback>
      </mc:AlternateContent>
    </w:r>
    <w:bookmarkStart w:id="26" w:name="bookmark38_0"/>
    <w:bookmarkEnd w:id="26"/>
    <w:bookmarkStart w:id="27" w:name="bookmark14_0"/>
    <w:bookmarkEnd w:id="27"/>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731"/>
      <w:rPr>
        <w:sz w:val="16"/>
        <w:szCs w:val="16"/>
      </w:rPr>
    </w:pPr>
    <w:r>
      <w:rPr>
        <w:color w:val="044E7E"/>
        <w:spacing w:val="-1"/>
        <w:position w:val="-1"/>
        <w:sz w:val="16"/>
        <w:szCs w:val="16"/>
      </w:rPr>
      <w:t>政策深度报告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8781"/>
    </w:pPr>
    <w:r>
      <w:drawing>
        <wp:anchor distT="0" distB="0" distL="0" distR="0" simplePos="0" relativeHeight="251706368"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705344" behindDoc="1" locked="0" layoutInCell="1" allowOverlap="1">
              <wp:simplePos x="0" y="0"/>
              <wp:positionH relativeFrom="column">
                <wp:posOffset>2160270</wp:posOffset>
              </wp:positionH>
              <wp:positionV relativeFrom="paragraph">
                <wp:posOffset>146596</wp:posOffset>
              </wp:positionV>
              <wp:extent cx="3964304" cy="215900"/>
              <wp:effectExtent l="0" t="0" r="0" b="0"/>
              <wp:wrapNone/>
              <wp:docPr id="86" name="Rect 86"/>
              <wp:cNvGraphicFramePr/>
              <a:graphic xmlns:a="http://schemas.openxmlformats.org/drawingml/2006/main">
                <a:graphicData uri="http://schemas.microsoft.com/office/word/2010/wordprocessingShape">
                  <wps:wsp xmlns:wps="http://schemas.microsoft.com/office/word/2010/wordprocessingShape">
                    <wps:cNvSpPr/>
                    <wps:spPr>
                      <a:xfrm>
                        <a:off x="2160270"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6" o:spid="_x0000_s2064" style="width:312.15pt;height:17pt;margin-top:11.54pt;margin-left:170.1pt;mso-wrap-distance-bottom:0;mso-wrap-distance-left:0;mso-wrap-distance-right:0;mso-wrap-distance-top:0;position:absolute;v-text-anchor:top;z-index:-251612160" fillcolor="#044e7e" stroked="f"/>
          </w:pict>
        </mc:Fallback>
      </mc:AlternateContent>
    </w:r>
    <w:bookmarkStart w:id="28" w:name="bookmark30"/>
    <w:bookmarkEnd w:id="28"/>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625"/>
      <w:rPr>
        <w:sz w:val="16"/>
        <w:szCs w:val="16"/>
      </w:rPr>
    </w:pPr>
    <w:r>
      <w:rPr>
        <w:color w:val="044E7E"/>
        <w:spacing w:val="-1"/>
        <w:position w:val="-1"/>
        <w:sz w:val="16"/>
        <w:szCs w:val="16"/>
      </w:rPr>
      <w:t>政策深度报告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1" w:line="192" w:lineRule="auto"/>
      <w:ind w:left="8888"/>
    </w:pPr>
    <w:r>
      <w:drawing>
        <wp:anchor distT="0" distB="0" distL="0" distR="0" simplePos="0" relativeHeight="251709440"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mc:AlternateContent>
        <mc:Choice Requires="wps">
          <w:drawing>
            <wp:anchor distT="0" distB="0" distL="0" distR="0" simplePos="0" relativeHeight="251708416" behindDoc="1" locked="0" layoutInCell="1" allowOverlap="1">
              <wp:simplePos x="0" y="0"/>
              <wp:positionH relativeFrom="column">
                <wp:posOffset>2227707</wp:posOffset>
              </wp:positionH>
              <wp:positionV relativeFrom="paragraph">
                <wp:posOffset>146596</wp:posOffset>
              </wp:positionV>
              <wp:extent cx="3964304" cy="215900"/>
              <wp:effectExtent l="0" t="0" r="0" b="0"/>
              <wp:wrapNone/>
              <wp:docPr id="90" name="Rect 90"/>
              <wp:cNvGraphicFramePr/>
              <a:graphic xmlns:a="http://schemas.openxmlformats.org/drawingml/2006/main">
                <a:graphicData uri="http://schemas.microsoft.com/office/word/2010/wordprocessingShape">
                  <wps:wsp xmlns:wps="http://schemas.microsoft.com/office/word/2010/wordprocessingShape">
                    <wps:cNvSpPr/>
                    <wps:spPr>
                      <a:xfrm>
                        <a:off x="2227707" y="146596"/>
                        <a:ext cx="3964304" cy="215900"/>
                      </a:xfrm>
                      <a:prstGeom prst="rect">
                        <a:avLst/>
                      </a:prstGeom>
                      <a:solidFill>
                        <a:srgbClr val="044E7E"/>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90" o:spid="_x0000_s2065" style="width:312.15pt;height:17pt;margin-top:11.54pt;margin-left:175.41pt;mso-wrap-distance-bottom:0;mso-wrap-distance-left:0;mso-wrap-distance-right:0;mso-wrap-distance-top:0;position:absolute;v-text-anchor:top;z-index:-251609088" fillcolor="#044e7e" stroked="f"/>
          </w:pict>
        </mc:Fallback>
      </mc:AlternateContent>
    </w:r>
    <w:bookmarkStart w:id="29" w:name="bookmark39"/>
    <w:bookmarkEnd w:id="29"/>
    <w:bookmarkStart w:id="30" w:name="bookmark15"/>
    <w:bookmarkEnd w:id="30"/>
    <w:bookmarkStart w:id="31" w:name="bookmark16"/>
    <w:bookmarkEnd w:id="31"/>
    <w:bookmarkStart w:id="32" w:name="bookmark17"/>
    <w:bookmarkEnd w:id="32"/>
    <w:r>
      <w:rPr>
        <w:b/>
        <w:bCs/>
        <w:color w:val="FFFFFF"/>
        <w:spacing w:val="9"/>
        <w14:textOutline w14:w="3614">
          <w14:solidFill>
            <w14:srgbClr w14:val="FFFFFF"/>
          </w14:solidFill>
          <w14:prstDash w14:val="solid"/>
          <w14:miter w14:lim="10"/>
        </w14:textOutline>
      </w:rPr>
      <w:t>政策研究</w:t>
    </w:r>
  </w:p>
  <w:p>
    <w:pPr>
      <w:spacing w:line="242" w:lineRule="auto"/>
      <w:rPr>
        <w:rFonts w:ascii="Arial"/>
        <w:sz w:val="21"/>
      </w:rPr>
    </w:pPr>
  </w:p>
  <w:p>
    <w:pPr>
      <w:pStyle w:val="BodyText"/>
      <w:spacing w:before="69" w:line="151" w:lineRule="exact"/>
      <w:ind w:left="8731"/>
      <w:rPr>
        <w:sz w:val="16"/>
        <w:szCs w:val="16"/>
      </w:rPr>
    </w:pPr>
    <w:r>
      <w:rPr>
        <w:color w:val="044E7E"/>
        <w:spacing w:val="-1"/>
        <w:position w:val="-1"/>
        <w:sz w:val="16"/>
        <w:szCs w:val="16"/>
      </w:rPr>
      <w:t>政策深度报告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19"/>
      <w:szCs w:val="19"/>
      <w:lang w:val="en-US" w:eastAsia="en-US" w:bidi="ar-SA"/>
    </w:rPr>
  </w:style>
  <w:style w:type="paragraph" w:customStyle="1" w:styleId="TableText">
    <w:name w:val="Table Text"/>
    <w:basedOn w:val="Normal"/>
    <w:semiHidden/>
    <w:qFormat/>
    <w:rPr>
      <w:rFonts w:ascii="Microsoft YaHei" w:eastAsia="Microsoft YaHei" w:hAnsi="Microsoft YaHei" w:cs="Microsoft YaHei"/>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image" Target="media/image9.png"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header" Target="header13.xml" /><Relationship Id="rId38" Type="http://schemas.openxmlformats.org/officeDocument/2006/relationships/footer" Target="footer13.xml" /><Relationship Id="rId39" Type="http://schemas.openxmlformats.org/officeDocument/2006/relationships/header" Target="header14.xml" /><Relationship Id="rId4" Type="http://schemas.openxmlformats.org/officeDocument/2006/relationships/image" Target="media/image1.jpeg" /><Relationship Id="rId40" Type="http://schemas.openxmlformats.org/officeDocument/2006/relationships/footer" Target="footer14.xml" /><Relationship Id="rId41" Type="http://schemas.openxmlformats.org/officeDocument/2006/relationships/header" Target="header15.xml" /><Relationship Id="rId42" Type="http://schemas.openxmlformats.org/officeDocument/2006/relationships/footer" Target="footer15.xml" /><Relationship Id="rId43" Type="http://schemas.openxmlformats.org/officeDocument/2006/relationships/header" Target="header16.xml" /><Relationship Id="rId44" Type="http://schemas.openxmlformats.org/officeDocument/2006/relationships/footer" Target="footer16.xml" /><Relationship Id="rId45" Type="http://schemas.openxmlformats.org/officeDocument/2006/relationships/header" Target="header17.xml" /><Relationship Id="rId46" Type="http://schemas.openxmlformats.org/officeDocument/2006/relationships/footer" Target="footer17.xml" /><Relationship Id="rId47" Type="http://schemas.openxmlformats.org/officeDocument/2006/relationships/header" Target="header18.xml" /><Relationship Id="rId48" Type="http://schemas.openxmlformats.org/officeDocument/2006/relationships/footer" Target="footer18.xml" /><Relationship Id="rId49" Type="http://schemas.openxmlformats.org/officeDocument/2006/relationships/image" Target="media/image12.jpeg" /><Relationship Id="rId5" Type="http://schemas.openxmlformats.org/officeDocument/2006/relationships/image" Target="media/image2.jpeg" /><Relationship Id="rId50" Type="http://schemas.openxmlformats.org/officeDocument/2006/relationships/image" Target="media/image13.jpeg" /><Relationship Id="rId51" Type="http://schemas.openxmlformats.org/officeDocument/2006/relationships/image" Target="media/image14.jpeg" /><Relationship Id="rId52" Type="http://schemas.openxmlformats.org/officeDocument/2006/relationships/hyperlink" Target="https://d.book118.com/375121141020011113" TargetMode="External" /><Relationship Id="rId53" Type="http://schemas.openxmlformats.org/officeDocument/2006/relationships/header" Target="header19.xml" /><Relationship Id="rId54" Type="http://schemas.openxmlformats.org/officeDocument/2006/relationships/footer" Target="footer19.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image" Target="media/image5.png"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6.png" /></Relationships>
</file>

<file path=word/_rels/header4.xml.rels><?xml version="1.0" encoding="utf-8" standalone="yes"?><Relationships xmlns="http://schemas.openxmlformats.org/package/2006/relationships"><Relationship Id="rId1" Type="http://schemas.openxmlformats.org/officeDocument/2006/relationships/image" Target="media/image6.png" /></Relationships>
</file>

<file path=word/_rels/header5.xml.rels><?xml version="1.0" encoding="utf-8" standalone="yes"?><Relationships xmlns="http://schemas.openxmlformats.org/package/2006/relationships"><Relationship Id="rId1" Type="http://schemas.openxmlformats.org/officeDocument/2006/relationships/image" Target="media/image6.png" /></Relationships>
</file>

<file path=word/_rels/header6.xml.rels><?xml version="1.0" encoding="utf-8" standalone="yes"?><Relationships xmlns="http://schemas.openxmlformats.org/package/2006/relationships"><Relationship Id="rId1" Type="http://schemas.openxmlformats.org/officeDocument/2006/relationships/image" Target="media/image6.png" /></Relationships>
</file>

<file path=word/_rels/header7.xml.rels><?xml version="1.0" encoding="utf-8" standalone="yes"?><Relationships xmlns="http://schemas.openxmlformats.org/package/2006/relationships"><Relationship Id="rId1" Type="http://schemas.openxmlformats.org/officeDocument/2006/relationships/image" Target="media/image6.png" /></Relationships>
</file>

<file path=word/_rels/header8.xml.rels><?xml version="1.0" encoding="utf-8" standalone="yes"?><Relationships xmlns="http://schemas.openxmlformats.org/package/2006/relationships"><Relationship Id="rId1" Type="http://schemas.openxmlformats.org/officeDocument/2006/relationships/image" Target="media/image6.png" /></Relationships>
</file>

<file path=word/_rels/header9.xml.rels><?xml version="1.0" encoding="utf-8" standalone="yes"?><Relationships xmlns="http://schemas.openxmlformats.org/package/2006/relationships"><Relationship Id="rId1" Type="http://schemas.openxmlformats.org/officeDocument/2006/relationships/image" Target="media/image6.png" /></Relationships>
</file>

<file path=word/_rels/header10.xml.rels><?xml version="1.0" encoding="utf-8" standalone="yes"?><Relationships xmlns="http://schemas.openxmlformats.org/package/2006/relationships"><Relationship Id="rId1" Type="http://schemas.openxmlformats.org/officeDocument/2006/relationships/image" Target="media/image6.png" /></Relationships>
</file>

<file path=word/_rels/header11.xml.rels><?xml version="1.0" encoding="utf-8" standalone="yes"?><Relationships xmlns="http://schemas.openxmlformats.org/package/2006/relationships"><Relationship Id="rId1" Type="http://schemas.openxmlformats.org/officeDocument/2006/relationships/image" Target="media/image6.png" /></Relationships>
</file>

<file path=word/_rels/header12.xml.rels><?xml version="1.0" encoding="utf-8" standalone="yes"?><Relationships xmlns="http://schemas.openxmlformats.org/package/2006/relationships"><Relationship Id="rId1" Type="http://schemas.openxmlformats.org/officeDocument/2006/relationships/image" Target="media/image6.png" /></Relationships>
</file>

<file path=word/_rels/header13.xml.rels><?xml version="1.0" encoding="utf-8" standalone="yes"?><Relationships xmlns="http://schemas.openxmlformats.org/package/2006/relationships"><Relationship Id="rId1" Type="http://schemas.openxmlformats.org/officeDocument/2006/relationships/image" Target="media/image6.png" /></Relationships>
</file>

<file path=word/_rels/header14.xml.rels><?xml version="1.0" encoding="utf-8" standalone="yes"?><Relationships xmlns="http://schemas.openxmlformats.org/package/2006/relationships"><Relationship Id="rId1" Type="http://schemas.openxmlformats.org/officeDocument/2006/relationships/image" Target="media/image6.png" /></Relationships>
</file>

<file path=word/_rels/header15.xml.rels><?xml version="1.0" encoding="utf-8" standalone="yes"?><Relationships xmlns="http://schemas.openxmlformats.org/package/2006/relationships"><Relationship Id="rId1" Type="http://schemas.openxmlformats.org/officeDocument/2006/relationships/image" Target="media/image6.png" /></Relationships>
</file>

<file path=word/_rels/header16.xml.rels><?xml version="1.0" encoding="utf-8" standalone="yes"?><Relationships xmlns="http://schemas.openxmlformats.org/package/2006/relationships"><Relationship Id="rId1" Type="http://schemas.openxmlformats.org/officeDocument/2006/relationships/image" Target="media/image6.png" /></Relationships>
</file>

<file path=word/_rels/header17.xml.rels><?xml version="1.0" encoding="utf-8" standalone="yes"?><Relationships xmlns="http://schemas.openxmlformats.org/package/2006/relationships"><Relationship Id="rId1" Type="http://schemas.openxmlformats.org/officeDocument/2006/relationships/image" Target="media/image6.png" /></Relationships>
</file>

<file path=word/_rels/header18.xml.rels><?xml version="1.0" encoding="utf-8" standalone="yes"?><Relationships xmlns="http://schemas.openxmlformats.org/package/2006/relationships"><Relationship Id="rId1" Type="http://schemas.openxmlformats.org/officeDocument/2006/relationships/image" Target="media/image6.png" /></Relationships>
</file>

<file path=word/_rels/header19.xml.rels><?xml version="1.0" encoding="utf-8" standalone="yes"?><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中信建投-【建投政策】海外及中国香港救市政策回顾及经验借鉴-240227.pdf</dc:title>
  <cp:revision>0</cp:revision>
  <dcterms:created xsi:type="dcterms:W3CDTF">2024-02-28T21:37:00Z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2024-02-28T22:07:11Z</vt:filetime>
  </property>
  <property fmtid="{D5CDD505-2E9C-101B-9397-08002B2CF9AE}" pid="3" name="CRO">
    <vt:lpwstr>wqlLaW5nc29mdCBQREYgdG8gV1BTIDkw</vt:lpwstr>
  </property>
</Properties>
</file>