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56"/>
        <w:ind w:left="0" w:right="188" w:firstLine="0"/>
        <w:jc w:val="right"/>
        <w:rPr>
          <w:sz w:val="24"/>
        </w:rPr>
      </w:pPr>
      <w:r>
        <w:rPr>
          <w:color w:val="152E57"/>
          <w:sz w:val="24"/>
        </w:rPr>
        <w:t>目 录</w:t>
      </w:r>
    </w:p>
    <w:sdt>
      <w:sdtPr>
        <w:id w:val="224950259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left" w:leader="dot" w:pos="10384"/>
            </w:tabs>
            <w:ind w:left="3123"/>
            <w:rPr>
              <w:rFonts w:ascii="Times New Roman" w:eastAsia="Times New Roman"/>
            </w:rPr>
          </w:pPr>
          <w:hyperlink w:anchor="_TOC_250016" w:history="1">
            <w:r>
              <w:rPr>
                <w:rFonts w:ascii="黑体" w:eastAsia="黑体" w:hint="eastAsia"/>
              </w:rPr>
              <w:t>1</w:t>
            </w:r>
            <w:r>
              <w:t>、</w:t>
            </w:r>
            <w:r>
              <w:rPr>
                <w:spacing w:val="1"/>
              </w:rPr>
              <w:t xml:space="preserve"> </w:t>
            </w:r>
            <w:r>
              <w:t>行情回顾</w:t>
              <w:tab/>
            </w:r>
            <w:r>
              <w:rPr>
                <w:rFonts w:ascii="Times New Roman" w:eastAsia="Times New Roman"/>
              </w:rPr>
              <w:t>5</w:t>
            </w:r>
          </w:hyperlink>
        </w:p>
        <w:p>
          <w:pPr>
            <w:pStyle w:val="TOC3"/>
            <w:tabs>
              <w:tab w:val="left" w:leader="dot" w:pos="10384"/>
            </w:tabs>
            <w:spacing w:before="3"/>
            <w:ind w:firstLine="0"/>
            <w:rPr>
              <w:rFonts w:ascii="Times New Roman" w:eastAsia="Times New Roman"/>
            </w:rPr>
          </w:pPr>
          <w:hyperlink w:anchor="_TOC_250015" w:history="1">
            <w:r>
              <w:rPr>
                <w:rFonts w:ascii="黑体" w:eastAsia="黑体" w:hint="eastAsia"/>
              </w:rPr>
              <w:t xml:space="preserve">1.1 </w:t>
            </w:r>
            <w:r>
              <w:t>本周汽车板块录得下跌</w:t>
              <w:tab/>
            </w:r>
            <w:r>
              <w:rPr>
                <w:rFonts w:ascii="Times New Roman" w:eastAsia="Times New Roman"/>
              </w:rPr>
              <w:t>5</w:t>
            </w:r>
          </w:hyperlink>
        </w:p>
        <w:p>
          <w:pPr>
            <w:pStyle w:val="TOC2"/>
            <w:tabs>
              <w:tab w:val="left" w:leader="dot" w:pos="10384"/>
            </w:tabs>
            <w:ind w:left="3123"/>
            <w:rPr>
              <w:rFonts w:ascii="Times New Roman" w:eastAsia="Times New Roman"/>
            </w:rPr>
          </w:pPr>
          <w:hyperlink w:anchor="_TOC_250014" w:history="1">
            <w:r>
              <w:rPr>
                <w:rFonts w:ascii="黑体" w:eastAsia="黑体" w:hint="eastAsia"/>
              </w:rPr>
              <w:t>2</w:t>
            </w:r>
            <w:r>
              <w:t>、</w:t>
            </w:r>
            <w:r>
              <w:rPr>
                <w:spacing w:val="1"/>
              </w:rPr>
              <w:t xml:space="preserve"> </w:t>
            </w:r>
            <w:r>
              <w:t>行业要闻</w:t>
              <w:tab/>
            </w:r>
            <w:r>
              <w:rPr>
                <w:rFonts w:ascii="Times New Roman" w:eastAsia="Times New Roman"/>
              </w:rPr>
              <w:t>6</w:t>
            </w:r>
          </w:hyperlink>
        </w:p>
        <w:p>
          <w:pPr>
            <w:pStyle w:val="TOC3"/>
            <w:numPr>
              <w:ilvl w:val="1"/>
              <w:numId w:val="4"/>
            </w:numPr>
            <w:tabs>
              <w:tab w:val="left" w:pos="3861"/>
              <w:tab w:val="left" w:leader="dot" w:pos="10384"/>
            </w:tabs>
            <w:spacing w:before="2" w:after="0" w:line="240" w:lineRule="auto"/>
            <w:ind w:left="3860" w:right="0" w:hanging="364"/>
            <w:jc w:val="left"/>
            <w:rPr>
              <w:rFonts w:ascii="Times New Roman" w:eastAsia="Times New Roman"/>
            </w:rPr>
          </w:pPr>
          <w:hyperlink w:anchor="_TOC_250013" w:history="1">
            <w:r>
              <w:t>国际快讯</w:t>
              <w:tab/>
            </w:r>
            <w:r>
              <w:rPr>
                <w:rFonts w:ascii="Times New Roman" w:eastAsia="Times New Roman"/>
              </w:rPr>
              <w:t>6</w:t>
            </w:r>
          </w:hyperlink>
        </w:p>
        <w:p>
          <w:pPr>
            <w:pStyle w:val="TOC3"/>
            <w:numPr>
              <w:ilvl w:val="1"/>
              <w:numId w:val="4"/>
            </w:numPr>
            <w:tabs>
              <w:tab w:val="left" w:pos="3861"/>
              <w:tab w:val="left" w:leader="dot" w:pos="10384"/>
            </w:tabs>
            <w:spacing w:before="5" w:after="0" w:line="240" w:lineRule="auto"/>
            <w:ind w:left="3860" w:right="0" w:hanging="364"/>
            <w:jc w:val="left"/>
            <w:rPr>
              <w:rFonts w:ascii="Times New Roman" w:eastAsia="Times New Roman"/>
            </w:rPr>
          </w:pPr>
          <w:hyperlink w:anchor="_TOC_250012" w:history="1">
            <w:r>
              <w:t>国内速递</w:t>
              <w:tab/>
            </w:r>
            <w:r>
              <w:rPr>
                <w:rFonts w:ascii="Times New Roman" w:eastAsia="Times New Roman"/>
              </w:rPr>
              <w:t>7</w:t>
            </w:r>
          </w:hyperlink>
        </w:p>
        <w:p>
          <w:pPr>
            <w:pStyle w:val="TOC2"/>
            <w:tabs>
              <w:tab w:val="left" w:leader="dot" w:pos="10384"/>
            </w:tabs>
            <w:ind w:left="3123"/>
            <w:rPr>
              <w:rFonts w:ascii="Times New Roman" w:eastAsia="Times New Roman"/>
            </w:rPr>
          </w:pPr>
          <w:hyperlink w:anchor="_TOC_250011" w:history="1">
            <w:r>
              <w:rPr>
                <w:rFonts w:ascii="黑体" w:eastAsia="黑体" w:hint="eastAsia"/>
              </w:rPr>
              <w:t>3</w:t>
            </w:r>
            <w:r>
              <w:t>、</w:t>
            </w:r>
            <w:r>
              <w:rPr>
                <w:spacing w:val="1"/>
              </w:rPr>
              <w:t xml:space="preserve"> </w:t>
            </w:r>
            <w:r>
              <w:t>重点公司公告</w:t>
              <w:tab/>
            </w:r>
            <w:r>
              <w:rPr>
                <w:rFonts w:ascii="Times New Roman" w:eastAsia="Times New Roman"/>
              </w:rPr>
              <w:t>8</w:t>
            </w:r>
          </w:hyperlink>
        </w:p>
        <w:p>
          <w:pPr>
            <w:pStyle w:val="TOC3"/>
            <w:tabs>
              <w:tab w:val="left" w:leader="dot" w:pos="10384"/>
            </w:tabs>
            <w:ind w:firstLine="0"/>
            <w:rPr>
              <w:rFonts w:ascii="Times New Roman" w:eastAsia="Times New Roman"/>
            </w:rPr>
          </w:pPr>
          <w:hyperlink w:anchor="_TOC_250010" w:history="1">
            <w:r>
              <w:rPr>
                <w:rFonts w:ascii="黑体" w:eastAsia="黑体" w:hint="eastAsia"/>
              </w:rPr>
              <w:t xml:space="preserve">3.1 </w:t>
            </w:r>
            <w:r>
              <w:t>重点公司公告</w:t>
              <w:tab/>
            </w:r>
            <w:r>
              <w:rPr>
                <w:rFonts w:ascii="Times New Roman" w:eastAsia="Times New Roman"/>
              </w:rPr>
              <w:t>8</w:t>
            </w:r>
          </w:hyperlink>
        </w:p>
        <w:p>
          <w:pPr>
            <w:pStyle w:val="TOC2"/>
            <w:tabs>
              <w:tab w:val="left" w:leader="dot" w:pos="10384"/>
            </w:tabs>
            <w:ind w:left="3123"/>
            <w:rPr>
              <w:rFonts w:ascii="Times New Roman" w:eastAsia="Times New Roman"/>
            </w:rPr>
          </w:pPr>
          <w:hyperlink w:anchor="_TOC_250009" w:history="1">
            <w:r>
              <w:rPr>
                <w:rFonts w:ascii="黑体" w:eastAsia="黑体" w:hint="eastAsia"/>
              </w:rPr>
              <w:t>4</w:t>
            </w:r>
            <w:r>
              <w:t>、</w:t>
            </w:r>
            <w:r>
              <w:rPr>
                <w:spacing w:val="1"/>
              </w:rPr>
              <w:t xml:space="preserve"> </w:t>
            </w:r>
            <w:r>
              <w:t>数据跟踪</w:t>
              <w:tab/>
            </w:r>
            <w:r>
              <w:rPr>
                <w:rFonts w:ascii="Times New Roman" w:eastAsia="Times New Roman"/>
              </w:rPr>
              <w:t>8</w:t>
            </w:r>
          </w:hyperlink>
        </w:p>
        <w:p>
          <w:pPr>
            <w:pStyle w:val="TOC3"/>
            <w:numPr>
              <w:ilvl w:val="1"/>
              <w:numId w:val="3"/>
            </w:numPr>
            <w:tabs>
              <w:tab w:val="left" w:pos="3861"/>
              <w:tab w:val="left" w:leader="dot" w:pos="10384"/>
            </w:tabs>
            <w:spacing w:before="5" w:after="0" w:line="240" w:lineRule="auto"/>
            <w:ind w:left="3860" w:right="0" w:hanging="364"/>
            <w:jc w:val="left"/>
            <w:rPr>
              <w:rFonts w:ascii="Times New Roman" w:eastAsia="Times New Roman"/>
            </w:rPr>
          </w:pPr>
          <w:hyperlink w:anchor="_TOC_250008" w:history="1">
            <w:r>
              <w:t>部分车企销量</w:t>
              <w:tab/>
            </w:r>
            <w:r>
              <w:rPr>
                <w:rFonts w:ascii="Times New Roman" w:eastAsia="Times New Roman"/>
              </w:rPr>
              <w:t>8</w:t>
            </w:r>
          </w:hyperlink>
        </w:p>
        <w:p>
          <w:pPr>
            <w:pStyle w:val="TOC3"/>
            <w:numPr>
              <w:ilvl w:val="1"/>
              <w:numId w:val="3"/>
            </w:numPr>
            <w:tabs>
              <w:tab w:val="left" w:pos="3858"/>
              <w:tab w:val="left" w:leader="dot" w:pos="10384"/>
            </w:tabs>
            <w:spacing w:before="2" w:after="0" w:line="240" w:lineRule="auto"/>
            <w:ind w:left="3857" w:right="0" w:hanging="361"/>
            <w:jc w:val="left"/>
            <w:rPr>
              <w:rFonts w:ascii="Times New Roman" w:eastAsia="Times New Roman"/>
            </w:rPr>
          </w:pPr>
          <w:hyperlink w:anchor="_TOC_250007" w:history="1">
            <w:r>
              <w:rPr>
                <w:rFonts w:ascii="黑体" w:eastAsia="黑体" w:hint="eastAsia"/>
              </w:rPr>
              <w:t>1</w:t>
            </w:r>
            <w:r>
              <w:rPr>
                <w:rFonts w:ascii="黑体" w:eastAsia="黑体" w:hint="eastAsia"/>
                <w:spacing w:val="-43"/>
              </w:rPr>
              <w:t xml:space="preserve"> </w:t>
            </w:r>
            <w:r>
              <w:t>月乘用车市场回顾</w:t>
              <w:tab/>
            </w:r>
            <w:r>
              <w:rPr>
                <w:rFonts w:ascii="Times New Roman" w:eastAsia="Times New Roman"/>
              </w:rPr>
              <w:t>9</w:t>
            </w:r>
          </w:hyperlink>
        </w:p>
        <w:p>
          <w:pPr>
            <w:pStyle w:val="TOC3"/>
            <w:numPr>
              <w:ilvl w:val="1"/>
              <w:numId w:val="3"/>
            </w:numPr>
            <w:tabs>
              <w:tab w:val="left" w:pos="3817"/>
              <w:tab w:val="left" w:leader="dot" w:pos="10384"/>
            </w:tabs>
            <w:spacing w:before="2" w:after="0" w:line="242" w:lineRule="auto"/>
            <w:ind w:left="3497" w:right="189" w:hanging="44"/>
            <w:jc w:val="left"/>
            <w:rPr>
              <w:rFonts w:ascii="Times New Roman" w:eastAsia="Times New Roman"/>
            </w:rPr>
          </w:pPr>
          <w:hyperlink w:anchor="_TOC_250006" w:history="1">
            <w:r>
              <w:t>本周铜、铝、聚丙烯、</w:t>
            </w:r>
            <w:r>
              <w:rPr>
                <w:spacing w:val="-3"/>
              </w:rPr>
              <w:t>冷</w:t>
            </w:r>
            <w:r>
              <w:t>轧板周均价环比上升，碳酸锂持平，天然橡胶周均价环比</w:t>
            </w:r>
            <w:r>
              <w:rPr>
                <w:spacing w:val="-15"/>
              </w:rPr>
              <w:t>下</w:t>
            </w:r>
            <w:r>
              <w:t>降</w:t>
              <w:tab/>
            </w:r>
            <w:r>
              <w:rPr>
                <w:rFonts w:ascii="Times New Roman" w:eastAsia="Times New Roman"/>
                <w:spacing w:val="-17"/>
              </w:rPr>
              <w:t>9</w:t>
            </w:r>
          </w:hyperlink>
        </w:p>
        <w:p>
          <w:pPr>
            <w:pStyle w:val="TOC3"/>
            <w:numPr>
              <w:ilvl w:val="1"/>
              <w:numId w:val="3"/>
            </w:numPr>
            <w:tabs>
              <w:tab w:val="left" w:pos="3861"/>
              <w:tab w:val="left" w:leader="dot" w:pos="10303"/>
            </w:tabs>
            <w:spacing w:before="2" w:after="0" w:line="240" w:lineRule="auto"/>
            <w:ind w:left="3860" w:right="0" w:hanging="364"/>
            <w:jc w:val="left"/>
            <w:rPr>
              <w:rFonts w:ascii="Times New Roman" w:eastAsia="Times New Roman"/>
            </w:rPr>
          </w:pPr>
          <w:hyperlink w:anchor="_TOC_250005" w:history="1">
            <w:r>
              <w:t>本周人民币兑美元与欧</w:t>
            </w:r>
            <w:r>
              <w:rPr>
                <w:spacing w:val="-3"/>
              </w:rPr>
              <w:t>元</w:t>
            </w:r>
            <w:r>
              <w:t>小幅升值</w:t>
              <w:tab/>
            </w:r>
            <w:r>
              <w:rPr>
                <w:rFonts w:ascii="Times New Roman" w:eastAsia="Times New Roman"/>
                <w:spacing w:val="-6"/>
              </w:rPr>
              <w:t>11</w:t>
            </w:r>
          </w:hyperlink>
        </w:p>
        <w:p>
          <w:pPr>
            <w:pStyle w:val="TOC2"/>
            <w:tabs>
              <w:tab w:val="left" w:leader="dot" w:pos="10303"/>
            </w:tabs>
            <w:spacing w:before="3"/>
            <w:ind w:left="3123"/>
            <w:rPr>
              <w:rFonts w:ascii="Times New Roman" w:eastAsia="Times New Roman"/>
            </w:rPr>
          </w:pPr>
          <w:hyperlink w:anchor="_TOC_250004" w:history="1">
            <w:r>
              <w:rPr>
                <w:rFonts w:ascii="黑体" w:eastAsia="黑体" w:hint="eastAsia"/>
              </w:rPr>
              <w:t>5</w:t>
            </w:r>
            <w:r>
              <w:t>、</w:t>
            </w:r>
            <w:r>
              <w:rPr>
                <w:spacing w:val="1"/>
              </w:rPr>
              <w:t xml:space="preserve"> </w:t>
            </w:r>
            <w:r>
              <w:t>新车上市情况</w:t>
              <w:tab/>
            </w:r>
            <w:r>
              <w:rPr>
                <w:rFonts w:ascii="Times New Roman" w:eastAsia="Times New Roman"/>
                <w:spacing w:val="-6"/>
              </w:rPr>
              <w:t>11</w:t>
            </w:r>
          </w:hyperlink>
        </w:p>
        <w:p>
          <w:pPr>
            <w:pStyle w:val="TOC3"/>
            <w:tabs>
              <w:tab w:val="left" w:leader="dot" w:pos="10303"/>
            </w:tabs>
            <w:ind w:firstLine="0"/>
            <w:rPr>
              <w:rFonts w:ascii="Times New Roman" w:eastAsia="Times New Roman"/>
            </w:rPr>
          </w:pPr>
          <w:hyperlink w:anchor="_TOC_250003" w:history="1">
            <w:r>
              <w:rPr>
                <w:rFonts w:ascii="黑体" w:eastAsia="黑体" w:hint="eastAsia"/>
              </w:rPr>
              <w:t xml:space="preserve">5.1 </w:t>
            </w:r>
            <w:r>
              <w:t>本周新车型发布一览</w:t>
              <w:tab/>
            </w:r>
            <w:r>
              <w:rPr>
                <w:rFonts w:ascii="Times New Roman" w:eastAsia="Times New Roman"/>
                <w:spacing w:val="-6"/>
              </w:rPr>
              <w:t>11</w:t>
            </w:r>
          </w:hyperlink>
        </w:p>
        <w:p>
          <w:pPr>
            <w:pStyle w:val="TOC2"/>
            <w:tabs>
              <w:tab w:val="left" w:leader="dot" w:pos="10295"/>
            </w:tabs>
            <w:spacing w:before="5"/>
            <w:ind w:left="3123"/>
            <w:rPr>
              <w:rFonts w:ascii="Times New Roman" w:eastAsia="Times New Roman"/>
            </w:rPr>
          </w:pPr>
          <w:hyperlink w:anchor="_TOC_250002" w:history="1">
            <w:r>
              <w:rPr>
                <w:rFonts w:ascii="黑体" w:eastAsia="黑体" w:hint="eastAsia"/>
              </w:rPr>
              <w:t>6</w:t>
            </w:r>
            <w:r>
              <w:t>、</w:t>
            </w:r>
            <w:r>
              <w:rPr>
                <w:spacing w:val="1"/>
              </w:rPr>
              <w:t xml:space="preserve"> </w:t>
            </w:r>
            <w:r>
              <w:t>近期重点报告</w:t>
              <w:tab/>
            </w:r>
            <w:r>
              <w:rPr>
                <w:rFonts w:ascii="Times New Roman" w:eastAsia="Times New Roman"/>
              </w:rPr>
              <w:t>12</w:t>
            </w:r>
          </w:hyperlink>
        </w:p>
        <w:p>
          <w:pPr>
            <w:pStyle w:val="TOC2"/>
            <w:tabs>
              <w:tab w:val="left" w:leader="dot" w:pos="10295"/>
            </w:tabs>
            <w:ind w:left="3123"/>
            <w:rPr>
              <w:rFonts w:ascii="Times New Roman" w:eastAsia="Times New Roman"/>
            </w:rPr>
          </w:pPr>
          <w:hyperlink w:anchor="_TOC_250001" w:history="1">
            <w:r>
              <w:rPr>
                <w:rFonts w:ascii="黑体" w:eastAsia="黑体" w:hint="eastAsia"/>
              </w:rPr>
              <w:t>7</w:t>
            </w:r>
            <w:r>
              <w:t>、</w:t>
            </w:r>
            <w:r>
              <w:rPr>
                <w:spacing w:val="1"/>
              </w:rPr>
              <w:t xml:space="preserve"> </w:t>
            </w:r>
            <w:r>
              <w:t>行业评级</w:t>
              <w:tab/>
            </w:r>
            <w:r>
              <w:rPr>
                <w:rFonts w:ascii="Times New Roman" w:eastAsia="Times New Roman"/>
              </w:rPr>
              <w:t>22</w:t>
            </w:r>
          </w:hyperlink>
        </w:p>
        <w:p>
          <w:pPr>
            <w:pStyle w:val="TOC2"/>
            <w:tabs>
              <w:tab w:val="left" w:leader="dot" w:pos="10295"/>
            </w:tabs>
            <w:ind w:left="3123"/>
            <w:rPr>
              <w:rFonts w:ascii="Times New Roman" w:eastAsia="Times New Roman"/>
            </w:rPr>
          </w:pPr>
          <w:hyperlink w:anchor="_TOC_250000" w:history="1">
            <w:r>
              <w:rPr>
                <w:rFonts w:ascii="黑体" w:eastAsia="黑体" w:hint="eastAsia"/>
              </w:rPr>
              <w:t>8</w:t>
            </w:r>
            <w:r>
              <w:t>、</w:t>
            </w:r>
            <w:r>
              <w:rPr>
                <w:spacing w:val="1"/>
              </w:rPr>
              <w:t xml:space="preserve"> </w:t>
            </w:r>
            <w:r>
              <w:t>风险因素</w:t>
              <w:tab/>
            </w:r>
            <w:r>
              <w:rPr>
                <w:rFonts w:ascii="Times New Roman" w:eastAsia="Times New Roman"/>
              </w:rPr>
              <w:t>22</w:t>
            </w:r>
          </w:hyperlink>
        </w:p>
        <w:p>
          <w:pPr>
            <w:pStyle w:val="TOC1"/>
            <w:spacing w:before="705"/>
          </w:pPr>
          <w:r>
            <w:rPr>
              <w:color w:val="152E57"/>
            </w:rPr>
            <w:t>表 目 录</w:t>
          </w:r>
        </w:p>
        <w:p>
          <w:pPr>
            <w:pStyle w:val="TOC2"/>
            <w:tabs>
              <w:tab w:val="left" w:leader="dot" w:pos="10384"/>
            </w:tabs>
            <w:rPr>
              <w:rFonts w:ascii="Times New Roman" w:eastAsia="Times New Roman"/>
            </w:rPr>
          </w:pPr>
          <w:r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5443475</wp:posOffset>
                </wp:positionH>
                <wp:positionV relativeFrom="paragraph">
                  <wp:posOffset>33020</wp:posOffset>
                </wp:positionV>
                <wp:extent cx="53975" cy="82550"/>
                <wp:effectExtent l="0" t="0" r="0" b="0"/>
                <wp:wrapNone/>
                <wp:docPr id="1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.png"/>
                        <pic:cNvPicPr/>
                      </pic:nvPicPr>
                      <pic:blipFill>
                        <a:blip xmlns:r="http://schemas.openxmlformats.org/officeDocument/2006/relationships"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975" cy="82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表</w:t>
          </w:r>
          <w:r>
            <w:rPr>
              <w:spacing w:val="-45"/>
            </w:rPr>
            <w:t xml:space="preserve"> </w:t>
          </w:r>
          <w:r>
            <w:rPr>
              <w:spacing w:val="1"/>
            </w:rPr>
            <w:t>1</w:t>
          </w:r>
          <w:r>
            <w:t>：周涨幅前列个股（乘</w:t>
          </w:r>
          <w:r>
            <w:rPr>
              <w:spacing w:val="-3"/>
            </w:rPr>
            <w:t>用</w:t>
          </w:r>
          <w:r>
            <w:t>车、商用车、零部件</w:t>
          </w:r>
          <w:r>
            <w:rPr>
              <w:spacing w:val="-92"/>
            </w:rPr>
            <w:t>）</w:t>
          </w:r>
          <w:r>
            <w:t>：单位：</w:t>
          </w:r>
          <w:r>
            <w:rPr>
              <w:rFonts w:ascii="Times New Roman" w:eastAsia="Times New Roman"/>
            </w:rPr>
            <w:t xml:space="preserve"> </w:t>
            <w:tab/>
            <w:t>6</w:t>
          </w:r>
        </w:p>
        <w:p>
          <w:pPr>
            <w:pStyle w:val="TOC2"/>
            <w:tabs>
              <w:tab w:val="left" w:leader="dot" w:pos="10384"/>
            </w:tabs>
            <w:spacing w:before="3"/>
            <w:rPr>
              <w:rFonts w:ascii="Times New Roman" w:eastAsia="Times New Roman"/>
            </w:rPr>
          </w:pPr>
          <w:r>
            <w:t>表</w:t>
          </w:r>
          <w:r>
            <w:rPr>
              <w:spacing w:val="-45"/>
            </w:rPr>
            <w:t xml:space="preserve"> </w:t>
          </w:r>
          <w:r>
            <w:t>2：本周汽车行业重点公</w:t>
          </w:r>
          <w:r>
            <w:rPr>
              <w:spacing w:val="-3"/>
            </w:rPr>
            <w:t>司</w:t>
          </w:r>
          <w:r>
            <w:t>公告</w:t>
            <w:tab/>
          </w:r>
          <w:r>
            <w:rPr>
              <w:rFonts w:ascii="Times New Roman" w:eastAsia="Times New Roman"/>
            </w:rPr>
            <w:t>8</w:t>
          </w:r>
        </w:p>
        <w:p>
          <w:pPr>
            <w:pStyle w:val="TOC2"/>
            <w:tabs>
              <w:tab w:val="left" w:leader="dot" w:pos="10384"/>
            </w:tabs>
            <w:rPr>
              <w:rFonts w:ascii="Times New Roman" w:eastAsia="Times New Roman"/>
            </w:rPr>
          </w:pPr>
          <w:r>
            <w:t>表</w:t>
          </w:r>
          <w:r>
            <w:rPr>
              <w:spacing w:val="-45"/>
            </w:rPr>
            <w:t xml:space="preserve"> </w:t>
          </w:r>
          <w:r>
            <w:t>3：重点自主车企销量（</w:t>
          </w:r>
          <w:r>
            <w:rPr>
              <w:spacing w:val="-3"/>
            </w:rPr>
            <w:t>单</w:t>
          </w:r>
          <w:r>
            <w:t>位：辆）</w:t>
            <w:tab/>
          </w:r>
          <w:r>
            <w:rPr>
              <w:rFonts w:ascii="Times New Roman" w:eastAsia="Times New Roman"/>
            </w:rPr>
            <w:t>8</w:t>
          </w:r>
        </w:p>
        <w:p>
          <w:pPr>
            <w:pStyle w:val="TOC2"/>
            <w:tabs>
              <w:tab w:val="left" w:leader="dot" w:pos="10384"/>
            </w:tabs>
            <w:spacing w:before="4"/>
            <w:rPr>
              <w:rFonts w:ascii="Times New Roman" w:eastAsia="Times New Roman"/>
            </w:rPr>
          </w:pPr>
          <w:r>
            <w:t>表</w:t>
          </w:r>
          <w:r>
            <w:rPr>
              <w:spacing w:val="-45"/>
            </w:rPr>
            <w:t xml:space="preserve"> </w:t>
          </w:r>
          <w:r>
            <w:t>4：造车新势力与传统车</w:t>
          </w:r>
          <w:r>
            <w:rPr>
              <w:spacing w:val="-3"/>
            </w:rPr>
            <w:t>企</w:t>
          </w:r>
          <w:r>
            <w:t>新品牌交付量（单位：辆）</w:t>
            <w:tab/>
          </w:r>
          <w:r>
            <w:rPr>
              <w:rFonts w:ascii="Times New Roman" w:eastAsia="Times New Roman"/>
            </w:rPr>
            <w:t>8</w:t>
          </w:r>
        </w:p>
        <w:p>
          <w:pPr>
            <w:pStyle w:val="TOC2"/>
            <w:tabs>
              <w:tab w:val="left" w:leader="dot" w:pos="10384"/>
            </w:tabs>
            <w:spacing w:before="3"/>
            <w:rPr>
              <w:rFonts w:ascii="Times New Roman" w:eastAsia="Times New Roman"/>
            </w:rPr>
          </w:pPr>
          <w:r>
            <w:t>表</w:t>
          </w:r>
          <w:r>
            <w:rPr>
              <w:spacing w:val="-45"/>
            </w:rPr>
            <w:t xml:space="preserve"> </w:t>
          </w:r>
          <w:r>
            <w:t>5：1</w:t>
          </w:r>
          <w:r>
            <w:rPr>
              <w:spacing w:val="-44"/>
            </w:rPr>
            <w:t xml:space="preserve"> </w:t>
          </w:r>
          <w:r>
            <w:t>月乘联会口径日均零售/日均批发情况概览（单位：辆）</w:t>
            <w:tab/>
          </w:r>
          <w:r>
            <w:rPr>
              <w:rFonts w:ascii="Times New Roman" w:eastAsia="Times New Roman"/>
            </w:rPr>
            <w:t>9</w:t>
          </w:r>
        </w:p>
        <w:p>
          <w:pPr>
            <w:pStyle w:val="TOC2"/>
            <w:tabs>
              <w:tab w:val="left" w:leader="dot" w:pos="10303"/>
            </w:tabs>
            <w:rPr>
              <w:rFonts w:ascii="Times New Roman" w:eastAsia="Times New Roman"/>
            </w:rPr>
          </w:pPr>
          <w:r>
            <w:t>表</w:t>
          </w:r>
          <w:r>
            <w:rPr>
              <w:spacing w:val="-45"/>
            </w:rPr>
            <w:t xml:space="preserve"> </w:t>
          </w:r>
          <w:r>
            <w:t>6：本周上市新车一览</w:t>
            <w:tab/>
          </w:r>
          <w:r>
            <w:rPr>
              <w:rFonts w:ascii="Times New Roman" w:eastAsia="Times New Roman"/>
              <w:spacing w:val="-6"/>
            </w:rPr>
            <w:t>11</w:t>
          </w:r>
        </w:p>
        <w:p>
          <w:pPr>
            <w:pStyle w:val="TOC1"/>
          </w:pPr>
          <w:r>
            <w:rPr>
              <w:color w:val="152E57"/>
            </w:rPr>
            <w:t>图 目 录</w:t>
          </w:r>
        </w:p>
        <w:p>
          <w:pPr>
            <w:pStyle w:val="TOC2"/>
            <w:tabs>
              <w:tab w:val="left" w:leader="dot" w:pos="10384"/>
            </w:tabs>
            <w:rPr>
              <w:rFonts w:ascii="Times New Roman" w:eastAsia="Times New Roman"/>
            </w:rPr>
          </w:pPr>
          <w:r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4499740</wp:posOffset>
                </wp:positionH>
                <wp:positionV relativeFrom="paragraph">
                  <wp:posOffset>33019</wp:posOffset>
                </wp:positionV>
                <wp:extent cx="53975" cy="82550"/>
                <wp:effectExtent l="0" t="0" r="0" b="0"/>
                <wp:wrapNone/>
                <wp:docPr id="3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1.png"/>
                        <pic:cNvPicPr/>
                      </pic:nvPicPr>
                      <pic:blipFill>
                        <a:blip xmlns:r="http://schemas.openxmlformats.org/officeDocument/2006/relationships"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975" cy="82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图</w:t>
          </w:r>
          <w:r>
            <w:rPr>
              <w:spacing w:val="1"/>
            </w:rPr>
            <w:t xml:space="preserve"> </w:t>
          </w:r>
          <w:r>
            <w:t>1：中信一级行业周度涨</w:t>
          </w:r>
          <w:r>
            <w:rPr>
              <w:spacing w:val="-3"/>
            </w:rPr>
            <w:t>跌</w:t>
          </w:r>
          <w:r>
            <w:t>幅（单位：</w:t>
          </w:r>
          <w:r>
            <w:rPr>
              <w:spacing w:val="1"/>
            </w:rPr>
            <w:t xml:space="preserve"> </w:t>
          </w:r>
          <w:r>
            <w:t>）</w:t>
            <w:tab/>
          </w:r>
          <w:r>
            <w:rPr>
              <w:rFonts w:ascii="Times New Roman" w:eastAsia="Times New Roman"/>
            </w:rPr>
            <w:t>5</w:t>
          </w:r>
        </w:p>
        <w:p>
          <w:pPr>
            <w:pStyle w:val="TOC2"/>
            <w:tabs>
              <w:tab w:val="left" w:leader="dot" w:pos="10384"/>
            </w:tabs>
            <w:spacing w:before="5"/>
            <w:rPr>
              <w:rFonts w:ascii="Times New Roman" w:eastAsia="Times New Roman"/>
            </w:rPr>
          </w:pPr>
          <w:r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4614040</wp:posOffset>
                </wp:positionH>
                <wp:positionV relativeFrom="paragraph">
                  <wp:posOffset>34924</wp:posOffset>
                </wp:positionV>
                <wp:extent cx="53975" cy="82550"/>
                <wp:effectExtent l="0" t="0" r="0" b="0"/>
                <wp:wrapNone/>
                <wp:docPr id="5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1.png"/>
                        <pic:cNvPicPr/>
                      </pic:nvPicPr>
                      <pic:blipFill>
                        <a:blip xmlns:r="http://schemas.openxmlformats.org/officeDocument/2006/relationships"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975" cy="82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图</w:t>
          </w:r>
          <w:r>
            <w:rPr>
              <w:spacing w:val="1"/>
            </w:rPr>
            <w:t xml:space="preserve"> </w:t>
          </w:r>
          <w:r>
            <w:t>2：汽车行业子板块周度</w:t>
          </w:r>
          <w:r>
            <w:rPr>
              <w:spacing w:val="-3"/>
            </w:rPr>
            <w:t>涨</w:t>
          </w:r>
          <w:r>
            <w:t>跌幅（单位：</w:t>
          </w:r>
          <w:r>
            <w:rPr>
              <w:spacing w:val="1"/>
            </w:rPr>
            <w:t xml:space="preserve"> </w:t>
          </w:r>
          <w:r>
            <w:t>）</w:t>
            <w:tab/>
          </w:r>
          <w:r>
            <w:rPr>
              <w:rFonts w:ascii="Times New Roman" w:eastAsia="Times New Roman"/>
            </w:rPr>
            <w:t>5</w:t>
          </w:r>
        </w:p>
        <w:p>
          <w:pPr>
            <w:pStyle w:val="TOC2"/>
            <w:tabs>
              <w:tab w:val="left" w:leader="dot" w:pos="10384"/>
            </w:tabs>
            <w:rPr>
              <w:rFonts w:ascii="Times New Roman" w:eastAsia="Times New Roman"/>
            </w:rPr>
          </w:pPr>
          <w:r>
            <w:t>图 3：2015</w:t>
          </w:r>
          <w:r>
            <w:rPr>
              <w:spacing w:val="-44"/>
            </w:rPr>
            <w:t xml:space="preserve"> </w:t>
          </w:r>
          <w:r>
            <w:t>年至今汽车板块</w:t>
          </w:r>
          <w:r>
            <w:rPr>
              <w:spacing w:val="-3"/>
            </w:rPr>
            <w:t>市</w:t>
          </w:r>
          <w:r>
            <w:t>盈率（单位：倍）</w:t>
            <w:tab/>
          </w:r>
          <w:r>
            <w:rPr>
              <w:rFonts w:ascii="Times New Roman" w:eastAsia="Times New Roman"/>
            </w:rPr>
            <w:t>6</w:t>
          </w:r>
        </w:p>
        <w:p>
          <w:pPr>
            <w:pStyle w:val="TOC2"/>
            <w:tabs>
              <w:tab w:val="left" w:leader="dot" w:pos="10384"/>
            </w:tabs>
            <w:rPr>
              <w:rFonts w:ascii="Times New Roman" w:eastAsia="Times New Roman"/>
            </w:rPr>
          </w:pPr>
          <w:r>
            <w:t>图</w:t>
          </w:r>
          <w:r>
            <w:rPr>
              <w:spacing w:val="-45"/>
            </w:rPr>
            <w:t xml:space="preserve"> </w:t>
          </w:r>
          <w:r>
            <w:t>4：1</w:t>
          </w:r>
          <w:r>
            <w:rPr>
              <w:spacing w:val="-44"/>
            </w:rPr>
            <w:t xml:space="preserve"> </w:t>
          </w:r>
          <w:r>
            <w:t>月乘联会口径日均零</w:t>
          </w:r>
          <w:r>
            <w:rPr>
              <w:spacing w:val="-3"/>
            </w:rPr>
            <w:t>售</w:t>
          </w:r>
          <w:r>
            <w:t>概况</w:t>
            <w:tab/>
          </w:r>
          <w:r>
            <w:rPr>
              <w:rFonts w:ascii="Times New Roman" w:eastAsia="Times New Roman"/>
            </w:rPr>
            <w:t>9</w:t>
          </w:r>
        </w:p>
        <w:p>
          <w:pPr>
            <w:pStyle w:val="TOC2"/>
            <w:tabs>
              <w:tab w:val="left" w:leader="dot" w:pos="10384"/>
            </w:tabs>
            <w:spacing w:before="5"/>
            <w:rPr>
              <w:rFonts w:ascii="Times New Roman" w:eastAsia="Times New Roman"/>
            </w:rPr>
          </w:pPr>
          <w:r>
            <w:t>图</w:t>
          </w:r>
          <w:r>
            <w:rPr>
              <w:spacing w:val="-45"/>
            </w:rPr>
            <w:t xml:space="preserve"> </w:t>
          </w:r>
          <w:r>
            <w:t>5：1</w:t>
          </w:r>
          <w:r>
            <w:rPr>
              <w:spacing w:val="-44"/>
            </w:rPr>
            <w:t xml:space="preserve"> </w:t>
          </w:r>
          <w:r>
            <w:t>月乘联会口径日均批</w:t>
          </w:r>
          <w:r>
            <w:rPr>
              <w:spacing w:val="-3"/>
            </w:rPr>
            <w:t>发</w:t>
          </w:r>
          <w:r>
            <w:t>概况</w:t>
            <w:tab/>
          </w:r>
          <w:r>
            <w:rPr>
              <w:rFonts w:ascii="Times New Roman" w:eastAsia="Times New Roman"/>
            </w:rPr>
            <w:t>9</w:t>
          </w:r>
        </w:p>
        <w:p>
          <w:pPr>
            <w:pStyle w:val="TOC2"/>
            <w:tabs>
              <w:tab w:val="left" w:leader="dot" w:pos="10384"/>
            </w:tabs>
            <w:rPr>
              <w:rFonts w:ascii="Times New Roman" w:eastAsia="Times New Roman"/>
            </w:rPr>
          </w:pPr>
          <w:r>
            <w:t>图 6：长江有色均价：铜（元/吨）</w:t>
            <w:tab/>
          </w:r>
          <w:r>
            <w:rPr>
              <w:rFonts w:ascii="Times New Roman" w:eastAsia="Times New Roman"/>
            </w:rPr>
            <w:t>9</w:t>
          </w:r>
        </w:p>
        <w:p>
          <w:pPr>
            <w:pStyle w:val="TOC2"/>
            <w:tabs>
              <w:tab w:val="left" w:leader="dot" w:pos="10384"/>
            </w:tabs>
            <w:rPr>
              <w:rFonts w:ascii="Times New Roman" w:eastAsia="Times New Roman"/>
            </w:rPr>
          </w:pPr>
          <w:r>
            <w:t>图</w:t>
          </w:r>
          <w:r>
            <w:rPr>
              <w:spacing w:val="1"/>
            </w:rPr>
            <w:t xml:space="preserve"> </w:t>
          </w:r>
          <w:r>
            <w:t>7：中铝价格数据（元/吨）</w:t>
            <w:tab/>
          </w:r>
          <w:r>
            <w:rPr>
              <w:rFonts w:ascii="Times New Roman" w:eastAsia="Times New Roman"/>
            </w:rPr>
            <w:t>9</w:t>
          </w:r>
        </w:p>
        <w:p>
          <w:pPr>
            <w:pStyle w:val="TOC2"/>
            <w:tabs>
              <w:tab w:val="left" w:leader="dot" w:pos="10295"/>
            </w:tabs>
            <w:spacing w:before="3"/>
            <w:rPr>
              <w:rFonts w:ascii="Times New Roman" w:eastAsia="Times New Roman"/>
            </w:rPr>
          </w:pPr>
          <w:r>
            <w:t>图 8：天然橡胶价格数据（元/吨）</w:t>
            <w:tab/>
          </w:r>
          <w:r>
            <w:rPr>
              <w:rFonts w:ascii="Times New Roman" w:eastAsia="Times New Roman"/>
            </w:rPr>
            <w:t>10</w:t>
          </w:r>
        </w:p>
        <w:p>
          <w:pPr>
            <w:pStyle w:val="TOC2"/>
            <w:tabs>
              <w:tab w:val="left" w:leader="dot" w:pos="10295"/>
            </w:tabs>
            <w:spacing w:before="5"/>
            <w:rPr>
              <w:rFonts w:ascii="Times New Roman" w:eastAsia="Times New Roman"/>
            </w:rPr>
          </w:pPr>
          <w:r>
            <w:t>图</w:t>
          </w:r>
          <w:r>
            <w:rPr>
              <w:spacing w:val="1"/>
            </w:rPr>
            <w:t xml:space="preserve"> </w:t>
          </w:r>
          <w:r>
            <w:t>9：冷轧卷价格数据（元/</w:t>
          </w:r>
          <w:r>
            <w:rPr>
              <w:spacing w:val="-3"/>
            </w:rPr>
            <w:t>吨）</w:t>
            <w:tab/>
          </w:r>
          <w:r>
            <w:rPr>
              <w:rFonts w:ascii="Times New Roman" w:eastAsia="Times New Roman"/>
            </w:rPr>
            <w:t>10</w:t>
          </w:r>
        </w:p>
        <w:p>
          <w:pPr>
            <w:pStyle w:val="TOC2"/>
            <w:tabs>
              <w:tab w:val="left" w:leader="dot" w:pos="10303"/>
            </w:tabs>
            <w:rPr>
              <w:rFonts w:ascii="Times New Roman" w:eastAsia="Times New Roman"/>
            </w:rPr>
          </w:pPr>
          <w:r>
            <w:t>图</w:t>
          </w:r>
          <w:r>
            <w:rPr>
              <w:spacing w:val="1"/>
            </w:rPr>
            <w:t xml:space="preserve"> </w:t>
          </w:r>
          <w:r>
            <w:t>10：聚丙烯价格（元/吨）</w:t>
            <w:tab/>
          </w:r>
          <w:r>
            <w:rPr>
              <w:rFonts w:ascii="Times New Roman" w:eastAsia="Times New Roman"/>
              <w:spacing w:val="-6"/>
            </w:rPr>
            <w:t>11</w:t>
          </w:r>
        </w:p>
        <w:p>
          <w:pPr>
            <w:pStyle w:val="TOC2"/>
            <w:tabs>
              <w:tab w:val="left" w:leader="dot" w:pos="10303"/>
            </w:tabs>
            <w:rPr>
              <w:rFonts w:ascii="Times New Roman" w:eastAsia="Times New Roman"/>
            </w:rPr>
          </w:pPr>
          <w:r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3728370</wp:posOffset>
                </wp:positionH>
                <wp:positionV relativeFrom="paragraph">
                  <wp:posOffset>33019</wp:posOffset>
                </wp:positionV>
                <wp:extent cx="53975" cy="82550"/>
                <wp:effectExtent l="0" t="0" r="0" b="0"/>
                <wp:wrapNone/>
                <wp:docPr id="7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image1.png"/>
                        <pic:cNvPicPr/>
                      </pic:nvPicPr>
                      <pic:blipFill>
                        <a:blip xmlns:r="http://schemas.openxmlformats.org/officeDocument/2006/relationships"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975" cy="82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t>图</w:t>
          </w:r>
          <w:r>
            <w:rPr>
              <w:spacing w:val="1"/>
            </w:rPr>
            <w:t xml:space="preserve"> </w:t>
          </w:r>
          <w:r>
            <w:t>11：价</w:t>
          </w:r>
          <w:r>
            <w:rPr>
              <w:spacing w:val="-3"/>
            </w:rPr>
            <w:t>格</w:t>
          </w:r>
          <w:r>
            <w:t>:碳酸锂</w:t>
          </w:r>
          <w:r>
            <w:rPr>
              <w:spacing w:val="-47"/>
            </w:rPr>
            <w:t xml:space="preserve"> </w:t>
          </w:r>
          <w:r>
            <w:t>99.5</w:t>
          </w:r>
          <w:r>
            <w:rPr>
              <w:spacing w:val="1"/>
            </w:rPr>
            <w:t xml:space="preserve"> </w:t>
          </w:r>
          <w:r>
            <w:t>电:国产（元/吨）</w:t>
            <w:tab/>
          </w:r>
          <w:r>
            <w:rPr>
              <w:rFonts w:ascii="Times New Roman" w:eastAsia="Times New Roman"/>
              <w:spacing w:val="-6"/>
            </w:rPr>
            <w:t>11</w:t>
          </w:r>
        </w:p>
        <w:p>
          <w:pPr>
            <w:pStyle w:val="TOC2"/>
            <w:tabs>
              <w:tab w:val="left" w:leader="dot" w:pos="10303"/>
            </w:tabs>
            <w:rPr>
              <w:rFonts w:ascii="Times New Roman" w:eastAsia="Times New Roman"/>
            </w:rPr>
          </w:pPr>
          <w:r>
            <w:t>图</w:t>
          </w:r>
          <w:r>
            <w:rPr>
              <w:spacing w:val="-1"/>
            </w:rPr>
            <w:t xml:space="preserve"> </w:t>
          </w:r>
          <w:r>
            <w:t>12：2021</w:t>
          </w:r>
          <w:r>
            <w:rPr>
              <w:spacing w:val="-44"/>
            </w:rPr>
            <w:t xml:space="preserve"> </w:t>
          </w:r>
          <w:r>
            <w:t>年以来人民币</w:t>
          </w:r>
          <w:r>
            <w:rPr>
              <w:spacing w:val="-3"/>
            </w:rPr>
            <w:t>汇</w:t>
          </w:r>
          <w:r>
            <w:t>率变化</w:t>
            <w:tab/>
          </w:r>
          <w:r>
            <w:rPr>
              <w:rFonts w:ascii="Times New Roman" w:eastAsia="Times New Roman"/>
              <w:spacing w:val="-6"/>
            </w:rPr>
            <w:t>11</w:t>
          </w:r>
        </w:p>
      </w:sdtContent>
    </w:sdt>
    <w:p>
      <w:pPr>
        <w:spacing w:after="0"/>
        <w:rPr>
          <w:rFonts w:ascii="Times New Roman" w:eastAsia="Times New Roman"/>
        </w:rPr>
        <w:sectPr>
          <w:headerReference w:type="default" r:id="rId5"/>
          <w:footerReference w:type="default" r:id="rId6"/>
          <w:type w:val="continuous"/>
          <w:pgSz w:w="11910" w:h="16840"/>
          <w:pgMar w:top="960" w:right="520" w:bottom="1200" w:left="720" w:header="708" w:footer="708"/>
          <w:cols w:space="708"/>
        </w:sectPr>
      </w:pPr>
    </w:p>
    <w:p>
      <w:pPr>
        <w:pStyle w:val="Heading1"/>
        <w:spacing w:before="123" w:after="22"/>
      </w:pPr>
      <w:bookmarkStart w:id="0" w:name="_TOC_250016"/>
      <w:bookmarkEnd w:id="0"/>
      <w:r>
        <w:t>1、 行情回顾</w:t>
      </w:r>
    </w:p>
    <w:p>
      <w:pPr>
        <w:pStyle w:val="BodyText"/>
        <w:spacing w:line="20" w:lineRule="exact"/>
        <w:ind w:left="1989"/>
        <w:rPr>
          <w:rFonts w:ascii="黑体"/>
          <w:sz w:val="2"/>
        </w:rPr>
      </w:pPr>
      <w:r>
        <w:rPr>
          <w:rFonts w:ascii="黑体"/>
          <w:sz w:val="2"/>
        </w:rPr>
        <w:pict>
          <v:group id="_x0000_i1025" style="width:418.7pt;height:0.5pt;mso-position-horizontal-relative:char;mso-position-vertical-relative:line" coordorigin="0,0" coordsize="8374,10">
            <v:line id="_x0000_s1026" style="position:absolute" from="0,5" to="8373,5" stroked="t" strokecolor="#51759c" strokeweight="0.48pt">
              <v:stroke dashstyle="solid"/>
            </v:line>
            <w10:wrap type="none"/>
          </v:group>
        </w:pict>
      </w:r>
    </w:p>
    <w:p>
      <w:pPr>
        <w:pStyle w:val="Heading2"/>
        <w:spacing w:before="150"/>
        <w:ind w:left="2023" w:firstLine="0"/>
      </w:pPr>
      <w:bookmarkStart w:id="1" w:name="_TOC_250015"/>
      <w:bookmarkEnd w:id="1"/>
      <w:r>
        <w:t>1.1 本周汽车板块录得下跌</w:t>
      </w:r>
    </w:p>
    <w:p>
      <w:pPr>
        <w:spacing w:before="140"/>
        <w:ind w:left="2023" w:right="0" w:firstLine="0"/>
        <w:jc w:val="left"/>
        <w:rPr>
          <w:sz w:val="21"/>
        </w:rPr>
      </w:pPr>
      <w:r>
        <w:rPr>
          <w:b/>
          <w:sz w:val="21"/>
        </w:rPr>
        <w:t>本周汽车板块录得下跌。</w:t>
      </w:r>
      <w:r>
        <w:rPr>
          <w:sz w:val="21"/>
        </w:rPr>
        <w:t>本周（</w:t>
      </w:r>
      <w:r>
        <w:rPr>
          <w:rFonts w:ascii="Arial" w:eastAsia="Arial"/>
          <w:sz w:val="21"/>
        </w:rPr>
        <w:t>1.22-1.26</w:t>
      </w:r>
      <w:r>
        <w:rPr>
          <w:sz w:val="21"/>
        </w:rPr>
        <w:t>）汽车板块</w:t>
      </w:r>
      <w:r>
        <w:rPr>
          <w:rFonts w:ascii="Arial" w:eastAsia="Arial"/>
          <w:sz w:val="21"/>
        </w:rPr>
        <w:t>-1.27%</w:t>
      </w:r>
      <w:r>
        <w:rPr>
          <w:sz w:val="21"/>
        </w:rPr>
        <w:t xml:space="preserve">，居中信一级行业第 </w:t>
      </w:r>
      <w:r>
        <w:rPr>
          <w:rFonts w:ascii="Arial" w:eastAsia="Arial"/>
          <w:sz w:val="21"/>
        </w:rPr>
        <w:t xml:space="preserve">25 </w:t>
      </w:r>
      <w:r>
        <w:rPr>
          <w:sz w:val="21"/>
        </w:rPr>
        <w:t>位，</w:t>
      </w:r>
    </w:p>
    <w:p>
      <w:pPr>
        <w:pStyle w:val="BodyText"/>
        <w:spacing w:before="53"/>
        <w:ind w:left="2023"/>
      </w:pPr>
      <w:r>
        <w:t xml:space="preserve">跑输沪深 </w:t>
      </w:r>
      <w:r>
        <w:rPr>
          <w:rFonts w:ascii="Arial" w:eastAsia="Arial"/>
        </w:rPr>
        <w:t xml:space="preserve">300 </w:t>
      </w:r>
      <w:r>
        <w:t>指数（</w:t>
      </w:r>
      <w:r>
        <w:rPr>
          <w:rFonts w:ascii="Arial" w:eastAsia="Arial"/>
        </w:rPr>
        <w:t>+1.96%</w:t>
      </w:r>
      <w:r>
        <w:t>）</w:t>
      </w:r>
      <w:r>
        <w:rPr>
          <w:rFonts w:ascii="Arial" w:eastAsia="Arial"/>
        </w:rPr>
        <w:t>3.32pct</w:t>
      </w:r>
      <w:r>
        <w:t>，跑输上证指数（</w:t>
      </w:r>
      <w:r>
        <w:rPr>
          <w:rFonts w:ascii="Arial" w:eastAsia="Arial"/>
        </w:rPr>
        <w:t>+2.75%</w:t>
      </w:r>
      <w:r>
        <w:t>）</w:t>
      </w:r>
      <w:r>
        <w:rPr>
          <w:rFonts w:ascii="Arial" w:eastAsia="Arial"/>
        </w:rPr>
        <w:t>4.02pct</w:t>
      </w:r>
      <w:r>
        <w:t>。</w:t>
      </w:r>
    </w:p>
    <w:p>
      <w:pPr>
        <w:pStyle w:val="BodyText"/>
        <w:spacing w:before="206" w:line="285" w:lineRule="auto"/>
        <w:ind w:left="2023" w:right="320"/>
      </w:pPr>
      <w:r>
        <w:rPr>
          <w:b/>
        </w:rPr>
        <w:t>商用车、销售与服务板块录得上涨。</w:t>
      </w:r>
      <w:r>
        <w:t>本周乘用车板块</w:t>
      </w:r>
      <w:r>
        <w:rPr>
          <w:rFonts w:ascii="Arial" w:eastAsia="Arial"/>
        </w:rPr>
        <w:t>-0.56%</w:t>
      </w:r>
      <w:r>
        <w:t>，商用车板块</w:t>
      </w:r>
      <w:r>
        <w:rPr>
          <w:rFonts w:ascii="Arial" w:eastAsia="Arial"/>
        </w:rPr>
        <w:t>+4.66%</w:t>
      </w:r>
      <w:r>
        <w:t>，汽车零部件板块</w:t>
      </w:r>
      <w:r>
        <w:rPr>
          <w:rFonts w:ascii="Arial" w:eastAsia="Arial"/>
        </w:rPr>
        <w:t>-3.51%</w:t>
      </w:r>
      <w:r>
        <w:t>，汽车销售及服务板块</w:t>
      </w:r>
      <w:r>
        <w:rPr>
          <w:rFonts w:ascii="Arial" w:eastAsia="Arial"/>
        </w:rPr>
        <w:t>+4.21%</w:t>
      </w:r>
      <w:r>
        <w:t>，摩托车及其他板块</w:t>
      </w:r>
      <w:r>
        <w:rPr>
          <w:rFonts w:ascii="Arial" w:eastAsia="Arial"/>
        </w:rPr>
        <w:t>-0.63%</w:t>
      </w:r>
      <w:r>
        <w:t>。</w:t>
      </w:r>
    </w:p>
    <w:p>
      <w:pPr>
        <w:pStyle w:val="BodyText"/>
        <w:spacing w:before="157" w:line="285" w:lineRule="auto"/>
        <w:ind w:left="2023" w:right="321"/>
      </w:pPr>
      <w:r>
        <w:rPr>
          <w:b/>
          <w:spacing w:val="1"/>
          <w:w w:val="100"/>
        </w:rPr>
        <w:t>个股方面，</w:t>
      </w:r>
      <w:r>
        <w:rPr>
          <w:w w:val="100"/>
        </w:rPr>
        <w:t>乘用车板块一汽解放（</w:t>
      </w:r>
      <w:r>
        <w:rPr>
          <w:rFonts w:ascii="Arial" w:eastAsia="Arial"/>
          <w:spacing w:val="-1"/>
          <w:w w:val="100"/>
        </w:rPr>
        <w:t>+4.</w:t>
      </w:r>
      <w:r>
        <w:rPr>
          <w:rFonts w:ascii="Arial" w:eastAsia="Arial"/>
          <w:spacing w:val="-3"/>
          <w:w w:val="100"/>
        </w:rPr>
        <w:t>0</w:t>
      </w:r>
      <w:r>
        <w:rPr>
          <w:rFonts w:ascii="Arial" w:eastAsia="Arial"/>
          <w:w w:val="100"/>
        </w:rPr>
        <w:t>4</w:t>
      </w:r>
      <w:r>
        <w:rPr>
          <w:rFonts w:ascii="Arial" w:eastAsia="Arial"/>
          <w:spacing w:val="-1"/>
          <w:w w:val="100"/>
        </w:rPr>
        <w:t>%</w:t>
      </w:r>
      <w:r>
        <w:rPr>
          <w:spacing w:val="-106"/>
          <w:w w:val="100"/>
        </w:rPr>
        <w:t>）</w:t>
      </w:r>
      <w:r>
        <w:rPr>
          <w:w w:val="100"/>
        </w:rPr>
        <w:t>、上汽集团（</w:t>
      </w:r>
      <w:r>
        <w:rPr>
          <w:rFonts w:ascii="Arial" w:eastAsia="Arial"/>
          <w:spacing w:val="-1"/>
          <w:w w:val="100"/>
        </w:rPr>
        <w:t>+3.</w:t>
      </w:r>
      <w:r>
        <w:rPr>
          <w:rFonts w:ascii="Arial" w:eastAsia="Arial"/>
          <w:spacing w:val="-3"/>
          <w:w w:val="100"/>
        </w:rPr>
        <w:t>5</w:t>
      </w:r>
      <w:r>
        <w:rPr>
          <w:rFonts w:ascii="Arial" w:eastAsia="Arial"/>
          <w:w w:val="100"/>
        </w:rPr>
        <w:t>8</w:t>
      </w:r>
      <w:r>
        <w:rPr>
          <w:rFonts w:ascii="Arial" w:eastAsia="Arial"/>
          <w:spacing w:val="-3"/>
          <w:w w:val="100"/>
        </w:rPr>
        <w:t>%</w:t>
      </w:r>
      <w:r>
        <w:rPr>
          <w:w w:val="100"/>
        </w:rPr>
        <w:t>）等涨幅居前；商用车板</w:t>
      </w:r>
      <w:r>
        <w:rPr>
          <w:spacing w:val="34"/>
        </w:rPr>
        <w:t>块中国重汽</w:t>
      </w:r>
      <w:r>
        <w:rPr>
          <w:spacing w:val="-9"/>
        </w:rPr>
        <w:t>（</w:t>
      </w:r>
      <w:r>
        <w:rPr>
          <w:rFonts w:ascii="Arial" w:eastAsia="Arial"/>
          <w:spacing w:val="-9"/>
        </w:rPr>
        <w:t>+13.38%</w:t>
      </w:r>
      <w:r>
        <w:rPr>
          <w:spacing w:val="-9"/>
        </w:rPr>
        <w:t>）</w:t>
      </w:r>
      <w:r>
        <w:rPr>
          <w:spacing w:val="34"/>
        </w:rPr>
        <w:t>、东风汽车</w:t>
      </w:r>
      <w:r>
        <w:rPr>
          <w:spacing w:val="-11"/>
        </w:rPr>
        <w:t>（</w:t>
      </w:r>
      <w:r>
        <w:rPr>
          <w:rFonts w:ascii="Arial" w:eastAsia="Arial"/>
          <w:spacing w:val="-11"/>
        </w:rPr>
        <w:t>+11.96%</w:t>
      </w:r>
      <w:r>
        <w:rPr>
          <w:spacing w:val="-11"/>
        </w:rPr>
        <w:t>）</w:t>
      </w:r>
      <w:r>
        <w:rPr>
          <w:spacing w:val="15"/>
        </w:rPr>
        <w:t>、 福田汽车</w:t>
      </w:r>
      <w:r>
        <w:rPr>
          <w:spacing w:val="-10"/>
        </w:rPr>
        <w:t>（</w:t>
      </w:r>
      <w:r>
        <w:rPr>
          <w:rFonts w:ascii="Arial" w:eastAsia="Arial"/>
          <w:spacing w:val="-10"/>
        </w:rPr>
        <w:t>+6.40%</w:t>
      </w:r>
      <w:r>
        <w:rPr>
          <w:spacing w:val="-10"/>
        </w:rPr>
        <w:t>）</w:t>
      </w:r>
      <w:r>
        <w:rPr>
          <w:spacing w:val="27"/>
        </w:rPr>
        <w:t>、潍柴动力</w:t>
      </w:r>
    </w:p>
    <w:p>
      <w:pPr>
        <w:pStyle w:val="BodyText"/>
        <w:spacing w:line="288" w:lineRule="auto"/>
        <w:ind w:left="2023" w:right="323"/>
      </w:pPr>
      <w:r>
        <w:rPr>
          <w:w w:val="100"/>
        </w:rPr>
        <w:t>（</w:t>
      </w:r>
      <w:r>
        <w:rPr>
          <w:rFonts w:ascii="Arial" w:eastAsia="Arial"/>
          <w:spacing w:val="-1"/>
          <w:w w:val="100"/>
        </w:rPr>
        <w:t>+6.0</w:t>
      </w:r>
      <w:r>
        <w:rPr>
          <w:rFonts w:ascii="Arial" w:eastAsia="Arial"/>
          <w:w w:val="100"/>
        </w:rPr>
        <w:t>1</w:t>
      </w:r>
      <w:r>
        <w:rPr>
          <w:rFonts w:ascii="Arial" w:eastAsia="Arial"/>
          <w:spacing w:val="-3"/>
          <w:w w:val="100"/>
        </w:rPr>
        <w:t>%</w:t>
      </w:r>
      <w:r>
        <w:rPr>
          <w:w w:val="100"/>
        </w:rPr>
        <w:t>）等涨幅居前；零部件板块交运股份（</w:t>
      </w:r>
      <w:r>
        <w:rPr>
          <w:rFonts w:ascii="Arial" w:eastAsia="Arial"/>
          <w:spacing w:val="-4"/>
          <w:w w:val="100"/>
        </w:rPr>
        <w:t>+</w:t>
      </w:r>
      <w:r>
        <w:rPr>
          <w:rFonts w:ascii="Arial" w:eastAsia="Arial"/>
          <w:spacing w:val="-1"/>
          <w:w w:val="100"/>
        </w:rPr>
        <w:t>9.8</w:t>
      </w:r>
      <w:r>
        <w:rPr>
          <w:rFonts w:ascii="Arial" w:eastAsia="Arial"/>
          <w:w w:val="100"/>
        </w:rPr>
        <w:t>7</w:t>
      </w:r>
      <w:r>
        <w:rPr>
          <w:rFonts w:ascii="Arial" w:eastAsia="Arial"/>
          <w:spacing w:val="-1"/>
          <w:w w:val="100"/>
        </w:rPr>
        <w:t>%</w:t>
      </w:r>
      <w:r>
        <w:rPr>
          <w:spacing w:val="-106"/>
          <w:w w:val="100"/>
        </w:rPr>
        <w:t>）</w:t>
      </w:r>
      <w:r>
        <w:rPr>
          <w:w w:val="100"/>
        </w:rPr>
        <w:t>、</w:t>
      </w:r>
      <w:r>
        <w:rPr>
          <w:rFonts w:ascii="Arial" w:eastAsia="Arial"/>
          <w:spacing w:val="-1"/>
          <w:w w:val="100"/>
        </w:rPr>
        <w:t>*</w:t>
      </w:r>
      <w:r>
        <w:rPr>
          <w:rFonts w:ascii="Arial" w:eastAsia="Arial"/>
          <w:spacing w:val="-3"/>
          <w:w w:val="100"/>
        </w:rPr>
        <w:t>S</w:t>
      </w:r>
      <w:r>
        <w:rPr>
          <w:rFonts w:ascii="Arial" w:eastAsia="Arial"/>
          <w:w w:val="100"/>
        </w:rPr>
        <w:t>T</w:t>
      </w:r>
      <w:r>
        <w:rPr>
          <w:rFonts w:ascii="Arial" w:eastAsia="Arial"/>
          <w:spacing w:val="-13"/>
        </w:rPr>
        <w:t xml:space="preserve">  </w:t>
      </w:r>
      <w:r>
        <w:rPr>
          <w:spacing w:val="1"/>
          <w:w w:val="100"/>
        </w:rPr>
        <w:t>越博</w:t>
      </w:r>
      <w:r>
        <w:rPr>
          <w:w w:val="100"/>
        </w:rPr>
        <w:t>（</w:t>
      </w:r>
      <w:r>
        <w:rPr>
          <w:rFonts w:ascii="Arial" w:eastAsia="Arial"/>
          <w:spacing w:val="-1"/>
          <w:w w:val="100"/>
        </w:rPr>
        <w:t>+9.</w:t>
      </w:r>
      <w:r>
        <w:rPr>
          <w:rFonts w:ascii="Arial" w:eastAsia="Arial"/>
          <w:spacing w:val="-3"/>
          <w:w w:val="100"/>
        </w:rPr>
        <w:t>4</w:t>
      </w:r>
      <w:r>
        <w:rPr>
          <w:rFonts w:ascii="Arial" w:eastAsia="Arial"/>
          <w:spacing w:val="-2"/>
          <w:w w:val="100"/>
        </w:rPr>
        <w:t>6</w:t>
      </w:r>
      <w:r>
        <w:rPr>
          <w:rFonts w:ascii="Arial" w:eastAsia="Arial"/>
          <w:spacing w:val="-1"/>
          <w:w w:val="100"/>
        </w:rPr>
        <w:t>%</w:t>
      </w:r>
      <w:r>
        <w:rPr>
          <w:spacing w:val="-104"/>
          <w:w w:val="100"/>
        </w:rPr>
        <w:t>）</w:t>
      </w:r>
      <w:r>
        <w:rPr>
          <w:w w:val="100"/>
        </w:rPr>
        <w:t>、威孚高科（</w:t>
      </w:r>
      <w:r>
        <w:rPr>
          <w:rFonts w:ascii="Arial" w:eastAsia="Arial"/>
          <w:spacing w:val="-1"/>
          <w:w w:val="100"/>
        </w:rPr>
        <w:t>+8.</w:t>
      </w:r>
      <w:r>
        <w:rPr>
          <w:rFonts w:ascii="Arial" w:eastAsia="Arial"/>
          <w:spacing w:val="-3"/>
          <w:w w:val="100"/>
        </w:rPr>
        <w:t>7</w:t>
      </w:r>
      <w:r>
        <w:rPr>
          <w:rFonts w:ascii="Arial" w:eastAsia="Arial"/>
          <w:w w:val="100"/>
        </w:rPr>
        <w:t>4</w:t>
      </w:r>
      <w:r>
        <w:rPr>
          <w:rFonts w:ascii="Arial" w:eastAsia="Arial"/>
          <w:spacing w:val="-1"/>
          <w:w w:val="100"/>
        </w:rPr>
        <w:t>%</w:t>
      </w:r>
      <w:r>
        <w:rPr>
          <w:spacing w:val="-108"/>
          <w:w w:val="100"/>
        </w:rPr>
        <w:t>）</w:t>
      </w:r>
      <w:r>
        <w:rPr>
          <w:spacing w:val="-2"/>
          <w:w w:val="100"/>
        </w:rPr>
        <w:t>、动力新科</w:t>
      </w:r>
      <w:r>
        <w:rPr>
          <w:w w:val="100"/>
        </w:rPr>
        <w:t>（</w:t>
      </w:r>
      <w:r>
        <w:rPr>
          <w:rFonts w:ascii="Arial" w:eastAsia="Arial"/>
          <w:spacing w:val="-1"/>
          <w:w w:val="100"/>
        </w:rPr>
        <w:t>+8.4</w:t>
      </w:r>
      <w:r>
        <w:rPr>
          <w:rFonts w:ascii="Arial" w:eastAsia="Arial"/>
          <w:w w:val="100"/>
        </w:rPr>
        <w:t>3</w:t>
      </w:r>
      <w:r>
        <w:rPr>
          <w:rFonts w:ascii="Arial" w:eastAsia="Arial"/>
          <w:spacing w:val="-3"/>
          <w:w w:val="100"/>
        </w:rPr>
        <w:t>%</w:t>
      </w:r>
      <w:r>
        <w:rPr>
          <w:spacing w:val="-106"/>
          <w:w w:val="100"/>
        </w:rPr>
        <w:t>）</w:t>
      </w:r>
      <w:r>
        <w:rPr>
          <w:spacing w:val="-3"/>
          <w:w w:val="100"/>
        </w:rPr>
        <w:t>、金麒麟</w:t>
      </w:r>
      <w:r>
        <w:rPr>
          <w:w w:val="100"/>
        </w:rPr>
        <w:t>（</w:t>
      </w:r>
      <w:r>
        <w:rPr>
          <w:rFonts w:ascii="Arial" w:eastAsia="Arial"/>
          <w:spacing w:val="-1"/>
          <w:w w:val="100"/>
        </w:rPr>
        <w:t>+7</w:t>
      </w:r>
      <w:r>
        <w:rPr>
          <w:rFonts w:ascii="Arial" w:eastAsia="Arial"/>
          <w:spacing w:val="-4"/>
          <w:w w:val="100"/>
        </w:rPr>
        <w:t>.</w:t>
      </w:r>
      <w:r>
        <w:rPr>
          <w:rFonts w:ascii="Arial" w:eastAsia="Arial"/>
          <w:spacing w:val="-1"/>
          <w:w w:val="100"/>
        </w:rPr>
        <w:t>9</w:t>
      </w:r>
      <w:r>
        <w:rPr>
          <w:rFonts w:ascii="Arial" w:eastAsia="Arial"/>
          <w:spacing w:val="1"/>
          <w:w w:val="100"/>
        </w:rPr>
        <w:t>8</w:t>
      </w:r>
      <w:r>
        <w:rPr>
          <w:rFonts w:ascii="Arial" w:eastAsia="Arial"/>
          <w:spacing w:val="-1"/>
          <w:w w:val="100"/>
        </w:rPr>
        <w:t>%</w:t>
      </w:r>
      <w:r>
        <w:rPr>
          <w:spacing w:val="-3"/>
          <w:w w:val="100"/>
        </w:rPr>
        <w:t>）等涨幅居前。</w:t>
      </w:r>
    </w:p>
    <w:p>
      <w:pPr>
        <w:spacing w:before="102"/>
        <w:ind w:left="2129" w:right="0" w:firstLine="0"/>
        <w:jc w:val="left"/>
        <w:rPr>
          <w:b/>
          <w:sz w:val="18"/>
        </w:rPr>
      </w:pPr>
      <w:r>
        <w:pict>
          <v:group id="_x0000_s1027" style="width:415.8pt;height:9.65pt;margin-top:7.6pt;margin-left:137.18pt;mso-position-horizontal-relative:page;position:absolute;z-index:-251649024" coordorigin="2744,152" coordsize="8316,19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85;height:130;left:6102;position:absolute;top:152" stroked="f">
              <v:imagedata r:id="rId7" o:title=""/>
            </v:shape>
            <v:line id="_x0000_s1029" style="position:absolute" from="2744,340" to="11059,340" stroked="t" strokecolor="black" strokeweight="0.48pt">
              <v:stroke dashstyle="solid"/>
            </v:line>
          </v:group>
        </w:pict>
      </w:r>
      <w:r>
        <w:rPr>
          <w:b/>
          <w:color w:val="152E57"/>
          <w:sz w:val="18"/>
        </w:rPr>
        <w:t>图 1：中信一级行业周度涨跌幅（单位： ）</w:t>
      </w:r>
    </w:p>
    <w:p>
      <w:pPr>
        <w:spacing w:before="158"/>
        <w:ind w:left="2395" w:right="0" w:firstLine="0"/>
        <w:jc w:val="left"/>
        <w:rPr>
          <w:rFonts w:ascii="Arial"/>
          <w:sz w:val="16"/>
        </w:rPr>
      </w:pPr>
      <w:r>
        <w:pict>
          <v:group id="_x0000_s1030" style="width:372.7pt;height:108.35pt;margin-top:12.48pt;margin-left:180.05pt;mso-position-horizontal-relative:page;position:absolute;z-index:251671552" coordorigin="3601,250" coordsize="7454,2167">
            <v:line id="_x0000_s1031" style="position:absolute" from="9700,1931" to="9700,2083" stroked="t" strokecolor="#bc0505" strokeweight="3.9pt">
              <v:stroke dashstyle="solid"/>
            </v:line>
            <v:line id="_x0000_s1032" style="position:absolute" from="3733,575" to="3733,1931" stroked="t" strokecolor="#00048d" strokeweight="3.96pt">
              <v:stroke dashstyle="solid"/>
            </v:line>
            <v:shape id="_x0000_s1033" style="width:49;height:2152;left:3608;position:absolute;top:257" coordorigin="3609,257" coordsize="49,2152" path="m3609,2409l3609,257m3609,2409l3657,2409m3609,2171l3657,2171m3609,1931l3657,1931m3609,1691l3657,1691m3609,1453l3657,1453m3609,1213l3657,1213m3609,973l3657,973m3609,736l3657,736m3609,496l3657,496m3609,257l3657,257e" filled="f" stroked="t" strokecolor="black" strokeweight="0.75pt">
              <v:stroke dashstyle="solid"/>
              <v:path arrowok="t"/>
            </v:shape>
            <v:line id="_x0000_s1034" style="position:absolute" from="3982,856" to="3982,1931" stroked="t" strokecolor="#00048d" strokeweight="3.84pt">
              <v:stroke dashstyle="solid"/>
            </v:line>
            <v:line id="_x0000_s1035" style="position:absolute" from="4230,1055" to="4230,1931" stroked="t" strokecolor="#00048d" strokeweight="3.96pt">
              <v:stroke dashstyle="solid"/>
            </v:line>
            <v:shape id="_x0000_s1036" style="width:250;height:821;left:4478;position:absolute;top:1110" coordorigin="4478,1110" coordsize="250,821" path="m4478,1110l4478,1931m4728,1189l4728,1931e" filled="f" stroked="t" strokecolor="#00048d" strokeweight="3.84pt">
              <v:stroke dashstyle="solid"/>
              <v:path arrowok="t"/>
            </v:shape>
            <v:line id="_x0000_s1037" style="position:absolute" from="4976,1228" to="4976,1931" stroked="t" strokecolor="#00048d" strokeweight="3.96pt">
              <v:stroke dashstyle="solid"/>
            </v:line>
            <v:line id="_x0000_s1038" style="position:absolute" from="5225,1403" to="5225,1931" stroked="t" strokecolor="#00048d" strokeweight="3.84pt">
              <v:stroke dashstyle="solid"/>
            </v:line>
            <v:line id="_x0000_s1039" style="position:absolute" from="5473,1475" to="5473,1931" stroked="t" strokecolor="#00048d" strokeweight="3.96pt">
              <v:stroke dashstyle="solid"/>
            </v:line>
            <v:line id="_x0000_s1040" style="position:absolute" from="5722,1535" to="5722,1931" stroked="t" strokecolor="#00048d" strokeweight="3.84pt">
              <v:stroke dashstyle="solid"/>
            </v:line>
            <v:line id="_x0000_s1041" style="position:absolute" from="5971,1561" to="5971,1931" stroked="t" strokecolor="#00048d" strokeweight="3.84pt">
              <v:stroke dashstyle="solid"/>
            </v:line>
            <v:line id="_x0000_s1042" style="position:absolute" from="6220,1621" to="6220,1931" stroked="t" strokecolor="#00048d" strokeweight="3.96pt">
              <v:stroke dashstyle="solid"/>
            </v:line>
            <v:line id="_x0000_s1043" style="position:absolute" from="6468,1681" to="6468,1931" stroked="t" strokecolor="#00048d" strokeweight="3.84pt">
              <v:stroke dashstyle="solid"/>
            </v:line>
            <v:line id="_x0000_s1044" style="position:absolute" from="6716,1763" to="6716,1931" stroked="t" strokecolor="#00048d" strokeweight="3.96pt">
              <v:stroke dashstyle="solid"/>
            </v:line>
            <v:shape id="_x0000_s1045" style="width:2564;height:238;left:6926;position:absolute;top:1813" coordorigin="6926,1813" coordsize="2564,238" path="m7003,1813l6926,1813,6926,1931,7003,1931,7003,1813m7253,1818l7176,1818,7176,1931,7253,1931,7253,1818m7502,1861l7423,1861,7423,1931,7502,1931,7502,1861m7750,1864l7673,1864,7673,1931,7750,1931,7750,1864m7999,1892l7920,1892,7920,1931,7999,1931,7999,1892m8246,1907l8170,1907,8170,1931,8246,1931,8246,1907m8496,1919l8419,1919,8419,1931,8496,1931,8496,1919m8746,1931l8666,1931,8666,1974,8746,1974,8746,1931m8993,1931l8916,1931,8916,1981,8993,1981,8993,1931m9242,1931l9163,1931,9163,2010,9242,2010,9242,1931m9490,1931l9413,1931,9413,2051,9490,2051,9490,1931e" filled="t" fillcolor="#00048d" stroked="f">
              <v:fill type="solid"/>
              <v:path arrowok="t"/>
            </v:shape>
            <v:line id="_x0000_s1046" style="position:absolute" from="9949,1931" to="9949,2149" stroked="t" strokecolor="#00048d" strokeweight="3.96pt">
              <v:stroke dashstyle="solid"/>
            </v:line>
            <v:line id="_x0000_s1047" style="position:absolute" from="10198,1931" to="10198,2209" stroked="t" strokecolor="#00048d" strokeweight="3.84pt">
              <v:stroke dashstyle="solid"/>
            </v:line>
            <v:line id="_x0000_s1048" style="position:absolute" from="10446,1931" to="10446,2226" stroked="t" strokecolor="#00048d" strokeweight="3.96pt">
              <v:stroke dashstyle="solid"/>
            </v:line>
            <v:line id="_x0000_s1049" style="position:absolute" from="10694,1931" to="10694,2257" stroked="t" strokecolor="#00048d" strokeweight="3.84pt">
              <v:stroke dashstyle="solid"/>
            </v:line>
            <v:line id="_x0000_s1050" style="position:absolute" from="10943,1931" to="10943,2305" stroked="t" strokecolor="#00048d" strokeweight="3.96pt">
              <v:stroke dashstyle="solid"/>
            </v:line>
            <v:line id="_x0000_s1051" style="position:absolute" from="3609,1931" to="11054,1931" stroked="t" strokecolor="black" strokeweight="0.75pt">
              <v:stroke dashstyle="solid"/>
            </v:line>
            <v:shape id="_x0000_s1052" style="width:7211;height:49;left:3608;position:absolute;top:1882" coordorigin="3609,1883" coordsize="7211,49" path="m3609,1883l3609,1931m3857,1883l3857,1931m4106,1883l4106,1931m4354,1883l4354,1931m4603,1883l4603,1931m4853,1883l4853,1931m5100,1883l5100,1931m5350,1883l5350,1931m5597,1883l5597,1931m5846,1883l5846,1931m6096,1883l6096,1931m6343,1883l6343,1931m6593,1883l6593,1931m6840,1883l6840,1931m7090,1883l7090,1931m7339,1883l7339,1931m7586,1883l7586,1931m7836,1883l7836,1931m8083,1883l8083,1931m8333,1883l8333,1931m8582,1883l8582,1931m8830,1883l8830,1931m9079,1883l9079,1931m9326,1883l9326,1931m9576,1883l9576,1931m9826,1883l9826,1931m10073,1883l10073,1931m10322,1883l10322,1931m10570,1883l10570,1931m10819,1883l10819,1931e" filled="f" stroked="t" strokecolor="black" strokeweight="0.75pt">
              <v:stroke dashstyle="solid"/>
              <v:path arrowok="t"/>
            </v:shape>
          </v:group>
        </w:pict>
      </w:r>
      <w:r>
        <w:rPr>
          <w:rFonts w:ascii="Arial"/>
          <w:sz w:val="16"/>
        </w:rPr>
        <w:t>14.0</w:t>
      </w:r>
    </w:p>
    <w:p>
      <w:pPr>
        <w:spacing w:before="55"/>
        <w:ind w:left="2395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12.0</w:t>
      </w:r>
    </w:p>
    <w:p>
      <w:pPr>
        <w:spacing w:before="55"/>
        <w:ind w:left="2395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10.0</w:t>
      </w:r>
    </w:p>
    <w:p>
      <w:pPr>
        <w:spacing w:before="55"/>
        <w:ind w:left="2484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8.0</w:t>
      </w:r>
    </w:p>
    <w:p>
      <w:pPr>
        <w:spacing w:before="56"/>
        <w:ind w:left="2484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6.0</w:t>
      </w:r>
    </w:p>
    <w:p>
      <w:pPr>
        <w:spacing w:before="55"/>
        <w:ind w:left="2484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4.0</w:t>
      </w:r>
    </w:p>
    <w:p>
      <w:pPr>
        <w:spacing w:before="55"/>
        <w:ind w:left="2484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2.0</w:t>
      </w:r>
    </w:p>
    <w:p>
      <w:pPr>
        <w:spacing w:before="55"/>
        <w:ind w:left="2484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0.0</w:t>
      </w:r>
    </w:p>
    <w:p>
      <w:pPr>
        <w:spacing w:before="56"/>
        <w:ind w:left="2431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-2.0</w:t>
      </w:r>
    </w:p>
    <w:p>
      <w:pPr>
        <w:spacing w:before="55"/>
        <w:ind w:left="2431" w:right="0" w:firstLine="0"/>
        <w:jc w:val="left"/>
        <w:rPr>
          <w:rFonts w:ascii="Arial"/>
          <w:sz w:val="1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3" type="#_x0000_t202" style="width:370.65pt;height:82.2pt;margin-top:11.46pt;margin-left:181.62pt;mso-position-horizontal-relative:page;position:absolute;z-index:251673600" filled="f" stroked="f">
            <v:textbox style="layout-flow:vertical;mso-layout-flow-alt:bottom-to-top" inset="0,0,0,0">
              <w:txbxContent>
                <w:p>
                  <w:pPr>
                    <w:spacing w:before="0" w:line="290" w:lineRule="auto"/>
                    <w:ind w:left="659" w:right="19" w:firstLine="0"/>
                    <w:jc w:val="right"/>
                    <w:rPr>
                      <w:sz w:val="16"/>
                    </w:rPr>
                  </w:pPr>
                  <w:r>
                    <w:rPr>
                      <w:spacing w:val="-4"/>
                      <w:sz w:val="16"/>
                    </w:rPr>
                    <w:t>综合金融指数</w:t>
                  </w:r>
                  <w:r>
                    <w:rPr>
                      <w:spacing w:val="-1"/>
                      <w:sz w:val="16"/>
                    </w:rPr>
                    <w:t>房地产指数石</w:t>
                  </w:r>
                  <w:r>
                    <w:rPr>
                      <w:spacing w:val="-5"/>
                      <w:sz w:val="16"/>
                    </w:rPr>
                    <w:t>油石化指数</w:t>
                  </w:r>
                </w:p>
                <w:p>
                  <w:pPr>
                    <w:spacing w:before="0" w:line="290" w:lineRule="auto"/>
                    <w:ind w:left="980" w:right="18" w:firstLine="0"/>
                    <w:jc w:val="right"/>
                    <w:rPr>
                      <w:sz w:val="16"/>
                    </w:rPr>
                  </w:pPr>
                  <w:r>
                    <w:rPr>
                      <w:spacing w:val="-5"/>
                      <w:sz w:val="16"/>
                    </w:rPr>
                    <w:t>建筑指数煤炭指数</w:t>
                  </w:r>
                </w:p>
                <w:p>
                  <w:pPr>
                    <w:spacing w:before="1"/>
                    <w:ind w:left="0" w:right="18" w:firstLine="0"/>
                    <w:jc w:val="right"/>
                    <w:rPr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非银行金融指数</w:t>
                  </w:r>
                </w:p>
                <w:p>
                  <w:pPr>
                    <w:spacing w:before="44" w:line="290" w:lineRule="auto"/>
                    <w:ind w:left="980" w:right="18" w:firstLine="0"/>
                    <w:jc w:val="right"/>
                    <w:rPr>
                      <w:sz w:val="16"/>
                    </w:rPr>
                  </w:pPr>
                  <w:r>
                    <w:rPr>
                      <w:spacing w:val="-5"/>
                      <w:sz w:val="16"/>
                    </w:rPr>
                    <w:t>银行指数钢铁指数</w:t>
                  </w:r>
                </w:p>
                <w:p>
                  <w:pPr>
                    <w:spacing w:before="1" w:line="290" w:lineRule="auto"/>
                    <w:ind w:left="179" w:right="20" w:firstLine="480"/>
                    <w:jc w:val="right"/>
                    <w:rPr>
                      <w:sz w:val="16"/>
                    </w:rPr>
                  </w:pPr>
                  <w:r>
                    <w:rPr>
                      <w:spacing w:val="-4"/>
                      <w:sz w:val="16"/>
                    </w:rPr>
                    <w:t>交通运输指数电力及公用事业指数</w:t>
                  </w:r>
                </w:p>
                <w:p>
                  <w:pPr>
                    <w:spacing w:before="1" w:line="290" w:lineRule="auto"/>
                    <w:ind w:left="980" w:right="18" w:firstLine="0"/>
                    <w:jc w:val="both"/>
                    <w:rPr>
                      <w:sz w:val="16"/>
                    </w:rPr>
                  </w:pPr>
                  <w:r>
                    <w:rPr>
                      <w:spacing w:val="-5"/>
                      <w:sz w:val="16"/>
                    </w:rPr>
                    <w:t>通信指数建材指数传媒指数综合指数</w:t>
                  </w:r>
                </w:p>
                <w:p>
                  <w:pPr>
                    <w:spacing w:before="3" w:line="290" w:lineRule="auto"/>
                    <w:ind w:left="659" w:right="20" w:firstLine="0"/>
                    <w:jc w:val="both"/>
                    <w:rPr>
                      <w:sz w:val="16"/>
                    </w:rPr>
                  </w:pPr>
                  <w:r>
                    <w:rPr>
                      <w:spacing w:val="-4"/>
                      <w:sz w:val="16"/>
                    </w:rPr>
                    <w:t>有色金属指数国防军工指数商贸零售指数</w:t>
                  </w:r>
                </w:p>
                <w:p>
                  <w:pPr>
                    <w:spacing w:before="2" w:line="290" w:lineRule="auto"/>
                    <w:ind w:left="500" w:right="18" w:firstLine="480"/>
                    <w:jc w:val="right"/>
                    <w:rPr>
                      <w:sz w:val="16"/>
                    </w:rPr>
                  </w:pPr>
                  <w:r>
                    <w:rPr>
                      <w:spacing w:val="-5"/>
                      <w:sz w:val="16"/>
                    </w:rPr>
                    <w:t>家电指数</w:t>
                  </w:r>
                  <w:r>
                    <w:rPr>
                      <w:spacing w:val="-4"/>
                      <w:sz w:val="16"/>
                    </w:rPr>
                    <w:t>消费者服务指数</w:t>
                  </w:r>
                  <w:r>
                    <w:rPr>
                      <w:spacing w:val="-1"/>
                      <w:sz w:val="16"/>
                    </w:rPr>
                    <w:t>计算机指数</w:t>
                  </w:r>
                </w:p>
                <w:p>
                  <w:pPr>
                    <w:spacing w:before="2" w:line="290" w:lineRule="auto"/>
                    <w:ind w:left="659" w:right="20" w:firstLine="0"/>
                    <w:jc w:val="both"/>
                    <w:rPr>
                      <w:sz w:val="16"/>
                    </w:rPr>
                  </w:pPr>
                  <w:r>
                    <w:rPr>
                      <w:spacing w:val="-4"/>
                      <w:sz w:val="16"/>
                    </w:rPr>
                    <w:t>食品饮料指数轻工制造指数农林牧渔指数</w:t>
                  </w:r>
                </w:p>
                <w:p>
                  <w:pPr>
                    <w:spacing w:before="1"/>
                    <w:ind w:left="0" w:right="18" w:firstLine="0"/>
                    <w:jc w:val="right"/>
                    <w:rPr>
                      <w:sz w:val="16"/>
                    </w:rPr>
                  </w:pPr>
                  <w:r>
                    <w:rPr>
                      <w:sz w:val="16"/>
                    </w:rPr>
                    <w:t>机械指数</w:t>
                  </w:r>
                </w:p>
                <w:p>
                  <w:pPr>
                    <w:spacing w:before="44" w:line="290" w:lineRule="auto"/>
                    <w:ind w:left="659" w:right="18" w:firstLine="321"/>
                    <w:jc w:val="both"/>
                    <w:rPr>
                      <w:sz w:val="16"/>
                    </w:rPr>
                  </w:pPr>
                  <w:r>
                    <w:rPr>
                      <w:spacing w:val="-5"/>
                      <w:sz w:val="16"/>
                    </w:rPr>
                    <w:t>汽车指数</w:t>
                  </w:r>
                  <w:r>
                    <w:rPr>
                      <w:spacing w:val="-4"/>
                      <w:sz w:val="16"/>
                    </w:rPr>
                    <w:t>基础化工指数纺织服装指数</w:t>
                  </w:r>
                </w:p>
                <w:p>
                  <w:pPr>
                    <w:spacing w:before="2"/>
                    <w:ind w:left="20" w:right="0" w:firstLine="0"/>
                    <w:jc w:val="left"/>
                    <w:rPr>
                      <w:sz w:val="16"/>
                    </w:rPr>
                  </w:pPr>
                  <w:r>
                    <w:rPr>
                      <w:spacing w:val="-2"/>
                      <w:sz w:val="16"/>
                    </w:rPr>
                    <w:t>电力设备及新能源指数</w:t>
                  </w:r>
                </w:p>
                <w:p>
                  <w:pPr>
                    <w:spacing w:before="0" w:line="250" w:lineRule="atLeast"/>
                    <w:ind w:left="980" w:right="18" w:firstLine="0"/>
                    <w:jc w:val="left"/>
                    <w:rPr>
                      <w:sz w:val="16"/>
                    </w:rPr>
                  </w:pPr>
                  <w:r>
                    <w:rPr>
                      <w:spacing w:val="-5"/>
                      <w:sz w:val="16"/>
                    </w:rPr>
                    <w:t>医药指数电子指数</w:t>
                  </w:r>
                </w:p>
              </w:txbxContent>
            </v:textbox>
          </v:shape>
        </w:pict>
      </w:r>
      <w:r>
        <w:rPr>
          <w:rFonts w:ascii="Arial"/>
          <w:sz w:val="16"/>
        </w:rPr>
        <w:t>-4.0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3"/>
        </w:rPr>
      </w:pPr>
      <w:r>
        <w:pict>
          <v:shape id="_x0000_s1054" style="width:415.8pt;height:0.1pt;margin-top:9.73pt;margin-left:137.18pt;mso-position-horizontal-relative:page;mso-wrap-distance-left:0;mso-wrap-distance-right:0;position:absolute;z-index:-251646976" coordorigin="2744,195" coordsize="8316,0" path="m2744,195l11059,195e" filled="f" stroked="t" strokecolor="black" strokeweight="0.48pt">
            <v:stroke dashstyle="solid"/>
            <v:path arrowok="t"/>
            <w10:wrap type="topAndBottom"/>
          </v:shape>
        </w:pict>
      </w:r>
    </w:p>
    <w:p>
      <w:pPr>
        <w:spacing w:before="0" w:line="179" w:lineRule="exact"/>
        <w:ind w:left="2129" w:right="0" w:firstLine="0"/>
        <w:jc w:val="left"/>
        <w:rPr>
          <w:i/>
          <w:sz w:val="17"/>
        </w:rPr>
      </w:pPr>
      <w:r>
        <w:t xml:space="preserve">资料来源: ifind， 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8"/>
        <w:rPr>
          <w:i/>
          <w:sz w:val="14"/>
        </w:rPr>
      </w:pPr>
    </w:p>
    <w:p>
      <w:pPr>
        <w:spacing w:before="75"/>
        <w:ind w:left="2129" w:right="0" w:firstLine="0"/>
        <w:jc w:val="left"/>
        <w:rPr>
          <w:b/>
          <w:sz w:val="18"/>
        </w:rPr>
      </w:pPr>
      <w:r>
        <w:pict>
          <v:group id="_x0000_s1055" style="width:415.8pt;height:9.65pt;margin-top:6.25pt;margin-left:137.18pt;mso-position-horizontal-relative:page;position:absolute;z-index:-251648000" coordorigin="2744,125" coordsize="8316,193">
            <v:shape id="_x0000_s1056" type="#_x0000_t75" style="width:85;height:130;left:6284;position:absolute;top:125" stroked="f">
              <v:imagedata r:id="rId7" o:title=""/>
            </v:shape>
            <v:line id="_x0000_s1057" style="position:absolute" from="2744,313" to="11059,313" stroked="t" strokecolor="black" strokeweight="0.48pt">
              <v:stroke dashstyle="solid"/>
            </v:line>
          </v:group>
        </w:pict>
      </w:r>
      <w:r>
        <w:rPr>
          <w:b/>
          <w:color w:val="152E57"/>
          <w:sz w:val="18"/>
        </w:rPr>
        <w:t>图 2：汽车行业子板块周度涨跌幅（单位： ）</w:t>
      </w:r>
    </w:p>
    <w:p>
      <w:pPr>
        <w:pStyle w:val="BodyText"/>
        <w:spacing w:before="1"/>
        <w:rPr>
          <w:b/>
          <w:sz w:val="15"/>
        </w:rPr>
      </w:pPr>
    </w:p>
    <w:p>
      <w:pPr>
        <w:spacing w:before="96"/>
        <w:ind w:left="2438" w:right="0" w:firstLine="0"/>
        <w:jc w:val="left"/>
        <w:rPr>
          <w:rFonts w:ascii="Arial"/>
          <w:sz w:val="16"/>
        </w:rPr>
      </w:pPr>
      <w:r>
        <w:pict>
          <v:group id="_x0000_s1058" style="width:375.15pt;height:105.9pt;margin-top:9.59pt;margin-left:169.12pt;mso-position-horizontal-relative:page;position:absolute;z-index:251672576" coordorigin="3382,192" coordsize="7503,2118">
            <v:line id="_x0000_s1059" style="position:absolute" from="3835,1521" to="4435,1521" stroked="t" strokecolor="#00048d" strokeweight="6pt">
              <v:stroke dashstyle="solid"/>
            </v:line>
            <v:shape id="_x0000_s1060" style="width:3598;height:1726;left:5335;position:absolute;top:476" coordorigin="5335,477" coordsize="3598,1726" path="m5935,477l5335,477,5335,1461,5935,1461,5935,477m7433,1461l6833,1461,6833,2202,7433,2202,7433,1461m8933,575l8333,575,8333,1461,8933,1461,8933,575e" filled="t" fillcolor="#00048d" stroked="f">
              <v:fill type="solid"/>
              <v:path arrowok="t"/>
            </v:shape>
            <v:line id="_x0000_s1061" style="position:absolute" from="9833,1528" to="10433,1528" stroked="t" strokecolor="#00048d" strokeweight="6.72pt">
              <v:stroke dashstyle="solid"/>
            </v:line>
            <v:shape id="_x0000_s1062" style="width:7498;height:2113;left:3384;position:absolute;top:194" coordorigin="3385,194" coordsize="7498,2113" path="m3385,2307l3385,194m3385,2307l3433,2307m3385,1883l3433,1883m3385,1461l3433,1461m3385,1038l3433,1038m3385,616l3433,616m3385,194l3433,194m3385,1462l10883,1462m3385,1414l3385,1462m4884,1414l4884,1462m6384,1414l6384,1462m7884,1414l7884,1462m9384,1414l9384,1462m10883,1414l10883,1462e" filled="f" stroked="t" strokecolor="black" strokeweight="0.25pt">
              <v:stroke dashstyle="solid"/>
              <v:path arrowok="t"/>
            </v:shape>
          </v:group>
        </w:pict>
      </w:r>
      <w:r>
        <w:rPr>
          <w:rFonts w:ascii="Arial"/>
          <w:w w:val="100"/>
          <w:sz w:val="16"/>
        </w:rPr>
        <w:t>6</w:t>
      </w:r>
    </w:p>
    <w:p>
      <w:pPr>
        <w:pStyle w:val="BodyText"/>
        <w:spacing w:before="5"/>
        <w:rPr>
          <w:rFonts w:ascii="Arial"/>
          <w:sz w:val="12"/>
        </w:rPr>
      </w:pPr>
    </w:p>
    <w:p>
      <w:pPr>
        <w:spacing w:before="95"/>
        <w:ind w:left="2438" w:right="0" w:firstLine="0"/>
        <w:jc w:val="left"/>
        <w:rPr>
          <w:rFonts w:ascii="Arial"/>
          <w:sz w:val="16"/>
        </w:rPr>
      </w:pPr>
      <w:r>
        <w:rPr>
          <w:rFonts w:ascii="Arial"/>
          <w:w w:val="100"/>
          <w:sz w:val="16"/>
        </w:rPr>
        <w:t>4</w:t>
      </w:r>
    </w:p>
    <w:p>
      <w:pPr>
        <w:pStyle w:val="BodyText"/>
        <w:spacing w:before="6"/>
        <w:rPr>
          <w:rFonts w:ascii="Arial"/>
          <w:sz w:val="12"/>
        </w:rPr>
      </w:pPr>
    </w:p>
    <w:p>
      <w:pPr>
        <w:spacing w:before="95"/>
        <w:ind w:left="2438" w:right="0" w:firstLine="0"/>
        <w:jc w:val="left"/>
        <w:rPr>
          <w:rFonts w:ascii="Arial"/>
          <w:sz w:val="16"/>
        </w:rPr>
      </w:pPr>
      <w:r>
        <w:rPr>
          <w:rFonts w:ascii="Arial"/>
          <w:w w:val="100"/>
          <w:sz w:val="16"/>
        </w:rPr>
        <w:t>2</w:t>
      </w:r>
    </w:p>
    <w:p>
      <w:pPr>
        <w:pStyle w:val="BodyText"/>
        <w:spacing w:before="5"/>
        <w:rPr>
          <w:rFonts w:ascii="Arial"/>
          <w:sz w:val="12"/>
        </w:rPr>
      </w:pPr>
    </w:p>
    <w:p>
      <w:pPr>
        <w:spacing w:before="96"/>
        <w:ind w:left="2438" w:right="0" w:firstLine="0"/>
        <w:jc w:val="left"/>
        <w:rPr>
          <w:rFonts w:ascii="Arial"/>
          <w:sz w:val="16"/>
        </w:rPr>
      </w:pPr>
      <w:r>
        <w:rPr>
          <w:rFonts w:ascii="Arial"/>
          <w:w w:val="100"/>
          <w:sz w:val="16"/>
        </w:rPr>
        <w:t>0</w:t>
      </w:r>
    </w:p>
    <w:p>
      <w:pPr>
        <w:pStyle w:val="BodyText"/>
        <w:spacing w:before="5"/>
        <w:rPr>
          <w:rFonts w:ascii="Arial"/>
          <w:sz w:val="12"/>
        </w:rPr>
      </w:pPr>
    </w:p>
    <w:p>
      <w:pPr>
        <w:spacing w:before="95"/>
        <w:ind w:left="2385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-2</w:t>
      </w:r>
    </w:p>
    <w:p>
      <w:pPr>
        <w:pStyle w:val="BodyText"/>
        <w:spacing w:before="5"/>
        <w:rPr>
          <w:rFonts w:ascii="Arial"/>
          <w:sz w:val="12"/>
        </w:rPr>
      </w:pPr>
    </w:p>
    <w:p>
      <w:pPr>
        <w:spacing w:before="96"/>
        <w:ind w:left="2385" w:right="0" w:firstLine="0"/>
        <w:jc w:val="left"/>
        <w:rPr>
          <w:rFonts w:ascii="Arial"/>
          <w:sz w:val="16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2188845</wp:posOffset>
            </wp:positionH>
            <wp:positionV relativeFrom="paragraph">
              <wp:posOffset>245540</wp:posOffset>
            </wp:positionV>
            <wp:extent cx="462415" cy="452437"/>
            <wp:effectExtent l="0" t="0" r="0" b="0"/>
            <wp:wrapTopAndBottom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415" cy="452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3204336</wp:posOffset>
            </wp:positionH>
            <wp:positionV relativeFrom="paragraph">
              <wp:posOffset>228522</wp:posOffset>
            </wp:positionV>
            <wp:extent cx="395481" cy="371475"/>
            <wp:effectExtent l="0" t="0" r="0" b="0"/>
            <wp:wrapTopAndBottom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481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3946905</wp:posOffset>
            </wp:positionH>
            <wp:positionV relativeFrom="paragraph">
              <wp:posOffset>244143</wp:posOffset>
            </wp:positionV>
            <wp:extent cx="612190" cy="595312"/>
            <wp:effectExtent l="0" t="0" r="0" b="0"/>
            <wp:wrapTopAndBottom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190" cy="59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4754879</wp:posOffset>
            </wp:positionH>
            <wp:positionV relativeFrom="paragraph">
              <wp:posOffset>244905</wp:posOffset>
            </wp:positionV>
            <wp:extent cx="755440" cy="738187"/>
            <wp:effectExtent l="0" t="0" r="0" b="0"/>
            <wp:wrapTopAndBottom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440" cy="738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5781928</wp:posOffset>
            </wp:positionH>
            <wp:positionV relativeFrom="paragraph">
              <wp:posOffset>245540</wp:posOffset>
            </wp:positionV>
            <wp:extent cx="678553" cy="676275"/>
            <wp:effectExtent l="0" t="0" r="0" b="0"/>
            <wp:wrapTopAndBottom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553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6"/>
        </w:rPr>
        <w:t>-4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2"/>
        </w:rPr>
      </w:pPr>
      <w:r>
        <w:pict>
          <v:shape id="_x0000_s1063" style="width:415.8pt;height:0.1pt;margin-top:9.29pt;margin-left:137.18pt;mso-position-horizontal-relative:page;mso-wrap-distance-left:0;mso-wrap-distance-right:0;position:absolute;z-index:-251645952" coordorigin="2744,186" coordsize="8316,0" path="m2744,186l11059,186e" filled="f" stroked="t" strokecolor="black" strokeweight="0.48pt">
            <v:stroke dashstyle="solid"/>
            <v:path arrowok="t"/>
            <w10:wrap type="topAndBottom"/>
          </v:shape>
        </w:pict>
      </w:r>
    </w:p>
    <w:p>
      <w:pPr>
        <w:spacing w:before="0"/>
        <w:ind w:left="2129" w:right="0" w:firstLine="0"/>
        <w:jc w:val="left"/>
        <w:rPr>
          <w:i/>
          <w:sz w:val="17"/>
        </w:rPr>
      </w:pPr>
      <w:r>
        <w:t xml:space="preserve">资料来源: ifind， </w:t>
      </w:r>
    </w:p>
    <w:p>
      <w:pPr>
        <w:spacing w:after="0"/>
        <w:jc w:val="left"/>
        <w:rPr>
          <w:sz w:val="17"/>
        </w:rPr>
        <w:sectPr>
          <w:headerReference w:type="default" r:id="rId13"/>
          <w:footerReference w:type="default" r:id="rId14"/>
          <w:pgSz w:w="11910" w:h="16840"/>
          <w:pgMar w:top="960" w:right="520" w:bottom="1200" w:left="720" w:header="708" w:footer="708"/>
          <w:pgNumType w:start="2"/>
          <w:cols w:space="708"/>
        </w:sectPr>
      </w:pPr>
    </w:p>
    <w:p>
      <w:pPr>
        <w:pStyle w:val="BodyText"/>
        <w:spacing w:before="5"/>
        <w:rPr>
          <w:i/>
          <w:sz w:val="11"/>
        </w:rPr>
      </w:pPr>
    </w:p>
    <w:p>
      <w:pPr>
        <w:pStyle w:val="BodyText"/>
        <w:spacing w:line="227" w:lineRule="exact"/>
        <w:ind w:left="122"/>
        <w:rPr>
          <w:sz w:val="20"/>
        </w:rPr>
      </w:pPr>
      <w:r>
        <w:rPr>
          <w:position w:val="-4"/>
          <w:sz w:val="20"/>
        </w:rPr>
        <w:pict>
          <v:group id="_x0000_i1064" style="width:510.4pt;height:11.35pt;mso-position-horizontal-relative:char;mso-position-vertical-relative:line" coordorigin="0,0" coordsize="10208,227">
            <v:shape id="_x0000_s1065" type="#_x0000_t75" style="width:85;height:130;left:4835;position:absolute;top:24" stroked="f">
              <v:imagedata r:id="rId7" o:title=""/>
            </v:shape>
            <v:line id="_x0000_s1066" style="position:absolute" from="0,217" to="1275,217" stroked="t" strokecolor="#1f4e78" strokeweight="0.96pt">
              <v:stroke dashstyle="solid"/>
            </v:line>
            <v:rect id="_x0000_s1067" style="width:20;height:20;left:1274;position:absolute;top:207" filled="t" fillcolor="#1f4e78" stroked="f">
              <v:fill type="solid"/>
            </v:rect>
            <v:line id="_x0000_s1068" style="position:absolute" from="1294,217" to="2552,217" stroked="t" strokecolor="#1f4e78" strokeweight="0.96pt">
              <v:stroke dashstyle="solid"/>
            </v:line>
            <v:rect id="_x0000_s1069" style="width:20;height:20;left:2552;position:absolute;top:207" filled="t" fillcolor="#1f4e78" stroked="f">
              <v:fill type="solid"/>
            </v:rect>
            <v:line id="_x0000_s1070" style="position:absolute" from="2571,217" to="3827,217" stroked="t" strokecolor="#1f4e78" strokeweight="0.96pt">
              <v:stroke dashstyle="solid"/>
            </v:line>
            <v:rect id="_x0000_s1071" style="width:20;height:20;left:3826;position:absolute;top:207" filled="t" fillcolor="#1f4e78" stroked="f">
              <v:fill type="solid"/>
            </v:rect>
            <v:line id="_x0000_s1072" style="position:absolute" from="3846,217" to="5101,217" stroked="t" strokecolor="#1f4e78" strokeweight="0.96pt">
              <v:stroke dashstyle="solid"/>
            </v:line>
            <v:rect id="_x0000_s1073" style="width:20;height:20;left:5101;position:absolute;top:207" filled="t" fillcolor="#1f4e78" stroked="f">
              <v:fill type="solid"/>
            </v:rect>
            <v:line id="_x0000_s1074" style="position:absolute" from="5121,217" to="6378,217" stroked="t" strokecolor="#1f4e78" strokeweight="0.96pt">
              <v:stroke dashstyle="solid"/>
            </v:line>
            <v:rect id="_x0000_s1075" style="width:20;height:20;left:6378;position:absolute;top:207" filled="t" fillcolor="#1f4e78" stroked="f">
              <v:fill type="solid"/>
            </v:rect>
            <v:line id="_x0000_s1076" style="position:absolute" from="6397,217" to="7653,217" stroked="t" strokecolor="#1f4e78" strokeweight="0.96pt">
              <v:stroke dashstyle="solid"/>
            </v:line>
            <v:rect id="_x0000_s1077" style="width:20;height:20;left:7653;position:absolute;top:207" filled="t" fillcolor="#1f4e78" stroked="f">
              <v:fill type="solid"/>
            </v:rect>
            <v:line id="_x0000_s1078" style="position:absolute" from="7672,217" to="8930,217" stroked="t" strokecolor="#1f4e78" strokeweight="0.96pt">
              <v:stroke dashstyle="solid"/>
            </v:line>
            <v:rect id="_x0000_s1079" style="width:20;height:20;left:8930;position:absolute;top:207" filled="t" fillcolor="#1f4e78" stroked="f">
              <v:fill type="solid"/>
            </v:rect>
            <v:line id="_x0000_s1080" style="position:absolute" from="8949,217" to="10207,217" stroked="t" strokecolor="#1f4e78" strokeweight="0.96pt">
              <v:stroke dashstyle="solid"/>
            </v:line>
            <v:shape id="_x0000_s1081" type="#_x0000_t202" style="width:10208;height:227;position:absolute" filled="f" stroked="f">
              <v:textbox inset="0,0,0,0">
                <w:txbxContent>
                  <w:p>
                    <w:pPr>
                      <w:spacing w:before="0" w:line="205" w:lineRule="exact"/>
                      <w:ind w:left="0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color w:val="152E57"/>
                        <w:sz w:val="18"/>
                      </w:rPr>
                      <w:t>表 1：周涨幅前列个股（乘用车、商用车、零部件）：单位：</w:t>
                    </w:r>
                  </w:p>
                </w:txbxContent>
              </v:textbox>
            </v:shape>
            <w10:wrap type="none"/>
          </v:group>
        </w:pict>
      </w:r>
    </w:p>
    <w:p>
      <w:pPr>
        <w:tabs>
          <w:tab w:val="left" w:pos="1721"/>
          <w:tab w:val="left" w:pos="2996"/>
          <w:tab w:val="left" w:pos="4270"/>
          <w:tab w:val="left" w:pos="5629"/>
          <w:tab w:val="left" w:pos="6824"/>
          <w:tab w:val="left" w:pos="8101"/>
          <w:tab w:val="left" w:pos="9379"/>
        </w:tabs>
        <w:spacing w:before="6"/>
        <w:ind w:left="528" w:right="0" w:firstLine="0"/>
        <w:jc w:val="left"/>
        <w:rPr>
          <w:b/>
          <w:sz w:val="16"/>
        </w:rPr>
      </w:pPr>
      <w:r>
        <w:pict>
          <v:shape id="_x0000_s1082" type="#_x0000_t202" style="width:510.35pt;height:159.25pt;margin-top:11.18pt;margin-left:42.6pt;mso-position-horizontal-relative:page;position:absolute;z-index:25167769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94"/>
                    <w:gridCol w:w="1394"/>
                    <w:gridCol w:w="1206"/>
                    <w:gridCol w:w="1928"/>
                    <w:gridCol w:w="1967"/>
                    <w:gridCol w:w="1210"/>
                    <w:gridCol w:w="130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3"/>
                      <w:jc w:val="left"/>
                    </w:trPr>
                    <w:tc>
                      <w:tcPr>
                        <w:tcW w:w="3794" w:type="dxa"/>
                        <w:gridSpan w:val="3"/>
                        <w:tcBorders>
                          <w:bottom w:val="single" w:sz="8" w:space="0" w:color="1F4E78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928" w:type="dxa"/>
                        <w:tcBorders>
                          <w:bottom w:val="single" w:sz="8" w:space="0" w:color="1F4E78"/>
                        </w:tcBorders>
                      </w:tcPr>
                      <w:p>
                        <w:pPr>
                          <w:pStyle w:val="TableParagraph"/>
                          <w:spacing w:before="0" w:line="173" w:lineRule="exact"/>
                          <w:ind w:left="250" w:right="843"/>
                          <w:rPr>
                            <w:rFonts w:ascii="楷体" w:eastAsia="楷体" w:hint="eastAsia"/>
                            <w:b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b/>
                            <w:color w:val="1F3763"/>
                            <w:sz w:val="16"/>
                          </w:rPr>
                          <w:t xml:space="preserve">前 </w:t>
                        </w:r>
                        <w:r>
                          <w:rPr>
                            <w:b/>
                            <w:color w:val="1F3763"/>
                            <w:sz w:val="16"/>
                          </w:rPr>
                          <w:t>5</w:t>
                        </w:r>
                        <w:r>
                          <w:rPr>
                            <w:rFonts w:ascii="楷体" w:eastAsia="楷体" w:hint="eastAsia"/>
                            <w:b/>
                            <w:color w:val="1F3763"/>
                            <w:sz w:val="16"/>
                          </w:rPr>
                          <w:t>（</w:t>
                        </w:r>
                        <w:r>
                          <w:rPr>
                            <w:b/>
                            <w:color w:val="1F3763"/>
                            <w:sz w:val="16"/>
                          </w:rPr>
                          <w:t>%</w:t>
                        </w:r>
                        <w:r>
                          <w:rPr>
                            <w:rFonts w:ascii="楷体" w:eastAsia="楷体" w:hint="eastAsia"/>
                            <w:b/>
                            <w:color w:val="1F3763"/>
                            <w:sz w:val="16"/>
                          </w:rPr>
                          <w:t>）</w:t>
                        </w:r>
                      </w:p>
                    </w:tc>
                    <w:tc>
                      <w:tcPr>
                        <w:tcW w:w="1967" w:type="dxa"/>
                        <w:tcBorders>
                          <w:bottom w:val="single" w:sz="8" w:space="0" w:color="1F4E78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210" w:type="dxa"/>
                        <w:tcBorders>
                          <w:bottom w:val="single" w:sz="8" w:space="0" w:color="1F4E78"/>
                        </w:tcBorders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304" w:type="dxa"/>
                        <w:tcBorders>
                          <w:bottom w:val="single" w:sz="8" w:space="0" w:color="1F4E78"/>
                        </w:tcBorders>
                      </w:tcPr>
                      <w:p>
                        <w:pPr>
                          <w:pStyle w:val="TableParagraph"/>
                          <w:spacing w:before="0" w:line="173" w:lineRule="exact"/>
                          <w:ind w:left="252" w:right="217"/>
                          <w:rPr>
                            <w:rFonts w:ascii="楷体" w:eastAsia="楷体" w:hint="eastAsia"/>
                            <w:b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b/>
                            <w:color w:val="1F3763"/>
                            <w:sz w:val="16"/>
                          </w:rPr>
                          <w:t xml:space="preserve">前 </w:t>
                        </w:r>
                        <w:r>
                          <w:rPr>
                            <w:b/>
                            <w:color w:val="1F3763"/>
                            <w:sz w:val="16"/>
                          </w:rPr>
                          <w:t>5</w:t>
                        </w:r>
                        <w:r>
                          <w:rPr>
                            <w:rFonts w:ascii="楷体" w:eastAsia="楷体" w:hint="eastAsia"/>
                            <w:b/>
                            <w:color w:val="1F3763"/>
                            <w:sz w:val="16"/>
                          </w:rPr>
                          <w:t>（</w:t>
                        </w:r>
                        <w:r>
                          <w:rPr>
                            <w:b/>
                            <w:color w:val="1F3763"/>
                            <w:sz w:val="16"/>
                          </w:rPr>
                          <w:t>%</w:t>
                        </w:r>
                        <w:r>
                          <w:rPr>
                            <w:rFonts w:ascii="楷体" w:eastAsia="楷体" w:hint="eastAsia"/>
                            <w:b/>
                            <w:color w:val="1F3763"/>
                            <w:sz w:val="16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8"/>
                      <w:jc w:val="left"/>
                    </w:trPr>
                    <w:tc>
                      <w:tcPr>
                        <w:tcW w:w="1194" w:type="dxa"/>
                        <w:tcBorders>
                          <w:top w:val="single" w:sz="8" w:space="0" w:color="1F4E78"/>
                        </w:tcBorders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394" w:type="dxa"/>
                        <w:tcBorders>
                          <w:top w:val="single" w:sz="8" w:space="0" w:color="1F4E78"/>
                        </w:tcBorders>
                        <w:shd w:val="clear" w:color="auto" w:fill="DDEBF7"/>
                      </w:tcPr>
                      <w:p>
                        <w:pPr>
                          <w:pStyle w:val="TableParagraph"/>
                          <w:ind w:left="296" w:right="255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000800.SZ</w:t>
                        </w:r>
                      </w:p>
                    </w:tc>
                    <w:tc>
                      <w:tcPr>
                        <w:tcW w:w="1206" w:type="dxa"/>
                        <w:tcBorders>
                          <w:top w:val="single" w:sz="8" w:space="0" w:color="1F4E78"/>
                        </w:tcBorders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34"/>
                          <w:ind w:left="261" w:right="264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一汽解放</w:t>
                        </w:r>
                      </w:p>
                    </w:tc>
                    <w:tc>
                      <w:tcPr>
                        <w:tcW w:w="1928" w:type="dxa"/>
                        <w:tcBorders>
                          <w:top w:val="single" w:sz="8" w:space="0" w:color="1F4E78"/>
                        </w:tcBorders>
                        <w:shd w:val="clear" w:color="auto" w:fill="DDEBF7"/>
                      </w:tcPr>
                      <w:p>
                        <w:pPr>
                          <w:pStyle w:val="TableParagraph"/>
                          <w:ind w:left="250" w:right="843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4.04</w:t>
                        </w:r>
                      </w:p>
                    </w:tc>
                    <w:tc>
                      <w:tcPr>
                        <w:tcW w:w="1967" w:type="dxa"/>
                        <w:tcBorders>
                          <w:top w:val="single" w:sz="8" w:space="0" w:color="1F4E78"/>
                        </w:tcBorders>
                        <w:shd w:val="clear" w:color="auto" w:fill="DDEBF7"/>
                      </w:tcPr>
                      <w:p>
                        <w:pPr>
                          <w:pStyle w:val="TableParagraph"/>
                          <w:ind w:right="271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600676.SH</w:t>
                        </w:r>
                      </w:p>
                    </w:tc>
                    <w:tc>
                      <w:tcPr>
                        <w:tcW w:w="1210" w:type="dxa"/>
                        <w:tcBorders>
                          <w:top w:val="single" w:sz="8" w:space="0" w:color="1F4E78"/>
                        </w:tcBorders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34"/>
                          <w:ind w:left="264" w:right="266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交运股份</w:t>
                        </w:r>
                      </w:p>
                    </w:tc>
                    <w:tc>
                      <w:tcPr>
                        <w:tcW w:w="1304" w:type="dxa"/>
                        <w:tcBorders>
                          <w:top w:val="single" w:sz="8" w:space="0" w:color="1F4E78"/>
                        </w:tcBorders>
                        <w:shd w:val="clear" w:color="auto" w:fill="DDEBF7"/>
                      </w:tcPr>
                      <w:p>
                        <w:pPr>
                          <w:pStyle w:val="TableParagraph"/>
                          <w:ind w:left="252" w:right="216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9.87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97"/>
                      <w:jc w:val="left"/>
                    </w:trPr>
                    <w:tc>
                      <w:tcPr>
                        <w:tcW w:w="1194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394" w:type="dxa"/>
                      </w:tcPr>
                      <w:p>
                        <w:pPr>
                          <w:pStyle w:val="TableParagraph"/>
                          <w:spacing w:before="53"/>
                          <w:ind w:left="296" w:right="256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600104.SH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43"/>
                          <w:ind w:left="261" w:right="264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上汽集团</w:t>
                        </w:r>
                      </w:p>
                    </w:tc>
                    <w:tc>
                      <w:tcPr>
                        <w:tcW w:w="1928" w:type="dxa"/>
                      </w:tcPr>
                      <w:p>
                        <w:pPr>
                          <w:pStyle w:val="TableParagraph"/>
                          <w:spacing w:before="53"/>
                          <w:ind w:left="250" w:right="843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3.58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before="53"/>
                          <w:ind w:right="27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300742.SZ</w:t>
                        </w:r>
                      </w:p>
                    </w:tc>
                    <w:tc>
                      <w:tcPr>
                        <w:tcW w:w="1210" w:type="dxa"/>
                      </w:tcPr>
                      <w:p>
                        <w:pPr>
                          <w:pStyle w:val="TableParagraph"/>
                          <w:spacing w:before="43"/>
                          <w:ind w:left="261" w:right="266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 xml:space="preserve">*ST </w:t>
                        </w: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越博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53"/>
                          <w:ind w:left="252" w:right="216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9.46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1"/>
                      <w:jc w:val="left"/>
                    </w:trPr>
                    <w:tc>
                      <w:tcPr>
                        <w:tcW w:w="1194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45"/>
                          <w:ind w:right="313"/>
                          <w:jc w:val="right"/>
                          <w:rPr>
                            <w:rFonts w:ascii="楷体" w:eastAsia="楷体" w:hint="eastAsia"/>
                            <w:b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b/>
                            <w:color w:val="1F3763"/>
                            <w:sz w:val="16"/>
                          </w:rPr>
                          <w:t>乘用车</w:t>
                        </w:r>
                      </w:p>
                    </w:tc>
                    <w:tc>
                      <w:tcPr>
                        <w:tcW w:w="1394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55"/>
                          <w:ind w:left="296" w:right="256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601127.SH</w:t>
                        </w:r>
                      </w:p>
                    </w:tc>
                    <w:tc>
                      <w:tcPr>
                        <w:tcW w:w="1206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45"/>
                          <w:ind w:left="257" w:right="264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赛力斯</w:t>
                        </w:r>
                      </w:p>
                    </w:tc>
                    <w:tc>
                      <w:tcPr>
                        <w:tcW w:w="1928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55"/>
                          <w:ind w:left="250" w:right="843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1.51</w:t>
                        </w:r>
                      </w:p>
                    </w:tc>
                    <w:tc>
                      <w:tcPr>
                        <w:tcW w:w="1967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55"/>
                          <w:ind w:right="27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000581.SZ</w:t>
                        </w:r>
                      </w:p>
                    </w:tc>
                    <w:tc>
                      <w:tcPr>
                        <w:tcW w:w="1210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45"/>
                          <w:ind w:left="264" w:right="266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威孚高科</w:t>
                        </w:r>
                      </w:p>
                    </w:tc>
                    <w:tc>
                      <w:tcPr>
                        <w:tcW w:w="1304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55"/>
                          <w:ind w:left="252" w:right="216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8.74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6"/>
                      <w:jc w:val="left"/>
                    </w:trPr>
                    <w:tc>
                      <w:tcPr>
                        <w:tcW w:w="1194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394" w:type="dxa"/>
                      </w:tcPr>
                      <w:p>
                        <w:pPr>
                          <w:pStyle w:val="TableParagraph"/>
                          <w:spacing w:before="57"/>
                          <w:ind w:left="296" w:right="256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601238.SH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44"/>
                          <w:ind w:left="261" w:right="264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广汽集团</w:t>
                        </w:r>
                      </w:p>
                    </w:tc>
                    <w:tc>
                      <w:tcPr>
                        <w:tcW w:w="1928" w:type="dxa"/>
                      </w:tcPr>
                      <w:p>
                        <w:pPr>
                          <w:pStyle w:val="TableParagraph"/>
                          <w:spacing w:before="57"/>
                          <w:ind w:left="250" w:right="843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1.44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before="57"/>
                          <w:ind w:right="271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600841.SH</w:t>
                        </w:r>
                      </w:p>
                    </w:tc>
                    <w:tc>
                      <w:tcPr>
                        <w:tcW w:w="1210" w:type="dxa"/>
                      </w:tcPr>
                      <w:p>
                        <w:pPr>
                          <w:pStyle w:val="TableParagraph"/>
                          <w:spacing w:before="44"/>
                          <w:ind w:left="264" w:right="266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动力新科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57"/>
                          <w:ind w:left="252" w:right="216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8.43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6"/>
                      <w:jc w:val="left"/>
                    </w:trPr>
                    <w:tc>
                      <w:tcPr>
                        <w:tcW w:w="7689" w:type="dxa"/>
                        <w:gridSpan w:val="5"/>
                        <w:shd w:val="clear" w:color="auto" w:fill="DDEBF7"/>
                      </w:tcPr>
                      <w:p>
                        <w:pPr>
                          <w:pStyle w:val="TableParagraph"/>
                          <w:tabs>
                            <w:tab w:val="left" w:pos="2866"/>
                            <w:tab w:val="left" w:pos="4304"/>
                            <w:tab w:val="left" w:pos="6613"/>
                          </w:tabs>
                          <w:spacing w:before="0" w:line="162" w:lineRule="exact"/>
                          <w:ind w:left="151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600418.SH</w:t>
                          <w:tab/>
                        </w: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江淮汽车</w:t>
                          <w:tab/>
                        </w:r>
                        <w:r>
                          <w:rPr>
                            <w:color w:val="1F3763"/>
                            <w:sz w:val="16"/>
                          </w:rPr>
                          <w:t>0.15</w:t>
                          <w:tab/>
                          <w:t>603586.SH</w:t>
                        </w:r>
                      </w:p>
                      <w:p>
                        <w:pPr>
                          <w:pStyle w:val="TableParagraph"/>
                          <w:spacing w:before="0" w:line="174" w:lineRule="exact"/>
                          <w:ind w:right="1546"/>
                          <w:jc w:val="right"/>
                          <w:rPr>
                            <w:rFonts w:ascii="楷体" w:eastAsia="楷体" w:hint="eastAsia"/>
                            <w:b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b/>
                            <w:color w:val="1F3763"/>
                            <w:sz w:val="16"/>
                          </w:rPr>
                          <w:t>汽车零部件</w:t>
                        </w:r>
                      </w:p>
                    </w:tc>
                    <w:tc>
                      <w:tcPr>
                        <w:tcW w:w="1210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0" w:line="188" w:lineRule="exact"/>
                          <w:ind w:left="264" w:right="264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金麒麟</w:t>
                        </w:r>
                      </w:p>
                    </w:tc>
                    <w:tc>
                      <w:tcPr>
                        <w:tcW w:w="1304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0" w:line="179" w:lineRule="exact"/>
                          <w:ind w:left="252" w:right="216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7.98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7"/>
                      <w:jc w:val="left"/>
                    </w:trPr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394" w:type="dxa"/>
                      </w:tcPr>
                      <w:p>
                        <w:pPr>
                          <w:pStyle w:val="TableParagraph"/>
                          <w:spacing w:before="0" w:line="179" w:lineRule="exact"/>
                          <w:ind w:left="296" w:right="255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000951.SZ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0" w:line="191" w:lineRule="exact"/>
                          <w:ind w:left="261" w:right="264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中国重汽</w:t>
                        </w:r>
                      </w:p>
                    </w:tc>
                    <w:tc>
                      <w:tcPr>
                        <w:tcW w:w="1928" w:type="dxa"/>
                      </w:tcPr>
                      <w:p>
                        <w:pPr>
                          <w:pStyle w:val="TableParagraph"/>
                          <w:spacing w:before="0" w:line="179" w:lineRule="exact"/>
                          <w:ind w:left="250" w:right="840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13.38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before="0" w:line="179" w:lineRule="exact"/>
                          <w:ind w:right="279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002085.SZ</w:t>
                        </w:r>
                      </w:p>
                    </w:tc>
                    <w:tc>
                      <w:tcPr>
                        <w:tcW w:w="1210" w:type="dxa"/>
                      </w:tcPr>
                      <w:p>
                        <w:pPr>
                          <w:pStyle w:val="TableParagraph"/>
                          <w:spacing w:before="0" w:line="191" w:lineRule="exact"/>
                          <w:ind w:left="264" w:right="266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万丰奥威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0" w:line="179" w:lineRule="exact"/>
                          <w:ind w:left="252" w:right="216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7.90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96"/>
                      <w:jc w:val="left"/>
                    </w:trPr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394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54"/>
                          <w:ind w:left="296" w:right="256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600006.SH</w:t>
                        </w:r>
                      </w:p>
                    </w:tc>
                    <w:tc>
                      <w:tcPr>
                        <w:tcW w:w="1206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42"/>
                          <w:ind w:left="261" w:right="264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东风汽车</w:t>
                        </w:r>
                      </w:p>
                    </w:tc>
                    <w:tc>
                      <w:tcPr>
                        <w:tcW w:w="1928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54"/>
                          <w:ind w:left="250" w:right="840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11.96</w:t>
                        </w:r>
                      </w:p>
                    </w:tc>
                    <w:tc>
                      <w:tcPr>
                        <w:tcW w:w="1967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54"/>
                          <w:ind w:right="271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603107.SH</w:t>
                        </w:r>
                      </w:p>
                    </w:tc>
                    <w:tc>
                      <w:tcPr>
                        <w:tcW w:w="1210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42"/>
                          <w:ind w:left="264" w:right="266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上海汽配</w:t>
                        </w:r>
                      </w:p>
                    </w:tc>
                    <w:tc>
                      <w:tcPr>
                        <w:tcW w:w="1304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54"/>
                          <w:ind w:left="252" w:right="216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6.34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95"/>
                      <w:jc w:val="left"/>
                    </w:trPr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48"/>
                          <w:ind w:right="313"/>
                          <w:jc w:val="right"/>
                          <w:rPr>
                            <w:rFonts w:ascii="楷体" w:eastAsia="楷体" w:hint="eastAsia"/>
                            <w:b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b/>
                            <w:color w:val="1F3763"/>
                            <w:sz w:val="16"/>
                          </w:rPr>
                          <w:t>商用车</w:t>
                        </w:r>
                      </w:p>
                    </w:tc>
                    <w:tc>
                      <w:tcPr>
                        <w:tcW w:w="1394" w:type="dxa"/>
                      </w:tcPr>
                      <w:p>
                        <w:pPr>
                          <w:pStyle w:val="TableParagraph"/>
                          <w:spacing w:before="53"/>
                          <w:ind w:left="296" w:right="256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600166.SH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41"/>
                          <w:ind w:left="261" w:right="264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福田汽车</w:t>
                        </w:r>
                      </w:p>
                    </w:tc>
                    <w:tc>
                      <w:tcPr>
                        <w:tcW w:w="1928" w:type="dxa"/>
                      </w:tcPr>
                      <w:p>
                        <w:pPr>
                          <w:pStyle w:val="TableParagraph"/>
                          <w:spacing w:before="53"/>
                          <w:ind w:left="250" w:right="843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6.40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before="53"/>
                          <w:ind w:right="271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600480.SH</w:t>
                        </w:r>
                      </w:p>
                    </w:tc>
                    <w:tc>
                      <w:tcPr>
                        <w:tcW w:w="1210" w:type="dxa"/>
                      </w:tcPr>
                      <w:p>
                        <w:pPr>
                          <w:pStyle w:val="TableParagraph"/>
                          <w:spacing w:before="41"/>
                          <w:ind w:left="264" w:right="266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凌云股份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53"/>
                          <w:ind w:left="252" w:right="216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6.00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99"/>
                      <w:jc w:val="left"/>
                    </w:trPr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394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53"/>
                          <w:ind w:left="296" w:right="255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000338.SZ</w:t>
                        </w:r>
                      </w:p>
                    </w:tc>
                    <w:tc>
                      <w:tcPr>
                        <w:tcW w:w="1206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43"/>
                          <w:ind w:left="261" w:right="264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潍柴动力</w:t>
                        </w:r>
                      </w:p>
                    </w:tc>
                    <w:tc>
                      <w:tcPr>
                        <w:tcW w:w="1928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53"/>
                          <w:ind w:left="250" w:right="843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6.01</w:t>
                        </w:r>
                      </w:p>
                    </w:tc>
                    <w:tc>
                      <w:tcPr>
                        <w:tcW w:w="1967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53"/>
                          <w:ind w:right="271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600148.SH</w:t>
                        </w:r>
                      </w:p>
                    </w:tc>
                    <w:tc>
                      <w:tcPr>
                        <w:tcW w:w="1210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43"/>
                          <w:ind w:left="264" w:right="266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长春一东</w:t>
                        </w:r>
                      </w:p>
                    </w:tc>
                    <w:tc>
                      <w:tcPr>
                        <w:tcW w:w="1304" w:type="dxa"/>
                        <w:shd w:val="clear" w:color="auto" w:fill="DDEBF7"/>
                      </w:tcPr>
                      <w:p>
                        <w:pPr>
                          <w:pStyle w:val="TableParagraph"/>
                          <w:spacing w:before="53"/>
                          <w:ind w:left="252" w:right="216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5.42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3"/>
                      <w:jc w:val="left"/>
                    </w:trPr>
                    <w:tc>
                      <w:tcPr>
                        <w:tcW w:w="119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394" w:type="dxa"/>
                      </w:tcPr>
                      <w:p>
                        <w:pPr>
                          <w:pStyle w:val="TableParagraph"/>
                          <w:spacing w:before="57"/>
                          <w:ind w:left="296" w:right="255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000550.SZ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47"/>
                          <w:ind w:left="261" w:right="264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江铃汽车</w:t>
                        </w:r>
                      </w:p>
                    </w:tc>
                    <w:tc>
                      <w:tcPr>
                        <w:tcW w:w="1928" w:type="dxa"/>
                      </w:tcPr>
                      <w:p>
                        <w:pPr>
                          <w:pStyle w:val="TableParagraph"/>
                          <w:spacing w:before="57"/>
                          <w:ind w:left="250" w:right="843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4.51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before="57"/>
                          <w:ind w:right="271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600081.SH</w:t>
                        </w:r>
                      </w:p>
                    </w:tc>
                    <w:tc>
                      <w:tcPr>
                        <w:tcW w:w="1210" w:type="dxa"/>
                      </w:tcPr>
                      <w:p>
                        <w:pPr>
                          <w:pStyle w:val="TableParagraph"/>
                          <w:spacing w:before="47"/>
                          <w:ind w:left="264" w:right="266"/>
                          <w:rPr>
                            <w:rFonts w:ascii="楷体" w:eastAsia="楷体" w:hint="eastAsia"/>
                            <w:sz w:val="16"/>
                          </w:rPr>
                        </w:pPr>
                        <w:r>
                          <w:rPr>
                            <w:rFonts w:ascii="楷体" w:eastAsia="楷体" w:hint="eastAsia"/>
                            <w:color w:val="1F3763"/>
                            <w:sz w:val="16"/>
                          </w:rPr>
                          <w:t>东风科技</w:t>
                        </w:r>
                      </w:p>
                    </w:tc>
                    <w:tc>
                      <w:tcPr>
                        <w:tcW w:w="1304" w:type="dxa"/>
                      </w:tcPr>
                      <w:p>
                        <w:pPr>
                          <w:pStyle w:val="TableParagraph"/>
                          <w:spacing w:before="57"/>
                          <w:ind w:left="252" w:right="216"/>
                          <w:rPr>
                            <w:sz w:val="16"/>
                          </w:rPr>
                        </w:pPr>
                        <w:r>
                          <w:rPr>
                            <w:color w:val="1F3763"/>
                            <w:sz w:val="16"/>
                          </w:rPr>
                          <w:t>4.64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color w:val="1F3763"/>
          <w:sz w:val="16"/>
        </w:rPr>
        <w:t>子版块</w:t>
        <w:tab/>
        <w:t>证券代码</w:t>
        <w:tab/>
        <w:t>证券简称</w:t>
        <w:tab/>
      </w:r>
      <w:r>
        <w:rPr>
          <w:b/>
          <w:color w:val="1F3763"/>
          <w:position w:val="10"/>
          <w:sz w:val="16"/>
        </w:rPr>
        <w:t>周涨跌幅</w:t>
        <w:tab/>
      </w:r>
      <w:r>
        <w:rPr>
          <w:b/>
          <w:color w:val="1F3763"/>
          <w:sz w:val="16"/>
        </w:rPr>
        <w:t>子版块</w:t>
        <w:tab/>
        <w:t>证券代码</w:t>
        <w:tab/>
        <w:t>证券简称</w:t>
        <w:tab/>
      </w:r>
      <w:r>
        <w:rPr>
          <w:b/>
          <w:color w:val="1F3763"/>
          <w:position w:val="10"/>
          <w:sz w:val="16"/>
        </w:rPr>
        <w:t>周涨跌幅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7"/>
        </w:rPr>
      </w:pPr>
      <w:r>
        <w:pict>
          <v:group id="_x0000_s1083" style="width:510.4pt;height:1pt;margin-top:13.47pt;margin-left:42.6pt;mso-position-horizontal-relative:page;mso-wrap-distance-left:0;mso-wrap-distance-right:0;position:absolute;z-index:-251641856" coordorigin="852,269" coordsize="10208,20">
            <v:line id="_x0000_s1084" style="position:absolute" from="852,279" to="2127,279" stroked="t" strokecolor="#1f4e78" strokeweight="0.96pt">
              <v:stroke dashstyle="solid"/>
            </v:line>
            <v:rect id="_x0000_s1085" style="width:20;height:20;left:2126;position:absolute;top:269" filled="t" fillcolor="#1f4e78" stroked="f">
              <v:fill type="solid"/>
            </v:rect>
            <v:line id="_x0000_s1086" style="position:absolute" from="2146,279" to="3404,279" stroked="t" strokecolor="#1f4e78" strokeweight="0.96pt">
              <v:stroke dashstyle="solid"/>
            </v:line>
            <v:rect id="_x0000_s1087" style="width:20;height:20;left:3404;position:absolute;top:269" filled="t" fillcolor="#1f4e78" stroked="f">
              <v:fill type="solid"/>
            </v:rect>
            <v:line id="_x0000_s1088" style="position:absolute" from="3423,279" to="4679,279" stroked="t" strokecolor="#1f4e78" strokeweight="0.96pt">
              <v:stroke dashstyle="solid"/>
            </v:line>
            <v:rect id="_x0000_s1089" style="width:20;height:20;left:4678;position:absolute;top:269" filled="t" fillcolor="#1f4e78" stroked="f">
              <v:fill type="solid"/>
            </v:rect>
            <v:line id="_x0000_s1090" style="position:absolute" from="4698,279" to="5953,279" stroked="t" strokecolor="#1f4e78" strokeweight="0.96pt">
              <v:stroke dashstyle="solid"/>
            </v:line>
            <v:rect id="_x0000_s1091" style="width:20;height:20;left:5953;position:absolute;top:269" filled="t" fillcolor="#1f4e78" stroked="f">
              <v:fill type="solid"/>
            </v:rect>
            <v:line id="_x0000_s1092" style="position:absolute" from="5973,279" to="7230,279" stroked="t" strokecolor="#1f4e78" strokeweight="0.96pt">
              <v:stroke dashstyle="solid"/>
            </v:line>
            <v:rect id="_x0000_s1093" style="width:20;height:20;left:7230;position:absolute;top:269" filled="t" fillcolor="#1f4e78" stroked="f">
              <v:fill type="solid"/>
            </v:rect>
            <v:line id="_x0000_s1094" style="position:absolute" from="7249,279" to="8505,279" stroked="t" strokecolor="#1f4e78" strokeweight="0.96pt">
              <v:stroke dashstyle="solid"/>
            </v:line>
            <v:rect id="_x0000_s1095" style="width:20;height:20;left:8505;position:absolute;top:269" filled="t" fillcolor="#1f4e78" stroked="f">
              <v:fill type="solid"/>
            </v:rect>
            <v:line id="_x0000_s1096" style="position:absolute" from="8524,279" to="9782,279" stroked="t" strokecolor="#1f4e78" strokeweight="0.96pt">
              <v:stroke dashstyle="solid"/>
            </v:line>
            <v:rect id="_x0000_s1097" style="width:20;height:20;left:9782;position:absolute;top:269" filled="t" fillcolor="#1f4e78" stroked="f">
              <v:fill type="solid"/>
            </v:rect>
            <v:line id="_x0000_s1098" style="position:absolute" from="9801,279" to="11059,279" stroked="t" strokecolor="#1f4e78" strokeweight="0.96pt">
              <v:stroke dashstyle="solid"/>
            </v:line>
            <w10:wrap type="topAndBottom"/>
          </v:group>
        </w:pict>
      </w:r>
    </w:p>
    <w:p>
      <w:pPr>
        <w:spacing w:before="0" w:line="179" w:lineRule="exact"/>
        <w:ind w:left="131" w:right="0" w:firstLine="0"/>
        <w:jc w:val="left"/>
        <w:rPr>
          <w:i/>
          <w:sz w:val="17"/>
        </w:rPr>
      </w:pPr>
      <w:r>
        <w:t xml:space="preserve">资料来源：ifind， </w:t>
      </w:r>
    </w:p>
    <w:p>
      <w:pPr>
        <w:pStyle w:val="BodyText"/>
        <w:rPr>
          <w:i/>
          <w:sz w:val="16"/>
        </w:rPr>
      </w:pPr>
    </w:p>
    <w:p>
      <w:pPr>
        <w:pStyle w:val="BodyText"/>
        <w:rPr>
          <w:i/>
          <w:sz w:val="16"/>
        </w:rPr>
      </w:pPr>
    </w:p>
    <w:p>
      <w:pPr>
        <w:pStyle w:val="BodyText"/>
        <w:spacing w:before="3"/>
        <w:rPr>
          <w:i/>
          <w:sz w:val="17"/>
        </w:rPr>
      </w:pPr>
    </w:p>
    <w:p>
      <w:pPr>
        <w:spacing w:before="0" w:after="3"/>
        <w:ind w:left="2129" w:right="0" w:firstLine="0"/>
        <w:jc w:val="left"/>
        <w:rPr>
          <w:b/>
          <w:sz w:val="18"/>
        </w:rPr>
      </w:pPr>
      <w:r>
        <w:rPr>
          <w:b/>
          <w:color w:val="152E57"/>
          <w:sz w:val="18"/>
        </w:rPr>
        <w:t>图 3：2015 年至今汽车板块市盈率（单位：倍）</w:t>
      </w:r>
    </w:p>
    <w:p>
      <w:pPr>
        <w:pStyle w:val="BodyText"/>
        <w:spacing w:line="20" w:lineRule="exact"/>
        <w:ind w:left="2018"/>
        <w:rPr>
          <w:sz w:val="2"/>
        </w:rPr>
      </w:pPr>
      <w:r>
        <w:rPr>
          <w:sz w:val="2"/>
        </w:rPr>
        <w:pict>
          <v:group id="_x0000_i1099" style="width:415.8pt;height:0.5pt;mso-position-horizontal-relative:char;mso-position-vertical-relative:line" coordorigin="0,0" coordsize="8316,10">
            <v:line id="_x0000_s1100" style="position:absolute" from="0,5" to="8316,5" stroked="t" strokecolor="black" strokeweight="0.48pt">
              <v:stroke dashstyle="solid"/>
            </v:line>
            <w10:wrap type="none"/>
          </v:group>
        </w:pict>
      </w:r>
    </w:p>
    <w:p>
      <w:pPr>
        <w:pStyle w:val="BodyText"/>
        <w:rPr>
          <w:b/>
          <w:sz w:val="13"/>
        </w:rPr>
      </w:pPr>
    </w:p>
    <w:p>
      <w:pPr>
        <w:spacing w:before="0"/>
        <w:ind w:left="2468" w:right="0" w:firstLine="0"/>
        <w:jc w:val="left"/>
        <w:rPr>
          <w:sz w:val="16"/>
        </w:rPr>
      </w:pPr>
      <w:r>
        <w:pict>
          <v:group id="_x0000_s1101" style="width:363.1pt;height:173.9pt;margin-top:4.87pt;margin-left:176.98pt;mso-position-horizontal-relative:page;position:absolute;z-index:251676672" coordorigin="3540,97" coordsize="7262,3478">
            <v:shape id="_x0000_s1102" style="width:46;height:3465;left:3553;position:absolute;top:102" coordorigin="3554,102" coordsize="46,3465" path="m3554,3567l3554,102m3554,3567l3599,3567m3554,2990l3599,2990m3554,2412l3599,2412m3554,1836l3599,1836m3554,1257l3599,1257m3554,679l3599,679m3554,102l3599,102e" filled="f" stroked="t" strokecolor="black" strokeweight="0.5pt">
              <v:stroke dashstyle="solid"/>
              <v:path arrowok="t"/>
            </v:shape>
            <v:shape id="_x0000_s1103" style="width:7234;height:46;left:3553;position:absolute;top:3521" coordorigin="3554,3522" coordsize="7234,46" path="m3554,3567l10787,3567m3554,3522l3554,3567m4351,3522l4351,3567m5150,3522l5150,3567m5950,3522l5950,3567m6746,3522l6746,3567m7546,3522l7546,3567m8345,3522l8345,3567m9144,3522l9144,3567m9941,3522l9941,3567m10739,3522l10739,3567e" filled="f" stroked="t" strokecolor="black" strokeweight="0.75pt">
              <v:stroke dashstyle="solid"/>
              <v:path arrowok="t"/>
            </v:shape>
            <v:shape id="_x0000_s1104" type="#_x0000_t75" style="width:7262;height:2566;left:3539;position:absolute;top:336" stroked="f">
              <v:imagedata r:id="rId15" o:title=""/>
            </v:shape>
          </v:group>
        </w:pict>
      </w:r>
      <w:r>
        <w:rPr>
          <w:sz w:val="16"/>
        </w:rPr>
        <w:t>60</w:t>
      </w:r>
    </w:p>
    <w:p>
      <w:pPr>
        <w:pStyle w:val="BodyText"/>
        <w:rPr>
          <w:sz w:val="23"/>
        </w:rPr>
      </w:pPr>
    </w:p>
    <w:p>
      <w:pPr>
        <w:spacing w:before="78"/>
        <w:ind w:left="2468" w:right="0" w:firstLine="0"/>
        <w:jc w:val="left"/>
        <w:rPr>
          <w:sz w:val="16"/>
        </w:rPr>
      </w:pPr>
      <w:r>
        <w:rPr>
          <w:sz w:val="16"/>
        </w:rPr>
        <w:t>50</w:t>
      </w:r>
    </w:p>
    <w:p>
      <w:pPr>
        <w:pStyle w:val="BodyText"/>
        <w:spacing w:before="12"/>
        <w:rPr>
          <w:sz w:val="22"/>
        </w:rPr>
      </w:pPr>
    </w:p>
    <w:p>
      <w:pPr>
        <w:spacing w:before="79"/>
        <w:ind w:left="2468" w:right="0" w:firstLine="0"/>
        <w:jc w:val="left"/>
        <w:rPr>
          <w:sz w:val="16"/>
        </w:rPr>
      </w:pPr>
      <w:r>
        <w:rPr>
          <w:sz w:val="16"/>
        </w:rPr>
        <w:t>40</w:t>
      </w:r>
    </w:p>
    <w:p>
      <w:pPr>
        <w:pStyle w:val="BodyText"/>
        <w:spacing w:before="12"/>
        <w:rPr>
          <w:sz w:val="22"/>
        </w:rPr>
      </w:pPr>
    </w:p>
    <w:p>
      <w:pPr>
        <w:spacing w:before="78"/>
        <w:ind w:left="2468" w:right="0" w:firstLine="0"/>
        <w:jc w:val="left"/>
        <w:rPr>
          <w:sz w:val="16"/>
        </w:rPr>
      </w:pPr>
      <w:r>
        <w:rPr>
          <w:sz w:val="16"/>
        </w:rPr>
        <w:t>30</w:t>
      </w:r>
    </w:p>
    <w:p>
      <w:pPr>
        <w:pStyle w:val="BodyText"/>
        <w:rPr>
          <w:sz w:val="23"/>
        </w:rPr>
      </w:pPr>
    </w:p>
    <w:p>
      <w:pPr>
        <w:spacing w:before="78"/>
        <w:ind w:left="2468" w:right="0" w:firstLine="0"/>
        <w:jc w:val="left"/>
        <w:rPr>
          <w:sz w:val="16"/>
        </w:rPr>
      </w:pPr>
      <w:r>
        <w:rPr>
          <w:sz w:val="16"/>
        </w:rPr>
        <w:t>20</w:t>
      </w:r>
    </w:p>
    <w:p>
      <w:pPr>
        <w:pStyle w:val="BodyText"/>
        <w:rPr>
          <w:sz w:val="23"/>
        </w:rPr>
      </w:pPr>
    </w:p>
    <w:p>
      <w:pPr>
        <w:spacing w:before="78"/>
        <w:ind w:left="2468" w:right="0" w:firstLine="0"/>
        <w:jc w:val="left"/>
        <w:rPr>
          <w:sz w:val="16"/>
        </w:rPr>
      </w:pPr>
      <w:r>
        <w:rPr>
          <w:sz w:val="16"/>
        </w:rPr>
        <w:t>10</w:t>
      </w:r>
    </w:p>
    <w:p>
      <w:pPr>
        <w:pStyle w:val="BodyText"/>
        <w:rPr>
          <w:sz w:val="23"/>
        </w:rPr>
      </w:pPr>
    </w:p>
    <w:p>
      <w:pPr>
        <w:spacing w:before="78" w:line="188" w:lineRule="exact"/>
        <w:ind w:left="2548" w:right="0" w:firstLine="0"/>
        <w:jc w:val="left"/>
        <w:rPr>
          <w:sz w:val="16"/>
        </w:rPr>
      </w:pPr>
      <w:r>
        <w:rPr>
          <w:w w:val="100"/>
          <w:sz w:val="16"/>
        </w:rPr>
        <w:t>0</w:t>
      </w:r>
    </w:p>
    <w:p>
      <w:pPr>
        <w:tabs>
          <w:tab w:val="left" w:pos="3353"/>
          <w:tab w:val="left" w:pos="4153"/>
          <w:tab w:val="left" w:pos="4951"/>
          <w:tab w:val="left" w:pos="5749"/>
          <w:tab w:val="left" w:pos="6548"/>
          <w:tab w:val="left" w:pos="7348"/>
          <w:tab w:val="left" w:pos="8146"/>
          <w:tab w:val="left" w:pos="8944"/>
          <w:tab w:val="left" w:pos="9742"/>
        </w:tabs>
        <w:spacing w:before="0" w:line="188" w:lineRule="exact"/>
        <w:ind w:left="2555" w:right="0" w:firstLine="0"/>
        <w:jc w:val="left"/>
        <w:rPr>
          <w:sz w:val="16"/>
        </w:rPr>
      </w:pPr>
      <w:r>
        <w:rPr>
          <w:sz w:val="16"/>
        </w:rPr>
        <w:t>2015/01</w:t>
        <w:tab/>
        <w:t>2016/01</w:t>
        <w:tab/>
        <w:t>2017/01</w:t>
        <w:tab/>
        <w:t>2018/01</w:t>
        <w:tab/>
        <w:t>2019/01</w:t>
        <w:tab/>
        <w:t>2020/01</w:t>
        <w:tab/>
        <w:t>2021/01</w:t>
        <w:tab/>
        <w:t>2022/01</w:t>
        <w:tab/>
        <w:t>2023/01</w:t>
        <w:tab/>
        <w:t>2024/01</w:t>
      </w:r>
    </w:p>
    <w:p>
      <w:pPr>
        <w:pStyle w:val="BodyText"/>
        <w:spacing w:before="2"/>
        <w:rPr>
          <w:sz w:val="10"/>
        </w:rPr>
      </w:pPr>
      <w:r>
        <w:pict>
          <v:shape id="_x0000_s1105" style="width:415.8pt;height:0.1pt;margin-top:8.73pt;margin-left:137.18pt;mso-position-horizontal-relative:page;mso-wrap-distance-left:0;mso-wrap-distance-right:0;position:absolute;z-index:-251640832" coordorigin="2744,175" coordsize="8316,0" path="m2744,175l11059,175e" filled="f" stroked="t" strokecolor="black" strokeweight="0.48pt">
            <v:stroke dashstyle="solid"/>
            <v:path arrowok="t"/>
            <w10:wrap type="topAndBottom"/>
          </v:shape>
        </w:pict>
      </w:r>
    </w:p>
    <w:p>
      <w:pPr>
        <w:spacing w:before="0"/>
        <w:ind w:left="2129" w:right="0" w:firstLine="0"/>
        <w:jc w:val="left"/>
        <w:rPr>
          <w:i/>
          <w:sz w:val="17"/>
        </w:rPr>
      </w:pPr>
      <w:r>
        <w:t xml:space="preserve">资料来源: ifind， 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5"/>
        </w:rPr>
      </w:pPr>
    </w:p>
    <w:p>
      <w:pPr>
        <w:pStyle w:val="Heading1"/>
        <w:spacing w:before="58"/>
      </w:pPr>
      <w:bookmarkStart w:id="2" w:name="_TOC_250014"/>
      <w:bookmarkEnd w:id="2"/>
      <w:r>
        <w:t>2、 行业要闻</w:t>
      </w:r>
    </w:p>
    <w:p>
      <w:pPr>
        <w:pStyle w:val="BodyText"/>
        <w:spacing w:line="20" w:lineRule="exact"/>
        <w:ind w:left="1989"/>
        <w:rPr>
          <w:rFonts w:ascii="黑体"/>
          <w:sz w:val="2"/>
        </w:rPr>
      </w:pPr>
      <w:r>
        <w:rPr>
          <w:rFonts w:ascii="黑体"/>
          <w:sz w:val="2"/>
        </w:rPr>
        <w:pict>
          <v:group id="_x0000_i1106" style="width:418.7pt;height:0.5pt;mso-position-horizontal-relative:char;mso-position-vertical-relative:line" coordorigin="0,0" coordsize="8374,10">
            <v:line id="_x0000_s1107" style="position:absolute" from="0,5" to="8373,5" stroked="t" strokecolor="#51759c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7"/>
        <w:rPr>
          <w:rFonts w:ascii="黑体"/>
          <w:sz w:val="6"/>
        </w:rPr>
      </w:pPr>
    </w:p>
    <w:p>
      <w:pPr>
        <w:pStyle w:val="Heading2"/>
        <w:numPr>
          <w:ilvl w:val="1"/>
          <w:numId w:val="5"/>
        </w:numPr>
        <w:tabs>
          <w:tab w:val="left" w:pos="2449"/>
        </w:tabs>
        <w:spacing w:before="66" w:after="0" w:line="240" w:lineRule="auto"/>
        <w:ind w:left="2448" w:right="0" w:hanging="426"/>
        <w:jc w:val="left"/>
      </w:pPr>
      <w:bookmarkStart w:id="3" w:name="_TOC_250013"/>
      <w:bookmarkEnd w:id="3"/>
      <w:r>
        <w:t>国际快讯</w:t>
      </w:r>
    </w:p>
    <w:p>
      <w:pPr>
        <w:pStyle w:val="BodyText"/>
        <w:spacing w:before="143" w:line="285" w:lineRule="auto"/>
        <w:ind w:left="2023" w:right="114"/>
      </w:pPr>
      <w:r>
        <w:rPr>
          <w:b/>
        </w:rPr>
        <w:t xml:space="preserve">特斯拉正式推送 </w:t>
      </w:r>
      <w:r>
        <w:rPr>
          <w:rFonts w:ascii="Arial" w:eastAsia="Arial" w:hAnsi="Arial"/>
          <w:b/>
        </w:rPr>
        <w:t>FSD</w:t>
      </w:r>
      <w:r>
        <w:rPr>
          <w:rFonts w:ascii="Arial" w:eastAsia="Arial" w:hAnsi="Arial"/>
          <w:b/>
          <w:spacing w:val="34"/>
        </w:rPr>
        <w:t xml:space="preserve"> </w:t>
      </w:r>
      <w:r>
        <w:rPr>
          <w:rFonts w:ascii="Arial" w:eastAsia="Arial" w:hAnsi="Arial"/>
          <w:b/>
        </w:rPr>
        <w:t>V12</w:t>
      </w:r>
      <w:r>
        <w:rPr>
          <w:b/>
          <w:spacing w:val="5"/>
        </w:rPr>
        <w:t>。</w:t>
      </w:r>
      <w:r>
        <w:rPr>
          <w:spacing w:val="1"/>
        </w:rPr>
        <w:t xml:space="preserve">特斯拉 </w:t>
      </w:r>
      <w:r>
        <w:rPr>
          <w:rFonts w:ascii="Arial" w:eastAsia="Arial" w:hAnsi="Arial"/>
        </w:rPr>
        <w:t>FSD</w:t>
      </w:r>
      <w:r>
        <w:rPr>
          <w:rFonts w:ascii="Arial" w:eastAsia="Arial" w:hAnsi="Arial"/>
          <w:spacing w:val="33"/>
        </w:rPr>
        <w:t xml:space="preserve"> </w:t>
      </w:r>
      <w:r>
        <w:rPr>
          <w:rFonts w:ascii="Arial" w:eastAsia="Arial" w:hAnsi="Arial"/>
        </w:rPr>
        <w:t>V12</w:t>
      </w:r>
      <w:r>
        <w:t>（</w:t>
      </w:r>
      <w:r>
        <w:rPr>
          <w:rFonts w:ascii="Arial" w:eastAsia="Arial" w:hAnsi="Arial"/>
        </w:rPr>
        <w:t>FSD</w:t>
      </w:r>
      <w:r>
        <w:rPr>
          <w:rFonts w:ascii="Arial" w:eastAsia="Arial" w:hAnsi="Arial"/>
          <w:spacing w:val="34"/>
        </w:rPr>
        <w:t xml:space="preserve"> </w:t>
      </w:r>
      <w:r>
        <w:rPr>
          <w:rFonts w:ascii="Arial" w:eastAsia="Arial" w:hAnsi="Arial"/>
        </w:rPr>
        <w:t>V12.1.2</w:t>
      </w:r>
      <w:r>
        <w:t>）已开始正式向用户推送。</w:t>
      </w:r>
      <w:r>
        <w:rPr>
          <w:rFonts w:ascii="Arial" w:eastAsia="Arial" w:hAnsi="Arial"/>
        </w:rPr>
        <w:t>“FSD</w:t>
      </w:r>
      <w:r>
        <w:rPr>
          <w:rFonts w:ascii="Arial" w:eastAsia="Arial" w:hAnsi="Arial"/>
          <w:spacing w:val="45"/>
        </w:rPr>
        <w:t xml:space="preserve"> </w:t>
      </w:r>
      <w:r>
        <w:rPr>
          <w:rFonts w:ascii="Arial" w:eastAsia="Arial" w:hAnsi="Arial"/>
        </w:rPr>
        <w:t>Beta</w:t>
      </w:r>
      <w:r>
        <w:rPr>
          <w:rFonts w:ascii="Arial" w:eastAsia="Arial" w:hAnsi="Arial"/>
          <w:spacing w:val="42"/>
        </w:rPr>
        <w:t xml:space="preserve"> </w:t>
      </w:r>
      <w:r>
        <w:rPr>
          <w:rFonts w:ascii="Arial" w:eastAsia="Arial" w:hAnsi="Arial"/>
        </w:rPr>
        <w:t>V12</w:t>
      </w:r>
      <w:r>
        <w:rPr>
          <w:rFonts w:ascii="Arial" w:eastAsia="Arial" w:hAnsi="Arial"/>
          <w:spacing w:val="54"/>
        </w:rPr>
        <w:t xml:space="preserve"> </w:t>
      </w:r>
      <w:r>
        <w:rPr>
          <w:spacing w:val="-3"/>
        </w:rPr>
        <w:t>将城市街道驾驶堆栈升级为端到端神经网络，经过数百万个视频训练，取代</w:t>
      </w:r>
      <w:r>
        <w:rPr>
          <w:spacing w:val="-25"/>
        </w:rPr>
        <w:t xml:space="preserve">了 </w:t>
      </w:r>
      <w:r>
        <w:rPr>
          <w:rFonts w:ascii="Arial" w:eastAsia="Arial" w:hAnsi="Arial"/>
        </w:rPr>
        <w:t>30</w:t>
      </w:r>
      <w:r>
        <w:rPr>
          <w:rFonts w:ascii="Arial" w:eastAsia="Arial" w:hAnsi="Arial"/>
          <w:spacing w:val="-9"/>
        </w:rPr>
        <w:t xml:space="preserve"> </w:t>
      </w:r>
      <w:r>
        <w:rPr>
          <w:spacing w:val="15"/>
        </w:rPr>
        <w:t>多万行</w:t>
      </w:r>
      <w:r>
        <w:rPr>
          <w:rFonts w:ascii="Arial" w:eastAsia="Arial" w:hAnsi="Arial"/>
        </w:rPr>
        <w:t>C++</w:t>
      </w:r>
      <w:r>
        <w:rPr>
          <w:spacing w:val="-2"/>
        </w:rPr>
        <w:t>代码。</w:t>
      </w:r>
      <w:r>
        <w:rPr>
          <w:rFonts w:ascii="Arial" w:eastAsia="Arial" w:hAnsi="Arial"/>
        </w:rPr>
        <w:t>”</w:t>
      </w:r>
      <w:r>
        <w:rPr>
          <w:spacing w:val="-5"/>
        </w:rPr>
        <w:t xml:space="preserve">在更新说明中，特斯拉如此说道。换言之，升级到 </w:t>
      </w:r>
      <w:r>
        <w:rPr>
          <w:rFonts w:ascii="Arial" w:eastAsia="Arial" w:hAnsi="Arial"/>
        </w:rPr>
        <w:t>FSD</w:t>
      </w:r>
      <w:r>
        <w:rPr>
          <w:rFonts w:ascii="Arial" w:eastAsia="Arial" w:hAnsi="Arial"/>
          <w:spacing w:val="10"/>
        </w:rPr>
        <w:t xml:space="preserve"> </w:t>
      </w:r>
      <w:r>
        <w:rPr>
          <w:rFonts w:ascii="Arial" w:eastAsia="Arial" w:hAnsi="Arial"/>
        </w:rPr>
        <w:t>V12</w:t>
      </w:r>
      <w:r>
        <w:rPr>
          <w:rFonts w:ascii="Arial" w:eastAsia="Arial" w:hAnsi="Arial"/>
          <w:spacing w:val="-6"/>
        </w:rPr>
        <w:t xml:space="preserve"> </w:t>
      </w:r>
      <w:r>
        <w:rPr>
          <w:spacing w:val="-3"/>
        </w:rPr>
        <w:t xml:space="preserve">后， </w:t>
      </w:r>
      <w:r>
        <w:t xml:space="preserve">人工智能将取代工程师编码，在自动驾驶模式中掌管车辆行为。通过使用端到端神经网络， 特斯拉的自动驾驶系统将更加智能和灵活，能够适应更多复杂和变化的路况和场景。这也  </w:t>
      </w:r>
      <w:r>
        <w:rPr>
          <w:spacing w:val="-7"/>
        </w:rPr>
        <w:t>将提升特斯拉的品牌形象和用户体验，增强其在汽车市场的竞争力和影响力。</w:t>
      </w:r>
      <w:r>
        <w:t>（</w:t>
      </w:r>
      <w:r>
        <w:rPr>
          <w:spacing w:val="-2"/>
        </w:rPr>
        <w:t xml:space="preserve">来源：每日 </w:t>
      </w:r>
      <w:r>
        <w:rPr>
          <w:spacing w:val="-1"/>
        </w:rPr>
        <w:t>经济新闻</w:t>
      </w:r>
      <w:r>
        <w:t>）</w:t>
      </w:r>
    </w:p>
    <w:p>
      <w:pPr>
        <w:spacing w:before="154"/>
        <w:ind w:left="2023" w:right="0" w:firstLine="0"/>
        <w:jc w:val="left"/>
        <w:rPr>
          <w:sz w:val="21"/>
        </w:rPr>
      </w:pPr>
      <w:r>
        <w:rPr>
          <w:b/>
          <w:spacing w:val="-9"/>
          <w:sz w:val="21"/>
        </w:rPr>
        <w:t xml:space="preserve">美国宣布出资 </w:t>
      </w:r>
      <w:r>
        <w:rPr>
          <w:rFonts w:ascii="Arial" w:eastAsia="Arial"/>
          <w:b/>
          <w:sz w:val="21"/>
        </w:rPr>
        <w:t>3.25</w:t>
      </w:r>
      <w:r>
        <w:rPr>
          <w:rFonts w:ascii="Arial" w:eastAsia="Arial"/>
          <w:b/>
          <w:spacing w:val="-18"/>
          <w:sz w:val="21"/>
        </w:rPr>
        <w:t xml:space="preserve"> </w:t>
      </w:r>
      <w:r>
        <w:rPr>
          <w:b/>
          <w:spacing w:val="-1"/>
          <w:sz w:val="21"/>
        </w:rPr>
        <w:t>亿美元维修电动汽车充电桩。</w:t>
      </w:r>
      <w:r>
        <w:rPr>
          <w:rFonts w:ascii="Arial" w:eastAsia="Arial"/>
          <w:sz w:val="21"/>
        </w:rPr>
        <w:t>1</w:t>
      </w:r>
      <w:r>
        <w:rPr>
          <w:rFonts w:ascii="Arial" w:eastAsia="Arial"/>
          <w:spacing w:val="-21"/>
          <w:sz w:val="21"/>
        </w:rPr>
        <w:t xml:space="preserve"> </w:t>
      </w:r>
      <w:r>
        <w:rPr>
          <w:spacing w:val="-30"/>
          <w:sz w:val="21"/>
        </w:rPr>
        <w:t xml:space="preserve">月 </w:t>
      </w:r>
      <w:r>
        <w:rPr>
          <w:rFonts w:ascii="Arial" w:eastAsia="Arial"/>
          <w:sz w:val="21"/>
        </w:rPr>
        <w:t>23</w:t>
      </w:r>
      <w:r>
        <w:rPr>
          <w:rFonts w:ascii="Arial" w:eastAsia="Arial"/>
          <w:spacing w:val="-19"/>
          <w:sz w:val="21"/>
        </w:rPr>
        <w:t xml:space="preserve"> </w:t>
      </w:r>
      <w:r>
        <w:rPr>
          <w:spacing w:val="-3"/>
          <w:sz w:val="21"/>
        </w:rPr>
        <w:t>日，美国政府在一份声明中表示，</w:t>
      </w:r>
    </w:p>
    <w:p>
      <w:pPr>
        <w:pStyle w:val="BodyText"/>
        <w:spacing w:before="53"/>
        <w:ind w:left="2023"/>
      </w:pPr>
      <w:r>
        <w:rPr>
          <w:spacing w:val="-4"/>
        </w:rPr>
        <w:t xml:space="preserve">美国交通运输部和能源部将在三个项目中投资 </w:t>
      </w:r>
      <w:r>
        <w:rPr>
          <w:rFonts w:ascii="Arial" w:eastAsia="Arial"/>
        </w:rPr>
        <w:t>3.25</w:t>
      </w:r>
      <w:r>
        <w:rPr>
          <w:rFonts w:ascii="Arial" w:eastAsia="Arial"/>
          <w:spacing w:val="21"/>
        </w:rPr>
        <w:t xml:space="preserve"> </w:t>
      </w:r>
      <w:r>
        <w:rPr>
          <w:spacing w:val="-3"/>
        </w:rPr>
        <w:t>亿美元，用于推进电动汽车技术、维修</w:t>
      </w:r>
    </w:p>
    <w:p>
      <w:pPr>
        <w:pStyle w:val="BodyText"/>
        <w:spacing w:before="50"/>
        <w:ind w:left="2023"/>
        <w:sectPr>
          <w:headerReference w:type="default" r:id="rId16"/>
          <w:footerReference w:type="default" r:id="rId17"/>
          <w:pgSz w:w="11910" w:h="16840"/>
          <w:pgMar w:top="960" w:right="520" w:bottom="1200" w:left="720" w:header="708" w:footer="708"/>
          <w:pgNumType w:start="3"/>
          <w:cols w:space="708"/>
        </w:sectPr>
      </w:pPr>
      <w:r>
        <w:rPr>
          <w:spacing w:val="1"/>
        </w:rPr>
        <w:t xml:space="preserve">充电桩和降低电池成本。这笔资金是总价值 </w:t>
      </w:r>
      <w:r>
        <w:rPr>
          <w:rFonts w:ascii="Arial" w:eastAsia="Arial"/>
        </w:rPr>
        <w:t>50</w:t>
      </w:r>
      <w:r>
        <w:rPr>
          <w:rFonts w:ascii="Arial" w:eastAsia="Arial"/>
          <w:spacing w:val="55"/>
        </w:rPr>
        <w:t xml:space="preserve"> </w:t>
      </w:r>
      <w:r>
        <w:t>亿美元的全美电动汽车基础设施（</w:t>
      </w:r>
      <w:r>
        <w:rPr>
          <w:rFonts w:ascii="Arial" w:eastAsia="Arial"/>
        </w:rPr>
        <w:t>NEVI</w:t>
      </w:r>
      <w:r>
        <w:t>）</w:t>
      </w:r>
    </w:p>
    <w:p>
      <w:pPr>
        <w:pStyle w:val="BodyText"/>
        <w:spacing w:before="50"/>
        <w:ind w:left="2023"/>
      </w:pPr>
      <w:r>
        <w:rPr>
          <w:spacing w:val="-3"/>
        </w:rPr>
        <w:t xml:space="preserve">计划的一部分，而该计划的资金则来源于在 </w:t>
      </w:r>
      <w:r>
        <w:rPr>
          <w:rFonts w:ascii="Arial" w:eastAsia="Arial"/>
        </w:rPr>
        <w:t>2021</w:t>
      </w:r>
      <w:r>
        <w:rPr>
          <w:rFonts w:ascii="Arial" w:eastAsia="Arial"/>
          <w:spacing w:val="38"/>
        </w:rPr>
        <w:t xml:space="preserve"> </w:t>
      </w:r>
      <w:r>
        <w:rPr>
          <w:spacing w:val="-2"/>
        </w:rPr>
        <w:t xml:space="preserve">年通过的总价为 </w:t>
      </w:r>
      <w:r>
        <w:rPr>
          <w:rFonts w:ascii="Arial" w:eastAsia="Arial"/>
        </w:rPr>
        <w:t>1</w:t>
      </w:r>
      <w:r>
        <w:rPr>
          <w:rFonts w:ascii="Arial" w:eastAsia="Arial"/>
          <w:spacing w:val="40"/>
        </w:rPr>
        <w:t xml:space="preserve"> </w:t>
      </w:r>
      <w:r>
        <w:rPr>
          <w:spacing w:val="-3"/>
        </w:rPr>
        <w:t>万亿美元的基础设施</w:t>
      </w:r>
    </w:p>
    <w:p>
      <w:pPr>
        <w:spacing w:after="0"/>
        <w:sectPr>
          <w:headerReference w:type="default" r:id="rId18"/>
          <w:footerReference w:type="default" r:id="rId19"/>
          <w:type w:val="nextPage"/>
          <w:pgSz w:w="11910" w:h="16840"/>
          <w:pgMar w:top="960" w:right="520" w:bottom="1200" w:left="720" w:header="708" w:footer="708"/>
          <w:pgNumType w:start="4"/>
          <w:cols w:space="708"/>
          <w:titlePg w:val="0"/>
        </w:sectPr>
      </w:pPr>
    </w:p>
    <w:p>
      <w:pPr>
        <w:pStyle w:val="BodyText"/>
        <w:spacing w:before="168"/>
        <w:ind w:left="2023"/>
      </w:pPr>
      <w:r>
        <w:rPr>
          <w:spacing w:val="-53"/>
        </w:rPr>
        <w:t>法。</w:t>
      </w:r>
      <w:r>
        <w:rPr>
          <w:spacing w:val="-3"/>
        </w:rPr>
        <w:t>（来源：财联社</w:t>
      </w:r>
      <w:r>
        <w:t>）</w:t>
      </w:r>
    </w:p>
    <w:p>
      <w:pPr>
        <w:pStyle w:val="BodyText"/>
        <w:spacing w:before="3"/>
        <w:rPr>
          <w:sz w:val="16"/>
        </w:rPr>
      </w:pPr>
    </w:p>
    <w:p>
      <w:pPr>
        <w:pStyle w:val="BodyText"/>
        <w:spacing w:line="285" w:lineRule="auto"/>
        <w:ind w:left="2023" w:right="320"/>
        <w:jc w:val="both"/>
      </w:pPr>
      <w:r>
        <w:rPr>
          <w:b/>
          <w:spacing w:val="7"/>
        </w:rPr>
        <w:t xml:space="preserve">预估 </w:t>
      </w:r>
      <w:r>
        <w:rPr>
          <w:rFonts w:ascii="Arial" w:eastAsia="Arial"/>
          <w:b/>
        </w:rPr>
        <w:t>2024</w:t>
      </w:r>
      <w:r>
        <w:rPr>
          <w:rFonts w:ascii="Arial" w:eastAsia="Arial"/>
          <w:b/>
          <w:spacing w:val="53"/>
        </w:rPr>
        <w:t xml:space="preserve"> </w:t>
      </w:r>
      <w:r>
        <w:rPr>
          <w:b/>
          <w:spacing w:val="10"/>
        </w:rPr>
        <w:t xml:space="preserve">年全球电动汽车销量将超 </w:t>
      </w:r>
      <w:r>
        <w:rPr>
          <w:rFonts w:ascii="Arial" w:eastAsia="Arial"/>
          <w:b/>
        </w:rPr>
        <w:t xml:space="preserve">1800 </w:t>
      </w:r>
      <w:r>
        <w:rPr>
          <w:b/>
          <w:spacing w:val="8"/>
        </w:rPr>
        <w:t>万台。</w:t>
      </w:r>
      <w:r>
        <w:rPr>
          <w:rFonts w:ascii="Arial" w:eastAsia="Arial"/>
        </w:rPr>
        <w:t xml:space="preserve">1 </w:t>
      </w:r>
      <w:r>
        <w:rPr>
          <w:spacing w:val="5"/>
        </w:rPr>
        <w:t xml:space="preserve">月 </w:t>
      </w:r>
      <w:r>
        <w:rPr>
          <w:rFonts w:ascii="Arial" w:eastAsia="Arial"/>
        </w:rPr>
        <w:t xml:space="preserve">22 </w:t>
      </w:r>
      <w:r>
        <w:rPr>
          <w:spacing w:val="7"/>
        </w:rPr>
        <w:t xml:space="preserve">日，研究机构 </w:t>
      </w:r>
      <w:r>
        <w:rPr>
          <w:rFonts w:ascii="Arial" w:eastAsia="Arial"/>
        </w:rPr>
        <w:t xml:space="preserve">DIGITIMES Research </w:t>
      </w:r>
      <w:r>
        <w:rPr>
          <w:spacing w:val="-4"/>
        </w:rPr>
        <w:t xml:space="preserve">最新报告指出，相较于 </w:t>
      </w:r>
      <w:r>
        <w:rPr>
          <w:rFonts w:ascii="Arial" w:eastAsia="Arial"/>
        </w:rPr>
        <w:t xml:space="preserve">2023 </w:t>
      </w:r>
      <w:r>
        <w:rPr>
          <w:spacing w:val="-3"/>
        </w:rPr>
        <w:t>年全球汽车市场出现复苏，全球电动车销量成长更</w:t>
      </w:r>
      <w:r>
        <w:rPr>
          <w:spacing w:val="-9"/>
        </w:rPr>
        <w:t xml:space="preserve">为显著，年增率为 </w:t>
      </w:r>
      <w:r>
        <w:rPr>
          <w:rFonts w:ascii="Arial" w:eastAsia="Arial"/>
        </w:rPr>
        <w:t>39%</w:t>
      </w:r>
      <w:r>
        <w:rPr>
          <w:spacing w:val="-10"/>
        </w:rPr>
        <w:t xml:space="preserve">，销售量达 </w:t>
      </w:r>
      <w:r>
        <w:rPr>
          <w:rFonts w:ascii="Arial" w:eastAsia="Arial"/>
        </w:rPr>
        <w:t xml:space="preserve">1422 </w:t>
      </w:r>
      <w:r>
        <w:rPr>
          <w:spacing w:val="-11"/>
        </w:rPr>
        <w:t xml:space="preserve">万台。展望 </w:t>
      </w:r>
      <w:r>
        <w:rPr>
          <w:rFonts w:ascii="Arial" w:eastAsia="Arial"/>
        </w:rPr>
        <w:t xml:space="preserve">2024 </w:t>
      </w:r>
      <w:r>
        <w:rPr>
          <w:spacing w:val="-3"/>
        </w:rPr>
        <w:t>年，预估全球电动车销量将超越</w:t>
      </w:r>
    </w:p>
    <w:p>
      <w:pPr>
        <w:pStyle w:val="BodyText"/>
        <w:spacing w:line="269" w:lineRule="exact"/>
        <w:ind w:left="2023"/>
        <w:jc w:val="both"/>
      </w:pPr>
      <w:r>
        <w:rPr>
          <w:rFonts w:ascii="Arial" w:eastAsia="Arial"/>
        </w:rPr>
        <w:t xml:space="preserve">1800 </w:t>
      </w:r>
      <w:r>
        <w:t>万台，但预期增速将趋缓。（来源：财联社汽车早报）</w:t>
      </w:r>
    </w:p>
    <w:p>
      <w:pPr>
        <w:pStyle w:val="BodyText"/>
        <w:spacing w:before="207" w:line="285" w:lineRule="auto"/>
        <w:ind w:left="2023" w:right="115"/>
      </w:pPr>
      <w:r>
        <w:rPr>
          <w:b/>
          <w:spacing w:val="-2"/>
        </w:rPr>
        <w:t>欧盟委员会批准奔驰与宝马成立合资企业。</w:t>
      </w:r>
      <w:r>
        <w:rPr>
          <w:rFonts w:ascii="Arial" w:eastAsia="Arial"/>
        </w:rPr>
        <w:t xml:space="preserve">1 </w:t>
      </w:r>
      <w:r>
        <w:rPr>
          <w:spacing w:val="-15"/>
        </w:rPr>
        <w:t xml:space="preserve">月 </w:t>
      </w:r>
      <w:r>
        <w:rPr>
          <w:rFonts w:ascii="Arial" w:eastAsia="Arial"/>
        </w:rPr>
        <w:t xml:space="preserve">24 </w:t>
      </w:r>
      <w:r>
        <w:rPr>
          <w:spacing w:val="-3"/>
        </w:rPr>
        <w:t>日，欧盟委员会宣布，根据欧盟合并条例，已批准梅赛德斯</w:t>
      </w:r>
      <w:r>
        <w:rPr>
          <w:rFonts w:ascii="Arial" w:eastAsia="Arial"/>
          <w:spacing w:val="-3"/>
        </w:rPr>
        <w:t>-</w:t>
      </w:r>
      <w:r>
        <w:rPr>
          <w:spacing w:val="-3"/>
        </w:rPr>
        <w:t>奔驰（中国）与华晨宝马成立合资企业。该交易主要涉及中国电池动 力汽车公共充电基础设施网络市场。欧盟委员会的结论是，鉴于对欧洲经济区的影响有限， 相</w:t>
      </w:r>
      <w:r>
        <w:rPr>
          <w:spacing w:val="-4"/>
        </w:rPr>
        <w:t xml:space="preserve">关交易不会引起竞争问题。交易按照简化的合并审查程序进行了审查。去年 </w:t>
      </w:r>
      <w:r>
        <w:rPr>
          <w:rFonts w:ascii="Arial" w:eastAsia="Arial"/>
          <w:spacing w:val="-9"/>
        </w:rPr>
        <w:t xml:space="preserve">11 </w:t>
      </w:r>
      <w:r>
        <w:rPr>
          <w:spacing w:val="-8"/>
        </w:rPr>
        <w:t xml:space="preserve">月 </w:t>
      </w:r>
      <w:r>
        <w:rPr>
          <w:rFonts w:ascii="Arial" w:eastAsia="Arial"/>
        </w:rPr>
        <w:t xml:space="preserve">30 </w:t>
      </w:r>
      <w:r>
        <w:rPr>
          <w:spacing w:val="-5"/>
        </w:rPr>
        <w:t xml:space="preserve">日， </w:t>
      </w:r>
      <w:r>
        <w:rPr>
          <w:spacing w:val="-1"/>
        </w:rPr>
        <w:t>梅赛德斯</w:t>
      </w:r>
      <w:r>
        <w:rPr>
          <w:rFonts w:ascii="Arial" w:eastAsia="Arial"/>
        </w:rPr>
        <w:t>-</w:t>
      </w:r>
      <w:r>
        <w:rPr>
          <w:spacing w:val="-2"/>
        </w:rPr>
        <w:t>奔驰</w:t>
      </w:r>
      <w:r>
        <w:rPr>
          <w:spacing w:val="-3"/>
        </w:rPr>
        <w:t>（</w:t>
      </w:r>
      <w:r>
        <w:rPr>
          <w:spacing w:val="-2"/>
        </w:rPr>
        <w:t>中国</w:t>
      </w:r>
      <w:r>
        <w:t>）</w:t>
      </w:r>
      <w:r>
        <w:rPr>
          <w:spacing w:val="-3"/>
        </w:rPr>
        <w:t xml:space="preserve">与华晨宝马宣布签署合作协议，双方将以 </w:t>
      </w:r>
      <w:r>
        <w:rPr>
          <w:rFonts w:ascii="Arial" w:eastAsia="Arial"/>
        </w:rPr>
        <w:t xml:space="preserve">50:50 </w:t>
      </w:r>
      <w:r>
        <w:rPr>
          <w:spacing w:val="-3"/>
        </w:rPr>
        <w:t>的股比在中国成立合资公司，在中国市场运营超级充电网络，合力满足中国客户对豪华充电服务日益增长的  需</w:t>
      </w:r>
      <w:r>
        <w:rPr>
          <w:spacing w:val="-56"/>
        </w:rPr>
        <w:t>求。</w:t>
      </w:r>
      <w:r>
        <w:t>（</w:t>
      </w:r>
      <w:r>
        <w:rPr>
          <w:spacing w:val="-3"/>
        </w:rPr>
        <w:t>来源：财联社汽车早报</w:t>
      </w:r>
      <w: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Heading2"/>
        <w:numPr>
          <w:ilvl w:val="1"/>
          <w:numId w:val="2"/>
        </w:numPr>
        <w:tabs>
          <w:tab w:val="left" w:pos="2449"/>
        </w:tabs>
        <w:spacing w:before="0" w:after="0" w:line="240" w:lineRule="auto"/>
        <w:ind w:left="2448" w:right="0" w:hanging="426"/>
        <w:jc w:val="left"/>
      </w:pPr>
      <w:bookmarkStart w:id="4" w:name="_TOC_250012"/>
      <w:bookmarkEnd w:id="4"/>
      <w:r>
        <w:t>国内速递</w:t>
      </w:r>
    </w:p>
    <w:p>
      <w:pPr>
        <w:pStyle w:val="BodyText"/>
        <w:spacing w:before="140" w:line="285" w:lineRule="auto"/>
        <w:ind w:left="2023" w:right="320"/>
        <w:jc w:val="both"/>
      </w:pPr>
      <w:r>
        <w:rPr>
          <w:b/>
          <w:spacing w:val="-10"/>
        </w:rPr>
        <w:t xml:space="preserve">上海 </w:t>
      </w:r>
      <w:r>
        <w:rPr>
          <w:rFonts w:ascii="Arial" w:eastAsia="Arial" w:hAnsi="Arial"/>
          <w:b/>
        </w:rPr>
        <w:t xml:space="preserve">2024 </w:t>
      </w:r>
      <w:r>
        <w:rPr>
          <w:b/>
          <w:spacing w:val="-3"/>
        </w:rPr>
        <w:t>年将率先开展智能网联汽车准入和上路通行试点。</w:t>
      </w:r>
      <w:r>
        <w:rPr>
          <w:rFonts w:ascii="Arial" w:eastAsia="Arial" w:hAnsi="Arial"/>
        </w:rPr>
        <w:t xml:space="preserve">1 </w:t>
      </w:r>
      <w:r>
        <w:rPr>
          <w:spacing w:val="-14"/>
        </w:rPr>
        <w:t xml:space="preserve">月 </w:t>
      </w:r>
      <w:r>
        <w:rPr>
          <w:rFonts w:ascii="Arial" w:eastAsia="Arial" w:hAnsi="Arial"/>
        </w:rPr>
        <w:t xml:space="preserve">23 </w:t>
      </w:r>
      <w:r>
        <w:rPr>
          <w:spacing w:val="-3"/>
        </w:rPr>
        <w:t>日，上海市第十六届</w:t>
      </w:r>
      <w:r>
        <w:rPr>
          <w:spacing w:val="-7"/>
        </w:rPr>
        <w:t>人大二次会议在世博中心开幕。上海市市长龚正作《政府工作报告》。报告表示，今年要积极推进新型工业化，巩固提升工业经济比重，推动重点产业链高质量发展，全力落实新一</w:t>
      </w:r>
      <w:r>
        <w:rPr>
          <w:spacing w:val="1"/>
        </w:rPr>
        <w:t>轮集成电路、生物医药、人工智能</w:t>
      </w:r>
      <w:r>
        <w:rPr>
          <w:rFonts w:ascii="Arial" w:eastAsia="Arial" w:hAnsi="Arial"/>
        </w:rPr>
        <w:t>“</w:t>
      </w:r>
      <w:r>
        <w:rPr>
          <w:spacing w:val="1"/>
        </w:rPr>
        <w:t>上海方案</w:t>
      </w:r>
      <w:r>
        <w:rPr>
          <w:rFonts w:ascii="Arial" w:eastAsia="Arial" w:hAnsi="Arial"/>
        </w:rPr>
        <w:t>”</w:t>
      </w:r>
      <w:r>
        <w:t>，培育提升新能源汽车、高端装备、先进材料、民用航空、空间信息等高端产业集群，加快打造未来产业先导区。推动工业互联网赋能制造业高质量发展，实施</w:t>
      </w:r>
      <w:r>
        <w:rPr>
          <w:rFonts w:ascii="Arial" w:eastAsia="Arial" w:hAnsi="Arial"/>
        </w:rPr>
        <w:t>“</w:t>
      </w:r>
      <w:r>
        <w:t>智能机器人</w:t>
      </w:r>
      <w:r>
        <w:rPr>
          <w:rFonts w:ascii="Arial" w:eastAsia="Arial" w:hAnsi="Arial"/>
          <w:spacing w:val="-3"/>
        </w:rPr>
        <w:t>+”</w:t>
      </w:r>
      <w:r>
        <w:t>行动，率先开展国家智能网联汽车准入和上路通</w:t>
      </w:r>
      <w:r>
        <w:rPr>
          <w:spacing w:val="-5"/>
        </w:rPr>
        <w:t xml:space="preserve">行试点。报告同时显示，去年上海新能源汽车推广 </w:t>
      </w:r>
      <w:r>
        <w:rPr>
          <w:rFonts w:ascii="Arial" w:eastAsia="Arial" w:hAnsi="Arial"/>
        </w:rPr>
        <w:t xml:space="preserve">35.4 </w:t>
      </w:r>
      <w:r>
        <w:rPr>
          <w:spacing w:val="-7"/>
        </w:rPr>
        <w:t xml:space="preserve">万辆，保有量达到 </w:t>
      </w:r>
      <w:r>
        <w:rPr>
          <w:rFonts w:ascii="Arial" w:eastAsia="Arial" w:hAnsi="Arial"/>
        </w:rPr>
        <w:t xml:space="preserve">128.8 </w:t>
      </w:r>
      <w:r>
        <w:rPr>
          <w:spacing w:val="-1"/>
        </w:rPr>
        <w:t>万辆、排</w:t>
      </w:r>
      <w:r>
        <w:rPr>
          <w:spacing w:val="-16"/>
        </w:rPr>
        <w:t>名全球城市第一。</w:t>
      </w:r>
      <w:r>
        <w:rPr>
          <w:spacing w:val="-3"/>
        </w:rPr>
        <w:t>（来源：财联社汽车早报</w:t>
      </w:r>
      <w:r>
        <w:t>）</w:t>
      </w:r>
    </w:p>
    <w:p>
      <w:pPr>
        <w:pStyle w:val="BodyText"/>
        <w:spacing w:before="156" w:line="285" w:lineRule="auto"/>
        <w:ind w:left="2023" w:right="111"/>
      </w:pPr>
      <w:r>
        <w:rPr>
          <w:b/>
          <w:spacing w:val="-4"/>
        </w:rPr>
        <w:t xml:space="preserve">北京今年启动高级别自动驾驶示范区建设 </w:t>
      </w:r>
      <w:r>
        <w:rPr>
          <w:rFonts w:ascii="Arial" w:eastAsia="Arial"/>
          <w:b/>
        </w:rPr>
        <w:t xml:space="preserve">4.0 </w:t>
      </w:r>
      <w:r>
        <w:rPr>
          <w:b/>
        </w:rPr>
        <w:t>阶段任务。</w:t>
      </w:r>
      <w:r>
        <w:rPr>
          <w:rFonts w:ascii="Arial" w:eastAsia="Arial"/>
        </w:rPr>
        <w:t xml:space="preserve">1 </w:t>
      </w:r>
      <w:r>
        <w:rPr>
          <w:spacing w:val="-17"/>
        </w:rPr>
        <w:t xml:space="preserve">月 </w:t>
      </w:r>
      <w:r>
        <w:rPr>
          <w:rFonts w:ascii="Arial" w:eastAsia="Arial"/>
        </w:rPr>
        <w:t xml:space="preserve">21 </w:t>
      </w:r>
      <w:r>
        <w:rPr>
          <w:spacing w:val="-3"/>
        </w:rPr>
        <w:t>日，北京市第十六届人民代表大会第二次会议开幕，市长殷勇作政府工作报告。报告指出，今年，北京将统筹推进  数字产业化。大力建设数据基础制度先行区，开展数据资产入表、数据跨境便利化服务等  综合改革试点，推动算力中心、数据训练基地、国家区块链枢纽节点等一批重大项目落地。探索完善数据交易规范，提升北京国际大数据交易所运营能力。启动高级别自动驾驶示范  区</w:t>
      </w:r>
      <w:r>
        <w:rPr>
          <w:spacing w:val="-4"/>
        </w:rPr>
        <w:t xml:space="preserve">建设 </w:t>
      </w:r>
      <w:r>
        <w:rPr>
          <w:rFonts w:ascii="Arial" w:eastAsia="Arial"/>
        </w:rPr>
        <w:t>4.0</w:t>
      </w:r>
      <w:r>
        <w:rPr>
          <w:rFonts w:ascii="Arial" w:eastAsia="Arial"/>
          <w:spacing w:val="28"/>
        </w:rPr>
        <w:t xml:space="preserve"> </w:t>
      </w:r>
      <w:r>
        <w:rPr>
          <w:spacing w:val="-7"/>
        </w:rPr>
        <w:t>阶段任务，推动机场、火车站、城市道路清扫等重点应用场景有序开放。</w:t>
      </w:r>
      <w:r>
        <w:rPr>
          <w:spacing w:val="-3"/>
        </w:rPr>
        <w:t>（</w:t>
      </w:r>
      <w:r>
        <w:rPr>
          <w:spacing w:val="-2"/>
        </w:rPr>
        <w:t xml:space="preserve">来源： </w:t>
      </w:r>
      <w:r>
        <w:rPr>
          <w:spacing w:val="-3"/>
        </w:rPr>
        <w:t>财联社汽车早报</w:t>
      </w:r>
      <w:r>
        <w:t>）</w:t>
      </w:r>
    </w:p>
    <w:p>
      <w:pPr>
        <w:spacing w:before="154"/>
        <w:ind w:left="2023" w:right="0" w:firstLine="0"/>
        <w:jc w:val="left"/>
        <w:rPr>
          <w:sz w:val="21"/>
        </w:rPr>
      </w:pPr>
      <w:r>
        <w:rPr>
          <w:b/>
          <w:sz w:val="21"/>
        </w:rPr>
        <w:t>商务部：</w:t>
      </w:r>
      <w:r>
        <w:rPr>
          <w:rFonts w:ascii="Arial" w:eastAsia="Arial"/>
          <w:b/>
          <w:sz w:val="21"/>
        </w:rPr>
        <w:t>2023</w:t>
      </w:r>
      <w:r>
        <w:rPr>
          <w:rFonts w:ascii="Arial" w:eastAsia="Arial"/>
          <w:b/>
          <w:spacing w:val="5"/>
          <w:sz w:val="21"/>
        </w:rPr>
        <w:t xml:space="preserve"> </w:t>
      </w:r>
      <w:r>
        <w:rPr>
          <w:b/>
          <w:spacing w:val="-6"/>
          <w:sz w:val="21"/>
        </w:rPr>
        <w:t xml:space="preserve">年全年汽车销售 </w:t>
      </w:r>
      <w:r>
        <w:rPr>
          <w:rFonts w:ascii="Arial" w:eastAsia="Arial"/>
          <w:b/>
          <w:sz w:val="21"/>
        </w:rPr>
        <w:t>3009.4</w:t>
      </w:r>
      <w:r>
        <w:rPr>
          <w:rFonts w:ascii="Arial" w:eastAsia="Arial"/>
          <w:b/>
          <w:spacing w:val="5"/>
          <w:sz w:val="21"/>
        </w:rPr>
        <w:t xml:space="preserve"> </w:t>
      </w:r>
      <w:r>
        <w:rPr>
          <w:b/>
          <w:spacing w:val="-7"/>
          <w:sz w:val="21"/>
        </w:rPr>
        <w:t xml:space="preserve">万辆，连续 </w:t>
      </w:r>
      <w:r>
        <w:rPr>
          <w:rFonts w:ascii="Arial" w:eastAsia="Arial"/>
          <w:b/>
          <w:sz w:val="21"/>
        </w:rPr>
        <w:t>15</w:t>
      </w:r>
      <w:r>
        <w:rPr>
          <w:rFonts w:ascii="Arial" w:eastAsia="Arial"/>
          <w:b/>
          <w:spacing w:val="5"/>
          <w:sz w:val="21"/>
        </w:rPr>
        <w:t xml:space="preserve"> </w:t>
      </w:r>
      <w:r>
        <w:rPr>
          <w:b/>
          <w:sz w:val="21"/>
        </w:rPr>
        <w:t>年居全球首位。</w:t>
      </w:r>
      <w:r>
        <w:rPr>
          <w:rFonts w:ascii="Arial" w:eastAsia="Arial"/>
          <w:sz w:val="21"/>
        </w:rPr>
        <w:t xml:space="preserve">1 </w:t>
      </w:r>
      <w:r>
        <w:rPr>
          <w:spacing w:val="-19"/>
          <w:sz w:val="21"/>
        </w:rPr>
        <w:t xml:space="preserve">月 </w:t>
      </w:r>
      <w:r>
        <w:rPr>
          <w:rFonts w:ascii="Arial" w:eastAsia="Arial"/>
          <w:sz w:val="21"/>
        </w:rPr>
        <w:t xml:space="preserve">20 </w:t>
      </w:r>
      <w:r>
        <w:rPr>
          <w:spacing w:val="-1"/>
          <w:sz w:val="21"/>
        </w:rPr>
        <w:t>日，商务部</w:t>
      </w:r>
    </w:p>
    <w:p>
      <w:pPr>
        <w:pStyle w:val="BodyText"/>
        <w:spacing w:before="50" w:line="285" w:lineRule="auto"/>
        <w:ind w:left="2023" w:right="320"/>
        <w:jc w:val="both"/>
      </w:pPr>
      <w:r>
        <w:rPr>
          <w:spacing w:val="-3"/>
        </w:rPr>
        <w:t xml:space="preserve">消费促进司负责人谈及 </w:t>
      </w:r>
      <w:r>
        <w:rPr>
          <w:rFonts w:ascii="Arial" w:eastAsia="Arial"/>
        </w:rPr>
        <w:t>2023</w:t>
      </w:r>
      <w:r>
        <w:rPr>
          <w:rFonts w:ascii="Arial" w:eastAsia="Arial"/>
          <w:spacing w:val="35"/>
        </w:rPr>
        <w:t xml:space="preserve"> </w:t>
      </w:r>
      <w:r>
        <w:rPr>
          <w:spacing w:val="-3"/>
        </w:rPr>
        <w:t xml:space="preserve">年 </w:t>
      </w:r>
      <w:r>
        <w:rPr>
          <w:rFonts w:ascii="Arial" w:eastAsia="Arial"/>
        </w:rPr>
        <w:t>12</w:t>
      </w:r>
      <w:r>
        <w:rPr>
          <w:rFonts w:ascii="Arial" w:eastAsia="Arial"/>
          <w:spacing w:val="32"/>
        </w:rPr>
        <w:t xml:space="preserve"> </w:t>
      </w:r>
      <w:r>
        <w:rPr>
          <w:spacing w:val="-3"/>
        </w:rPr>
        <w:t>月我国消费市场情况。</w:t>
      </w:r>
      <w:r>
        <w:rPr>
          <w:rFonts w:ascii="Arial" w:eastAsia="Arial"/>
        </w:rPr>
        <w:t>12</w:t>
      </w:r>
      <w:r>
        <w:rPr>
          <w:rFonts w:ascii="Arial" w:eastAsia="Arial"/>
          <w:spacing w:val="35"/>
        </w:rPr>
        <w:t xml:space="preserve"> </w:t>
      </w:r>
      <w:r>
        <w:rPr>
          <w:spacing w:val="-3"/>
        </w:rPr>
        <w:t>月份，商品零售额同比增长</w:t>
      </w:r>
      <w:r>
        <w:rPr>
          <w:rFonts w:ascii="Arial" w:eastAsia="Arial"/>
          <w:spacing w:val="-3"/>
        </w:rPr>
        <w:t>4.8%</w:t>
      </w:r>
      <w:r>
        <w:rPr>
          <w:spacing w:val="-3"/>
        </w:rPr>
        <w:t>，其中升级类商品消费需求增长明显，限额以上单位金银珠宝、体育娱乐用品、通讯</w:t>
      </w:r>
      <w:r>
        <w:rPr>
          <w:spacing w:val="-8"/>
        </w:rPr>
        <w:t xml:space="preserve">器材零售额同比分别增长 </w:t>
      </w:r>
      <w:r>
        <w:rPr>
          <w:rFonts w:ascii="Arial" w:eastAsia="Arial"/>
        </w:rPr>
        <w:t>29.4%</w:t>
      </w:r>
      <w:r>
        <w:rPr>
          <w:spacing w:val="-3"/>
        </w:rPr>
        <w:t>、</w:t>
      </w:r>
      <w:r>
        <w:rPr>
          <w:rFonts w:ascii="Arial" w:eastAsia="Arial"/>
        </w:rPr>
        <w:t>16.7%</w:t>
      </w:r>
      <w:r>
        <w:rPr>
          <w:spacing w:val="-25"/>
        </w:rPr>
        <w:t xml:space="preserve">和 </w:t>
      </w:r>
      <w:r>
        <w:rPr>
          <w:rFonts w:ascii="Arial" w:eastAsia="Arial"/>
          <w:spacing w:val="-5"/>
        </w:rPr>
        <w:t>11.0%</w:t>
      </w:r>
      <w:r>
        <w:rPr>
          <w:spacing w:val="-3"/>
        </w:rPr>
        <w:t>。</w:t>
      </w:r>
      <w:r>
        <w:rPr>
          <w:rFonts w:ascii="Arial" w:eastAsia="Arial"/>
        </w:rPr>
        <w:t>1-12</w:t>
      </w:r>
      <w:r>
        <w:rPr>
          <w:rFonts w:ascii="Arial" w:eastAsia="Arial"/>
          <w:spacing w:val="-12"/>
        </w:rPr>
        <w:t xml:space="preserve"> </w:t>
      </w:r>
      <w:r>
        <w:rPr>
          <w:spacing w:val="-8"/>
        </w:rPr>
        <w:t xml:space="preserve">月，商品零售额同比增长 </w:t>
      </w:r>
      <w:r>
        <w:rPr>
          <w:rFonts w:ascii="Arial" w:eastAsia="Arial"/>
        </w:rPr>
        <w:t>5.8%</w:t>
      </w:r>
      <w:r>
        <w:t>。</w:t>
      </w:r>
      <w:r>
        <w:rPr>
          <w:spacing w:val="-6"/>
        </w:rPr>
        <w:t xml:space="preserve">汽车销售保持良好增势，全年销售 </w:t>
      </w:r>
      <w:r>
        <w:rPr>
          <w:rFonts w:ascii="Arial" w:eastAsia="Arial"/>
        </w:rPr>
        <w:t xml:space="preserve">3009.4 </w:t>
      </w:r>
      <w:r>
        <w:rPr>
          <w:spacing w:val="-8"/>
        </w:rPr>
        <w:t xml:space="preserve">万辆，同比增长 </w:t>
      </w:r>
      <w:r>
        <w:rPr>
          <w:rFonts w:ascii="Arial" w:eastAsia="Arial"/>
        </w:rPr>
        <w:t>12%</w:t>
      </w:r>
      <w:r>
        <w:rPr>
          <w:spacing w:val="-11"/>
        </w:rPr>
        <w:t xml:space="preserve">，连续 </w:t>
      </w:r>
      <w:r>
        <w:rPr>
          <w:rFonts w:ascii="Arial" w:eastAsia="Arial"/>
        </w:rPr>
        <w:t xml:space="preserve">15 </w:t>
      </w:r>
      <w:r>
        <w:rPr>
          <w:spacing w:val="-3"/>
        </w:rPr>
        <w:t>年居全球首位。</w:t>
      </w:r>
      <w:r>
        <w:rPr>
          <w:spacing w:val="-5"/>
        </w:rPr>
        <w:t xml:space="preserve">其中，新能源汽车销售 </w:t>
      </w:r>
      <w:r>
        <w:rPr>
          <w:rFonts w:ascii="Arial" w:eastAsia="Arial"/>
        </w:rPr>
        <w:t>949.5</w:t>
      </w:r>
      <w:r>
        <w:rPr>
          <w:rFonts w:ascii="Arial" w:eastAsia="Arial"/>
          <w:spacing w:val="14"/>
        </w:rPr>
        <w:t xml:space="preserve"> </w:t>
      </w:r>
      <w:r>
        <w:rPr>
          <w:spacing w:val="-6"/>
        </w:rPr>
        <w:t xml:space="preserve">万辆，比上年增长 </w:t>
      </w:r>
      <w:r>
        <w:rPr>
          <w:rFonts w:ascii="Arial" w:eastAsia="Arial"/>
        </w:rPr>
        <w:t>37.9%</w:t>
      </w:r>
      <w:r>
        <w:rPr>
          <w:spacing w:val="-5"/>
        </w:rPr>
        <w:t xml:space="preserve">，占汽车总销量的比重达 </w:t>
      </w:r>
      <w:r>
        <w:rPr>
          <w:rFonts w:ascii="Arial" w:eastAsia="Arial"/>
        </w:rPr>
        <w:t>31.6%</w:t>
      </w:r>
      <w:r>
        <w:t>。</w:t>
      </w:r>
    </w:p>
    <w:p>
      <w:pPr>
        <w:pStyle w:val="BodyText"/>
        <w:ind w:left="2023"/>
      </w:pPr>
      <w:r>
        <w:t>（来源：财联社汽车早报）</w:t>
      </w:r>
    </w:p>
    <w:p>
      <w:pPr>
        <w:pStyle w:val="BodyText"/>
        <w:spacing w:before="1"/>
        <w:rPr>
          <w:sz w:val="16"/>
        </w:rPr>
      </w:pPr>
    </w:p>
    <w:p>
      <w:pPr>
        <w:pStyle w:val="BodyText"/>
        <w:spacing w:before="1" w:line="285" w:lineRule="auto"/>
        <w:ind w:left="2023" w:right="111"/>
      </w:pPr>
      <w:r>
        <w:rPr>
          <w:b/>
          <w:spacing w:val="4"/>
        </w:rPr>
        <w:t xml:space="preserve">大众中国 </w:t>
      </w:r>
      <w:r>
        <w:rPr>
          <w:rFonts w:ascii="Arial" w:eastAsia="Arial" w:hAnsi="Arial"/>
          <w:b/>
        </w:rPr>
        <w:t>CEO</w:t>
      </w:r>
      <w:r>
        <w:rPr>
          <w:b/>
        </w:rPr>
        <w:t>：在华主要燃油车均向新能源转型，将推续航超百公里插混产品。</w:t>
      </w:r>
      <w:r>
        <w:rPr>
          <w:rFonts w:ascii="Arial" w:eastAsia="Arial" w:hAnsi="Arial"/>
        </w:rPr>
        <w:t>1</w:t>
      </w:r>
      <w:r>
        <w:rPr>
          <w:rFonts w:ascii="Arial" w:eastAsia="Arial" w:hAnsi="Arial"/>
          <w:spacing w:val="52"/>
        </w:rPr>
        <w:t xml:space="preserve"> </w:t>
      </w:r>
      <w:r>
        <w:rPr>
          <w:spacing w:val="9"/>
        </w:rPr>
        <w:t xml:space="preserve">月 </w:t>
      </w:r>
      <w:r>
        <w:rPr>
          <w:rFonts w:ascii="Arial" w:eastAsia="Arial" w:hAnsi="Arial"/>
          <w:spacing w:val="-3"/>
        </w:rPr>
        <w:t xml:space="preserve">25 </w:t>
      </w:r>
      <w:r>
        <w:t>日，大众汽车集团（中国）董事长兼首席执行官贝瑞德</w:t>
      </w:r>
      <w:r>
        <w:rPr>
          <w:rFonts w:ascii="Arial" w:eastAsia="Arial" w:hAnsi="Arial"/>
        </w:rPr>
        <w:t>(Ralf</w:t>
      </w:r>
      <w:r>
        <w:rPr>
          <w:rFonts w:ascii="Arial" w:eastAsia="Arial" w:hAnsi="Arial"/>
          <w:spacing w:val="19"/>
        </w:rPr>
        <w:t xml:space="preserve">  </w:t>
      </w:r>
      <w:r>
        <w:rPr>
          <w:rFonts w:ascii="Arial" w:eastAsia="Arial" w:hAnsi="Arial"/>
        </w:rPr>
        <w:t>Brandstätter)</w:t>
      </w:r>
      <w:r>
        <w:t>表示，鉴于中国市场巨大的差异性，大众汽车集团将继续在华投资燃油车型，且所有主要燃油车型均将向  新</w:t>
      </w:r>
      <w:r>
        <w:rPr>
          <w:spacing w:val="-5"/>
        </w:rPr>
        <w:t xml:space="preserve">能源汽车转型。集团同时将推最新插电混动技术，实现超过 </w:t>
      </w:r>
      <w:r>
        <w:rPr>
          <w:rFonts w:ascii="Arial" w:eastAsia="Arial" w:hAnsi="Arial"/>
        </w:rPr>
        <w:t>100</w:t>
      </w:r>
      <w:r>
        <w:rPr>
          <w:rFonts w:ascii="Arial" w:eastAsia="Arial" w:hAnsi="Arial"/>
          <w:spacing w:val="-2"/>
        </w:rPr>
        <w:t xml:space="preserve"> </w:t>
      </w:r>
      <w:r>
        <w:rPr>
          <w:spacing w:val="-16"/>
        </w:rPr>
        <w:t>公里的纯电续航。</w:t>
      </w:r>
      <w:r>
        <w:rPr>
          <w:spacing w:val="-3"/>
        </w:rPr>
        <w:t>（</w:t>
      </w:r>
      <w:r>
        <w:rPr>
          <w:spacing w:val="-2"/>
        </w:rPr>
        <w:t xml:space="preserve">来源： </w:t>
      </w:r>
      <w:r>
        <w:rPr>
          <w:spacing w:val="-3"/>
        </w:rPr>
        <w:t>财联社汽车早报</w:t>
      </w:r>
      <w:r>
        <w:t>）</w:t>
      </w:r>
    </w:p>
    <w:p>
      <w:pPr>
        <w:spacing w:after="0" w:line="285" w:lineRule="auto"/>
        <w:sectPr>
          <w:headerReference w:type="default" r:id="rId20"/>
          <w:footerReference w:type="default" r:id="rId21"/>
          <w:pgSz w:w="11910" w:h="16840"/>
          <w:pgMar w:top="960" w:right="520" w:bottom="1200" w:left="72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pStyle w:val="Heading1"/>
        <w:spacing w:before="58"/>
      </w:pPr>
      <w:bookmarkStart w:id="5" w:name="_TOC_250011"/>
      <w:bookmarkEnd w:id="5"/>
      <w:r>
        <w:t>3、 重点公司公告</w:t>
      </w:r>
    </w:p>
    <w:p>
      <w:pPr>
        <w:pStyle w:val="BodyText"/>
        <w:spacing w:line="20" w:lineRule="exact"/>
        <w:ind w:left="1989"/>
        <w:rPr>
          <w:rFonts w:ascii="黑体"/>
          <w:sz w:val="2"/>
        </w:rPr>
      </w:pPr>
      <w:r>
        <w:rPr>
          <w:rFonts w:ascii="黑体"/>
          <w:sz w:val="2"/>
        </w:rPr>
        <w:pict>
          <v:group id="_x0000_i1108" style="width:418.7pt;height:0.5pt;mso-position-horizontal-relative:char;mso-position-vertical-relative:line" coordorigin="0,0" coordsize="8374,10">
            <v:line id="_x0000_s1109" style="position:absolute" from="0,5" to="8373,5" stroked="t" strokecolor="#51759c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7"/>
        <w:rPr>
          <w:rFonts w:ascii="黑体"/>
          <w:sz w:val="6"/>
        </w:rPr>
      </w:pPr>
    </w:p>
    <w:p>
      <w:pPr>
        <w:pStyle w:val="Heading2"/>
        <w:ind w:left="2023" w:firstLine="0"/>
      </w:pPr>
      <w:bookmarkStart w:id="6" w:name="_TOC_250010"/>
      <w:bookmarkEnd w:id="6"/>
      <w:r>
        <w:t>3.1 重点公司公告</w:t>
      </w:r>
    </w:p>
    <w:p>
      <w:pPr>
        <w:spacing w:before="96" w:after="2"/>
        <w:ind w:left="132" w:right="0" w:firstLine="0"/>
        <w:jc w:val="left"/>
        <w:rPr>
          <w:b/>
          <w:sz w:val="18"/>
        </w:rPr>
      </w:pPr>
      <w:r>
        <w:rPr>
          <w:b/>
          <w:color w:val="152E57"/>
          <w:sz w:val="18"/>
        </w:rPr>
        <w:t>表 2：本周汽车行业重点公司公告</w:t>
      </w:r>
    </w:p>
    <w:p>
      <w:pPr>
        <w:pStyle w:val="BodyText"/>
        <w:spacing w:line="20" w:lineRule="exact"/>
        <w:ind w:left="122"/>
        <w:rPr>
          <w:sz w:val="2"/>
        </w:rPr>
      </w:pPr>
      <w:r>
        <w:rPr>
          <w:sz w:val="2"/>
        </w:rPr>
        <w:pict>
          <v:group id="_x0000_i1110" style="width:510.4pt;height:1pt;mso-position-horizontal-relative:char;mso-position-vertical-relative:line" coordorigin="0,0" coordsize="10208,20">
            <v:line id="_x0000_s1111" style="position:absolute" from="0,10" to="994,10" stroked="t" strokecolor="#51759c" strokeweight="0.96pt">
              <v:stroke dashstyle="solid"/>
            </v:line>
            <v:rect id="_x0000_s1112" style="width:20;height:20;left:994;position:absolute" filled="t" fillcolor="#51759c" stroked="f">
              <v:fill type="solid"/>
            </v:rect>
            <v:line id="_x0000_s1113" style="position:absolute" from="1013,10" to="1988,10" stroked="t" strokecolor="#51759c" strokeweight="0.96pt">
              <v:stroke dashstyle="solid"/>
            </v:line>
            <v:rect id="_x0000_s1114" style="width:20;height:20;left:1987;position:absolute" filled="t" fillcolor="#51759c" stroked="f">
              <v:fill type="solid"/>
            </v:rect>
            <v:line id="_x0000_s1115" style="position:absolute" from="2007,10" to="2979,10" stroked="t" strokecolor="#51759c" strokeweight="0.96pt">
              <v:stroke dashstyle="solid"/>
            </v:line>
            <v:rect id="_x0000_s1116" style="width:20;height:20;left:2979;position:absolute" filled="t" fillcolor="#51759c" stroked="f">
              <v:fill type="solid"/>
            </v:rect>
            <v:line id="_x0000_s1117" style="position:absolute" from="2999,10" to="10207,10" stroked="t" strokecolor="#51759c" strokeweight="0.96pt">
              <v:stroke dashstyle="solid"/>
            </v:line>
            <w10:wrap type="none"/>
          </v:group>
        </w:pict>
      </w:r>
    </w:p>
    <w:p>
      <w:pPr>
        <w:tabs>
          <w:tab w:val="left" w:pos="1298"/>
          <w:tab w:val="left" w:pos="2289"/>
          <w:tab w:val="left" w:pos="6399"/>
        </w:tabs>
        <w:spacing w:before="41"/>
        <w:ind w:left="468" w:right="0" w:firstLine="0"/>
        <w:jc w:val="left"/>
        <w:rPr>
          <w:b/>
          <w:sz w:val="16"/>
        </w:rPr>
      </w:pPr>
      <w:r>
        <w:pict>
          <v:group id="_x0000_s1118" style="width:510.4pt;height:86.1pt;margin-top:14.37pt;margin-left:42.6pt;mso-position-horizontal-relative:page;position:absolute;z-index:-251637760" coordorigin="852,287" coordsize="10208,1722">
            <v:shape id="_x0000_s1119" style="width:10205;height:1703;left:852;position:absolute;top:306" coordorigin="852,307" coordsize="10205,1703" path="m3829,307l2837,307,2837,307,1846,307,852,307,852,2009,1846,2009,2837,2009,2837,2009,3829,2009,3829,307m11057,307l3829,307,3829,2009,11057,2009,11057,307e" filled="t" fillcolor="#ddebf7" stroked="f">
              <v:fill type="solid"/>
              <v:path arrowok="t"/>
            </v:shape>
            <v:rect id="_x0000_s1120" style="width:995;height:20;left:852;position:absolute;top:287" filled="t" fillcolor="black" stroked="f">
              <v:fill type="solid"/>
            </v:rect>
            <v:rect id="_x0000_s1121" style="width:20;height:20;left:1846;position:absolute;top:287" filled="t" fillcolor="black" stroked="f">
              <v:fill type="solid"/>
            </v:rect>
            <v:line id="_x0000_s1122" style="position:absolute" from="1865,297" to="2840,297" stroked="t" strokecolor="black" strokeweight="0.96pt">
              <v:stroke dashstyle="solid"/>
            </v:line>
            <v:rect id="_x0000_s1123" style="width:20;height:20;left:2839;position:absolute;top:287" filled="t" fillcolor="black" stroked="f">
              <v:fill type="solid"/>
            </v:rect>
            <v:line id="_x0000_s1124" style="position:absolute" from="2859,297" to="3831,297" stroked="t" strokecolor="black" strokeweight="0.96pt">
              <v:stroke dashstyle="solid"/>
            </v:line>
            <v:rect id="_x0000_s1125" style="width:20;height:20;left:3831;position:absolute;top:287" filled="t" fillcolor="black" stroked="f">
              <v:fill type="solid"/>
            </v:rect>
            <v:line id="_x0000_s1126" style="position:absolute" from="3851,297" to="11059,297" stroked="t" strokecolor="black" strokeweight="0.96pt">
              <v:stroke dashstyle="solid"/>
            </v:line>
          </v:group>
        </w:pict>
      </w:r>
      <w:r>
        <w:rPr>
          <w:b/>
          <w:color w:val="003366"/>
          <w:sz w:val="16"/>
        </w:rPr>
        <w:t>公司</w:t>
        <w:tab/>
        <w:t>公告时间</w:t>
        <w:tab/>
        <w:t>公告类型</w:t>
        <w:tab/>
        <w:t>公告内容</w:t>
      </w:r>
    </w:p>
    <w:p>
      <w:pPr>
        <w:spacing w:before="83"/>
        <w:ind w:left="3217" w:right="0" w:firstLine="0"/>
        <w:jc w:val="left"/>
        <w:rPr>
          <w:sz w:val="16"/>
        </w:rPr>
      </w:pPr>
      <w:r>
        <w:rPr>
          <w:color w:val="152E57"/>
          <w:spacing w:val="-4"/>
          <w:sz w:val="16"/>
        </w:rPr>
        <w:t xml:space="preserve">福耀玻璃工业集团股份有限公司于 </w:t>
      </w:r>
      <w:r>
        <w:rPr>
          <w:color w:val="152E57"/>
          <w:sz w:val="16"/>
        </w:rPr>
        <w:t>2024</w:t>
      </w:r>
      <w:r>
        <w:rPr>
          <w:color w:val="152E57"/>
          <w:spacing w:val="-10"/>
          <w:sz w:val="16"/>
        </w:rPr>
        <w:t xml:space="preserve"> 年 </w:t>
      </w:r>
      <w:r>
        <w:rPr>
          <w:color w:val="152E57"/>
          <w:sz w:val="16"/>
        </w:rPr>
        <w:t>1</w:t>
      </w:r>
      <w:r>
        <w:rPr>
          <w:color w:val="152E57"/>
          <w:spacing w:val="-10"/>
          <w:sz w:val="16"/>
        </w:rPr>
        <w:t xml:space="preserve"> 月 </w:t>
      </w:r>
      <w:r>
        <w:rPr>
          <w:color w:val="152E57"/>
          <w:sz w:val="16"/>
        </w:rPr>
        <w:t>25</w:t>
      </w:r>
      <w:r>
        <w:rPr>
          <w:color w:val="152E57"/>
          <w:spacing w:val="-5"/>
          <w:sz w:val="16"/>
        </w:rPr>
        <w:t xml:space="preserve"> 日召开的第十一届董事局第二次会议审议通过了</w:t>
      </w:r>
    </w:p>
    <w:p>
      <w:pPr>
        <w:spacing w:before="1" w:line="244" w:lineRule="auto"/>
        <w:ind w:left="3217" w:right="434" w:firstLine="0"/>
        <w:jc w:val="left"/>
        <w:rPr>
          <w:sz w:val="16"/>
        </w:rPr>
      </w:pPr>
      <w:r>
        <w:rPr>
          <w:color w:val="152E57"/>
          <w:sz w:val="16"/>
        </w:rPr>
        <w:t>《关于公司在安徽省合肥市投资设立子公司并建设汽车安全玻璃项目、汽车配件玻璃项目和优质浮法玻璃项目的议案》，根据公司发展的需要及战略规划，公司拟于安徽省合肥市设立三家全资子公</w:t>
      </w:r>
    </w:p>
    <w:p>
      <w:pPr>
        <w:spacing w:after="0" w:line="244" w:lineRule="auto"/>
        <w:jc w:val="left"/>
        <w:rPr>
          <w:sz w:val="16"/>
        </w:rPr>
        <w:sectPr>
          <w:headerReference w:type="default" r:id="rId22"/>
          <w:footerReference w:type="default" r:id="rId23"/>
          <w:pgSz w:w="11910" w:h="16840"/>
          <w:pgMar w:top="960" w:right="520" w:bottom="1200" w:left="720" w:header="708" w:footer="708"/>
          <w:pgNumType w:start="6"/>
          <w:cols w:space="708"/>
        </w:sectPr>
      </w:pPr>
    </w:p>
    <w:p>
      <w:pPr>
        <w:tabs>
          <w:tab w:val="left" w:pos="1260"/>
          <w:tab w:val="left" w:pos="2292"/>
        </w:tabs>
        <w:spacing w:before="103"/>
        <w:ind w:left="307" w:right="0" w:firstLine="0"/>
        <w:jc w:val="left"/>
        <w:rPr>
          <w:sz w:val="16"/>
        </w:rPr>
      </w:pPr>
      <w:r>
        <w:rPr>
          <w:color w:val="152E57"/>
          <w:sz w:val="16"/>
        </w:rPr>
        <w:t>福耀玻璃</w:t>
        <w:tab/>
        <w:t>2024/1/26</w:t>
        <w:tab/>
        <w:t>对外投</w:t>
      </w:r>
      <w:r>
        <w:rPr>
          <w:color w:val="152E57"/>
          <w:spacing w:val="-20"/>
          <w:sz w:val="16"/>
        </w:rPr>
        <w:t>资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tabs>
          <w:tab w:val="left" w:pos="1260"/>
          <w:tab w:val="left" w:pos="2292"/>
        </w:tabs>
        <w:spacing w:before="142"/>
        <w:ind w:left="307" w:right="0" w:firstLine="0"/>
        <w:jc w:val="left"/>
        <w:rPr>
          <w:sz w:val="16"/>
        </w:rPr>
      </w:pPr>
      <w:r>
        <w:rPr>
          <w:color w:val="152E57"/>
          <w:sz w:val="16"/>
        </w:rPr>
        <w:t>万安科技</w:t>
        <w:tab/>
        <w:t>2024/1/27</w:t>
        <w:tab/>
        <w:t>对外投</w:t>
      </w:r>
      <w:r>
        <w:rPr>
          <w:color w:val="152E57"/>
          <w:spacing w:val="-20"/>
          <w:sz w:val="16"/>
        </w:rPr>
        <w:t>资</w:t>
      </w:r>
    </w:p>
    <w:p>
      <w:pPr>
        <w:spacing w:before="0" w:line="244" w:lineRule="auto"/>
        <w:ind w:left="241" w:right="433" w:firstLine="0"/>
        <w:jc w:val="both"/>
        <w:rPr>
          <w:sz w:val="16"/>
        </w:rPr>
      </w:pPr>
      <w:r>
        <w:br w:type="column"/>
      </w:r>
      <w:r>
        <w:rPr>
          <w:color w:val="152E57"/>
          <w:sz w:val="16"/>
        </w:rPr>
        <w:t>司福耀玻璃（合肥）有限公司、福耀玻璃（合肥）配件有限公司和合肥福耀浮法玻璃有限公司（暂定名）</w:t>
      </w:r>
      <w:r>
        <w:rPr>
          <w:color w:val="152E57"/>
          <w:spacing w:val="-2"/>
          <w:sz w:val="16"/>
        </w:rPr>
        <w:t xml:space="preserve">，并投资人民币 </w:t>
      </w:r>
      <w:r>
        <w:rPr>
          <w:color w:val="152E57"/>
          <w:sz w:val="16"/>
        </w:rPr>
        <w:t>57.5</w:t>
      </w:r>
      <w:r>
        <w:rPr>
          <w:color w:val="152E57"/>
          <w:spacing w:val="-3"/>
          <w:sz w:val="16"/>
        </w:rPr>
        <w:t xml:space="preserve"> 亿元用于建设汽车安全玻璃项目</w:t>
      </w:r>
      <w:r>
        <w:rPr>
          <w:color w:val="152E57"/>
          <w:sz w:val="16"/>
        </w:rPr>
        <w:t>（OEM</w:t>
      </w:r>
      <w:r>
        <w:rPr>
          <w:color w:val="152E57"/>
          <w:spacing w:val="-3"/>
          <w:sz w:val="16"/>
        </w:rPr>
        <w:t xml:space="preserve"> 配套市场</w:t>
      </w:r>
      <w:r>
        <w:rPr>
          <w:color w:val="152E57"/>
          <w:sz w:val="16"/>
        </w:rPr>
        <w:t>）</w:t>
      </w:r>
      <w:r>
        <w:rPr>
          <w:color w:val="152E57"/>
          <w:spacing w:val="-3"/>
          <w:sz w:val="16"/>
        </w:rPr>
        <w:t>、汽车配件玻璃项目</w:t>
      </w:r>
    </w:p>
    <w:p>
      <w:pPr>
        <w:spacing w:before="0" w:line="242" w:lineRule="auto"/>
        <w:ind w:left="241" w:right="433" w:firstLine="0"/>
        <w:jc w:val="both"/>
        <w:rPr>
          <w:sz w:val="16"/>
        </w:rPr>
      </w:pPr>
      <w:r>
        <w:rPr>
          <w:color w:val="152E57"/>
          <w:sz w:val="16"/>
        </w:rPr>
        <w:t>（ARG</w:t>
      </w:r>
      <w:r>
        <w:rPr>
          <w:color w:val="152E57"/>
          <w:spacing w:val="-3"/>
          <w:sz w:val="16"/>
        </w:rPr>
        <w:t xml:space="preserve"> 售后维修市场</w:t>
      </w:r>
      <w:r>
        <w:rPr>
          <w:color w:val="152E57"/>
          <w:sz w:val="16"/>
        </w:rPr>
        <w:t>）</w:t>
      </w:r>
      <w:r>
        <w:rPr>
          <w:color w:val="152E57"/>
          <w:spacing w:val="-3"/>
          <w:sz w:val="16"/>
        </w:rPr>
        <w:t>和优质浮法玻璃项目，配备先进的现代化生产设备，最终形成年产汽车安全玻</w:t>
      </w:r>
      <w:r>
        <w:rPr>
          <w:color w:val="152E57"/>
          <w:spacing w:val="-17"/>
          <w:sz w:val="16"/>
        </w:rPr>
        <w:t xml:space="preserve">璃约 </w:t>
      </w:r>
      <w:r>
        <w:rPr>
          <w:color w:val="152E57"/>
          <w:sz w:val="16"/>
        </w:rPr>
        <w:t>2,610</w:t>
      </w:r>
      <w:r>
        <w:rPr>
          <w:color w:val="152E57"/>
          <w:spacing w:val="-10"/>
          <w:sz w:val="16"/>
        </w:rPr>
        <w:t xml:space="preserve"> 万平方米的生产规模和两条优质浮法玻璃生产线。表决结果为：赞成 </w:t>
      </w:r>
      <w:r>
        <w:rPr>
          <w:color w:val="152E57"/>
          <w:sz w:val="16"/>
        </w:rPr>
        <w:t>9</w:t>
      </w:r>
      <w:r>
        <w:rPr>
          <w:color w:val="152E57"/>
          <w:spacing w:val="-8"/>
          <w:sz w:val="16"/>
        </w:rPr>
        <w:t xml:space="preserve"> 票，无反对票，无弃权票。</w:t>
      </w:r>
    </w:p>
    <w:p>
      <w:pPr>
        <w:spacing w:before="17" w:line="242" w:lineRule="auto"/>
        <w:ind w:left="241" w:right="433" w:firstLine="0"/>
        <w:jc w:val="both"/>
        <w:rPr>
          <w:sz w:val="16"/>
        </w:rPr>
      </w:pPr>
      <w:r>
        <w:rPr>
          <w:color w:val="152E57"/>
          <w:spacing w:val="-6"/>
          <w:sz w:val="16"/>
        </w:rPr>
        <w:t xml:space="preserve">浙江万安科技股份有限公司于 </w:t>
      </w:r>
      <w:r>
        <w:rPr>
          <w:color w:val="152E57"/>
          <w:sz w:val="16"/>
        </w:rPr>
        <w:t>2024</w:t>
      </w:r>
      <w:r>
        <w:rPr>
          <w:color w:val="152E57"/>
          <w:spacing w:val="-29"/>
          <w:sz w:val="16"/>
        </w:rPr>
        <w:t xml:space="preserve"> 年 </w:t>
      </w:r>
      <w:r>
        <w:rPr>
          <w:color w:val="152E57"/>
          <w:sz w:val="16"/>
        </w:rPr>
        <w:t>1</w:t>
      </w:r>
      <w:r>
        <w:rPr>
          <w:color w:val="152E57"/>
          <w:spacing w:val="-28"/>
          <w:sz w:val="16"/>
        </w:rPr>
        <w:t xml:space="preserve"> 月 </w:t>
      </w:r>
      <w:r>
        <w:rPr>
          <w:color w:val="152E57"/>
          <w:sz w:val="16"/>
        </w:rPr>
        <w:t>26</w:t>
      </w:r>
      <w:r>
        <w:rPr>
          <w:color w:val="152E57"/>
          <w:spacing w:val="-8"/>
          <w:sz w:val="16"/>
        </w:rPr>
        <w:t xml:space="preserve"> 日与炯熠电子科技</w:t>
      </w:r>
      <w:r>
        <w:rPr>
          <w:color w:val="152E57"/>
          <w:spacing w:val="-3"/>
          <w:sz w:val="16"/>
        </w:rPr>
        <w:t>（</w:t>
      </w:r>
      <w:r>
        <w:rPr>
          <w:color w:val="152E57"/>
          <w:spacing w:val="-2"/>
          <w:sz w:val="16"/>
        </w:rPr>
        <w:t>苏州</w:t>
      </w:r>
      <w:r>
        <w:rPr>
          <w:color w:val="152E57"/>
          <w:sz w:val="16"/>
        </w:rPr>
        <w:t>）</w:t>
      </w:r>
      <w:r>
        <w:rPr>
          <w:color w:val="152E57"/>
          <w:spacing w:val="-3"/>
          <w:sz w:val="16"/>
        </w:rPr>
        <w:t xml:space="preserve">有限公司、嘉兴隽舟股权投资合伙企业（有限合伙）、苏州偕创熠能技术咨询合伙企业（有限合伙）、上海跨悦信息技术有限公司、太仓市科技创业投资有限公司、陈娟、张晨晨、北京小米制造股权投资基金合伙企业（有限合伙）、无锡英普莱科技有限公司、江苏睿而佳科技有限公司等共同签署《炯熠电子科技（苏州） 有限公司之 </w:t>
      </w:r>
      <w:r>
        <w:rPr>
          <w:color w:val="152E57"/>
          <w:sz w:val="16"/>
        </w:rPr>
        <w:t>Pre-A2</w:t>
      </w:r>
      <w:r>
        <w:rPr>
          <w:color w:val="152E57"/>
          <w:spacing w:val="-3"/>
          <w:sz w:val="16"/>
        </w:rPr>
        <w:t xml:space="preserve"> 轮投资协议》和《炯熠电子科技</w:t>
      </w:r>
      <w:r>
        <w:rPr>
          <w:color w:val="152E57"/>
          <w:sz w:val="16"/>
        </w:rPr>
        <w:t>（</w:t>
      </w:r>
      <w:r>
        <w:rPr>
          <w:color w:val="152E57"/>
          <w:spacing w:val="-2"/>
          <w:sz w:val="16"/>
        </w:rPr>
        <w:t>苏州</w:t>
      </w:r>
      <w:r>
        <w:rPr>
          <w:color w:val="152E57"/>
          <w:sz w:val="16"/>
        </w:rPr>
        <w:t>）</w:t>
      </w:r>
      <w:r>
        <w:rPr>
          <w:color w:val="152E57"/>
          <w:spacing w:val="-3"/>
          <w:sz w:val="16"/>
        </w:rPr>
        <w:t>有限公司之股东协议》，按照协议的约</w:t>
      </w:r>
      <w:r>
        <w:rPr>
          <w:color w:val="152E57"/>
          <w:spacing w:val="6"/>
          <w:sz w:val="16"/>
        </w:rPr>
        <w:t xml:space="preserve">定，公司以增资形式向炯熠电子投资人民币 </w:t>
      </w:r>
      <w:r>
        <w:rPr>
          <w:color w:val="152E57"/>
          <w:sz w:val="16"/>
        </w:rPr>
        <w:t>1,700</w:t>
      </w:r>
      <w:r>
        <w:rPr>
          <w:color w:val="152E57"/>
          <w:spacing w:val="6"/>
          <w:sz w:val="16"/>
        </w:rPr>
        <w:t xml:space="preserve"> 万元，本次投资完成后，公司持有炯熠电子</w:t>
      </w:r>
    </w:p>
    <w:p>
      <w:pPr>
        <w:spacing w:after="0" w:line="242" w:lineRule="auto"/>
        <w:jc w:val="both"/>
        <w:rPr>
          <w:sz w:val="16"/>
        </w:rPr>
        <w:sectPr>
          <w:headerReference w:type="default" r:id="rId24"/>
          <w:footerReference w:type="default" r:id="rId25"/>
          <w:type w:val="continuous"/>
          <w:pgSz w:w="11910" w:h="16840"/>
          <w:pgMar w:top="960" w:right="520" w:bottom="1200" w:left="720" w:header="708" w:footer="708"/>
          <w:pgNumType w:start="7"/>
          <w:cols w:num="2" w:space="708" w:equalWidth="0">
            <w:col w:w="2936" w:space="40"/>
            <w:col w:w="7694" w:space="0"/>
          </w:cols>
        </w:sectPr>
      </w:pPr>
    </w:p>
    <w:p>
      <w:pPr>
        <w:pStyle w:val="BodyText"/>
        <w:rPr>
          <w:sz w:val="2"/>
        </w:rPr>
      </w:pPr>
    </w:p>
    <w:p>
      <w:pPr>
        <w:pStyle w:val="BodyText"/>
        <w:spacing w:line="205" w:lineRule="exact"/>
        <w:ind w:left="107"/>
        <w:rPr>
          <w:sz w:val="20"/>
        </w:rPr>
      </w:pPr>
      <w:r>
        <w:rPr>
          <w:position w:val="-3"/>
          <w:sz w:val="20"/>
        </w:rPr>
        <w:pict>
          <v:group id="_x0000_i1127" style="width:511.1pt;height:10.3pt;mso-position-horizontal-relative:char;mso-position-vertical-relative:line" coordorigin="0,0" coordsize="10222,206">
            <v:shape id="_x0000_s1128" type="#_x0000_t75" style="width:75;height:115;left:3579;position:absolute;top:23" stroked="f">
              <v:imagedata r:id="rId26" o:title=""/>
            </v:shape>
            <v:line id="_x0000_s1129" style="position:absolute" from="0,196" to="1008,196" stroked="t" strokecolor="#1f3763" strokeweight="0.96pt">
              <v:stroke dashstyle="solid"/>
            </v:line>
            <v:rect id="_x0000_s1130" style="width:20;height:20;left:994;position:absolute;top:186" filled="t" fillcolor="#1f3763" stroked="f">
              <v:fill type="solid"/>
            </v:rect>
            <v:line id="_x0000_s1131" style="position:absolute" from="1013,196" to="2002,196" stroked="t" strokecolor="#1f3763" strokeweight="0.96pt">
              <v:stroke dashstyle="solid"/>
            </v:line>
            <v:rect id="_x0000_s1132" style="width:20;height:20;left:1987;position:absolute;top:186" filled="t" fillcolor="#1f3763" stroked="f">
              <v:fill type="solid"/>
            </v:rect>
            <v:line id="_x0000_s1133" style="position:absolute" from="2007,196" to="2994,196" stroked="t" strokecolor="#1f3763" strokeweight="0.96pt">
              <v:stroke dashstyle="solid"/>
            </v:line>
            <v:rect id="_x0000_s1134" style="width:20;height:20;left:2979;position:absolute;top:186" filled="t" fillcolor="#1f3763" stroked="f">
              <v:fill type="solid"/>
            </v:rect>
            <v:line id="_x0000_s1135" style="position:absolute" from="2999,196" to="10222,196" stroked="t" strokecolor="#1f3763" strokeweight="0.96pt">
              <v:stroke dashstyle="solid"/>
            </v:line>
            <v:shape id="_x0000_s1136" type="#_x0000_t202" style="width:10222;height:206;position:absolute" filled="f" stroked="f">
              <v:textbox inset="0,0,0,0">
                <w:txbxContent>
                  <w:p>
                    <w:pPr>
                      <w:spacing w:before="0" w:line="183" w:lineRule="exact"/>
                      <w:ind w:left="3099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152E57"/>
                        <w:sz w:val="16"/>
                      </w:rPr>
                      <w:t>4.9454 的股权。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0" w:line="209" w:lineRule="exact"/>
        <w:ind w:left="131" w:right="0" w:firstLine="0"/>
        <w:jc w:val="left"/>
        <w:rPr>
          <w:i/>
          <w:sz w:val="17"/>
        </w:rPr>
      </w:pPr>
      <w:r>
        <w:t xml:space="preserve">资料来源：ifind，各公司公告， </w:t>
      </w:r>
    </w:p>
    <w:p>
      <w:pPr>
        <w:pStyle w:val="BodyText"/>
        <w:rPr>
          <w:i/>
          <w:sz w:val="16"/>
        </w:rPr>
      </w:pPr>
    </w:p>
    <w:p>
      <w:pPr>
        <w:pStyle w:val="BodyText"/>
        <w:rPr>
          <w:i/>
          <w:sz w:val="16"/>
        </w:rPr>
      </w:pPr>
    </w:p>
    <w:p>
      <w:pPr>
        <w:pStyle w:val="BodyText"/>
        <w:spacing w:before="5"/>
        <w:rPr>
          <w:i/>
          <w:sz w:val="17"/>
        </w:rPr>
      </w:pPr>
    </w:p>
    <w:p>
      <w:pPr>
        <w:pStyle w:val="Heading1"/>
        <w:spacing w:before="1"/>
      </w:pPr>
      <w:bookmarkStart w:id="7" w:name="_TOC_250009"/>
      <w:r>
        <w:t>4</w:t>
      </w:r>
      <w:bookmarkEnd w:id="7"/>
      <w:r>
        <w:rPr>
          <w:spacing w:val="-13"/>
        </w:rPr>
        <w:t>、 数据跟踪</w:t>
      </w:r>
    </w:p>
    <w:p>
      <w:pPr>
        <w:pStyle w:val="BodyText"/>
        <w:spacing w:line="20" w:lineRule="exact"/>
        <w:ind w:left="1989"/>
        <w:rPr>
          <w:rFonts w:ascii="黑体"/>
          <w:sz w:val="2"/>
        </w:rPr>
      </w:pPr>
      <w:r>
        <w:rPr>
          <w:rFonts w:ascii="黑体"/>
          <w:sz w:val="2"/>
        </w:rPr>
        <w:pict>
          <v:group id="_x0000_i1137" style="width:418.7pt;height:0.5pt;mso-position-horizontal-relative:char;mso-position-vertical-relative:line" coordorigin="0,0" coordsize="8374,10">
            <v:line id="_x0000_s1138" style="position:absolute" from="0,5" to="8373,5" stroked="t" strokecolor="#51759c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7"/>
        <w:rPr>
          <w:rFonts w:ascii="黑体"/>
          <w:sz w:val="6"/>
        </w:rPr>
      </w:pPr>
    </w:p>
    <w:p>
      <w:pPr>
        <w:pStyle w:val="Heading2"/>
        <w:numPr>
          <w:ilvl w:val="1"/>
          <w:numId w:val="6"/>
        </w:numPr>
        <w:tabs>
          <w:tab w:val="left" w:pos="2449"/>
        </w:tabs>
        <w:spacing w:before="67" w:after="0" w:line="240" w:lineRule="auto"/>
        <w:ind w:left="2448" w:right="0" w:hanging="426"/>
        <w:jc w:val="left"/>
      </w:pPr>
      <w:bookmarkStart w:id="8" w:name="_TOC_250008"/>
      <w:bookmarkEnd w:id="8"/>
      <w:r>
        <w:t>部分车企销量</w:t>
      </w:r>
    </w:p>
    <w:p>
      <w:pPr>
        <w:pStyle w:val="ListParagraph"/>
        <w:numPr>
          <w:ilvl w:val="2"/>
          <w:numId w:val="6"/>
        </w:numPr>
        <w:tabs>
          <w:tab w:val="left" w:pos="2656"/>
        </w:tabs>
        <w:spacing w:before="142" w:after="0" w:line="240" w:lineRule="auto"/>
        <w:ind w:left="2655" w:right="0" w:hanging="633"/>
        <w:jc w:val="left"/>
        <w:rPr>
          <w:sz w:val="21"/>
        </w:rPr>
      </w:pPr>
      <w:r>
        <w:rPr>
          <w:spacing w:val="-3"/>
          <w:sz w:val="21"/>
        </w:rPr>
        <w:t>自主车企销量</w:t>
      </w:r>
    </w:p>
    <w:p>
      <w:pPr>
        <w:spacing w:before="160"/>
        <w:ind w:left="132" w:right="0" w:firstLine="0"/>
        <w:jc w:val="left"/>
        <w:rPr>
          <w:b/>
          <w:sz w:val="18"/>
        </w:rPr>
      </w:pPr>
      <w:r>
        <w:rPr>
          <w:b/>
          <w:color w:val="152E57"/>
          <w:sz w:val="18"/>
        </w:rPr>
        <w:t>表 3：重点自主车企销量（单位：辆）</w:t>
      </w:r>
    </w:p>
    <w:p>
      <w:pPr>
        <w:pStyle w:val="BodyText"/>
        <w:spacing w:line="20" w:lineRule="exact"/>
        <w:ind w:left="122"/>
        <w:rPr>
          <w:sz w:val="2"/>
        </w:rPr>
      </w:pPr>
      <w:r>
        <w:rPr>
          <w:sz w:val="2"/>
        </w:rPr>
        <w:pict>
          <v:group id="_x0000_i1139" style="width:510.4pt;height:1pt;mso-position-horizontal-relative:char;mso-position-vertical-relative:line" coordorigin="0,0" coordsize="10208,20">
            <v:line id="_x0000_s1140" style="position:absolute" from="0,10" to="1460,10" stroked="t" strokecolor="#51759c" strokeweight="0.96pt">
              <v:stroke dashstyle="solid"/>
            </v:line>
            <v:rect id="_x0000_s1141" style="width:20;height:20;left:1459;position:absolute" filled="t" fillcolor="#51759c" stroked="f">
              <v:fill type="solid"/>
            </v:rect>
            <v:line id="_x0000_s1142" style="position:absolute" from="1479,10" to="2917,10" stroked="t" strokecolor="#51759c" strokeweight="0.96pt">
              <v:stroke dashstyle="solid"/>
            </v:line>
            <v:rect id="_x0000_s1143" style="width:20;height:20;left:2917;position:absolute" filled="t" fillcolor="#51759c" stroked="f">
              <v:fill type="solid"/>
            </v:rect>
            <v:line id="_x0000_s1144" style="position:absolute" from="2936,10" to="4376,10" stroked="t" strokecolor="#51759c" strokeweight="0.96pt">
              <v:stroke dashstyle="solid"/>
            </v:line>
            <v:rect id="_x0000_s1145" style="width:20;height:20;left:4376;position:absolute" filled="t" fillcolor="#51759c" stroked="f">
              <v:fill type="solid"/>
            </v:rect>
            <v:line id="_x0000_s1146" style="position:absolute" from="4395,10" to="5833,10" stroked="t" strokecolor="#51759c" strokeweight="0.96pt">
              <v:stroke dashstyle="solid"/>
            </v:line>
            <v:rect id="_x0000_s1147" style="width:20;height:20;left:5833;position:absolute" filled="t" fillcolor="#51759c" stroked="f">
              <v:fill type="solid"/>
            </v:rect>
            <v:line id="_x0000_s1148" style="position:absolute" from="5853,10" to="7293,10" stroked="t" strokecolor="#51759c" strokeweight="0.96pt">
              <v:stroke dashstyle="solid"/>
            </v:line>
            <v:rect id="_x0000_s1149" style="width:20;height:20;left:7293;position:absolute" filled="t" fillcolor="#51759c" stroked="f">
              <v:fill type="solid"/>
            </v:rect>
            <v:line id="_x0000_s1150" style="position:absolute" from="7312,10" to="8750,10" stroked="t" strokecolor="#51759c" strokeweight="0.96pt">
              <v:stroke dashstyle="solid"/>
            </v:line>
            <v:rect id="_x0000_s1151" style="width:20;height:20;left:8750;position:absolute" filled="t" fillcolor="#51759c" stroked="f">
              <v:fill type="solid"/>
            </v:rect>
            <v:line id="_x0000_s1152" style="position:absolute" from="8769,10" to="10207,10" stroked="t" strokecolor="#51759c" strokeweight="0.96pt">
              <v:stroke dashstyle="solid"/>
            </v:line>
            <w10:wrap type="none"/>
          </v:group>
        </w:pict>
      </w:r>
    </w:p>
    <w:p>
      <w:pPr>
        <w:tabs>
          <w:tab w:val="left" w:pos="1833"/>
          <w:tab w:val="left" w:pos="3293"/>
          <w:tab w:val="left" w:pos="5074"/>
          <w:tab w:val="left" w:pos="6534"/>
          <w:tab w:val="left" w:pos="7713"/>
          <w:tab w:val="left" w:pos="9285"/>
        </w:tabs>
        <w:spacing w:before="39" w:after="36"/>
        <w:ind w:left="701" w:right="0" w:firstLine="0"/>
        <w:jc w:val="left"/>
        <w:rPr>
          <w:b/>
          <w:sz w:val="16"/>
        </w:rPr>
      </w:pPr>
      <w:r>
        <w:rPr>
          <w:b/>
          <w:color w:val="003366"/>
          <w:sz w:val="16"/>
        </w:rPr>
        <w:t>车企</w:t>
        <w:tab/>
      </w:r>
      <w:r>
        <w:rPr>
          <w:rFonts w:ascii="Arial" w:eastAsia="Arial"/>
          <w:b/>
          <w:color w:val="003366"/>
          <w:position w:val="1"/>
          <w:sz w:val="16"/>
        </w:rPr>
        <w:t xml:space="preserve">2023 </w:t>
      </w:r>
      <w:r>
        <w:rPr>
          <w:rFonts w:ascii="等线" w:eastAsia="等线" w:hint="eastAsia"/>
          <w:b/>
          <w:color w:val="003366"/>
          <w:position w:val="1"/>
          <w:sz w:val="16"/>
        </w:rPr>
        <w:t>年</w:t>
      </w:r>
      <w:r>
        <w:rPr>
          <w:rFonts w:ascii="等线" w:eastAsia="等线" w:hint="eastAsia"/>
          <w:b/>
          <w:color w:val="003366"/>
          <w:spacing w:val="-11"/>
          <w:position w:val="1"/>
          <w:sz w:val="16"/>
        </w:rPr>
        <w:t xml:space="preserve"> </w:t>
      </w:r>
      <w:r>
        <w:rPr>
          <w:rFonts w:ascii="Arial" w:eastAsia="Arial"/>
          <w:b/>
          <w:color w:val="003366"/>
          <w:position w:val="1"/>
          <w:sz w:val="16"/>
        </w:rPr>
        <w:t>12</w:t>
      </w:r>
      <w:r>
        <w:rPr>
          <w:rFonts w:ascii="Arial" w:eastAsia="Arial"/>
          <w:b/>
          <w:color w:val="003366"/>
          <w:spacing w:val="-7"/>
          <w:position w:val="1"/>
          <w:sz w:val="16"/>
        </w:rPr>
        <w:t xml:space="preserve"> </w:t>
      </w:r>
      <w:r>
        <w:rPr>
          <w:rFonts w:ascii="等线" w:eastAsia="等线" w:hint="eastAsia"/>
          <w:b/>
          <w:color w:val="003366"/>
          <w:position w:val="1"/>
          <w:sz w:val="16"/>
        </w:rPr>
        <w:t>月</w:t>
        <w:tab/>
      </w:r>
      <w:r>
        <w:rPr>
          <w:rFonts w:ascii="Arial" w:eastAsia="Arial"/>
          <w:b/>
          <w:color w:val="003366"/>
          <w:position w:val="1"/>
          <w:sz w:val="16"/>
        </w:rPr>
        <w:t xml:space="preserve">2023 </w:t>
      </w:r>
      <w:r>
        <w:rPr>
          <w:rFonts w:ascii="等线" w:eastAsia="等线" w:hint="eastAsia"/>
          <w:b/>
          <w:color w:val="003366"/>
          <w:position w:val="1"/>
          <w:sz w:val="16"/>
        </w:rPr>
        <w:t>年</w:t>
      </w:r>
      <w:r>
        <w:rPr>
          <w:rFonts w:ascii="等线" w:eastAsia="等线" w:hint="eastAsia"/>
          <w:b/>
          <w:color w:val="003366"/>
          <w:spacing w:val="-11"/>
          <w:position w:val="1"/>
          <w:sz w:val="16"/>
        </w:rPr>
        <w:t xml:space="preserve"> </w:t>
      </w:r>
      <w:r>
        <w:rPr>
          <w:rFonts w:ascii="Arial" w:eastAsia="Arial"/>
          <w:b/>
          <w:color w:val="003366"/>
          <w:position w:val="1"/>
          <w:sz w:val="16"/>
        </w:rPr>
        <w:t>11</w:t>
      </w:r>
      <w:r>
        <w:rPr>
          <w:rFonts w:ascii="Arial" w:eastAsia="Arial"/>
          <w:b/>
          <w:color w:val="003366"/>
          <w:spacing w:val="-7"/>
          <w:position w:val="1"/>
          <w:sz w:val="16"/>
        </w:rPr>
        <w:t xml:space="preserve"> </w:t>
      </w:r>
      <w:r>
        <w:rPr>
          <w:rFonts w:ascii="等线" w:eastAsia="等线" w:hint="eastAsia"/>
          <w:b/>
          <w:color w:val="003366"/>
          <w:position w:val="1"/>
          <w:sz w:val="16"/>
        </w:rPr>
        <w:t>月</w:t>
        <w:tab/>
      </w:r>
      <w:r>
        <w:rPr>
          <w:b/>
          <w:color w:val="003366"/>
          <w:sz w:val="16"/>
        </w:rPr>
        <w:t>同比</w:t>
        <w:tab/>
        <w:t>环比</w:t>
        <w:tab/>
      </w:r>
      <w:r>
        <w:rPr>
          <w:rFonts w:ascii="Arial" w:eastAsia="Arial"/>
          <w:b/>
          <w:color w:val="003366"/>
          <w:sz w:val="16"/>
        </w:rPr>
        <w:t>2023</w:t>
      </w:r>
      <w:r>
        <w:rPr>
          <w:rFonts w:ascii="Arial" w:eastAsia="Arial"/>
          <w:b/>
          <w:color w:val="003366"/>
          <w:spacing w:val="-7"/>
          <w:sz w:val="16"/>
        </w:rPr>
        <w:t xml:space="preserve"> </w:t>
      </w:r>
      <w:r>
        <w:rPr>
          <w:b/>
          <w:color w:val="003366"/>
          <w:sz w:val="16"/>
        </w:rPr>
        <w:t>年累计</w:t>
        <w:tab/>
        <w:t>累计同比</w:t>
      </w:r>
    </w:p>
    <w:tbl>
      <w:tblPr>
        <w:tblStyle w:val="TableNormal1"/>
        <w:tblW w:w="0" w:type="auto"/>
        <w:jc w:val="left"/>
        <w:tblInd w:w="1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86"/>
        <w:gridCol w:w="1431"/>
        <w:gridCol w:w="1457"/>
        <w:gridCol w:w="1460"/>
        <w:gridCol w:w="1458"/>
        <w:gridCol w:w="1458"/>
        <w:gridCol w:w="1458"/>
      </w:tblGrid>
      <w:tr>
        <w:tblPrEx>
          <w:tblW w:w="0" w:type="auto"/>
          <w:jc w:val="left"/>
          <w:tblInd w:w="13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5"/>
          <w:jc w:val="left"/>
        </w:trPr>
        <w:tc>
          <w:tcPr>
            <w:tcW w:w="1486" w:type="dxa"/>
            <w:tcBorders>
              <w:top w:val="single" w:sz="8" w:space="0" w:color="51759C"/>
            </w:tcBorders>
            <w:shd w:val="clear" w:color="auto" w:fill="DDEBF7"/>
          </w:tcPr>
          <w:p>
            <w:pPr>
              <w:pStyle w:val="TableParagraph"/>
              <w:spacing w:before="34"/>
              <w:ind w:left="390" w:right="413"/>
              <w:rPr>
                <w:rFonts w:ascii="楷体" w:eastAsia="楷体" w:hint="eastAsia"/>
                <w:b/>
                <w:sz w:val="16"/>
              </w:rPr>
            </w:pPr>
            <w:r>
              <w:rPr>
                <w:rFonts w:ascii="楷体" w:eastAsia="楷体" w:hint="eastAsia"/>
                <w:b/>
                <w:color w:val="152E57"/>
                <w:sz w:val="16"/>
              </w:rPr>
              <w:t>上汽集团</w:t>
            </w:r>
          </w:p>
        </w:tc>
        <w:tc>
          <w:tcPr>
            <w:tcW w:w="1431" w:type="dxa"/>
            <w:tcBorders>
              <w:top w:val="single" w:sz="8" w:space="0" w:color="51759C"/>
            </w:tcBorders>
            <w:shd w:val="clear" w:color="auto" w:fill="DDEBF7"/>
          </w:tcPr>
          <w:p>
            <w:pPr>
              <w:pStyle w:val="TableParagraph"/>
              <w:ind w:left="415" w:right="442"/>
              <w:rPr>
                <w:sz w:val="16"/>
              </w:rPr>
            </w:pPr>
            <w:r>
              <w:rPr>
                <w:color w:val="152E57"/>
                <w:sz w:val="16"/>
              </w:rPr>
              <w:t>636966</w:t>
            </w:r>
          </w:p>
        </w:tc>
        <w:tc>
          <w:tcPr>
            <w:tcW w:w="1457" w:type="dxa"/>
            <w:tcBorders>
              <w:top w:val="single" w:sz="8" w:space="0" w:color="51759C"/>
            </w:tcBorders>
            <w:shd w:val="clear" w:color="auto" w:fill="DDEBF7"/>
          </w:tcPr>
          <w:p>
            <w:pPr>
              <w:pStyle w:val="TableParagraph"/>
              <w:ind w:right="460"/>
              <w:jc w:val="right"/>
              <w:rPr>
                <w:sz w:val="16"/>
              </w:rPr>
            </w:pPr>
            <w:r>
              <w:rPr>
                <w:color w:val="152E57"/>
                <w:sz w:val="16"/>
              </w:rPr>
              <w:t>515114</w:t>
            </w:r>
          </w:p>
        </w:tc>
        <w:tc>
          <w:tcPr>
            <w:tcW w:w="1460" w:type="dxa"/>
            <w:tcBorders>
              <w:top w:val="single" w:sz="8" w:space="0" w:color="51759C"/>
            </w:tcBorders>
            <w:shd w:val="clear" w:color="auto" w:fill="FAC0C2"/>
          </w:tcPr>
          <w:p>
            <w:pPr>
              <w:pStyle w:val="TableParagraph"/>
              <w:ind w:left="412" w:right="412"/>
              <w:rPr>
                <w:sz w:val="16"/>
              </w:rPr>
            </w:pPr>
            <w:r>
              <w:rPr>
                <w:color w:val="152E57"/>
                <w:sz w:val="16"/>
              </w:rPr>
              <w:t>18.75%</w:t>
            </w:r>
          </w:p>
        </w:tc>
        <w:tc>
          <w:tcPr>
            <w:tcW w:w="1458" w:type="dxa"/>
            <w:tcBorders>
              <w:top w:val="single" w:sz="8" w:space="0" w:color="51759C"/>
            </w:tcBorders>
            <w:shd w:val="clear" w:color="auto" w:fill="F8696B"/>
          </w:tcPr>
          <w:p>
            <w:pPr>
              <w:pStyle w:val="TableParagraph"/>
              <w:ind w:left="457"/>
              <w:jc w:val="left"/>
              <w:rPr>
                <w:sz w:val="16"/>
              </w:rPr>
            </w:pPr>
            <w:r>
              <w:rPr>
                <w:color w:val="152E57"/>
                <w:sz w:val="16"/>
              </w:rPr>
              <w:t>23.66%</w:t>
            </w:r>
          </w:p>
        </w:tc>
        <w:tc>
          <w:tcPr>
            <w:tcW w:w="1458" w:type="dxa"/>
            <w:tcBorders>
              <w:top w:val="single" w:sz="8" w:space="0" w:color="51759C"/>
            </w:tcBorders>
            <w:shd w:val="clear" w:color="auto" w:fill="DDEBF7"/>
          </w:tcPr>
          <w:p>
            <w:pPr>
              <w:pStyle w:val="TableParagraph"/>
              <w:ind w:left="394" w:right="400"/>
              <w:rPr>
                <w:sz w:val="16"/>
              </w:rPr>
            </w:pPr>
            <w:r>
              <w:rPr>
                <w:color w:val="152E57"/>
                <w:sz w:val="16"/>
              </w:rPr>
              <w:t>5020865</w:t>
            </w:r>
          </w:p>
        </w:tc>
        <w:tc>
          <w:tcPr>
            <w:tcW w:w="1458" w:type="dxa"/>
            <w:tcBorders>
              <w:top w:val="single" w:sz="8" w:space="0" w:color="51759C"/>
            </w:tcBorders>
            <w:shd w:val="clear" w:color="auto" w:fill="5A89C5"/>
          </w:tcPr>
          <w:p>
            <w:pPr>
              <w:pStyle w:val="TableParagraph"/>
              <w:ind w:left="394" w:right="396"/>
              <w:rPr>
                <w:sz w:val="16"/>
              </w:rPr>
            </w:pPr>
            <w:r>
              <w:rPr>
                <w:color w:val="152E57"/>
                <w:sz w:val="16"/>
              </w:rPr>
              <w:t>-5.31%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5"/>
          <w:jc w:val="left"/>
        </w:trPr>
        <w:tc>
          <w:tcPr>
            <w:tcW w:w="1486" w:type="dxa"/>
          </w:tcPr>
          <w:p>
            <w:pPr>
              <w:pStyle w:val="TableParagraph"/>
              <w:spacing w:before="34"/>
              <w:ind w:left="387" w:right="413"/>
              <w:rPr>
                <w:rFonts w:ascii="楷体" w:eastAsia="楷体" w:hint="eastAsia"/>
                <w:b/>
                <w:sz w:val="16"/>
              </w:rPr>
            </w:pPr>
            <w:r>
              <w:rPr>
                <w:rFonts w:ascii="楷体" w:eastAsia="楷体" w:hint="eastAsia"/>
                <w:b/>
                <w:color w:val="152E57"/>
                <w:sz w:val="16"/>
              </w:rPr>
              <w:t>比亚迪</w:t>
            </w:r>
          </w:p>
        </w:tc>
        <w:tc>
          <w:tcPr>
            <w:tcW w:w="1431" w:type="dxa"/>
          </w:tcPr>
          <w:p>
            <w:pPr>
              <w:pStyle w:val="TableParagraph"/>
              <w:ind w:left="415" w:right="442"/>
              <w:rPr>
                <w:sz w:val="16"/>
              </w:rPr>
            </w:pPr>
            <w:r>
              <w:rPr>
                <w:color w:val="152E57"/>
                <w:sz w:val="16"/>
              </w:rPr>
              <w:t>341043</w:t>
            </w:r>
          </w:p>
        </w:tc>
        <w:tc>
          <w:tcPr>
            <w:tcW w:w="1457" w:type="dxa"/>
          </w:tcPr>
          <w:p>
            <w:pPr>
              <w:pStyle w:val="TableParagraph"/>
              <w:ind w:right="460"/>
              <w:jc w:val="right"/>
              <w:rPr>
                <w:sz w:val="16"/>
              </w:rPr>
            </w:pPr>
            <w:r>
              <w:rPr>
                <w:color w:val="152E57"/>
                <w:sz w:val="16"/>
              </w:rPr>
              <w:t>301903</w:t>
            </w:r>
          </w:p>
        </w:tc>
        <w:tc>
          <w:tcPr>
            <w:tcW w:w="1460" w:type="dxa"/>
            <w:shd w:val="clear" w:color="auto" w:fill="F86A6C"/>
          </w:tcPr>
          <w:p>
            <w:pPr>
              <w:pStyle w:val="TableParagraph"/>
              <w:ind w:left="412" w:right="412"/>
              <w:rPr>
                <w:sz w:val="16"/>
              </w:rPr>
            </w:pPr>
            <w:r>
              <w:rPr>
                <w:color w:val="152E57"/>
                <w:sz w:val="16"/>
              </w:rPr>
              <w:t>45.00%</w:t>
            </w:r>
          </w:p>
        </w:tc>
        <w:tc>
          <w:tcPr>
            <w:tcW w:w="1458" w:type="dxa"/>
            <w:vMerge w:val="restart"/>
            <w:shd w:val="clear" w:color="auto" w:fill="F9A4A7"/>
          </w:tcPr>
          <w:p>
            <w:pPr>
              <w:pStyle w:val="TableParagraph"/>
              <w:ind w:left="457"/>
              <w:jc w:val="left"/>
              <w:rPr>
                <w:sz w:val="16"/>
              </w:rPr>
            </w:pPr>
            <w:r>
              <w:rPr>
                <w:color w:val="152E57"/>
                <w:sz w:val="16"/>
              </w:rPr>
              <w:t>12.96%</w:t>
            </w:r>
          </w:p>
          <w:p>
            <w:pPr>
              <w:pStyle w:val="TableParagraph"/>
              <w:spacing w:before="112"/>
              <w:ind w:left="457"/>
              <w:jc w:val="left"/>
              <w:rPr>
                <w:sz w:val="16"/>
              </w:rPr>
            </w:pPr>
            <w:r>
              <w:rPr>
                <w:color w:val="152E57"/>
                <w:sz w:val="16"/>
              </w:rPr>
              <w:t>14.10%</w:t>
            </w:r>
          </w:p>
        </w:tc>
        <w:tc>
          <w:tcPr>
            <w:tcW w:w="1458" w:type="dxa"/>
          </w:tcPr>
          <w:p>
            <w:pPr>
              <w:pStyle w:val="TableParagraph"/>
              <w:ind w:left="394" w:right="400"/>
              <w:rPr>
                <w:sz w:val="16"/>
              </w:rPr>
            </w:pPr>
            <w:r>
              <w:rPr>
                <w:color w:val="152E57"/>
                <w:sz w:val="16"/>
              </w:rPr>
              <w:t>3024417</w:t>
            </w:r>
          </w:p>
        </w:tc>
        <w:tc>
          <w:tcPr>
            <w:tcW w:w="1458" w:type="dxa"/>
            <w:shd w:val="clear" w:color="auto" w:fill="F8696B"/>
          </w:tcPr>
          <w:p>
            <w:pPr>
              <w:pStyle w:val="TableParagraph"/>
              <w:ind w:left="394" w:right="398"/>
              <w:rPr>
                <w:sz w:val="16"/>
              </w:rPr>
            </w:pPr>
            <w:r>
              <w:rPr>
                <w:color w:val="152E57"/>
                <w:sz w:val="16"/>
              </w:rPr>
              <w:t>61.86%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1486" w:type="dxa"/>
            <w:shd w:val="clear" w:color="auto" w:fill="DDEBF7"/>
          </w:tcPr>
          <w:p>
            <w:pPr>
              <w:pStyle w:val="TableParagraph"/>
              <w:spacing w:before="56"/>
              <w:ind w:left="390" w:right="413"/>
              <w:rPr>
                <w:rFonts w:ascii="楷体" w:eastAsia="楷体" w:hint="eastAsia"/>
                <w:b/>
                <w:sz w:val="16"/>
              </w:rPr>
            </w:pPr>
            <w:r>
              <w:rPr>
                <w:rFonts w:ascii="楷体" w:eastAsia="楷体" w:hint="eastAsia"/>
                <w:b/>
                <w:color w:val="152E57"/>
                <w:sz w:val="16"/>
              </w:rPr>
              <w:t>广汽集团</w:t>
            </w:r>
          </w:p>
        </w:tc>
        <w:tc>
          <w:tcPr>
            <w:tcW w:w="1431" w:type="dxa"/>
            <w:shd w:val="clear" w:color="auto" w:fill="DDEBF7"/>
          </w:tcPr>
          <w:p>
            <w:pPr>
              <w:pStyle w:val="TableParagraph"/>
              <w:spacing w:before="66"/>
              <w:ind w:left="415" w:right="442"/>
              <w:rPr>
                <w:sz w:val="16"/>
              </w:rPr>
            </w:pPr>
            <w:r>
              <w:rPr>
                <w:color w:val="152E57"/>
                <w:sz w:val="16"/>
              </w:rPr>
              <w:t>259138</w:t>
            </w:r>
          </w:p>
        </w:tc>
        <w:tc>
          <w:tcPr>
            <w:tcW w:w="1457" w:type="dxa"/>
            <w:shd w:val="clear" w:color="auto" w:fill="DDEBF7"/>
          </w:tcPr>
          <w:p>
            <w:pPr>
              <w:pStyle w:val="TableParagraph"/>
              <w:spacing w:before="66"/>
              <w:ind w:right="460"/>
              <w:jc w:val="right"/>
              <w:rPr>
                <w:sz w:val="16"/>
              </w:rPr>
            </w:pPr>
            <w:r>
              <w:rPr>
                <w:color w:val="152E57"/>
                <w:sz w:val="16"/>
              </w:rPr>
              <w:t>227124</w:t>
            </w:r>
          </w:p>
        </w:tc>
        <w:tc>
          <w:tcPr>
            <w:tcW w:w="1460" w:type="dxa"/>
            <w:shd w:val="clear" w:color="auto" w:fill="F9A9AB"/>
          </w:tcPr>
          <w:p>
            <w:pPr>
              <w:pStyle w:val="TableParagraph"/>
              <w:spacing w:before="66"/>
              <w:ind w:left="412" w:right="412"/>
              <w:rPr>
                <w:sz w:val="16"/>
              </w:rPr>
            </w:pPr>
            <w:r>
              <w:rPr>
                <w:color w:val="152E57"/>
                <w:sz w:val="16"/>
              </w:rPr>
              <w:t>25.79%</w:t>
            </w:r>
          </w:p>
        </w:tc>
        <w:tc>
          <w:tcPr>
            <w:tcW w:w="1458" w:type="dxa"/>
            <w:vMerge/>
            <w:tcBorders>
              <w:top w:val="nil"/>
            </w:tcBorders>
            <w:shd w:val="clear" w:color="auto" w:fill="F9A4A7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  <w:shd w:val="clear" w:color="auto" w:fill="DDEBF7"/>
          </w:tcPr>
          <w:p>
            <w:pPr>
              <w:pStyle w:val="TableParagraph"/>
              <w:spacing w:before="66"/>
              <w:ind w:left="394" w:right="400"/>
              <w:rPr>
                <w:sz w:val="16"/>
              </w:rPr>
            </w:pPr>
            <w:r>
              <w:rPr>
                <w:color w:val="152E57"/>
                <w:sz w:val="16"/>
              </w:rPr>
              <w:t>2504975</w:t>
            </w:r>
          </w:p>
        </w:tc>
        <w:tc>
          <w:tcPr>
            <w:tcW w:w="1458" w:type="dxa"/>
            <w:shd w:val="clear" w:color="auto" w:fill="FBF6F8"/>
          </w:tcPr>
          <w:p>
            <w:pPr>
              <w:pStyle w:val="TableParagraph"/>
              <w:spacing w:before="66"/>
              <w:ind w:left="394" w:right="396"/>
              <w:rPr>
                <w:sz w:val="16"/>
              </w:rPr>
            </w:pPr>
            <w:r>
              <w:rPr>
                <w:color w:val="152E57"/>
                <w:sz w:val="16"/>
              </w:rPr>
              <w:t>2.92%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1486" w:type="dxa"/>
          </w:tcPr>
          <w:p>
            <w:pPr>
              <w:pStyle w:val="TableParagraph"/>
              <w:spacing w:before="56"/>
              <w:ind w:left="390" w:right="413"/>
              <w:rPr>
                <w:rFonts w:ascii="楷体" w:eastAsia="楷体" w:hint="eastAsia"/>
                <w:b/>
                <w:sz w:val="16"/>
              </w:rPr>
            </w:pPr>
            <w:r>
              <w:rPr>
                <w:rFonts w:ascii="楷体" w:eastAsia="楷体" w:hint="eastAsia"/>
                <w:b/>
                <w:color w:val="152E57"/>
                <w:sz w:val="16"/>
              </w:rPr>
              <w:t>长安汽车</w:t>
            </w:r>
          </w:p>
        </w:tc>
        <w:tc>
          <w:tcPr>
            <w:tcW w:w="1431" w:type="dxa"/>
          </w:tcPr>
          <w:p>
            <w:pPr>
              <w:pStyle w:val="TableParagraph"/>
              <w:spacing w:before="66"/>
              <w:ind w:left="415" w:right="442"/>
              <w:rPr>
                <w:sz w:val="16"/>
              </w:rPr>
            </w:pPr>
            <w:r>
              <w:rPr>
                <w:color w:val="152E57"/>
                <w:sz w:val="16"/>
              </w:rPr>
              <w:t>215089</w:t>
            </w:r>
          </w:p>
        </w:tc>
        <w:tc>
          <w:tcPr>
            <w:tcW w:w="1457" w:type="dxa"/>
          </w:tcPr>
          <w:p>
            <w:pPr>
              <w:pStyle w:val="TableParagraph"/>
              <w:spacing w:before="66"/>
              <w:ind w:right="460"/>
              <w:jc w:val="right"/>
              <w:rPr>
                <w:sz w:val="16"/>
              </w:rPr>
            </w:pPr>
            <w:r>
              <w:rPr>
                <w:color w:val="152E57"/>
                <w:sz w:val="16"/>
              </w:rPr>
              <w:t>227327</w:t>
            </w:r>
          </w:p>
        </w:tc>
        <w:tc>
          <w:tcPr>
            <w:tcW w:w="1460" w:type="dxa"/>
            <w:shd w:val="clear" w:color="auto" w:fill="5A89C5"/>
          </w:tcPr>
          <w:p>
            <w:pPr>
              <w:pStyle w:val="TableParagraph"/>
              <w:spacing w:before="66"/>
              <w:ind w:left="412" w:right="412"/>
              <w:rPr>
                <w:sz w:val="16"/>
              </w:rPr>
            </w:pPr>
            <w:r>
              <w:rPr>
                <w:color w:val="152E57"/>
                <w:sz w:val="16"/>
              </w:rPr>
              <w:t>-15.91%</w:t>
            </w:r>
          </w:p>
        </w:tc>
        <w:tc>
          <w:tcPr>
            <w:tcW w:w="1458" w:type="dxa"/>
            <w:shd w:val="clear" w:color="auto" w:fill="D7E2F1"/>
          </w:tcPr>
          <w:p>
            <w:pPr>
              <w:pStyle w:val="TableParagraph"/>
              <w:spacing w:before="66"/>
              <w:ind w:left="474"/>
              <w:jc w:val="left"/>
              <w:rPr>
                <w:sz w:val="16"/>
              </w:rPr>
            </w:pPr>
            <w:r>
              <w:rPr>
                <w:color w:val="152E57"/>
                <w:sz w:val="16"/>
              </w:rPr>
              <w:t>-5.38%</w:t>
            </w:r>
          </w:p>
        </w:tc>
        <w:tc>
          <w:tcPr>
            <w:tcW w:w="1458" w:type="dxa"/>
          </w:tcPr>
          <w:p>
            <w:pPr>
              <w:pStyle w:val="TableParagraph"/>
              <w:spacing w:before="66"/>
              <w:ind w:left="394" w:right="400"/>
              <w:rPr>
                <w:sz w:val="16"/>
              </w:rPr>
            </w:pPr>
            <w:r>
              <w:rPr>
                <w:color w:val="152E57"/>
                <w:sz w:val="16"/>
              </w:rPr>
              <w:t>2553052</w:t>
            </w:r>
          </w:p>
        </w:tc>
        <w:tc>
          <w:tcPr>
            <w:tcW w:w="1458" w:type="dxa"/>
            <w:shd w:val="clear" w:color="auto" w:fill="FBE8EA"/>
          </w:tcPr>
          <w:p>
            <w:pPr>
              <w:pStyle w:val="TableParagraph"/>
              <w:spacing w:before="66"/>
              <w:ind w:left="394" w:right="396"/>
              <w:rPr>
                <w:sz w:val="16"/>
              </w:rPr>
            </w:pPr>
            <w:r>
              <w:rPr>
                <w:color w:val="152E57"/>
                <w:sz w:val="16"/>
              </w:rPr>
              <w:t>8.82%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4"/>
          <w:jc w:val="left"/>
        </w:trPr>
        <w:tc>
          <w:tcPr>
            <w:tcW w:w="1486" w:type="dxa"/>
            <w:shd w:val="clear" w:color="auto" w:fill="DDEBF7"/>
          </w:tcPr>
          <w:p>
            <w:pPr>
              <w:pStyle w:val="TableParagraph"/>
              <w:spacing w:before="53"/>
              <w:ind w:left="390" w:right="413"/>
              <w:rPr>
                <w:rFonts w:ascii="楷体" w:eastAsia="楷体" w:hint="eastAsia"/>
                <w:b/>
                <w:sz w:val="16"/>
              </w:rPr>
            </w:pPr>
            <w:r>
              <w:rPr>
                <w:rFonts w:ascii="楷体" w:eastAsia="楷体" w:hint="eastAsia"/>
                <w:b/>
                <w:color w:val="152E57"/>
                <w:sz w:val="16"/>
              </w:rPr>
              <w:t>吉利汽车</w:t>
            </w:r>
          </w:p>
        </w:tc>
        <w:tc>
          <w:tcPr>
            <w:tcW w:w="1431" w:type="dxa"/>
            <w:shd w:val="clear" w:color="auto" w:fill="DDEBF7"/>
          </w:tcPr>
          <w:p>
            <w:pPr>
              <w:pStyle w:val="TableParagraph"/>
              <w:spacing w:before="66"/>
              <w:ind w:left="415" w:right="442"/>
              <w:rPr>
                <w:sz w:val="16"/>
              </w:rPr>
            </w:pPr>
            <w:r>
              <w:rPr>
                <w:color w:val="152E57"/>
                <w:sz w:val="16"/>
              </w:rPr>
              <w:t>150453</w:t>
            </w:r>
          </w:p>
        </w:tc>
        <w:tc>
          <w:tcPr>
            <w:tcW w:w="1457" w:type="dxa"/>
            <w:shd w:val="clear" w:color="auto" w:fill="DDEBF7"/>
          </w:tcPr>
          <w:p>
            <w:pPr>
              <w:pStyle w:val="TableParagraph"/>
              <w:spacing w:before="66"/>
              <w:ind w:right="460"/>
              <w:jc w:val="right"/>
              <w:rPr>
                <w:sz w:val="16"/>
              </w:rPr>
            </w:pPr>
            <w:r>
              <w:rPr>
                <w:color w:val="152E57"/>
                <w:sz w:val="16"/>
              </w:rPr>
              <w:t>200079</w:t>
            </w:r>
          </w:p>
        </w:tc>
        <w:tc>
          <w:tcPr>
            <w:tcW w:w="1460" w:type="dxa"/>
            <w:shd w:val="clear" w:color="auto" w:fill="FBF3F6"/>
          </w:tcPr>
          <w:p>
            <w:pPr>
              <w:pStyle w:val="TableParagraph"/>
              <w:spacing w:before="66"/>
              <w:ind w:left="411" w:right="412"/>
              <w:rPr>
                <w:sz w:val="16"/>
              </w:rPr>
            </w:pPr>
            <w:r>
              <w:rPr>
                <w:color w:val="152E57"/>
                <w:sz w:val="16"/>
              </w:rPr>
              <w:t>3.00%</w:t>
            </w:r>
          </w:p>
        </w:tc>
        <w:tc>
          <w:tcPr>
            <w:tcW w:w="1458" w:type="dxa"/>
            <w:shd w:val="clear" w:color="auto" w:fill="5A89C5"/>
          </w:tcPr>
          <w:p>
            <w:pPr>
              <w:pStyle w:val="TableParagraph"/>
              <w:spacing w:before="66"/>
              <w:ind w:left="431"/>
              <w:jc w:val="left"/>
              <w:rPr>
                <w:sz w:val="16"/>
              </w:rPr>
            </w:pPr>
            <w:r>
              <w:rPr>
                <w:color w:val="152E57"/>
                <w:sz w:val="16"/>
              </w:rPr>
              <w:t>-24.80%</w:t>
            </w:r>
          </w:p>
        </w:tc>
        <w:tc>
          <w:tcPr>
            <w:tcW w:w="1458" w:type="dxa"/>
            <w:shd w:val="clear" w:color="auto" w:fill="DDEBF7"/>
          </w:tcPr>
          <w:p>
            <w:pPr>
              <w:pStyle w:val="TableParagraph"/>
              <w:spacing w:before="66"/>
              <w:ind w:left="394" w:right="400"/>
              <w:rPr>
                <w:sz w:val="16"/>
              </w:rPr>
            </w:pPr>
            <w:r>
              <w:rPr>
                <w:color w:val="152E57"/>
                <w:sz w:val="16"/>
              </w:rPr>
              <w:t>1686516</w:t>
            </w:r>
          </w:p>
        </w:tc>
        <w:tc>
          <w:tcPr>
            <w:tcW w:w="1458" w:type="dxa"/>
            <w:vMerge w:val="restart"/>
            <w:tcBorders>
              <w:bottom w:val="single" w:sz="8" w:space="0" w:color="000000"/>
            </w:tcBorders>
            <w:shd w:val="clear" w:color="auto" w:fill="FBD7DB"/>
          </w:tcPr>
          <w:p>
            <w:pPr>
              <w:pStyle w:val="TableParagraph"/>
              <w:spacing w:before="66"/>
              <w:ind w:left="454"/>
              <w:jc w:val="left"/>
              <w:rPr>
                <w:sz w:val="16"/>
              </w:rPr>
            </w:pPr>
            <w:r>
              <w:rPr>
                <w:color w:val="152E57"/>
                <w:sz w:val="16"/>
              </w:rPr>
              <w:t>18.00%</w:t>
            </w:r>
          </w:p>
          <w:p>
            <w:pPr>
              <w:pStyle w:val="TableParagraph"/>
              <w:spacing w:before="131"/>
              <w:ind w:left="454"/>
              <w:jc w:val="left"/>
              <w:rPr>
                <w:sz w:val="16"/>
              </w:rPr>
            </w:pPr>
            <w:r>
              <w:rPr>
                <w:color w:val="152E57"/>
                <w:sz w:val="16"/>
              </w:rPr>
              <w:t>15.29%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4"/>
          <w:jc w:val="left"/>
        </w:trPr>
        <w:tc>
          <w:tcPr>
            <w:tcW w:w="1486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44"/>
              <w:ind w:left="390" w:right="413"/>
              <w:rPr>
                <w:rFonts w:ascii="楷体" w:eastAsia="楷体" w:hint="eastAsia"/>
                <w:b/>
                <w:sz w:val="16"/>
              </w:rPr>
            </w:pPr>
            <w:r>
              <w:rPr>
                <w:rFonts w:ascii="楷体" w:eastAsia="楷体" w:hint="eastAsia"/>
                <w:b/>
                <w:color w:val="152E57"/>
                <w:sz w:val="16"/>
              </w:rPr>
              <w:t>长城汽车</w:t>
            </w:r>
          </w:p>
        </w:tc>
        <w:tc>
          <w:tcPr>
            <w:tcW w:w="143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56"/>
              <w:ind w:left="415" w:right="442"/>
              <w:rPr>
                <w:sz w:val="16"/>
              </w:rPr>
            </w:pPr>
            <w:r>
              <w:rPr>
                <w:color w:val="152E57"/>
                <w:sz w:val="16"/>
              </w:rPr>
              <w:t>112502</w:t>
            </w:r>
          </w:p>
        </w:tc>
        <w:tc>
          <w:tcPr>
            <w:tcW w:w="1457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56"/>
              <w:ind w:right="460"/>
              <w:jc w:val="right"/>
              <w:rPr>
                <w:sz w:val="16"/>
              </w:rPr>
            </w:pPr>
            <w:r>
              <w:rPr>
                <w:color w:val="152E57"/>
                <w:sz w:val="16"/>
              </w:rPr>
              <w:t>122849</w:t>
            </w:r>
          </w:p>
        </w:tc>
        <w:tc>
          <w:tcPr>
            <w:tcW w:w="1460" w:type="dxa"/>
            <w:tcBorders>
              <w:bottom w:val="single" w:sz="8" w:space="0" w:color="000000"/>
            </w:tcBorders>
            <w:shd w:val="clear" w:color="auto" w:fill="F8696B"/>
          </w:tcPr>
          <w:p>
            <w:pPr>
              <w:pStyle w:val="TableParagraph"/>
              <w:spacing w:before="56"/>
              <w:ind w:left="412" w:right="412"/>
              <w:rPr>
                <w:sz w:val="16"/>
              </w:rPr>
            </w:pPr>
            <w:r>
              <w:rPr>
                <w:color w:val="152E57"/>
                <w:sz w:val="16"/>
              </w:rPr>
              <w:t>45.27%</w:t>
            </w:r>
          </w:p>
        </w:tc>
        <w:tc>
          <w:tcPr>
            <w:tcW w:w="1458" w:type="dxa"/>
            <w:tcBorders>
              <w:bottom w:val="single" w:sz="8" w:space="0" w:color="000000"/>
            </w:tcBorders>
            <w:shd w:val="clear" w:color="auto" w:fill="C4D4EB"/>
          </w:tcPr>
          <w:p>
            <w:pPr>
              <w:pStyle w:val="TableParagraph"/>
              <w:spacing w:before="56"/>
              <w:ind w:left="474"/>
              <w:jc w:val="left"/>
              <w:rPr>
                <w:sz w:val="16"/>
              </w:rPr>
            </w:pPr>
            <w:r>
              <w:rPr>
                <w:color w:val="152E57"/>
                <w:sz w:val="16"/>
              </w:rPr>
              <w:t>-8.42%</w:t>
            </w:r>
          </w:p>
        </w:tc>
        <w:tc>
          <w:tcPr>
            <w:tcW w:w="1458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56"/>
              <w:ind w:left="394" w:right="400"/>
              <w:rPr>
                <w:sz w:val="16"/>
              </w:rPr>
            </w:pPr>
            <w:r>
              <w:rPr>
                <w:color w:val="152E57"/>
                <w:sz w:val="16"/>
              </w:rPr>
              <w:t>1230704</w:t>
            </w:r>
          </w:p>
        </w:tc>
        <w:tc>
          <w:tcPr>
            <w:tcW w:w="1458" w:type="dxa"/>
            <w:vMerge/>
            <w:tcBorders>
              <w:top w:val="nil"/>
              <w:bottom w:val="single" w:sz="8" w:space="0" w:color="000000"/>
            </w:tcBorders>
            <w:shd w:val="clear" w:color="auto" w:fill="FBD7DB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0"/>
        <w:ind w:left="131" w:right="0" w:firstLine="0"/>
        <w:jc w:val="left"/>
        <w:rPr>
          <w:i/>
          <w:sz w:val="17"/>
        </w:rPr>
      </w:pPr>
      <w:r>
        <w:t xml:space="preserve">资料来源：ifind，各公司公告， </w:t>
      </w:r>
    </w:p>
    <w:p>
      <w:pPr>
        <w:pStyle w:val="BodyText"/>
        <w:rPr>
          <w:i/>
          <w:sz w:val="16"/>
        </w:rPr>
      </w:pPr>
    </w:p>
    <w:p>
      <w:pPr>
        <w:pStyle w:val="BodyText"/>
        <w:rPr>
          <w:i/>
          <w:sz w:val="16"/>
        </w:rPr>
      </w:pPr>
    </w:p>
    <w:p>
      <w:pPr>
        <w:pStyle w:val="BodyText"/>
        <w:spacing w:before="11"/>
        <w:rPr>
          <w:i/>
          <w:sz w:val="20"/>
        </w:rPr>
      </w:pPr>
    </w:p>
    <w:p>
      <w:pPr>
        <w:pStyle w:val="ListParagraph"/>
        <w:numPr>
          <w:ilvl w:val="2"/>
          <w:numId w:val="6"/>
        </w:numPr>
        <w:tabs>
          <w:tab w:val="left" w:pos="2656"/>
        </w:tabs>
        <w:spacing w:before="1" w:after="0" w:line="240" w:lineRule="auto"/>
        <w:ind w:left="2655" w:right="0" w:hanging="633"/>
        <w:jc w:val="left"/>
        <w:rPr>
          <w:sz w:val="21"/>
        </w:rPr>
      </w:pPr>
      <w:r>
        <w:rPr>
          <w:spacing w:val="-3"/>
          <w:sz w:val="21"/>
        </w:rPr>
        <w:t>造车新势力与传统车企新品牌交付量</w:t>
      </w:r>
    </w:p>
    <w:p>
      <w:pPr>
        <w:spacing w:before="161" w:after="2"/>
        <w:ind w:left="132" w:right="0" w:firstLine="0"/>
        <w:jc w:val="left"/>
        <w:rPr>
          <w:b/>
          <w:sz w:val="18"/>
        </w:rPr>
      </w:pPr>
      <w:r>
        <w:rPr>
          <w:b/>
          <w:color w:val="152E57"/>
          <w:sz w:val="18"/>
        </w:rPr>
        <w:t>表 4：造车新势力与传统车企新品牌交付量（单位：辆）</w:t>
      </w:r>
    </w:p>
    <w:p>
      <w:pPr>
        <w:pStyle w:val="BodyText"/>
        <w:spacing w:line="20" w:lineRule="exact"/>
        <w:ind w:left="122"/>
        <w:rPr>
          <w:sz w:val="2"/>
        </w:rPr>
      </w:pPr>
      <w:r>
        <w:rPr>
          <w:sz w:val="2"/>
        </w:rPr>
        <w:pict>
          <v:group id="_x0000_i1153" style="width:510.4pt;height:1pt;mso-position-horizontal-relative:char;mso-position-vertical-relative:line" coordorigin="0,0" coordsize="10208,20">
            <v:line id="_x0000_s1154" style="position:absolute" from="0,10" to="1460,10" stroked="t" strokecolor="#51759c" strokeweight="0.96pt">
              <v:stroke dashstyle="solid"/>
            </v:line>
            <v:rect id="_x0000_s1155" style="width:20;height:20;left:1459;position:absolute" filled="t" fillcolor="#51759c" stroked="f">
              <v:fill type="solid"/>
            </v:rect>
            <v:line id="_x0000_s1156" style="position:absolute" from="1479,10" to="2917,10" stroked="t" strokecolor="#51759c" strokeweight="0.96pt">
              <v:stroke dashstyle="solid"/>
            </v:line>
            <v:rect id="_x0000_s1157" style="width:20;height:20;left:2917;position:absolute" filled="t" fillcolor="#51759c" stroked="f">
              <v:fill type="solid"/>
            </v:rect>
            <v:line id="_x0000_s1158" style="position:absolute" from="2936,10" to="4376,10" stroked="t" strokecolor="#51759c" strokeweight="0.96pt">
              <v:stroke dashstyle="solid"/>
            </v:line>
            <v:rect id="_x0000_s1159" style="width:20;height:20;left:4376;position:absolute" filled="t" fillcolor="#51759c" stroked="f">
              <v:fill type="solid"/>
            </v:rect>
            <v:line id="_x0000_s1160" style="position:absolute" from="4395,10" to="5833,10" stroked="t" strokecolor="#51759c" strokeweight="0.96pt">
              <v:stroke dashstyle="solid"/>
            </v:line>
            <v:rect id="_x0000_s1161" style="width:20;height:20;left:5833;position:absolute" filled="t" fillcolor="#51759c" stroked="f">
              <v:fill type="solid"/>
            </v:rect>
            <v:line id="_x0000_s1162" style="position:absolute" from="5853,10" to="7293,10" stroked="t" strokecolor="#51759c" strokeweight="0.96pt">
              <v:stroke dashstyle="solid"/>
            </v:line>
            <v:rect id="_x0000_s1163" style="width:20;height:20;left:7293;position:absolute" filled="t" fillcolor="#51759c" stroked="f">
              <v:fill type="solid"/>
            </v:rect>
            <v:line id="_x0000_s1164" style="position:absolute" from="7312,10" to="8750,10" stroked="t" strokecolor="#51759c" strokeweight="0.96pt">
              <v:stroke dashstyle="solid"/>
            </v:line>
            <v:rect id="_x0000_s1165" style="width:20;height:20;left:8750;position:absolute" filled="t" fillcolor="#51759c" stroked="f">
              <v:fill type="solid"/>
            </v:rect>
            <v:line id="_x0000_s1166" style="position:absolute" from="8769,10" to="10207,10" stroked="t" strokecolor="#51759c" strokeweight="0.96pt">
              <v:stroke dashstyle="solid"/>
            </v:line>
            <w10:wrap type="none"/>
          </v:group>
        </w:pict>
      </w:r>
    </w:p>
    <w:p>
      <w:pPr>
        <w:tabs>
          <w:tab w:val="left" w:pos="1833"/>
          <w:tab w:val="left" w:pos="3293"/>
          <w:tab w:val="left" w:pos="5074"/>
          <w:tab w:val="left" w:pos="6534"/>
          <w:tab w:val="left" w:pos="7713"/>
          <w:tab w:val="left" w:pos="9285"/>
        </w:tabs>
        <w:spacing w:before="39" w:after="34"/>
        <w:ind w:left="701" w:right="0" w:firstLine="0"/>
        <w:jc w:val="left"/>
        <w:rPr>
          <w:b/>
          <w:sz w:val="16"/>
        </w:rPr>
      </w:pPr>
      <w:r>
        <w:rPr>
          <w:b/>
          <w:color w:val="1F3763"/>
          <w:sz w:val="16"/>
        </w:rPr>
        <w:t>车企</w:t>
        <w:tab/>
      </w:r>
      <w:r>
        <w:rPr>
          <w:rFonts w:ascii="Arial" w:eastAsia="Arial"/>
          <w:b/>
          <w:color w:val="1F3763"/>
          <w:position w:val="1"/>
          <w:sz w:val="16"/>
        </w:rPr>
        <w:t xml:space="preserve">2023 </w:t>
      </w:r>
      <w:r>
        <w:rPr>
          <w:rFonts w:ascii="等线" w:eastAsia="等线" w:hint="eastAsia"/>
          <w:b/>
          <w:color w:val="1F3763"/>
          <w:position w:val="1"/>
          <w:sz w:val="16"/>
        </w:rPr>
        <w:t>年</w:t>
      </w:r>
      <w:r>
        <w:rPr>
          <w:rFonts w:ascii="等线" w:eastAsia="等线" w:hint="eastAsia"/>
          <w:b/>
          <w:color w:val="1F3763"/>
          <w:spacing w:val="-11"/>
          <w:position w:val="1"/>
          <w:sz w:val="16"/>
        </w:rPr>
        <w:t xml:space="preserve"> </w:t>
      </w:r>
      <w:r>
        <w:rPr>
          <w:rFonts w:ascii="Arial" w:eastAsia="Arial"/>
          <w:b/>
          <w:color w:val="1F3763"/>
          <w:position w:val="1"/>
          <w:sz w:val="16"/>
        </w:rPr>
        <w:t>12</w:t>
      </w:r>
      <w:r>
        <w:rPr>
          <w:rFonts w:ascii="Arial" w:eastAsia="Arial"/>
          <w:b/>
          <w:color w:val="1F3763"/>
          <w:spacing w:val="-7"/>
          <w:position w:val="1"/>
          <w:sz w:val="16"/>
        </w:rPr>
        <w:t xml:space="preserve"> </w:t>
      </w:r>
      <w:r>
        <w:rPr>
          <w:rFonts w:ascii="等线" w:eastAsia="等线" w:hint="eastAsia"/>
          <w:b/>
          <w:color w:val="1F3763"/>
          <w:position w:val="1"/>
          <w:sz w:val="16"/>
        </w:rPr>
        <w:t>月</w:t>
        <w:tab/>
      </w:r>
      <w:r>
        <w:rPr>
          <w:rFonts w:ascii="Arial" w:eastAsia="Arial"/>
          <w:b/>
          <w:color w:val="1F3763"/>
          <w:position w:val="1"/>
          <w:sz w:val="16"/>
        </w:rPr>
        <w:t xml:space="preserve">2023 </w:t>
      </w:r>
      <w:r>
        <w:rPr>
          <w:rFonts w:ascii="等线" w:eastAsia="等线" w:hint="eastAsia"/>
          <w:b/>
          <w:color w:val="1F3763"/>
          <w:position w:val="1"/>
          <w:sz w:val="16"/>
        </w:rPr>
        <w:t>年</w:t>
      </w:r>
      <w:r>
        <w:rPr>
          <w:rFonts w:ascii="等线" w:eastAsia="等线" w:hint="eastAsia"/>
          <w:b/>
          <w:color w:val="1F3763"/>
          <w:spacing w:val="-11"/>
          <w:position w:val="1"/>
          <w:sz w:val="16"/>
        </w:rPr>
        <w:t xml:space="preserve"> </w:t>
      </w:r>
      <w:r>
        <w:rPr>
          <w:rFonts w:ascii="Arial" w:eastAsia="Arial"/>
          <w:b/>
          <w:color w:val="1F3763"/>
          <w:position w:val="1"/>
          <w:sz w:val="16"/>
        </w:rPr>
        <w:t>11</w:t>
      </w:r>
      <w:r>
        <w:rPr>
          <w:rFonts w:ascii="Arial" w:eastAsia="Arial"/>
          <w:b/>
          <w:color w:val="1F3763"/>
          <w:spacing w:val="-7"/>
          <w:position w:val="1"/>
          <w:sz w:val="16"/>
        </w:rPr>
        <w:t xml:space="preserve"> </w:t>
      </w:r>
      <w:r>
        <w:rPr>
          <w:rFonts w:ascii="等线" w:eastAsia="等线" w:hint="eastAsia"/>
          <w:b/>
          <w:color w:val="1F3763"/>
          <w:position w:val="1"/>
          <w:sz w:val="16"/>
        </w:rPr>
        <w:t>月</w:t>
        <w:tab/>
      </w:r>
      <w:r>
        <w:rPr>
          <w:b/>
          <w:color w:val="1F3763"/>
          <w:sz w:val="16"/>
        </w:rPr>
        <w:t>同比</w:t>
        <w:tab/>
        <w:t>环比</w:t>
        <w:tab/>
      </w:r>
      <w:r>
        <w:rPr>
          <w:rFonts w:ascii="Arial" w:eastAsia="Arial"/>
          <w:b/>
          <w:color w:val="1F3763"/>
          <w:sz w:val="16"/>
        </w:rPr>
        <w:t>2023</w:t>
      </w:r>
      <w:r>
        <w:rPr>
          <w:rFonts w:ascii="Arial" w:eastAsia="Arial"/>
          <w:b/>
          <w:color w:val="1F3763"/>
          <w:spacing w:val="-7"/>
          <w:sz w:val="16"/>
        </w:rPr>
        <w:t xml:space="preserve"> </w:t>
      </w:r>
      <w:r>
        <w:rPr>
          <w:b/>
          <w:color w:val="1F3763"/>
          <w:sz w:val="16"/>
        </w:rPr>
        <w:t>年累计</w:t>
        <w:tab/>
        <w:t>累计同比</w:t>
      </w:r>
    </w:p>
    <w:tbl>
      <w:tblPr>
        <w:tblStyle w:val="TableNormal1"/>
        <w:tblW w:w="0" w:type="auto"/>
        <w:jc w:val="left"/>
        <w:tblInd w:w="1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32"/>
        <w:gridCol w:w="1385"/>
        <w:gridCol w:w="1459"/>
        <w:gridCol w:w="1461"/>
        <w:gridCol w:w="1459"/>
        <w:gridCol w:w="1459"/>
        <w:gridCol w:w="1459"/>
      </w:tblGrid>
      <w:tr>
        <w:tblPrEx>
          <w:tblW w:w="0" w:type="auto"/>
          <w:jc w:val="left"/>
          <w:tblInd w:w="13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1532" w:type="dxa"/>
            <w:tcBorders>
              <w:top w:val="single" w:sz="8" w:space="0" w:color="51759C"/>
            </w:tcBorders>
            <w:shd w:val="clear" w:color="auto" w:fill="DDEBF7"/>
          </w:tcPr>
          <w:p>
            <w:pPr>
              <w:pStyle w:val="TableParagraph"/>
              <w:spacing w:before="55"/>
              <w:ind w:left="408"/>
              <w:jc w:val="left"/>
              <w:rPr>
                <w:rFonts w:ascii="楷体" w:eastAsia="楷体" w:hint="eastAsia"/>
                <w:b/>
                <w:sz w:val="16"/>
              </w:rPr>
            </w:pPr>
            <w:r>
              <w:rPr>
                <w:rFonts w:ascii="楷体" w:eastAsia="楷体" w:hint="eastAsia"/>
                <w:b/>
                <w:color w:val="1F3763"/>
                <w:sz w:val="16"/>
              </w:rPr>
              <w:t>理想汽车</w:t>
            </w:r>
          </w:p>
        </w:tc>
        <w:tc>
          <w:tcPr>
            <w:tcW w:w="1385" w:type="dxa"/>
            <w:tcBorders>
              <w:top w:val="single" w:sz="8" w:space="0" w:color="51759C"/>
            </w:tcBorders>
            <w:shd w:val="clear" w:color="auto" w:fill="DDEBF7"/>
          </w:tcPr>
          <w:p>
            <w:pPr>
              <w:pStyle w:val="TableParagraph"/>
              <w:spacing w:before="68"/>
              <w:ind w:left="431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50353</w:t>
            </w:r>
          </w:p>
        </w:tc>
        <w:tc>
          <w:tcPr>
            <w:tcW w:w="1459" w:type="dxa"/>
            <w:tcBorders>
              <w:top w:val="single" w:sz="8" w:space="0" w:color="51759C"/>
            </w:tcBorders>
            <w:shd w:val="clear" w:color="auto" w:fill="DDEBF7"/>
          </w:tcPr>
          <w:p>
            <w:pPr>
              <w:pStyle w:val="TableParagraph"/>
              <w:spacing w:before="68"/>
              <w:ind w:right="506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41030</w:t>
            </w:r>
          </w:p>
        </w:tc>
        <w:tc>
          <w:tcPr>
            <w:tcW w:w="1461" w:type="dxa"/>
            <w:tcBorders>
              <w:top w:val="single" w:sz="8" w:space="0" w:color="51759C"/>
            </w:tcBorders>
            <w:shd w:val="clear" w:color="auto" w:fill="F86D6F"/>
          </w:tcPr>
          <w:p>
            <w:pPr>
              <w:pStyle w:val="TableParagraph"/>
              <w:spacing w:before="68"/>
              <w:ind w:right="415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137.15%</w:t>
            </w:r>
          </w:p>
        </w:tc>
        <w:tc>
          <w:tcPr>
            <w:tcW w:w="1459" w:type="dxa"/>
            <w:tcBorders>
              <w:top w:val="single" w:sz="8" w:space="0" w:color="51759C"/>
            </w:tcBorders>
            <w:shd w:val="clear" w:color="auto" w:fill="F88D8F"/>
          </w:tcPr>
          <w:p>
            <w:pPr>
              <w:pStyle w:val="TableParagraph"/>
              <w:spacing w:before="68"/>
              <w:ind w:left="454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22.72%</w:t>
            </w:r>
          </w:p>
        </w:tc>
        <w:tc>
          <w:tcPr>
            <w:tcW w:w="1459" w:type="dxa"/>
            <w:tcBorders>
              <w:top w:val="single" w:sz="8" w:space="0" w:color="51759C"/>
            </w:tcBorders>
            <w:shd w:val="clear" w:color="auto" w:fill="DDEBF7"/>
          </w:tcPr>
          <w:p>
            <w:pPr>
              <w:pStyle w:val="TableParagraph"/>
              <w:spacing w:before="68"/>
              <w:ind w:left="386" w:right="400"/>
              <w:rPr>
                <w:sz w:val="16"/>
              </w:rPr>
            </w:pPr>
            <w:r>
              <w:rPr>
                <w:color w:val="1F3763"/>
                <w:sz w:val="16"/>
              </w:rPr>
              <w:t>376030</w:t>
            </w:r>
          </w:p>
        </w:tc>
        <w:tc>
          <w:tcPr>
            <w:tcW w:w="1459" w:type="dxa"/>
            <w:tcBorders>
              <w:top w:val="single" w:sz="8" w:space="0" w:color="51759C"/>
            </w:tcBorders>
            <w:shd w:val="clear" w:color="auto" w:fill="F8696B"/>
          </w:tcPr>
          <w:p>
            <w:pPr>
              <w:pStyle w:val="TableParagraph"/>
              <w:spacing w:before="68"/>
              <w:ind w:left="387" w:right="400"/>
              <w:rPr>
                <w:sz w:val="16"/>
              </w:rPr>
            </w:pPr>
            <w:r>
              <w:rPr>
                <w:color w:val="1F3763"/>
                <w:sz w:val="16"/>
              </w:rPr>
              <w:t>182.21%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1532" w:type="dxa"/>
          </w:tcPr>
          <w:p>
            <w:pPr>
              <w:pStyle w:val="TableParagraph"/>
              <w:spacing w:before="53"/>
              <w:ind w:left="408"/>
              <w:jc w:val="left"/>
              <w:rPr>
                <w:rFonts w:ascii="楷体" w:eastAsia="楷体" w:hint="eastAsia"/>
                <w:b/>
                <w:sz w:val="16"/>
              </w:rPr>
            </w:pPr>
            <w:r>
              <w:rPr>
                <w:rFonts w:ascii="楷体" w:eastAsia="楷体" w:hint="eastAsia"/>
                <w:b/>
                <w:color w:val="1F3763"/>
                <w:sz w:val="16"/>
              </w:rPr>
              <w:t>广汽埃安</w:t>
            </w:r>
          </w:p>
        </w:tc>
        <w:tc>
          <w:tcPr>
            <w:tcW w:w="1385" w:type="dxa"/>
          </w:tcPr>
          <w:p>
            <w:pPr>
              <w:pStyle w:val="TableParagraph"/>
              <w:spacing w:before="66"/>
              <w:ind w:left="431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45947</w:t>
            </w:r>
          </w:p>
        </w:tc>
        <w:tc>
          <w:tcPr>
            <w:tcW w:w="1459" w:type="dxa"/>
          </w:tcPr>
          <w:p>
            <w:pPr>
              <w:pStyle w:val="TableParagraph"/>
              <w:spacing w:before="66"/>
              <w:ind w:right="506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41567</w:t>
            </w:r>
          </w:p>
        </w:tc>
        <w:tc>
          <w:tcPr>
            <w:tcW w:w="1461" w:type="dxa"/>
            <w:shd w:val="clear" w:color="auto" w:fill="FAC8CA"/>
          </w:tcPr>
          <w:p>
            <w:pPr>
              <w:pStyle w:val="TableParagraph"/>
              <w:spacing w:before="66"/>
              <w:ind w:right="458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53.12%</w:t>
            </w:r>
          </w:p>
        </w:tc>
        <w:tc>
          <w:tcPr>
            <w:tcW w:w="1459" w:type="dxa"/>
            <w:shd w:val="clear" w:color="auto" w:fill="FAC8CA"/>
          </w:tcPr>
          <w:p>
            <w:pPr>
              <w:pStyle w:val="TableParagraph"/>
              <w:spacing w:before="66"/>
              <w:ind w:left="454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10.54%</w:t>
            </w:r>
          </w:p>
        </w:tc>
        <w:tc>
          <w:tcPr>
            <w:tcW w:w="1459" w:type="dxa"/>
          </w:tcPr>
          <w:p>
            <w:pPr>
              <w:pStyle w:val="TableParagraph"/>
              <w:spacing w:before="66"/>
              <w:ind w:left="386" w:right="400"/>
              <w:rPr>
                <w:sz w:val="16"/>
              </w:rPr>
            </w:pPr>
            <w:r>
              <w:rPr>
                <w:color w:val="1F3763"/>
                <w:sz w:val="16"/>
              </w:rPr>
              <w:t>480003</w:t>
            </w:r>
          </w:p>
        </w:tc>
        <w:tc>
          <w:tcPr>
            <w:tcW w:w="1459" w:type="dxa"/>
            <w:shd w:val="clear" w:color="auto" w:fill="FABDC1"/>
          </w:tcPr>
          <w:p>
            <w:pPr>
              <w:pStyle w:val="TableParagraph"/>
              <w:spacing w:before="66"/>
              <w:ind w:left="385" w:right="400"/>
              <w:rPr>
                <w:sz w:val="16"/>
              </w:rPr>
            </w:pPr>
            <w:r>
              <w:rPr>
                <w:color w:val="1F3763"/>
                <w:sz w:val="16"/>
              </w:rPr>
              <w:t>77.02%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7"/>
          <w:jc w:val="left"/>
        </w:trPr>
        <w:tc>
          <w:tcPr>
            <w:tcW w:w="1532" w:type="dxa"/>
            <w:shd w:val="clear" w:color="auto" w:fill="DDEBF7"/>
          </w:tcPr>
          <w:p>
            <w:pPr>
              <w:pStyle w:val="TableParagraph"/>
              <w:spacing w:before="56"/>
              <w:ind w:left="358"/>
              <w:jc w:val="left"/>
              <w:rPr>
                <w:rFonts w:ascii="楷体" w:eastAsia="楷体" w:hint="eastAsia"/>
                <w:b/>
                <w:sz w:val="16"/>
              </w:rPr>
            </w:pPr>
            <w:r>
              <w:rPr>
                <w:b/>
                <w:color w:val="1F3763"/>
                <w:sz w:val="16"/>
              </w:rPr>
              <w:t xml:space="preserve">AITO </w:t>
            </w:r>
            <w:r>
              <w:rPr>
                <w:rFonts w:ascii="楷体" w:eastAsia="楷体" w:hint="eastAsia"/>
                <w:b/>
                <w:color w:val="1F3763"/>
                <w:sz w:val="16"/>
              </w:rPr>
              <w:t>问界</w:t>
            </w:r>
          </w:p>
        </w:tc>
        <w:tc>
          <w:tcPr>
            <w:tcW w:w="1385" w:type="dxa"/>
            <w:shd w:val="clear" w:color="auto" w:fill="DDEBF7"/>
          </w:tcPr>
          <w:p>
            <w:pPr>
              <w:pStyle w:val="TableParagraph"/>
              <w:spacing w:before="66"/>
              <w:ind w:left="431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24468</w:t>
            </w:r>
          </w:p>
        </w:tc>
        <w:tc>
          <w:tcPr>
            <w:tcW w:w="1459" w:type="dxa"/>
            <w:shd w:val="clear" w:color="auto" w:fill="DDEBF7"/>
          </w:tcPr>
          <w:p>
            <w:pPr>
              <w:pStyle w:val="TableParagraph"/>
              <w:spacing w:before="66"/>
              <w:ind w:right="506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18827</w:t>
            </w:r>
          </w:p>
        </w:tc>
        <w:tc>
          <w:tcPr>
            <w:tcW w:w="1461" w:type="dxa"/>
            <w:shd w:val="clear" w:color="auto" w:fill="F8696B"/>
          </w:tcPr>
          <w:p>
            <w:pPr>
              <w:pStyle w:val="TableParagraph"/>
              <w:spacing w:before="66"/>
              <w:ind w:right="415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141.23%</w:t>
            </w:r>
          </w:p>
        </w:tc>
        <w:tc>
          <w:tcPr>
            <w:tcW w:w="1459" w:type="dxa"/>
            <w:shd w:val="clear" w:color="auto" w:fill="F8696B"/>
          </w:tcPr>
          <w:p>
            <w:pPr>
              <w:pStyle w:val="TableParagraph"/>
              <w:spacing w:before="66"/>
              <w:ind w:left="454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29.96%</w:t>
            </w:r>
          </w:p>
        </w:tc>
        <w:tc>
          <w:tcPr>
            <w:tcW w:w="1459" w:type="dxa"/>
            <w:shd w:val="clear" w:color="auto" w:fill="DDEBF7"/>
          </w:tcPr>
          <w:p>
            <w:pPr>
              <w:pStyle w:val="TableParagraph"/>
              <w:spacing w:before="66"/>
              <w:ind w:right="12"/>
              <w:rPr>
                <w:sz w:val="16"/>
              </w:rPr>
            </w:pPr>
            <w:r>
              <w:rPr>
                <w:color w:val="1F3763"/>
                <w:w w:val="100"/>
                <w:sz w:val="16"/>
              </w:rPr>
              <w:t>-</w:t>
            </w:r>
          </w:p>
        </w:tc>
        <w:tc>
          <w:tcPr>
            <w:tcW w:w="1459" w:type="dxa"/>
            <w:shd w:val="clear" w:color="auto" w:fill="DDEBF7"/>
          </w:tcPr>
          <w:p>
            <w:pPr>
              <w:pStyle w:val="TableParagraph"/>
              <w:spacing w:before="66"/>
              <w:ind w:right="15"/>
              <w:rPr>
                <w:sz w:val="16"/>
              </w:rPr>
            </w:pPr>
            <w:r>
              <w:rPr>
                <w:color w:val="1F3763"/>
                <w:w w:val="100"/>
                <w:sz w:val="16"/>
              </w:rPr>
              <w:t>-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1532" w:type="dxa"/>
          </w:tcPr>
          <w:p>
            <w:pPr>
              <w:pStyle w:val="TableParagraph"/>
              <w:spacing w:before="53"/>
              <w:ind w:left="408"/>
              <w:jc w:val="left"/>
              <w:rPr>
                <w:rFonts w:ascii="楷体" w:eastAsia="楷体" w:hint="eastAsia"/>
                <w:b/>
                <w:sz w:val="16"/>
              </w:rPr>
            </w:pPr>
            <w:r>
              <w:rPr>
                <w:rFonts w:ascii="楷体" w:eastAsia="楷体" w:hint="eastAsia"/>
                <w:b/>
                <w:color w:val="1F3763"/>
                <w:sz w:val="16"/>
              </w:rPr>
              <w:t>小鹏汽车</w:t>
            </w:r>
          </w:p>
        </w:tc>
        <w:tc>
          <w:tcPr>
            <w:tcW w:w="1385" w:type="dxa"/>
          </w:tcPr>
          <w:p>
            <w:pPr>
              <w:pStyle w:val="TableParagraph"/>
              <w:spacing w:before="63"/>
              <w:ind w:left="431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20115</w:t>
            </w:r>
          </w:p>
        </w:tc>
        <w:tc>
          <w:tcPr>
            <w:tcW w:w="1459" w:type="dxa"/>
          </w:tcPr>
          <w:p>
            <w:pPr>
              <w:pStyle w:val="TableParagraph"/>
              <w:spacing w:before="63"/>
              <w:ind w:right="506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20041</w:t>
            </w:r>
          </w:p>
        </w:tc>
        <w:tc>
          <w:tcPr>
            <w:tcW w:w="1461" w:type="dxa"/>
            <w:shd w:val="clear" w:color="auto" w:fill="F9ABAD"/>
          </w:tcPr>
          <w:p>
            <w:pPr>
              <w:pStyle w:val="TableParagraph"/>
              <w:spacing w:before="63"/>
              <w:ind w:right="458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78.13%</w:t>
            </w:r>
          </w:p>
        </w:tc>
        <w:tc>
          <w:tcPr>
            <w:tcW w:w="1459" w:type="dxa"/>
            <w:shd w:val="clear" w:color="auto" w:fill="FBF9FC"/>
          </w:tcPr>
          <w:p>
            <w:pPr>
              <w:pStyle w:val="TableParagraph"/>
              <w:spacing w:before="63"/>
              <w:ind w:left="498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0.37%</w:t>
            </w:r>
          </w:p>
        </w:tc>
        <w:tc>
          <w:tcPr>
            <w:tcW w:w="1459" w:type="dxa"/>
          </w:tcPr>
          <w:p>
            <w:pPr>
              <w:pStyle w:val="TableParagraph"/>
              <w:spacing w:before="63"/>
              <w:ind w:left="386" w:right="400"/>
              <w:rPr>
                <w:sz w:val="16"/>
              </w:rPr>
            </w:pPr>
            <w:r>
              <w:rPr>
                <w:color w:val="1F3763"/>
                <w:sz w:val="16"/>
              </w:rPr>
              <w:t>141601</w:t>
            </w:r>
          </w:p>
        </w:tc>
        <w:tc>
          <w:tcPr>
            <w:tcW w:w="1459" w:type="dxa"/>
            <w:shd w:val="clear" w:color="auto" w:fill="FBE4E7"/>
          </w:tcPr>
          <w:p>
            <w:pPr>
              <w:pStyle w:val="TableParagraph"/>
              <w:spacing w:before="63"/>
              <w:ind w:left="385" w:right="400"/>
              <w:rPr>
                <w:sz w:val="16"/>
              </w:rPr>
            </w:pPr>
            <w:r>
              <w:rPr>
                <w:color w:val="1F3763"/>
                <w:sz w:val="16"/>
              </w:rPr>
              <w:t>17.26%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1532" w:type="dxa"/>
            <w:shd w:val="clear" w:color="auto" w:fill="DDEBF7"/>
          </w:tcPr>
          <w:p>
            <w:pPr>
              <w:pStyle w:val="TableParagraph"/>
              <w:spacing w:before="53"/>
              <w:ind w:left="408"/>
              <w:jc w:val="left"/>
              <w:rPr>
                <w:rFonts w:ascii="楷体" w:eastAsia="楷体" w:hint="eastAsia"/>
                <w:b/>
                <w:sz w:val="16"/>
              </w:rPr>
            </w:pPr>
            <w:r>
              <w:rPr>
                <w:rFonts w:ascii="楷体" w:eastAsia="楷体" w:hint="eastAsia"/>
                <w:b/>
                <w:color w:val="1F3763"/>
                <w:sz w:val="16"/>
              </w:rPr>
              <w:t>零跑汽车</w:t>
            </w:r>
          </w:p>
        </w:tc>
        <w:tc>
          <w:tcPr>
            <w:tcW w:w="1385" w:type="dxa"/>
            <w:shd w:val="clear" w:color="auto" w:fill="DDEBF7"/>
          </w:tcPr>
          <w:p>
            <w:pPr>
              <w:pStyle w:val="TableParagraph"/>
              <w:spacing w:before="66"/>
              <w:ind w:left="431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18618</w:t>
            </w:r>
          </w:p>
        </w:tc>
        <w:tc>
          <w:tcPr>
            <w:tcW w:w="1459" w:type="dxa"/>
            <w:shd w:val="clear" w:color="auto" w:fill="DDEBF7"/>
          </w:tcPr>
          <w:p>
            <w:pPr>
              <w:pStyle w:val="TableParagraph"/>
              <w:spacing w:before="66"/>
              <w:ind w:right="506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18508</w:t>
            </w:r>
          </w:p>
        </w:tc>
        <w:tc>
          <w:tcPr>
            <w:tcW w:w="1461" w:type="dxa"/>
            <w:shd w:val="clear" w:color="auto" w:fill="F88083"/>
          </w:tcPr>
          <w:p>
            <w:pPr>
              <w:pStyle w:val="TableParagraph"/>
              <w:spacing w:before="66"/>
              <w:ind w:right="415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119.22%</w:t>
            </w:r>
          </w:p>
        </w:tc>
        <w:tc>
          <w:tcPr>
            <w:tcW w:w="1459" w:type="dxa"/>
            <w:shd w:val="clear" w:color="auto" w:fill="FBF9FC"/>
          </w:tcPr>
          <w:p>
            <w:pPr>
              <w:pStyle w:val="TableParagraph"/>
              <w:spacing w:before="66"/>
              <w:ind w:left="498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0.59%</w:t>
            </w:r>
          </w:p>
        </w:tc>
        <w:tc>
          <w:tcPr>
            <w:tcW w:w="1459" w:type="dxa"/>
            <w:shd w:val="clear" w:color="auto" w:fill="DDEBF7"/>
          </w:tcPr>
          <w:p>
            <w:pPr>
              <w:pStyle w:val="TableParagraph"/>
              <w:spacing w:before="66"/>
              <w:ind w:left="386" w:right="400"/>
              <w:rPr>
                <w:sz w:val="16"/>
              </w:rPr>
            </w:pPr>
            <w:r>
              <w:rPr>
                <w:color w:val="1F3763"/>
                <w:sz w:val="16"/>
              </w:rPr>
              <w:t>144155</w:t>
            </w:r>
          </w:p>
        </w:tc>
        <w:tc>
          <w:tcPr>
            <w:tcW w:w="1459" w:type="dxa"/>
            <w:shd w:val="clear" w:color="auto" w:fill="FBE4E7"/>
          </w:tcPr>
          <w:p>
            <w:pPr>
              <w:pStyle w:val="TableParagraph"/>
              <w:spacing w:before="66"/>
              <w:ind w:left="385" w:right="400"/>
              <w:rPr>
                <w:sz w:val="16"/>
              </w:rPr>
            </w:pPr>
            <w:r>
              <w:rPr>
                <w:color w:val="1F3763"/>
                <w:sz w:val="16"/>
              </w:rPr>
              <w:t>29.67%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5"/>
          <w:jc w:val="left"/>
        </w:trPr>
        <w:tc>
          <w:tcPr>
            <w:tcW w:w="1532" w:type="dxa"/>
          </w:tcPr>
          <w:p>
            <w:pPr>
              <w:pStyle w:val="TableParagraph"/>
              <w:spacing w:before="34"/>
              <w:ind w:left="408"/>
              <w:jc w:val="left"/>
              <w:rPr>
                <w:rFonts w:ascii="楷体" w:eastAsia="楷体" w:hint="eastAsia"/>
                <w:b/>
                <w:sz w:val="16"/>
              </w:rPr>
            </w:pPr>
            <w:r>
              <w:rPr>
                <w:rFonts w:ascii="楷体" w:eastAsia="楷体" w:hint="eastAsia"/>
                <w:b/>
                <w:color w:val="1F3763"/>
                <w:sz w:val="16"/>
              </w:rPr>
              <w:t>蔚来汽车</w:t>
            </w:r>
          </w:p>
        </w:tc>
        <w:tc>
          <w:tcPr>
            <w:tcW w:w="1385" w:type="dxa"/>
          </w:tcPr>
          <w:p>
            <w:pPr>
              <w:pStyle w:val="TableParagraph"/>
              <w:ind w:left="431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18012</w:t>
            </w:r>
          </w:p>
        </w:tc>
        <w:tc>
          <w:tcPr>
            <w:tcW w:w="1459" w:type="dxa"/>
          </w:tcPr>
          <w:p>
            <w:pPr>
              <w:pStyle w:val="TableParagraph"/>
              <w:ind w:right="506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15959</w:t>
            </w:r>
          </w:p>
        </w:tc>
        <w:tc>
          <w:tcPr>
            <w:tcW w:w="1461" w:type="dxa"/>
            <w:shd w:val="clear" w:color="auto" w:fill="FBE9EB"/>
          </w:tcPr>
          <w:p>
            <w:pPr>
              <w:pStyle w:val="TableParagraph"/>
              <w:ind w:right="458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13.89%</w:t>
            </w:r>
          </w:p>
        </w:tc>
        <w:tc>
          <w:tcPr>
            <w:tcW w:w="1459" w:type="dxa"/>
            <w:shd w:val="clear" w:color="auto" w:fill="FABCC0"/>
          </w:tcPr>
          <w:p>
            <w:pPr>
              <w:pStyle w:val="TableParagraph"/>
              <w:ind w:left="454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12.86%</w:t>
            </w:r>
          </w:p>
        </w:tc>
        <w:tc>
          <w:tcPr>
            <w:tcW w:w="1459" w:type="dxa"/>
          </w:tcPr>
          <w:p>
            <w:pPr>
              <w:pStyle w:val="TableParagraph"/>
              <w:ind w:left="386" w:right="400"/>
              <w:rPr>
                <w:sz w:val="16"/>
              </w:rPr>
            </w:pPr>
            <w:r>
              <w:rPr>
                <w:color w:val="1F3763"/>
                <w:sz w:val="16"/>
              </w:rPr>
              <w:t>160038</w:t>
            </w:r>
          </w:p>
        </w:tc>
        <w:tc>
          <w:tcPr>
            <w:tcW w:w="1459" w:type="dxa"/>
            <w:shd w:val="clear" w:color="auto" w:fill="FBE4E7"/>
          </w:tcPr>
          <w:p>
            <w:pPr>
              <w:pStyle w:val="TableParagraph"/>
              <w:ind w:left="385" w:right="400"/>
              <w:rPr>
                <w:sz w:val="16"/>
              </w:rPr>
            </w:pPr>
            <w:r>
              <w:rPr>
                <w:color w:val="1F3763"/>
                <w:sz w:val="16"/>
              </w:rPr>
              <w:t>30.66%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5"/>
          <w:jc w:val="left"/>
        </w:trPr>
        <w:tc>
          <w:tcPr>
            <w:tcW w:w="1532" w:type="dxa"/>
            <w:shd w:val="clear" w:color="auto" w:fill="DDEBF7"/>
          </w:tcPr>
          <w:p>
            <w:pPr>
              <w:pStyle w:val="TableParagraph"/>
              <w:spacing w:before="39"/>
              <w:ind w:left="408"/>
              <w:jc w:val="left"/>
              <w:rPr>
                <w:rFonts w:ascii="楷体" w:eastAsia="楷体" w:hint="eastAsia"/>
                <w:b/>
                <w:sz w:val="16"/>
              </w:rPr>
            </w:pPr>
            <w:r>
              <w:rPr>
                <w:rFonts w:ascii="楷体" w:eastAsia="楷体" w:hint="eastAsia"/>
                <w:b/>
                <w:color w:val="1F3763"/>
                <w:sz w:val="16"/>
              </w:rPr>
              <w:t>极氪汽车</w:t>
            </w:r>
          </w:p>
        </w:tc>
        <w:tc>
          <w:tcPr>
            <w:tcW w:w="1385" w:type="dxa"/>
            <w:shd w:val="clear" w:color="auto" w:fill="DDEBF7"/>
          </w:tcPr>
          <w:p>
            <w:pPr>
              <w:pStyle w:val="TableParagraph"/>
              <w:spacing w:before="51"/>
              <w:ind w:left="431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13476</w:t>
            </w:r>
          </w:p>
        </w:tc>
        <w:tc>
          <w:tcPr>
            <w:tcW w:w="1459" w:type="dxa"/>
            <w:shd w:val="clear" w:color="auto" w:fill="DDEBF7"/>
          </w:tcPr>
          <w:p>
            <w:pPr>
              <w:pStyle w:val="TableParagraph"/>
              <w:spacing w:before="51"/>
              <w:ind w:right="506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13104</w:t>
            </w:r>
          </w:p>
        </w:tc>
        <w:tc>
          <w:tcPr>
            <w:tcW w:w="1461" w:type="dxa"/>
            <w:shd w:val="clear" w:color="auto" w:fill="FBE9EB"/>
          </w:tcPr>
          <w:p>
            <w:pPr>
              <w:pStyle w:val="TableParagraph"/>
              <w:spacing w:before="51"/>
              <w:ind w:right="458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18.87%</w:t>
            </w:r>
          </w:p>
        </w:tc>
        <w:tc>
          <w:tcPr>
            <w:tcW w:w="1459" w:type="dxa"/>
            <w:shd w:val="clear" w:color="auto" w:fill="FBEEF0"/>
          </w:tcPr>
          <w:p>
            <w:pPr>
              <w:pStyle w:val="TableParagraph"/>
              <w:spacing w:before="51"/>
              <w:ind w:left="498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2.84%</w:t>
            </w:r>
          </w:p>
        </w:tc>
        <w:tc>
          <w:tcPr>
            <w:tcW w:w="1459" w:type="dxa"/>
            <w:shd w:val="clear" w:color="auto" w:fill="DDEBF7"/>
          </w:tcPr>
          <w:p>
            <w:pPr>
              <w:pStyle w:val="TableParagraph"/>
              <w:spacing w:before="51"/>
              <w:ind w:left="386" w:right="400"/>
              <w:rPr>
                <w:sz w:val="16"/>
              </w:rPr>
            </w:pPr>
            <w:r>
              <w:rPr>
                <w:color w:val="1F3763"/>
                <w:sz w:val="16"/>
              </w:rPr>
              <w:t>118685</w:t>
            </w:r>
          </w:p>
        </w:tc>
        <w:tc>
          <w:tcPr>
            <w:tcW w:w="1459" w:type="dxa"/>
            <w:shd w:val="clear" w:color="auto" w:fill="FAC7CA"/>
          </w:tcPr>
          <w:p>
            <w:pPr>
              <w:pStyle w:val="TableParagraph"/>
              <w:spacing w:before="51"/>
              <w:ind w:left="385" w:right="400"/>
              <w:rPr>
                <w:sz w:val="16"/>
              </w:rPr>
            </w:pPr>
            <w:r>
              <w:rPr>
                <w:color w:val="1F3763"/>
                <w:sz w:val="16"/>
              </w:rPr>
              <w:t>64.98%</w:t>
            </w:r>
          </w:p>
        </w:tc>
      </w:tr>
      <w:tr>
        <w:tblPrEx>
          <w:tblW w:w="0" w:type="auto"/>
          <w:jc w:val="left"/>
          <w:tblInd w:w="1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5"/>
          <w:jc w:val="left"/>
        </w:trPr>
        <w:tc>
          <w:tcPr>
            <w:tcW w:w="1532" w:type="dxa"/>
          </w:tcPr>
          <w:p>
            <w:pPr>
              <w:pStyle w:val="TableParagraph"/>
              <w:spacing w:before="39"/>
              <w:ind w:left="408"/>
              <w:jc w:val="left"/>
              <w:rPr>
                <w:rFonts w:ascii="楷体" w:eastAsia="楷体" w:hint="eastAsia"/>
                <w:b/>
                <w:sz w:val="16"/>
              </w:rPr>
            </w:pPr>
            <w:r>
              <w:rPr>
                <w:rFonts w:ascii="楷体" w:eastAsia="楷体" w:hint="eastAsia"/>
                <w:b/>
                <w:color w:val="1F3763"/>
                <w:sz w:val="16"/>
              </w:rPr>
              <w:t>岚图汽车</w:t>
            </w:r>
          </w:p>
        </w:tc>
        <w:tc>
          <w:tcPr>
            <w:tcW w:w="1385" w:type="dxa"/>
          </w:tcPr>
          <w:p>
            <w:pPr>
              <w:pStyle w:val="TableParagraph"/>
              <w:spacing w:before="49"/>
              <w:ind w:left="431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10017</w:t>
            </w:r>
          </w:p>
        </w:tc>
        <w:tc>
          <w:tcPr>
            <w:tcW w:w="1459" w:type="dxa"/>
          </w:tcPr>
          <w:p>
            <w:pPr>
              <w:pStyle w:val="TableParagraph"/>
              <w:spacing w:before="49"/>
              <w:ind w:right="549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7006</w:t>
            </w:r>
          </w:p>
        </w:tc>
        <w:tc>
          <w:tcPr>
            <w:tcW w:w="1461" w:type="dxa"/>
            <w:shd w:val="clear" w:color="auto" w:fill="F8696B"/>
          </w:tcPr>
          <w:p>
            <w:pPr>
              <w:pStyle w:val="TableParagraph"/>
              <w:spacing w:before="49"/>
              <w:ind w:right="415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479.35%</w:t>
            </w:r>
          </w:p>
        </w:tc>
        <w:tc>
          <w:tcPr>
            <w:tcW w:w="1459" w:type="dxa"/>
            <w:shd w:val="clear" w:color="auto" w:fill="FBFBFF"/>
          </w:tcPr>
          <w:p>
            <w:pPr>
              <w:pStyle w:val="TableParagraph"/>
              <w:spacing w:before="49"/>
              <w:ind w:left="454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42.98%</w:t>
            </w:r>
          </w:p>
        </w:tc>
        <w:tc>
          <w:tcPr>
            <w:tcW w:w="1459" w:type="dxa"/>
          </w:tcPr>
          <w:p>
            <w:pPr>
              <w:pStyle w:val="TableParagraph"/>
              <w:spacing w:before="49"/>
              <w:ind w:left="387" w:right="397"/>
              <w:rPr>
                <w:sz w:val="16"/>
              </w:rPr>
            </w:pPr>
            <w:r>
              <w:rPr>
                <w:color w:val="1F3763"/>
                <w:sz w:val="16"/>
              </w:rPr>
              <w:t>50643</w:t>
            </w:r>
          </w:p>
        </w:tc>
        <w:tc>
          <w:tcPr>
            <w:tcW w:w="1459" w:type="dxa"/>
            <w:shd w:val="clear" w:color="auto" w:fill="F8696B"/>
          </w:tcPr>
          <w:p>
            <w:pPr>
              <w:pStyle w:val="TableParagraph"/>
              <w:spacing w:before="49"/>
              <w:ind w:left="387" w:right="400"/>
              <w:rPr>
                <w:sz w:val="16"/>
              </w:rPr>
            </w:pPr>
            <w:r>
              <w:rPr>
                <w:color w:val="1F3763"/>
                <w:sz w:val="16"/>
              </w:rPr>
              <w:t>160.93%</w:t>
            </w:r>
          </w:p>
        </w:tc>
      </w:tr>
    </w:tbl>
    <w:p>
      <w:pPr>
        <w:spacing w:after="0"/>
        <w:rPr>
          <w:sz w:val="16"/>
        </w:rPr>
        <w:sectPr>
          <w:headerReference w:type="default" r:id="rId27"/>
          <w:footerReference w:type="default" r:id="rId28"/>
          <w:type w:val="continuous"/>
          <w:pgSz w:w="11910" w:h="16840"/>
          <w:pgMar w:top="960" w:right="520" w:bottom="1200" w:left="720" w:header="708" w:footer="708"/>
          <w:pgNumType w:start="8"/>
          <w:cols w:space="708"/>
        </w:sectPr>
      </w:pPr>
    </w:p>
    <w:p>
      <w:pPr>
        <w:pStyle w:val="BodyText"/>
        <w:spacing w:before="5"/>
        <w:rPr>
          <w:b/>
          <w:sz w:val="9"/>
        </w:rPr>
      </w:pPr>
    </w:p>
    <w:tbl>
      <w:tblPr>
        <w:tblStyle w:val="TableNormal2"/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5"/>
        <w:gridCol w:w="1364"/>
        <w:gridCol w:w="1480"/>
        <w:gridCol w:w="1461"/>
        <w:gridCol w:w="1458"/>
        <w:gridCol w:w="1458"/>
        <w:gridCol w:w="1458"/>
      </w:tblGrid>
      <w:tr>
        <w:tblPrEx>
          <w:tblW w:w="0" w:type="auto"/>
          <w:jc w:val="left"/>
          <w:tblInd w:w="11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5"/>
          <w:jc w:val="left"/>
        </w:trPr>
        <w:tc>
          <w:tcPr>
            <w:tcW w:w="1545" w:type="dxa"/>
            <w:tcBorders>
              <w:bottom w:val="single" w:sz="8" w:space="0" w:color="000000"/>
            </w:tcBorders>
            <w:shd w:val="clear" w:color="auto" w:fill="DDEBF7"/>
          </w:tcPr>
          <w:p>
            <w:pPr>
              <w:pStyle w:val="TableParagraph"/>
              <w:spacing w:before="39"/>
              <w:ind w:left="432"/>
              <w:jc w:val="left"/>
              <w:rPr>
                <w:rFonts w:ascii="楷体" w:eastAsia="楷体" w:hint="eastAsia"/>
                <w:b/>
                <w:sz w:val="16"/>
              </w:rPr>
            </w:pPr>
            <w:r>
              <w:rPr>
                <w:rFonts w:ascii="楷体" w:eastAsia="楷体" w:hint="eastAsia"/>
                <w:b/>
                <w:color w:val="1F3763"/>
                <w:sz w:val="16"/>
              </w:rPr>
              <w:t>哪吒汽车</w:t>
            </w:r>
          </w:p>
        </w:tc>
        <w:tc>
          <w:tcPr>
            <w:tcW w:w="1364" w:type="dxa"/>
            <w:tcBorders>
              <w:bottom w:val="single" w:sz="8" w:space="0" w:color="000000"/>
            </w:tcBorders>
            <w:shd w:val="clear" w:color="auto" w:fill="DDEBF7"/>
          </w:tcPr>
          <w:p>
            <w:pPr>
              <w:pStyle w:val="TableParagraph"/>
              <w:spacing w:before="51"/>
              <w:ind w:left="469" w:right="499"/>
              <w:rPr>
                <w:sz w:val="16"/>
              </w:rPr>
            </w:pPr>
            <w:r>
              <w:rPr>
                <w:color w:val="1F3763"/>
                <w:sz w:val="16"/>
              </w:rPr>
              <w:t>5135</w:t>
            </w:r>
          </w:p>
        </w:tc>
        <w:tc>
          <w:tcPr>
            <w:tcW w:w="1480" w:type="dxa"/>
            <w:tcBorders>
              <w:bottom w:val="single" w:sz="8" w:space="0" w:color="000000"/>
            </w:tcBorders>
            <w:shd w:val="clear" w:color="auto" w:fill="DDEBF7"/>
          </w:tcPr>
          <w:p>
            <w:pPr>
              <w:pStyle w:val="TableParagraph"/>
              <w:spacing w:before="51"/>
              <w:ind w:left="517" w:right="477"/>
              <w:rPr>
                <w:sz w:val="16"/>
              </w:rPr>
            </w:pPr>
            <w:r>
              <w:rPr>
                <w:color w:val="1F3763"/>
                <w:sz w:val="16"/>
              </w:rPr>
              <w:t>12506</w:t>
            </w:r>
          </w:p>
        </w:tc>
        <w:tc>
          <w:tcPr>
            <w:tcW w:w="1461" w:type="dxa"/>
            <w:tcBorders>
              <w:bottom w:val="single" w:sz="8" w:space="0" w:color="000000"/>
            </w:tcBorders>
            <w:shd w:val="clear" w:color="auto" w:fill="5A89C5"/>
          </w:tcPr>
          <w:p>
            <w:pPr>
              <w:pStyle w:val="TableParagraph"/>
              <w:spacing w:before="51"/>
              <w:ind w:left="441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-34.12%</w:t>
            </w:r>
          </w:p>
        </w:tc>
        <w:tc>
          <w:tcPr>
            <w:tcW w:w="1458" w:type="dxa"/>
            <w:tcBorders>
              <w:bottom w:val="single" w:sz="8" w:space="0" w:color="000000"/>
            </w:tcBorders>
            <w:shd w:val="clear" w:color="auto" w:fill="5A89C5"/>
          </w:tcPr>
          <w:p>
            <w:pPr>
              <w:pStyle w:val="TableParagraph"/>
              <w:spacing w:before="51"/>
              <w:ind w:left="439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-58.94%</w:t>
            </w:r>
          </w:p>
        </w:tc>
        <w:tc>
          <w:tcPr>
            <w:tcW w:w="1458" w:type="dxa"/>
            <w:tcBorders>
              <w:bottom w:val="single" w:sz="8" w:space="0" w:color="000000"/>
            </w:tcBorders>
            <w:shd w:val="clear" w:color="auto" w:fill="DDEBF7"/>
          </w:tcPr>
          <w:p>
            <w:pPr>
              <w:pStyle w:val="TableParagraph"/>
              <w:spacing w:before="51"/>
              <w:ind w:left="467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127496</w:t>
            </w:r>
          </w:p>
        </w:tc>
        <w:tc>
          <w:tcPr>
            <w:tcW w:w="1458" w:type="dxa"/>
            <w:tcBorders>
              <w:bottom w:val="single" w:sz="8" w:space="0" w:color="000000"/>
            </w:tcBorders>
            <w:shd w:val="clear" w:color="auto" w:fill="5A89C5"/>
          </w:tcPr>
          <w:p>
            <w:pPr>
              <w:pStyle w:val="TableParagraph"/>
              <w:spacing w:before="51"/>
              <w:ind w:left="435"/>
              <w:jc w:val="left"/>
              <w:rPr>
                <w:sz w:val="16"/>
              </w:rPr>
            </w:pPr>
            <w:r>
              <w:rPr>
                <w:color w:val="1F3763"/>
                <w:sz w:val="16"/>
              </w:rPr>
              <w:t>-16.16%</w:t>
            </w:r>
          </w:p>
        </w:tc>
      </w:tr>
    </w:tbl>
    <w:p>
      <w:pPr>
        <w:spacing w:before="0" w:line="209" w:lineRule="exact"/>
        <w:ind w:left="131" w:right="0" w:firstLine="0"/>
        <w:jc w:val="left"/>
        <w:rPr>
          <w:i/>
          <w:sz w:val="17"/>
        </w:rPr>
      </w:pPr>
      <w:r>
        <w:t xml:space="preserve">资料来源：ifind，各公司公告， </w:t>
      </w:r>
    </w:p>
    <w:p>
      <w:pPr>
        <w:pStyle w:val="BodyText"/>
        <w:rPr>
          <w:i/>
          <w:sz w:val="16"/>
        </w:rPr>
      </w:pPr>
    </w:p>
    <w:p>
      <w:pPr>
        <w:pStyle w:val="BodyText"/>
        <w:rPr>
          <w:i/>
          <w:sz w:val="16"/>
        </w:rPr>
      </w:pPr>
    </w:p>
    <w:p>
      <w:pPr>
        <w:pStyle w:val="BodyText"/>
        <w:spacing w:before="5"/>
        <w:rPr>
          <w:i/>
          <w:sz w:val="17"/>
        </w:rPr>
      </w:pPr>
    </w:p>
    <w:p>
      <w:pPr>
        <w:pStyle w:val="Heading2"/>
        <w:numPr>
          <w:ilvl w:val="1"/>
          <w:numId w:val="7"/>
        </w:numPr>
        <w:tabs>
          <w:tab w:val="left" w:pos="2449"/>
        </w:tabs>
        <w:spacing w:before="1" w:after="0" w:line="240" w:lineRule="auto"/>
        <w:ind w:left="2448" w:right="0" w:hanging="426"/>
        <w:jc w:val="left"/>
      </w:pPr>
      <w:bookmarkStart w:id="9" w:name="_TOC_250007"/>
      <w:r>
        <w:t>1</w:t>
      </w:r>
      <w:bookmarkEnd w:id="9"/>
      <w:r>
        <w:rPr>
          <w:spacing w:val="-8"/>
        </w:rPr>
        <w:t xml:space="preserve"> 月乘用车市场回顾</w:t>
      </w:r>
    </w:p>
    <w:p>
      <w:pPr>
        <w:spacing w:before="93" w:after="14"/>
        <w:ind w:left="132" w:right="0" w:firstLine="0"/>
        <w:jc w:val="left"/>
        <w:rPr>
          <w:b/>
          <w:sz w:val="18"/>
        </w:rPr>
      </w:pPr>
      <w:r>
        <w:rPr>
          <w:b/>
          <w:color w:val="152E57"/>
          <w:sz w:val="18"/>
        </w:rPr>
        <w:t>表 5：1 月乘联会口径日均零售/日均批发情况概览（单位：辆）</w:t>
      </w:r>
    </w:p>
    <w:tbl>
      <w:tblPr>
        <w:tblStyle w:val="TableNormal2"/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8"/>
        <w:gridCol w:w="1131"/>
        <w:gridCol w:w="1275"/>
        <w:gridCol w:w="1301"/>
        <w:gridCol w:w="1275"/>
        <w:gridCol w:w="1301"/>
        <w:gridCol w:w="1286"/>
        <w:gridCol w:w="1243"/>
      </w:tblGrid>
      <w:tr>
        <w:tblPrEx>
          <w:tblW w:w="0" w:type="auto"/>
          <w:jc w:val="left"/>
          <w:tblInd w:w="1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7"/>
          <w:jc w:val="left"/>
        </w:trPr>
        <w:tc>
          <w:tcPr>
            <w:tcW w:w="1408" w:type="dxa"/>
            <w:tcBorders>
              <w:top w:val="single" w:sz="8" w:space="0" w:color="51759C"/>
              <w:bottom w:val="single" w:sz="8" w:space="0" w:color="51759C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131" w:type="dxa"/>
            <w:tcBorders>
              <w:top w:val="single" w:sz="8" w:space="0" w:color="51759C"/>
              <w:bottom w:val="single" w:sz="8" w:space="0" w:color="51759C"/>
            </w:tcBorders>
          </w:tcPr>
          <w:p>
            <w:pPr>
              <w:pStyle w:val="TableParagraph"/>
              <w:spacing w:before="26"/>
              <w:ind w:right="369"/>
              <w:jc w:val="right"/>
              <w:rPr>
                <w:rFonts w:ascii="楷体" w:eastAsia="楷体" w:hint="eastAsia"/>
                <w:b/>
                <w:sz w:val="18"/>
              </w:rPr>
            </w:pPr>
            <w:r>
              <w:rPr>
                <w:b/>
                <w:color w:val="1F3763"/>
                <w:sz w:val="18"/>
              </w:rPr>
              <w:t xml:space="preserve">1-7 </w:t>
            </w:r>
            <w:r>
              <w:rPr>
                <w:rFonts w:ascii="楷体" w:eastAsia="楷体" w:hint="eastAsia"/>
                <w:b/>
                <w:color w:val="1F3763"/>
                <w:sz w:val="18"/>
              </w:rPr>
              <w:t>日</w:t>
            </w:r>
          </w:p>
        </w:tc>
        <w:tc>
          <w:tcPr>
            <w:tcW w:w="1275" w:type="dxa"/>
            <w:tcBorders>
              <w:top w:val="single" w:sz="8" w:space="0" w:color="51759C"/>
              <w:bottom w:val="single" w:sz="8" w:space="0" w:color="51759C"/>
            </w:tcBorders>
          </w:tcPr>
          <w:p>
            <w:pPr>
              <w:pStyle w:val="TableParagraph"/>
              <w:spacing w:before="26"/>
              <w:ind w:left="272" w:right="223"/>
              <w:rPr>
                <w:rFonts w:ascii="楷体" w:eastAsia="楷体" w:hint="eastAsia"/>
                <w:b/>
                <w:sz w:val="18"/>
              </w:rPr>
            </w:pPr>
            <w:r>
              <w:rPr>
                <w:b/>
                <w:color w:val="1F3763"/>
                <w:sz w:val="18"/>
              </w:rPr>
              <w:t xml:space="preserve">8-14 </w:t>
            </w:r>
            <w:r>
              <w:rPr>
                <w:rFonts w:ascii="楷体" w:eastAsia="楷体" w:hint="eastAsia"/>
                <w:b/>
                <w:color w:val="1F3763"/>
                <w:sz w:val="18"/>
              </w:rPr>
              <w:t>日</w:t>
            </w:r>
          </w:p>
        </w:tc>
        <w:tc>
          <w:tcPr>
            <w:tcW w:w="1301" w:type="dxa"/>
            <w:tcBorders>
              <w:top w:val="single" w:sz="8" w:space="0" w:color="51759C"/>
              <w:bottom w:val="single" w:sz="8" w:space="0" w:color="51759C"/>
            </w:tcBorders>
          </w:tcPr>
          <w:p>
            <w:pPr>
              <w:pStyle w:val="TableParagraph"/>
              <w:spacing w:before="26"/>
              <w:ind w:left="273" w:right="250"/>
              <w:rPr>
                <w:rFonts w:ascii="楷体" w:eastAsia="楷体" w:hint="eastAsia"/>
                <w:b/>
                <w:sz w:val="18"/>
              </w:rPr>
            </w:pPr>
            <w:r>
              <w:rPr>
                <w:b/>
                <w:color w:val="1F3763"/>
                <w:sz w:val="18"/>
              </w:rPr>
              <w:t xml:space="preserve">15-21 </w:t>
            </w:r>
            <w:r>
              <w:rPr>
                <w:rFonts w:ascii="楷体" w:eastAsia="楷体" w:hint="eastAsia"/>
                <w:b/>
                <w:color w:val="1F3763"/>
                <w:sz w:val="18"/>
              </w:rPr>
              <w:t>日</w:t>
            </w:r>
          </w:p>
        </w:tc>
        <w:tc>
          <w:tcPr>
            <w:tcW w:w="1275" w:type="dxa"/>
            <w:tcBorders>
              <w:top w:val="single" w:sz="8" w:space="0" w:color="51759C"/>
              <w:bottom w:val="single" w:sz="8" w:space="0" w:color="51759C"/>
            </w:tcBorders>
          </w:tcPr>
          <w:p>
            <w:pPr>
              <w:pStyle w:val="TableParagraph"/>
              <w:spacing w:before="26"/>
              <w:ind w:left="272" w:right="271"/>
              <w:rPr>
                <w:rFonts w:ascii="楷体" w:eastAsia="楷体" w:hint="eastAsia"/>
                <w:b/>
                <w:sz w:val="18"/>
              </w:rPr>
            </w:pPr>
            <w:r>
              <w:rPr>
                <w:b/>
                <w:color w:val="1F3763"/>
                <w:sz w:val="18"/>
              </w:rPr>
              <w:t xml:space="preserve">22-28 </w:t>
            </w:r>
            <w:r>
              <w:rPr>
                <w:rFonts w:ascii="楷体" w:eastAsia="楷体" w:hint="eastAsia"/>
                <w:b/>
                <w:color w:val="1F3763"/>
                <w:sz w:val="18"/>
              </w:rPr>
              <w:t>日</w:t>
            </w:r>
          </w:p>
        </w:tc>
        <w:tc>
          <w:tcPr>
            <w:tcW w:w="1301" w:type="dxa"/>
            <w:tcBorders>
              <w:top w:val="single" w:sz="8" w:space="0" w:color="51759C"/>
              <w:bottom w:val="single" w:sz="8" w:space="0" w:color="51759C"/>
            </w:tcBorders>
          </w:tcPr>
          <w:p>
            <w:pPr>
              <w:pStyle w:val="TableParagraph"/>
              <w:spacing w:before="26"/>
              <w:ind w:left="250" w:right="273"/>
              <w:rPr>
                <w:rFonts w:ascii="楷体" w:eastAsia="楷体" w:hint="eastAsia"/>
                <w:b/>
                <w:sz w:val="18"/>
              </w:rPr>
            </w:pPr>
            <w:r>
              <w:rPr>
                <w:b/>
                <w:color w:val="1F3763"/>
                <w:sz w:val="18"/>
              </w:rPr>
              <w:t xml:space="preserve">29-31 </w:t>
            </w:r>
            <w:r>
              <w:rPr>
                <w:rFonts w:ascii="楷体" w:eastAsia="楷体" w:hint="eastAsia"/>
                <w:b/>
                <w:color w:val="1F3763"/>
                <w:sz w:val="18"/>
              </w:rPr>
              <w:t>日</w:t>
            </w:r>
          </w:p>
        </w:tc>
        <w:tc>
          <w:tcPr>
            <w:tcW w:w="1286" w:type="dxa"/>
            <w:tcBorders>
              <w:top w:val="single" w:sz="8" w:space="0" w:color="51759C"/>
              <w:bottom w:val="single" w:sz="8" w:space="0" w:color="51759C"/>
            </w:tcBorders>
          </w:tcPr>
          <w:p>
            <w:pPr>
              <w:pStyle w:val="TableParagraph"/>
              <w:spacing w:before="26"/>
              <w:ind w:right="378"/>
              <w:jc w:val="right"/>
              <w:rPr>
                <w:rFonts w:ascii="楷体" w:eastAsia="楷体" w:hint="eastAsia"/>
                <w:b/>
                <w:sz w:val="18"/>
              </w:rPr>
            </w:pPr>
            <w:r>
              <w:rPr>
                <w:b/>
                <w:color w:val="1F3763"/>
                <w:sz w:val="18"/>
              </w:rPr>
              <w:t xml:space="preserve">1-14 </w:t>
            </w:r>
            <w:r>
              <w:rPr>
                <w:rFonts w:ascii="楷体" w:eastAsia="楷体" w:hint="eastAsia"/>
                <w:b/>
                <w:color w:val="1F3763"/>
                <w:sz w:val="18"/>
              </w:rPr>
              <w:t>日</w:t>
            </w:r>
          </w:p>
        </w:tc>
        <w:tc>
          <w:tcPr>
            <w:tcW w:w="1243" w:type="dxa"/>
            <w:tcBorders>
              <w:top w:val="single" w:sz="8" w:space="0" w:color="51759C"/>
              <w:bottom w:val="single" w:sz="8" w:space="0" w:color="51759C"/>
            </w:tcBorders>
          </w:tcPr>
          <w:p>
            <w:pPr>
              <w:pStyle w:val="TableParagraph"/>
              <w:spacing w:before="26"/>
              <w:ind w:left="423"/>
              <w:jc w:val="left"/>
              <w:rPr>
                <w:rFonts w:ascii="楷体" w:eastAsia="楷体" w:hint="eastAsia"/>
                <w:b/>
                <w:sz w:val="18"/>
              </w:rPr>
            </w:pPr>
            <w:r>
              <w:rPr>
                <w:rFonts w:ascii="楷体" w:eastAsia="楷体" w:hint="eastAsia"/>
                <w:b/>
                <w:color w:val="152E57"/>
                <w:sz w:val="18"/>
              </w:rPr>
              <w:t>全月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5"/>
          <w:jc w:val="left"/>
        </w:trPr>
        <w:tc>
          <w:tcPr>
            <w:tcW w:w="1408" w:type="dxa"/>
            <w:tcBorders>
              <w:top w:val="single" w:sz="8" w:space="0" w:color="51759C"/>
            </w:tcBorders>
            <w:shd w:val="clear" w:color="auto" w:fill="DDEBF7"/>
          </w:tcPr>
          <w:p>
            <w:pPr>
              <w:pStyle w:val="TableParagraph"/>
              <w:spacing w:before="36"/>
              <w:ind w:left="109" w:right="214"/>
              <w:rPr>
                <w:rFonts w:ascii="楷体" w:eastAsia="楷体" w:hint="eastAsia"/>
                <w:b/>
                <w:sz w:val="16"/>
              </w:rPr>
            </w:pPr>
            <w:r>
              <w:rPr>
                <w:rFonts w:ascii="楷体" w:eastAsia="楷体" w:hint="eastAsia"/>
                <w:b/>
                <w:color w:val="1F3763"/>
                <w:sz w:val="16"/>
              </w:rPr>
              <w:t>日均零售销量</w:t>
            </w:r>
          </w:p>
        </w:tc>
        <w:tc>
          <w:tcPr>
            <w:tcW w:w="1131" w:type="dxa"/>
            <w:tcBorders>
              <w:top w:val="single" w:sz="8" w:space="0" w:color="51759C"/>
            </w:tcBorders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  <w:tcBorders>
              <w:top w:val="single" w:sz="8" w:space="0" w:color="51759C"/>
            </w:tcBorders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  <w:tcBorders>
              <w:top w:val="single" w:sz="8" w:space="0" w:color="51759C"/>
            </w:tcBorders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  <w:tcBorders>
              <w:top w:val="single" w:sz="8" w:space="0" w:color="51759C"/>
            </w:tcBorders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  <w:tcBorders>
              <w:top w:val="single" w:sz="8" w:space="0" w:color="51759C"/>
            </w:tcBorders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86" w:type="dxa"/>
            <w:tcBorders>
              <w:top w:val="single" w:sz="8" w:space="0" w:color="51759C"/>
            </w:tcBorders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43" w:type="dxa"/>
            <w:tcBorders>
              <w:top w:val="single" w:sz="8" w:space="0" w:color="51759C"/>
            </w:tcBorders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6"/>
          <w:jc w:val="left"/>
        </w:trPr>
        <w:tc>
          <w:tcPr>
            <w:tcW w:w="1408" w:type="dxa"/>
          </w:tcPr>
          <w:p>
            <w:pPr>
              <w:pStyle w:val="TableParagraph"/>
              <w:spacing w:before="37"/>
              <w:ind w:left="110" w:right="214"/>
              <w:rPr>
                <w:rFonts w:ascii="楷体" w:eastAsia="楷体" w:hint="eastAsia"/>
                <w:sz w:val="16"/>
              </w:rPr>
            </w:pPr>
            <w:r>
              <w:rPr>
                <w:color w:val="1F3763"/>
                <w:sz w:val="16"/>
              </w:rPr>
              <w:t xml:space="preserve">22 </w:t>
            </w:r>
            <w:r>
              <w:rPr>
                <w:rFonts w:ascii="楷体" w:eastAsia="楷体" w:hint="eastAsia"/>
                <w:color w:val="1F3763"/>
                <w:sz w:val="16"/>
              </w:rPr>
              <w:t>年</w:t>
            </w:r>
          </w:p>
        </w:tc>
        <w:tc>
          <w:tcPr>
            <w:tcW w:w="1131" w:type="dxa"/>
          </w:tcPr>
          <w:p>
            <w:pPr>
              <w:pStyle w:val="TableParagraph"/>
              <w:ind w:right="388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58737</w:t>
            </w:r>
          </w:p>
        </w:tc>
        <w:tc>
          <w:tcPr>
            <w:tcW w:w="1275" w:type="dxa"/>
          </w:tcPr>
          <w:p>
            <w:pPr>
              <w:pStyle w:val="TableParagraph"/>
              <w:ind w:left="272" w:right="223"/>
              <w:rPr>
                <w:sz w:val="16"/>
              </w:rPr>
            </w:pPr>
            <w:r>
              <w:rPr>
                <w:color w:val="1F3763"/>
                <w:sz w:val="16"/>
              </w:rPr>
              <w:t>62082</w:t>
            </w:r>
          </w:p>
        </w:tc>
        <w:tc>
          <w:tcPr>
            <w:tcW w:w="1301" w:type="dxa"/>
          </w:tcPr>
          <w:p>
            <w:pPr>
              <w:pStyle w:val="TableParagraph"/>
              <w:ind w:left="273" w:right="251"/>
              <w:rPr>
                <w:sz w:val="16"/>
              </w:rPr>
            </w:pPr>
            <w:r>
              <w:rPr>
                <w:color w:val="1F3763"/>
                <w:sz w:val="16"/>
              </w:rPr>
              <w:t>71642</w:t>
            </w:r>
          </w:p>
        </w:tc>
        <w:tc>
          <w:tcPr>
            <w:tcW w:w="1275" w:type="dxa"/>
          </w:tcPr>
          <w:p>
            <w:pPr>
              <w:pStyle w:val="TableParagraph"/>
              <w:ind w:left="272" w:right="271"/>
              <w:rPr>
                <w:sz w:val="16"/>
              </w:rPr>
            </w:pPr>
            <w:r>
              <w:rPr>
                <w:color w:val="1F3763"/>
                <w:sz w:val="16"/>
              </w:rPr>
              <w:t>75027</w:t>
            </w:r>
          </w:p>
        </w:tc>
        <w:tc>
          <w:tcPr>
            <w:tcW w:w="1301" w:type="dxa"/>
          </w:tcPr>
          <w:p>
            <w:pPr>
              <w:pStyle w:val="TableParagraph"/>
              <w:ind w:left="249" w:right="273"/>
              <w:rPr>
                <w:sz w:val="16"/>
              </w:rPr>
            </w:pPr>
            <w:r>
              <w:rPr>
                <w:color w:val="1F3763"/>
                <w:sz w:val="16"/>
              </w:rPr>
              <w:t>75066</w:t>
            </w:r>
          </w:p>
        </w:tc>
        <w:tc>
          <w:tcPr>
            <w:tcW w:w="1286" w:type="dxa"/>
          </w:tcPr>
          <w:p>
            <w:pPr>
              <w:pStyle w:val="TableParagraph"/>
              <w:ind w:right="448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64154</w:t>
            </w:r>
          </w:p>
        </w:tc>
        <w:tc>
          <w:tcPr>
            <w:tcW w:w="1243" w:type="dxa"/>
          </w:tcPr>
          <w:p>
            <w:pPr>
              <w:pStyle w:val="TableParagraph"/>
              <w:ind w:left="382"/>
              <w:jc w:val="left"/>
              <w:rPr>
                <w:sz w:val="16"/>
              </w:rPr>
            </w:pPr>
            <w:r>
              <w:rPr>
                <w:sz w:val="16"/>
              </w:rPr>
              <w:t>67665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5"/>
          <w:jc w:val="left"/>
        </w:trPr>
        <w:tc>
          <w:tcPr>
            <w:tcW w:w="1408" w:type="dxa"/>
            <w:shd w:val="clear" w:color="auto" w:fill="DDEBF7"/>
          </w:tcPr>
          <w:p>
            <w:pPr>
              <w:pStyle w:val="TableParagraph"/>
              <w:spacing w:before="36"/>
              <w:ind w:left="110" w:right="214"/>
              <w:rPr>
                <w:rFonts w:ascii="楷体" w:eastAsia="楷体" w:hint="eastAsia"/>
                <w:sz w:val="16"/>
              </w:rPr>
            </w:pPr>
            <w:r>
              <w:rPr>
                <w:color w:val="1F3763"/>
                <w:sz w:val="16"/>
              </w:rPr>
              <w:t xml:space="preserve">23 </w:t>
            </w:r>
            <w:r>
              <w:rPr>
                <w:rFonts w:ascii="楷体" w:eastAsia="楷体" w:hint="eastAsia"/>
                <w:color w:val="1F3763"/>
                <w:sz w:val="16"/>
              </w:rPr>
              <w:t>年</w:t>
            </w:r>
          </w:p>
        </w:tc>
        <w:tc>
          <w:tcPr>
            <w:tcW w:w="1131" w:type="dxa"/>
            <w:shd w:val="clear" w:color="auto" w:fill="DDEBF7"/>
          </w:tcPr>
          <w:p>
            <w:pPr>
              <w:pStyle w:val="TableParagraph"/>
              <w:ind w:right="388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44600</w:t>
            </w:r>
          </w:p>
        </w:tc>
        <w:tc>
          <w:tcPr>
            <w:tcW w:w="1275" w:type="dxa"/>
            <w:shd w:val="clear" w:color="auto" w:fill="DDEBF7"/>
          </w:tcPr>
          <w:p>
            <w:pPr>
              <w:pStyle w:val="TableParagraph"/>
              <w:ind w:left="272" w:right="223"/>
              <w:rPr>
                <w:sz w:val="16"/>
              </w:rPr>
            </w:pPr>
            <w:r>
              <w:rPr>
                <w:color w:val="1F3763"/>
                <w:sz w:val="16"/>
              </w:rPr>
              <w:t>50854</w:t>
            </w:r>
          </w:p>
        </w:tc>
        <w:tc>
          <w:tcPr>
            <w:tcW w:w="1301" w:type="dxa"/>
            <w:shd w:val="clear" w:color="auto" w:fill="DDEBF7"/>
          </w:tcPr>
          <w:p>
            <w:pPr>
              <w:pStyle w:val="TableParagraph"/>
              <w:ind w:left="273" w:right="251"/>
              <w:rPr>
                <w:sz w:val="16"/>
              </w:rPr>
            </w:pPr>
            <w:r>
              <w:rPr>
                <w:color w:val="1F3763"/>
                <w:sz w:val="16"/>
              </w:rPr>
              <w:t>24611</w:t>
            </w:r>
          </w:p>
        </w:tc>
        <w:tc>
          <w:tcPr>
            <w:tcW w:w="1275" w:type="dxa"/>
            <w:shd w:val="clear" w:color="auto" w:fill="DDEBF7"/>
          </w:tcPr>
          <w:p>
            <w:pPr>
              <w:pStyle w:val="TableParagraph"/>
              <w:ind w:left="272" w:right="271"/>
              <w:rPr>
                <w:sz w:val="16"/>
              </w:rPr>
            </w:pPr>
            <w:r>
              <w:rPr>
                <w:color w:val="1F3763"/>
                <w:sz w:val="16"/>
              </w:rPr>
              <w:t>29043</w:t>
            </w:r>
          </w:p>
        </w:tc>
        <w:tc>
          <w:tcPr>
            <w:tcW w:w="1301" w:type="dxa"/>
            <w:shd w:val="clear" w:color="auto" w:fill="DDEBF7"/>
          </w:tcPr>
          <w:p>
            <w:pPr>
              <w:pStyle w:val="TableParagraph"/>
              <w:ind w:left="249" w:right="273"/>
              <w:rPr>
                <w:sz w:val="16"/>
              </w:rPr>
            </w:pPr>
            <w:r>
              <w:rPr>
                <w:color w:val="1F3763"/>
                <w:sz w:val="16"/>
              </w:rPr>
              <w:t>82923</w:t>
            </w:r>
          </w:p>
        </w:tc>
        <w:tc>
          <w:tcPr>
            <w:tcW w:w="1286" w:type="dxa"/>
            <w:shd w:val="clear" w:color="auto" w:fill="DDEBF7"/>
          </w:tcPr>
          <w:p>
            <w:pPr>
              <w:pStyle w:val="TableParagraph"/>
              <w:ind w:right="448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40022</w:t>
            </w:r>
          </w:p>
        </w:tc>
        <w:tc>
          <w:tcPr>
            <w:tcW w:w="1243" w:type="dxa"/>
            <w:shd w:val="clear" w:color="auto" w:fill="DDEBF7"/>
          </w:tcPr>
          <w:p>
            <w:pPr>
              <w:pStyle w:val="TableParagraph"/>
              <w:ind w:left="382"/>
              <w:jc w:val="left"/>
              <w:rPr>
                <w:sz w:val="16"/>
              </w:rPr>
            </w:pPr>
            <w:r>
              <w:rPr>
                <w:sz w:val="16"/>
              </w:rPr>
              <w:t>41694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6"/>
          <w:jc w:val="left"/>
        </w:trPr>
        <w:tc>
          <w:tcPr>
            <w:tcW w:w="1408" w:type="dxa"/>
          </w:tcPr>
          <w:p>
            <w:pPr>
              <w:pStyle w:val="TableParagraph"/>
              <w:spacing w:before="36"/>
              <w:ind w:left="110" w:right="214"/>
              <w:rPr>
                <w:rFonts w:ascii="楷体" w:eastAsia="楷体" w:hint="eastAsia"/>
                <w:sz w:val="16"/>
              </w:rPr>
            </w:pPr>
            <w:r>
              <w:rPr>
                <w:color w:val="1F3763"/>
                <w:sz w:val="16"/>
              </w:rPr>
              <w:t xml:space="preserve">24 </w:t>
            </w:r>
            <w:r>
              <w:rPr>
                <w:rFonts w:ascii="楷体" w:eastAsia="楷体" w:hint="eastAsia"/>
                <w:color w:val="1F3763"/>
                <w:sz w:val="16"/>
              </w:rPr>
              <w:t>年</w:t>
            </w:r>
          </w:p>
        </w:tc>
        <w:tc>
          <w:tcPr>
            <w:tcW w:w="1131" w:type="dxa"/>
          </w:tcPr>
          <w:p>
            <w:pPr>
              <w:pStyle w:val="TableParagraph"/>
              <w:ind w:right="388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54012</w:t>
            </w:r>
          </w:p>
        </w:tc>
        <w:tc>
          <w:tcPr>
            <w:tcW w:w="1275" w:type="dxa"/>
          </w:tcPr>
          <w:p>
            <w:pPr>
              <w:pStyle w:val="TableParagraph"/>
              <w:ind w:left="272" w:right="223"/>
              <w:rPr>
                <w:sz w:val="16"/>
              </w:rPr>
            </w:pPr>
            <w:r>
              <w:rPr>
                <w:color w:val="1F3763"/>
                <w:sz w:val="16"/>
              </w:rPr>
              <w:t>58513</w:t>
            </w:r>
          </w:p>
        </w:tc>
        <w:tc>
          <w:tcPr>
            <w:tcW w:w="1301" w:type="dxa"/>
          </w:tcPr>
          <w:p>
            <w:pPr>
              <w:pStyle w:val="TableParagraph"/>
              <w:ind w:left="273" w:right="251"/>
              <w:rPr>
                <w:sz w:val="16"/>
              </w:rPr>
            </w:pPr>
            <w:r>
              <w:rPr>
                <w:color w:val="1F3763"/>
                <w:sz w:val="16"/>
              </w:rPr>
              <w:t>62827</w:t>
            </w:r>
          </w:p>
        </w:tc>
        <w:tc>
          <w:tcPr>
            <w:tcW w:w="127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ind w:right="448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58451</w:t>
            </w:r>
          </w:p>
        </w:tc>
        <w:tc>
          <w:tcPr>
            <w:tcW w:w="12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6"/>
          <w:jc w:val="left"/>
        </w:trPr>
        <w:tc>
          <w:tcPr>
            <w:tcW w:w="1408" w:type="dxa"/>
            <w:shd w:val="clear" w:color="auto" w:fill="DDEBF7"/>
          </w:tcPr>
          <w:p>
            <w:pPr>
              <w:pStyle w:val="TableParagraph"/>
              <w:spacing w:before="36"/>
              <w:ind w:left="112" w:right="211"/>
              <w:rPr>
                <w:rFonts w:ascii="楷体" w:eastAsia="楷体" w:hint="eastAsia"/>
                <w:sz w:val="16"/>
              </w:rPr>
            </w:pPr>
            <w:r>
              <w:rPr>
                <w:color w:val="1F3763"/>
                <w:sz w:val="16"/>
              </w:rPr>
              <w:t xml:space="preserve">24 </w:t>
            </w:r>
            <w:r>
              <w:rPr>
                <w:rFonts w:ascii="楷体" w:eastAsia="楷体" w:hint="eastAsia"/>
                <w:color w:val="1F3763"/>
                <w:sz w:val="16"/>
              </w:rPr>
              <w:t>年同比</w:t>
            </w:r>
          </w:p>
        </w:tc>
        <w:tc>
          <w:tcPr>
            <w:tcW w:w="1131" w:type="dxa"/>
            <w:shd w:val="clear" w:color="auto" w:fill="DDEBF7"/>
          </w:tcPr>
          <w:p>
            <w:pPr>
              <w:pStyle w:val="TableParagraph"/>
              <w:ind w:right="450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21%</w:t>
            </w:r>
          </w:p>
        </w:tc>
        <w:tc>
          <w:tcPr>
            <w:tcW w:w="1275" w:type="dxa"/>
            <w:shd w:val="clear" w:color="auto" w:fill="DDEBF7"/>
          </w:tcPr>
          <w:p>
            <w:pPr>
              <w:pStyle w:val="TableParagraph"/>
              <w:ind w:left="272" w:right="222"/>
              <w:rPr>
                <w:sz w:val="16"/>
              </w:rPr>
            </w:pPr>
            <w:r>
              <w:rPr>
                <w:color w:val="1F3763"/>
                <w:sz w:val="16"/>
              </w:rPr>
              <w:t>15%</w:t>
            </w:r>
          </w:p>
        </w:tc>
        <w:tc>
          <w:tcPr>
            <w:tcW w:w="1301" w:type="dxa"/>
            <w:shd w:val="clear" w:color="auto" w:fill="DDEBF7"/>
          </w:tcPr>
          <w:p>
            <w:pPr>
              <w:pStyle w:val="TableParagraph"/>
              <w:ind w:left="273" w:right="253"/>
              <w:rPr>
                <w:sz w:val="16"/>
              </w:rPr>
            </w:pPr>
            <w:r>
              <w:rPr>
                <w:color w:val="1F3763"/>
                <w:sz w:val="16"/>
              </w:rPr>
              <w:t>155%</w:t>
            </w:r>
          </w:p>
        </w:tc>
        <w:tc>
          <w:tcPr>
            <w:tcW w:w="1275" w:type="dxa"/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86" w:type="dxa"/>
            <w:shd w:val="clear" w:color="auto" w:fill="DDEBF7"/>
          </w:tcPr>
          <w:p>
            <w:pPr>
              <w:pStyle w:val="TableParagraph"/>
              <w:ind w:left="435" w:right="490"/>
              <w:rPr>
                <w:sz w:val="16"/>
              </w:rPr>
            </w:pPr>
            <w:r>
              <w:rPr>
                <w:color w:val="1F3763"/>
                <w:sz w:val="16"/>
              </w:rPr>
              <w:t>46%</w:t>
            </w:r>
          </w:p>
        </w:tc>
        <w:tc>
          <w:tcPr>
            <w:tcW w:w="1243" w:type="dxa"/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1408" w:type="dxa"/>
          </w:tcPr>
          <w:p>
            <w:pPr>
              <w:pStyle w:val="TableParagraph"/>
              <w:spacing w:before="0"/>
              <w:ind w:left="112" w:right="214"/>
              <w:rPr>
                <w:sz w:val="16"/>
              </w:rPr>
            </w:pPr>
            <w:r>
              <w:rPr>
                <w:rFonts w:ascii="楷体" w:eastAsia="楷体" w:hint="eastAsia"/>
                <w:color w:val="1F3763"/>
                <w:sz w:val="16"/>
              </w:rPr>
              <w:t xml:space="preserve">环比 </w:t>
            </w:r>
            <w:r>
              <w:rPr>
                <w:color w:val="1F3763"/>
                <w:sz w:val="16"/>
              </w:rPr>
              <w:t xml:space="preserve">23 </w:t>
            </w:r>
            <w:r>
              <w:rPr>
                <w:rFonts w:ascii="楷体" w:eastAsia="楷体" w:hint="eastAsia"/>
                <w:color w:val="1F3763"/>
                <w:sz w:val="16"/>
              </w:rPr>
              <w:t xml:space="preserve">年 </w:t>
            </w:r>
            <w:r>
              <w:rPr>
                <w:color w:val="1F3763"/>
                <w:sz w:val="16"/>
              </w:rPr>
              <w:t>12</w:t>
            </w:r>
          </w:p>
          <w:p>
            <w:pPr>
              <w:pStyle w:val="TableParagraph"/>
              <w:spacing w:before="4" w:line="186" w:lineRule="exact"/>
              <w:ind w:left="112" w:right="213"/>
              <w:rPr>
                <w:rFonts w:ascii="楷体" w:eastAsia="楷体" w:hint="eastAsia"/>
                <w:sz w:val="16"/>
              </w:rPr>
            </w:pPr>
            <w:r>
              <w:rPr>
                <w:rFonts w:ascii="楷体" w:eastAsia="楷体" w:hint="eastAsia"/>
                <w:color w:val="1F3763"/>
                <w:sz w:val="16"/>
              </w:rPr>
              <w:t>月同期</w:t>
            </w:r>
          </w:p>
        </w:tc>
        <w:tc>
          <w:tcPr>
            <w:tcW w:w="1131" w:type="dxa"/>
          </w:tcPr>
          <w:p>
            <w:pPr>
              <w:pStyle w:val="TableParagraph"/>
              <w:spacing w:before="116"/>
              <w:ind w:right="450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14%</w:t>
            </w:r>
          </w:p>
        </w:tc>
        <w:tc>
          <w:tcPr>
            <w:tcW w:w="1275" w:type="dxa"/>
          </w:tcPr>
          <w:p>
            <w:pPr>
              <w:pStyle w:val="TableParagraph"/>
              <w:spacing w:before="116"/>
              <w:ind w:left="272" w:right="224"/>
              <w:rPr>
                <w:sz w:val="16"/>
              </w:rPr>
            </w:pPr>
            <w:r>
              <w:rPr>
                <w:color w:val="1F3763"/>
                <w:sz w:val="16"/>
              </w:rPr>
              <w:t>0%</w:t>
            </w:r>
          </w:p>
        </w:tc>
        <w:tc>
          <w:tcPr>
            <w:tcW w:w="1301" w:type="dxa"/>
          </w:tcPr>
          <w:p>
            <w:pPr>
              <w:pStyle w:val="TableParagraph"/>
              <w:spacing w:before="116"/>
              <w:ind w:left="273" w:right="255"/>
              <w:rPr>
                <w:sz w:val="16"/>
              </w:rPr>
            </w:pPr>
            <w:r>
              <w:rPr>
                <w:color w:val="1F3763"/>
                <w:sz w:val="16"/>
              </w:rPr>
              <w:t>-18%</w:t>
            </w:r>
          </w:p>
        </w:tc>
        <w:tc>
          <w:tcPr>
            <w:tcW w:w="127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spacing w:before="116"/>
              <w:ind w:left="432" w:right="490"/>
              <w:rPr>
                <w:sz w:val="16"/>
              </w:rPr>
            </w:pPr>
            <w:r>
              <w:rPr>
                <w:color w:val="1F3763"/>
                <w:sz w:val="16"/>
              </w:rPr>
              <w:t>-4%</w:t>
            </w:r>
          </w:p>
        </w:tc>
        <w:tc>
          <w:tcPr>
            <w:tcW w:w="12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5"/>
          <w:jc w:val="left"/>
        </w:trPr>
        <w:tc>
          <w:tcPr>
            <w:tcW w:w="1408" w:type="dxa"/>
            <w:shd w:val="clear" w:color="auto" w:fill="DDEBF7"/>
          </w:tcPr>
          <w:p>
            <w:pPr>
              <w:pStyle w:val="TableParagraph"/>
              <w:spacing w:before="36"/>
              <w:ind w:left="109" w:right="214"/>
              <w:rPr>
                <w:rFonts w:ascii="楷体" w:eastAsia="楷体" w:hint="eastAsia"/>
                <w:b/>
                <w:sz w:val="16"/>
              </w:rPr>
            </w:pPr>
            <w:r>
              <w:rPr>
                <w:rFonts w:ascii="楷体" w:eastAsia="楷体" w:hint="eastAsia"/>
                <w:b/>
                <w:color w:val="1F3763"/>
                <w:sz w:val="16"/>
              </w:rPr>
              <w:t>日均批发销量</w:t>
            </w:r>
          </w:p>
        </w:tc>
        <w:tc>
          <w:tcPr>
            <w:tcW w:w="1131" w:type="dxa"/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75" w:type="dxa"/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86" w:type="dxa"/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43" w:type="dxa"/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6"/>
          <w:jc w:val="left"/>
        </w:trPr>
        <w:tc>
          <w:tcPr>
            <w:tcW w:w="1408" w:type="dxa"/>
          </w:tcPr>
          <w:p>
            <w:pPr>
              <w:pStyle w:val="TableParagraph"/>
              <w:spacing w:before="36"/>
              <w:ind w:left="110" w:right="214"/>
              <w:rPr>
                <w:rFonts w:ascii="楷体" w:eastAsia="楷体" w:hint="eastAsia"/>
                <w:sz w:val="16"/>
              </w:rPr>
            </w:pPr>
            <w:r>
              <w:rPr>
                <w:color w:val="1F3763"/>
                <w:sz w:val="16"/>
              </w:rPr>
              <w:t xml:space="preserve">22 </w:t>
            </w:r>
            <w:r>
              <w:rPr>
                <w:rFonts w:ascii="楷体" w:eastAsia="楷体" w:hint="eastAsia"/>
                <w:color w:val="1F3763"/>
                <w:sz w:val="16"/>
              </w:rPr>
              <w:t>年</w:t>
            </w:r>
          </w:p>
        </w:tc>
        <w:tc>
          <w:tcPr>
            <w:tcW w:w="1131" w:type="dxa"/>
          </w:tcPr>
          <w:p>
            <w:pPr>
              <w:pStyle w:val="TableParagraph"/>
              <w:ind w:right="388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53153</w:t>
            </w:r>
          </w:p>
        </w:tc>
        <w:tc>
          <w:tcPr>
            <w:tcW w:w="1275" w:type="dxa"/>
          </w:tcPr>
          <w:p>
            <w:pPr>
              <w:pStyle w:val="TableParagraph"/>
              <w:ind w:left="272" w:right="223"/>
              <w:rPr>
                <w:sz w:val="16"/>
              </w:rPr>
            </w:pPr>
            <w:r>
              <w:rPr>
                <w:color w:val="1F3763"/>
                <w:sz w:val="16"/>
              </w:rPr>
              <w:t>56602</w:t>
            </w:r>
          </w:p>
        </w:tc>
        <w:tc>
          <w:tcPr>
            <w:tcW w:w="1301" w:type="dxa"/>
          </w:tcPr>
          <w:p>
            <w:pPr>
              <w:pStyle w:val="TableParagraph"/>
              <w:ind w:left="273" w:right="251"/>
              <w:rPr>
                <w:sz w:val="16"/>
              </w:rPr>
            </w:pPr>
            <w:r>
              <w:rPr>
                <w:color w:val="1F3763"/>
                <w:sz w:val="16"/>
              </w:rPr>
              <w:t>70719</w:t>
            </w:r>
          </w:p>
        </w:tc>
        <w:tc>
          <w:tcPr>
            <w:tcW w:w="1275" w:type="dxa"/>
          </w:tcPr>
          <w:p>
            <w:pPr>
              <w:pStyle w:val="TableParagraph"/>
              <w:ind w:left="272" w:right="271"/>
              <w:rPr>
                <w:sz w:val="16"/>
              </w:rPr>
            </w:pPr>
            <w:r>
              <w:rPr>
                <w:color w:val="1F3763"/>
                <w:sz w:val="16"/>
              </w:rPr>
              <w:t>89670</w:t>
            </w:r>
          </w:p>
        </w:tc>
        <w:tc>
          <w:tcPr>
            <w:tcW w:w="1301" w:type="dxa"/>
          </w:tcPr>
          <w:p>
            <w:pPr>
              <w:pStyle w:val="TableParagraph"/>
              <w:ind w:left="249" w:right="273"/>
              <w:rPr>
                <w:sz w:val="16"/>
              </w:rPr>
            </w:pPr>
            <w:r>
              <w:rPr>
                <w:color w:val="1F3763"/>
                <w:sz w:val="16"/>
              </w:rPr>
              <w:t>95212</w:t>
            </w:r>
          </w:p>
        </w:tc>
        <w:tc>
          <w:tcPr>
            <w:tcW w:w="1286" w:type="dxa"/>
          </w:tcPr>
          <w:p>
            <w:pPr>
              <w:pStyle w:val="TableParagraph"/>
              <w:ind w:right="448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60158</w:t>
            </w:r>
          </w:p>
        </w:tc>
        <w:tc>
          <w:tcPr>
            <w:tcW w:w="1243" w:type="dxa"/>
          </w:tcPr>
          <w:p>
            <w:pPr>
              <w:pStyle w:val="TableParagraph"/>
              <w:ind w:left="382"/>
              <w:jc w:val="left"/>
              <w:rPr>
                <w:sz w:val="16"/>
              </w:rPr>
            </w:pPr>
            <w:r>
              <w:rPr>
                <w:sz w:val="16"/>
              </w:rPr>
              <w:t>70214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5"/>
          <w:jc w:val="left"/>
        </w:trPr>
        <w:tc>
          <w:tcPr>
            <w:tcW w:w="1408" w:type="dxa"/>
            <w:shd w:val="clear" w:color="auto" w:fill="DDEBF7"/>
          </w:tcPr>
          <w:p>
            <w:pPr>
              <w:pStyle w:val="TableParagraph"/>
              <w:spacing w:before="37"/>
              <w:ind w:left="110" w:right="214"/>
              <w:rPr>
                <w:rFonts w:ascii="楷体" w:eastAsia="楷体" w:hint="eastAsia"/>
                <w:sz w:val="16"/>
              </w:rPr>
            </w:pPr>
            <w:r>
              <w:rPr>
                <w:color w:val="1F3763"/>
                <w:sz w:val="16"/>
              </w:rPr>
              <w:t xml:space="preserve">23 </w:t>
            </w:r>
            <w:r>
              <w:rPr>
                <w:rFonts w:ascii="楷体" w:eastAsia="楷体" w:hint="eastAsia"/>
                <w:color w:val="1F3763"/>
                <w:sz w:val="16"/>
              </w:rPr>
              <w:t>年</w:t>
            </w:r>
          </w:p>
        </w:tc>
        <w:tc>
          <w:tcPr>
            <w:tcW w:w="1131" w:type="dxa"/>
            <w:shd w:val="clear" w:color="auto" w:fill="DDEBF7"/>
          </w:tcPr>
          <w:p>
            <w:pPr>
              <w:pStyle w:val="TableParagraph"/>
              <w:ind w:right="388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41267</w:t>
            </w:r>
          </w:p>
        </w:tc>
        <w:tc>
          <w:tcPr>
            <w:tcW w:w="1275" w:type="dxa"/>
            <w:shd w:val="clear" w:color="auto" w:fill="DDEBF7"/>
          </w:tcPr>
          <w:p>
            <w:pPr>
              <w:pStyle w:val="TableParagraph"/>
              <w:ind w:left="272" w:right="223"/>
              <w:rPr>
                <w:sz w:val="16"/>
              </w:rPr>
            </w:pPr>
            <w:r>
              <w:rPr>
                <w:color w:val="1F3763"/>
                <w:sz w:val="16"/>
              </w:rPr>
              <w:t>46833</w:t>
            </w:r>
          </w:p>
        </w:tc>
        <w:tc>
          <w:tcPr>
            <w:tcW w:w="1301" w:type="dxa"/>
            <w:shd w:val="clear" w:color="auto" w:fill="DDEBF7"/>
          </w:tcPr>
          <w:p>
            <w:pPr>
              <w:pStyle w:val="TableParagraph"/>
              <w:ind w:left="273" w:right="251"/>
              <w:rPr>
                <w:sz w:val="16"/>
              </w:rPr>
            </w:pPr>
            <w:r>
              <w:rPr>
                <w:color w:val="1F3763"/>
                <w:sz w:val="16"/>
              </w:rPr>
              <w:t>23710</w:t>
            </w:r>
          </w:p>
        </w:tc>
        <w:tc>
          <w:tcPr>
            <w:tcW w:w="1275" w:type="dxa"/>
            <w:shd w:val="clear" w:color="auto" w:fill="DDEBF7"/>
          </w:tcPr>
          <w:p>
            <w:pPr>
              <w:pStyle w:val="TableParagraph"/>
              <w:ind w:left="272" w:right="271"/>
              <w:rPr>
                <w:sz w:val="16"/>
              </w:rPr>
            </w:pPr>
            <w:r>
              <w:rPr>
                <w:color w:val="1F3763"/>
                <w:sz w:val="16"/>
              </w:rPr>
              <w:t>36452</w:t>
            </w:r>
          </w:p>
        </w:tc>
        <w:tc>
          <w:tcPr>
            <w:tcW w:w="1301" w:type="dxa"/>
            <w:shd w:val="clear" w:color="auto" w:fill="DDEBF7"/>
          </w:tcPr>
          <w:p>
            <w:pPr>
              <w:pStyle w:val="TableParagraph"/>
              <w:ind w:left="252" w:right="273"/>
              <w:rPr>
                <w:sz w:val="16"/>
              </w:rPr>
            </w:pPr>
            <w:r>
              <w:rPr>
                <w:color w:val="1F3763"/>
                <w:sz w:val="16"/>
              </w:rPr>
              <w:t>136955</w:t>
            </w:r>
          </w:p>
        </w:tc>
        <w:tc>
          <w:tcPr>
            <w:tcW w:w="1286" w:type="dxa"/>
            <w:shd w:val="clear" w:color="auto" w:fill="DDEBF7"/>
          </w:tcPr>
          <w:p>
            <w:pPr>
              <w:pStyle w:val="TableParagraph"/>
              <w:ind w:right="448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37270</w:t>
            </w:r>
          </w:p>
        </w:tc>
        <w:tc>
          <w:tcPr>
            <w:tcW w:w="1243" w:type="dxa"/>
            <w:shd w:val="clear" w:color="auto" w:fill="DDEBF7"/>
          </w:tcPr>
          <w:p>
            <w:pPr>
              <w:pStyle w:val="TableParagraph"/>
              <w:ind w:left="382"/>
              <w:jc w:val="left"/>
              <w:rPr>
                <w:sz w:val="16"/>
              </w:rPr>
            </w:pPr>
            <w:r>
              <w:rPr>
                <w:sz w:val="16"/>
              </w:rPr>
              <w:t>46732</w:t>
            </w: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6"/>
          <w:jc w:val="left"/>
        </w:trPr>
        <w:tc>
          <w:tcPr>
            <w:tcW w:w="1408" w:type="dxa"/>
          </w:tcPr>
          <w:p>
            <w:pPr>
              <w:pStyle w:val="TableParagraph"/>
              <w:spacing w:before="37"/>
              <w:ind w:left="110" w:right="214"/>
              <w:rPr>
                <w:rFonts w:ascii="楷体" w:eastAsia="楷体" w:hint="eastAsia"/>
                <w:sz w:val="16"/>
              </w:rPr>
            </w:pPr>
            <w:r>
              <w:rPr>
                <w:color w:val="1F3763"/>
                <w:sz w:val="16"/>
              </w:rPr>
              <w:t xml:space="preserve">24 </w:t>
            </w:r>
            <w:r>
              <w:rPr>
                <w:rFonts w:ascii="楷体" w:eastAsia="楷体" w:hint="eastAsia"/>
                <w:color w:val="1F3763"/>
                <w:sz w:val="16"/>
              </w:rPr>
              <w:t>年</w:t>
            </w:r>
          </w:p>
        </w:tc>
        <w:tc>
          <w:tcPr>
            <w:tcW w:w="1131" w:type="dxa"/>
          </w:tcPr>
          <w:p>
            <w:pPr>
              <w:pStyle w:val="TableParagraph"/>
              <w:ind w:right="388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47018</w:t>
            </w:r>
          </w:p>
        </w:tc>
        <w:tc>
          <w:tcPr>
            <w:tcW w:w="1275" w:type="dxa"/>
          </w:tcPr>
          <w:p>
            <w:pPr>
              <w:pStyle w:val="TableParagraph"/>
              <w:ind w:left="272" w:right="223"/>
              <w:rPr>
                <w:sz w:val="16"/>
              </w:rPr>
            </w:pPr>
            <w:r>
              <w:rPr>
                <w:color w:val="1F3763"/>
                <w:sz w:val="16"/>
              </w:rPr>
              <w:t>55184</w:t>
            </w:r>
          </w:p>
        </w:tc>
        <w:tc>
          <w:tcPr>
            <w:tcW w:w="1301" w:type="dxa"/>
          </w:tcPr>
          <w:p>
            <w:pPr>
              <w:pStyle w:val="TableParagraph"/>
              <w:ind w:left="273" w:right="251"/>
              <w:rPr>
                <w:sz w:val="16"/>
              </w:rPr>
            </w:pPr>
            <w:r>
              <w:rPr>
                <w:color w:val="1F3763"/>
                <w:sz w:val="16"/>
              </w:rPr>
              <w:t>56424</w:t>
            </w:r>
          </w:p>
        </w:tc>
        <w:tc>
          <w:tcPr>
            <w:tcW w:w="127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86" w:type="dxa"/>
          </w:tcPr>
          <w:p>
            <w:pPr>
              <w:pStyle w:val="TableParagraph"/>
              <w:ind w:right="448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52875</w:t>
            </w:r>
          </w:p>
        </w:tc>
        <w:tc>
          <w:tcPr>
            <w:tcW w:w="12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5"/>
          <w:jc w:val="left"/>
        </w:trPr>
        <w:tc>
          <w:tcPr>
            <w:tcW w:w="1408" w:type="dxa"/>
            <w:shd w:val="clear" w:color="auto" w:fill="DDEBF7"/>
          </w:tcPr>
          <w:p>
            <w:pPr>
              <w:pStyle w:val="TableParagraph"/>
              <w:spacing w:before="37"/>
              <w:ind w:left="112" w:right="211"/>
              <w:rPr>
                <w:rFonts w:ascii="楷体" w:eastAsia="楷体" w:hint="eastAsia"/>
                <w:sz w:val="16"/>
              </w:rPr>
            </w:pPr>
            <w:r>
              <w:rPr>
                <w:color w:val="1F3763"/>
                <w:sz w:val="16"/>
              </w:rPr>
              <w:t xml:space="preserve">24 </w:t>
            </w:r>
            <w:r>
              <w:rPr>
                <w:rFonts w:ascii="楷体" w:eastAsia="楷体" w:hint="eastAsia"/>
                <w:color w:val="1F3763"/>
                <w:sz w:val="16"/>
              </w:rPr>
              <w:t>年同比</w:t>
            </w:r>
          </w:p>
        </w:tc>
        <w:tc>
          <w:tcPr>
            <w:tcW w:w="1131" w:type="dxa"/>
            <w:shd w:val="clear" w:color="auto" w:fill="DDEBF7"/>
          </w:tcPr>
          <w:p>
            <w:pPr>
              <w:pStyle w:val="TableParagraph"/>
              <w:ind w:right="450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14%</w:t>
            </w:r>
          </w:p>
        </w:tc>
        <w:tc>
          <w:tcPr>
            <w:tcW w:w="1275" w:type="dxa"/>
            <w:shd w:val="clear" w:color="auto" w:fill="DDEBF7"/>
          </w:tcPr>
          <w:p>
            <w:pPr>
              <w:pStyle w:val="TableParagraph"/>
              <w:ind w:left="272" w:right="222"/>
              <w:rPr>
                <w:sz w:val="16"/>
              </w:rPr>
            </w:pPr>
            <w:r>
              <w:rPr>
                <w:color w:val="1F3763"/>
                <w:sz w:val="16"/>
              </w:rPr>
              <w:t>18%</w:t>
            </w:r>
          </w:p>
        </w:tc>
        <w:tc>
          <w:tcPr>
            <w:tcW w:w="1301" w:type="dxa"/>
            <w:shd w:val="clear" w:color="auto" w:fill="DDEBF7"/>
          </w:tcPr>
          <w:p>
            <w:pPr>
              <w:pStyle w:val="TableParagraph"/>
              <w:ind w:left="273" w:right="253"/>
              <w:rPr>
                <w:sz w:val="16"/>
              </w:rPr>
            </w:pPr>
            <w:r>
              <w:rPr>
                <w:color w:val="1F3763"/>
                <w:sz w:val="16"/>
              </w:rPr>
              <w:t>138%</w:t>
            </w:r>
          </w:p>
        </w:tc>
        <w:tc>
          <w:tcPr>
            <w:tcW w:w="1275" w:type="dxa"/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86" w:type="dxa"/>
            <w:shd w:val="clear" w:color="auto" w:fill="DDEBF7"/>
          </w:tcPr>
          <w:p>
            <w:pPr>
              <w:pStyle w:val="TableParagraph"/>
              <w:ind w:left="435" w:right="490"/>
              <w:rPr>
                <w:sz w:val="16"/>
              </w:rPr>
            </w:pPr>
            <w:r>
              <w:rPr>
                <w:color w:val="1F3763"/>
                <w:sz w:val="16"/>
              </w:rPr>
              <w:t>42%</w:t>
            </w:r>
          </w:p>
        </w:tc>
        <w:tc>
          <w:tcPr>
            <w:tcW w:w="1243" w:type="dxa"/>
            <w:shd w:val="clear" w:color="auto" w:fill="DDEBF7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7"/>
          <w:jc w:val="left"/>
        </w:trPr>
        <w:tc>
          <w:tcPr>
            <w:tcW w:w="1408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"/>
              <w:ind w:left="112" w:right="214"/>
              <w:rPr>
                <w:sz w:val="16"/>
              </w:rPr>
            </w:pPr>
            <w:r>
              <w:rPr>
                <w:rFonts w:ascii="楷体" w:eastAsia="楷体" w:hint="eastAsia"/>
                <w:color w:val="1F3763"/>
                <w:sz w:val="16"/>
              </w:rPr>
              <w:t xml:space="preserve">环比 </w:t>
            </w:r>
            <w:r>
              <w:rPr>
                <w:color w:val="1F3763"/>
                <w:sz w:val="16"/>
              </w:rPr>
              <w:t xml:space="preserve">23 </w:t>
            </w:r>
            <w:r>
              <w:rPr>
                <w:rFonts w:ascii="楷体" w:eastAsia="楷体" w:hint="eastAsia"/>
                <w:color w:val="1F3763"/>
                <w:sz w:val="16"/>
              </w:rPr>
              <w:t xml:space="preserve">年 </w:t>
            </w:r>
            <w:r>
              <w:rPr>
                <w:color w:val="1F3763"/>
                <w:sz w:val="16"/>
              </w:rPr>
              <w:t>12</w:t>
            </w:r>
          </w:p>
          <w:p>
            <w:pPr>
              <w:pStyle w:val="TableParagraph"/>
              <w:spacing w:before="3" w:line="188" w:lineRule="exact"/>
              <w:ind w:left="112" w:right="213"/>
              <w:rPr>
                <w:rFonts w:ascii="楷体" w:eastAsia="楷体" w:hint="eastAsia"/>
                <w:sz w:val="16"/>
              </w:rPr>
            </w:pPr>
            <w:r>
              <w:rPr>
                <w:rFonts w:ascii="楷体" w:eastAsia="楷体" w:hint="eastAsia"/>
                <w:color w:val="1F3763"/>
                <w:sz w:val="16"/>
              </w:rPr>
              <w:t>月同期</w:t>
            </w:r>
          </w:p>
        </w:tc>
        <w:tc>
          <w:tcPr>
            <w:tcW w:w="113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16"/>
              <w:ind w:left="383" w:right="476"/>
              <w:rPr>
                <w:sz w:val="16"/>
              </w:rPr>
            </w:pPr>
            <w:r>
              <w:rPr>
                <w:color w:val="1F3763"/>
                <w:sz w:val="16"/>
              </w:rPr>
              <w:t>3%</w:t>
            </w:r>
          </w:p>
        </w:tc>
        <w:tc>
          <w:tcPr>
            <w:tcW w:w="127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16"/>
              <w:ind w:left="272" w:right="224"/>
              <w:rPr>
                <w:sz w:val="16"/>
              </w:rPr>
            </w:pPr>
            <w:r>
              <w:rPr>
                <w:color w:val="1F3763"/>
                <w:sz w:val="16"/>
              </w:rPr>
              <w:t>-9%</w:t>
            </w:r>
          </w:p>
        </w:tc>
        <w:tc>
          <w:tcPr>
            <w:tcW w:w="130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16"/>
              <w:ind w:left="273" w:right="255"/>
              <w:rPr>
                <w:sz w:val="16"/>
              </w:rPr>
            </w:pPr>
            <w:r>
              <w:rPr>
                <w:color w:val="1F3763"/>
                <w:sz w:val="16"/>
              </w:rPr>
              <w:t>-26%</w:t>
            </w:r>
          </w:p>
        </w:tc>
        <w:tc>
          <w:tcPr>
            <w:tcW w:w="127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301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286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116"/>
              <w:ind w:right="483"/>
              <w:jc w:val="right"/>
              <w:rPr>
                <w:sz w:val="16"/>
              </w:rPr>
            </w:pPr>
            <w:r>
              <w:rPr>
                <w:color w:val="1F3763"/>
                <w:sz w:val="16"/>
              </w:rPr>
              <w:t>-13%</w:t>
            </w:r>
          </w:p>
        </w:tc>
        <w:tc>
          <w:tcPr>
            <w:tcW w:w="1243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before="0"/>
        <w:ind w:left="131" w:right="0" w:firstLine="0"/>
        <w:jc w:val="left"/>
        <w:rPr>
          <w:i/>
          <w:sz w:val="17"/>
        </w:rPr>
      </w:pPr>
      <w:r>
        <w:t xml:space="preserve">资料来源：乘联会， </w:t>
      </w:r>
    </w:p>
    <w:p>
      <w:pPr>
        <w:pStyle w:val="BodyText"/>
        <w:rPr>
          <w:i/>
          <w:sz w:val="16"/>
        </w:rPr>
      </w:pPr>
    </w:p>
    <w:p>
      <w:pPr>
        <w:pStyle w:val="BodyText"/>
        <w:spacing w:before="4"/>
        <w:rPr>
          <w:i/>
          <w:sz w:val="20"/>
        </w:rPr>
      </w:pPr>
    </w:p>
    <w:p>
      <w:pPr>
        <w:tabs>
          <w:tab w:val="left" w:pos="5418"/>
        </w:tabs>
        <w:spacing w:before="1"/>
        <w:ind w:left="240" w:right="0" w:firstLine="0"/>
        <w:jc w:val="left"/>
        <w:rPr>
          <w:b/>
          <w:sz w:val="18"/>
        </w:rPr>
      </w:pPr>
      <w:r>
        <w:rPr>
          <w:b/>
          <w:color w:val="152E57"/>
          <w:sz w:val="18"/>
        </w:rPr>
        <w:t>图</w:t>
      </w:r>
      <w:r>
        <w:rPr>
          <w:b/>
          <w:color w:val="152E57"/>
          <w:spacing w:val="-46"/>
          <w:sz w:val="18"/>
        </w:rPr>
        <w:t xml:space="preserve"> </w:t>
      </w:r>
      <w:r>
        <w:rPr>
          <w:b/>
          <w:color w:val="152E57"/>
          <w:sz w:val="18"/>
        </w:rPr>
        <w:t>4：1</w:t>
      </w:r>
      <w:r>
        <w:rPr>
          <w:b/>
          <w:color w:val="152E57"/>
          <w:spacing w:val="-44"/>
          <w:sz w:val="18"/>
        </w:rPr>
        <w:t xml:space="preserve"> </w:t>
      </w:r>
      <w:r>
        <w:rPr>
          <w:b/>
          <w:color w:val="152E57"/>
          <w:sz w:val="18"/>
        </w:rPr>
        <w:t>月乘联会口径日均零售概况</w:t>
        <w:tab/>
        <w:t>图</w:t>
      </w:r>
      <w:r>
        <w:rPr>
          <w:b/>
          <w:color w:val="152E57"/>
          <w:spacing w:val="-47"/>
          <w:sz w:val="18"/>
        </w:rPr>
        <w:t xml:space="preserve"> </w:t>
      </w:r>
      <w:r>
        <w:rPr>
          <w:b/>
          <w:color w:val="152E57"/>
          <w:sz w:val="18"/>
        </w:rPr>
        <w:t>5：1</w:t>
      </w:r>
      <w:r>
        <w:rPr>
          <w:b/>
          <w:color w:val="152E57"/>
          <w:spacing w:val="-44"/>
          <w:sz w:val="18"/>
        </w:rPr>
        <w:t xml:space="preserve"> </w:t>
      </w:r>
      <w:r>
        <w:rPr>
          <w:b/>
          <w:color w:val="152E57"/>
          <w:sz w:val="18"/>
        </w:rPr>
        <w:t>月乘联会口径日均批发概况</w:t>
      </w:r>
    </w:p>
    <w:p>
      <w:pPr>
        <w:tabs>
          <w:tab w:val="left" w:pos="5307"/>
        </w:tabs>
        <w:spacing w:line="20" w:lineRule="exact"/>
        <w:ind w:left="127" w:right="0" w:firstLine="0"/>
        <w:rPr>
          <w:sz w:val="2"/>
        </w:rPr>
      </w:pPr>
      <w:r>
        <w:rPr>
          <w:sz w:val="2"/>
        </w:rPr>
        <w:pict>
          <v:group id="_x0000_i1167" style="width:247.15pt;height:0.5pt;mso-position-horizontal-relative:char;mso-position-vertical-relative:line" coordorigin="0,0" coordsize="4943,10">
            <v:line id="_x0000_s1168" style="position:absolute" from="0,5" to="4943,5" stroked="t" strokecolor="black" strokeweight="0.48pt">
              <v:stroke dashstyle="solid"/>
            </v:line>
            <w10:wrap type="none"/>
          </v:group>
        </w:pict>
      </w:r>
      <w:r>
        <w:rPr>
          <w:sz w:val="2"/>
        </w:rPr>
        <w:tab/>
      </w:r>
      <w:r>
        <w:rPr>
          <w:sz w:val="2"/>
        </w:rPr>
        <w:pict>
          <v:group id="_x0000_i1169" style="width:252.05pt;height:0.5pt;mso-position-horizontal-relative:char;mso-position-vertical-relative:line" coordorigin="0,0" coordsize="5041,10">
            <v:line id="_x0000_s1170" style="position:absolute" from="0,5" to="5041,5" stroked="t" strokecolor="black" strokeweight="0.48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sz w:val="2"/>
        </w:rPr>
        <w:sectPr>
          <w:headerReference w:type="default" r:id="rId29"/>
          <w:footerReference w:type="default" r:id="rId30"/>
          <w:pgSz w:w="11910" w:h="16840"/>
          <w:pgMar w:top="960" w:right="520" w:bottom="1200" w:left="720" w:header="708" w:footer="708"/>
          <w:pgNumType w:start="9"/>
          <w:cols w:space="708"/>
        </w:sectPr>
      </w:pPr>
    </w:p>
    <w:p>
      <w:pPr>
        <w:tabs>
          <w:tab w:val="left" w:pos="3375"/>
        </w:tabs>
        <w:spacing w:before="128"/>
        <w:ind w:left="1014" w:right="0" w:firstLine="0"/>
        <w:jc w:val="left"/>
        <w:rPr>
          <w:sz w:val="16"/>
        </w:rPr>
      </w:pPr>
      <w:r>
        <w:pict>
          <v:line id="_x0000_s1171" style="mso-position-horizontal-relative:page;position:absolute;z-index:251685888" from="65.5pt,11.75pt" to="84.7pt,11.75pt" stroked="t" strokecolor="#00048d" strokeweight="4.02pt">
            <v:stroke dashstyle="solid"/>
          </v:line>
        </w:pict>
      </w:r>
      <w:r>
        <w:pict>
          <v:line id="_x0000_s1172" style="mso-position-horizontal-relative:page;position:absolute;z-index:-251636736" from="183.5pt,11.75pt" to="202.7pt,11.75pt" stroked="t" strokecolor="#bc0505" strokeweight="4.02pt">
            <v:stroke dashstyle="solid"/>
          </v:line>
        </w:pict>
      </w:r>
      <w:r>
        <w:rPr>
          <w:rFonts w:ascii="Arial" w:eastAsia="Arial"/>
          <w:sz w:val="16"/>
        </w:rPr>
        <w:t>22</w:t>
      </w:r>
      <w:r>
        <w:rPr>
          <w:sz w:val="16"/>
        </w:rPr>
        <w:t>年</w:t>
        <w:tab/>
      </w:r>
      <w:r>
        <w:rPr>
          <w:rFonts w:ascii="Arial" w:eastAsia="Arial"/>
          <w:sz w:val="16"/>
        </w:rPr>
        <w:t>23</w:t>
      </w:r>
      <w:r>
        <w:rPr>
          <w:sz w:val="16"/>
        </w:rPr>
        <w:t>年</w:t>
      </w:r>
    </w:p>
    <w:p>
      <w:pPr>
        <w:tabs>
          <w:tab w:val="left" w:pos="3375"/>
        </w:tabs>
        <w:spacing w:before="24"/>
        <w:ind w:left="1014" w:right="0" w:firstLine="0"/>
        <w:jc w:val="left"/>
        <w:rPr>
          <w:sz w:val="16"/>
        </w:rPr>
      </w:pPr>
      <w:r>
        <w:pict>
          <v:line id="_x0000_s1173" style="mso-position-horizontal-relative:page;position:absolute;z-index:251686912" from="65.5pt,6.55pt" to="84.7pt,6.55pt" stroked="t" strokecolor="#679ed3" strokeweight="4.02pt">
            <v:stroke dashstyle="solid"/>
          </v:line>
        </w:pict>
      </w:r>
      <w:r>
        <w:pict>
          <v:group id="_x0000_s1174" style="width:19.2pt;height:4.75pt;margin-top:4.09pt;margin-left:183.5pt;mso-position-horizontal-relative:page;position:absolute;z-index:-251635712" coordorigin="3670,82" coordsize="384,95">
            <v:line id="_x0000_s1175" style="position:absolute" from="3670,131" to="4054,131" stroked="t" strokecolor="#679ed3" strokeweight="2.25pt">
              <v:stroke dashstyle="solid"/>
            </v:line>
            <v:shape id="_x0000_s1176" style="width:80;height:80;left:3820;position:absolute;top:89" coordorigin="3821,89" coordsize="80,80" path="m3860,89l3845,93,3832,101,3824,114,3821,129,3824,144,3832,157,3845,165,3860,169,3876,165,3888,157,3897,144,3900,129,3897,114,3888,101,3876,93,3860,89xe" filled="t" fillcolor="#679ed3" stroked="f">
              <v:fill type="solid"/>
              <v:path arrowok="t"/>
            </v:shape>
            <v:shape id="_x0000_s1177" style="width:80;height:80;left:3820;position:absolute;top:89" coordorigin="3821,89" coordsize="80,80" path="m3900,129l3897,144,3888,157,3876,165,3860,169,3845,165,3832,157,3824,144,3821,129,3824,114,3832,101,3845,93,3860,89,3876,93,3888,101,3897,114,3900,129xe" filled="f" stroked="t" strokecolor="#679ed3" strokeweight="0.75pt">
              <v:stroke dashstyle="solid"/>
              <v:path arrowok="t"/>
            </v:shape>
          </v:group>
        </w:pict>
      </w:r>
      <w:r>
        <w:rPr>
          <w:rFonts w:ascii="Arial" w:eastAsia="Arial"/>
          <w:sz w:val="16"/>
        </w:rPr>
        <w:t>24</w:t>
      </w:r>
      <w:r>
        <w:rPr>
          <w:sz w:val="16"/>
        </w:rPr>
        <w:t>年</w:t>
        <w:tab/>
      </w:r>
      <w:r>
        <w:rPr>
          <w:rFonts w:ascii="Arial" w:eastAsia="Arial"/>
          <w:sz w:val="16"/>
        </w:rPr>
        <w:t>24</w:t>
      </w:r>
      <w:r>
        <w:rPr>
          <w:sz w:val="16"/>
        </w:rPr>
        <w:t>年同</w:t>
      </w:r>
      <w:r>
        <w:rPr>
          <w:spacing w:val="-16"/>
          <w:sz w:val="16"/>
        </w:rPr>
        <w:t>比</w:t>
      </w:r>
    </w:p>
    <w:p>
      <w:pPr>
        <w:spacing w:before="24"/>
        <w:ind w:left="1014" w:right="0" w:firstLine="0"/>
        <w:jc w:val="left"/>
        <w:rPr>
          <w:sz w:val="16"/>
        </w:rPr>
      </w:pPr>
      <w:r>
        <w:pict>
          <v:group id="_x0000_s1178" style="width:19.2pt;height:4.75pt;margin-top:4.05pt;margin-left:65.49pt;mso-position-horizontal-relative:page;position:absolute;z-index:251687936" coordorigin="1310,81" coordsize="384,95">
            <v:line id="_x0000_s1179" style="position:absolute" from="1310,130" to="1694,130" stroked="t" strokecolor="#c3e3ff" strokeweight="2.25pt">
              <v:stroke dashstyle="solid"/>
            </v:line>
            <v:shape id="_x0000_s1180" style="width:80;height:80;left:1459;position:absolute;top:88" coordorigin="1459,88" coordsize="80,80" path="m1499,88l1483,92,1471,100,1462,113,1459,128,1462,143,1471,156,1483,164,1499,168,1514,164,1527,156,1535,143,1538,128,1535,113,1527,100,1514,92,1499,88xe" filled="t" fillcolor="#c3e3ff" stroked="f">
              <v:fill type="solid"/>
              <v:path arrowok="t"/>
            </v:shape>
            <v:shape id="_x0000_s1181" style="width:80;height:80;left:1459;position:absolute;top:88" coordorigin="1459,88" coordsize="80,80" path="m1538,128l1535,143,1527,156,1514,164,1499,168,1483,164,1471,156,1462,143,1459,128,1462,113,1471,100,1483,92,1499,88,1514,92,1527,100,1535,113,1538,128xe" filled="f" stroked="t" strokecolor="#c3e3ff" strokeweight="0.75pt">
              <v:stroke dashstyle="solid"/>
              <v:path arrowok="t"/>
            </v:shape>
          </v:group>
        </w:pict>
      </w:r>
      <w:r>
        <w:rPr>
          <w:sz w:val="16"/>
        </w:rPr>
        <w:t>环比</w:t>
      </w:r>
      <w:r>
        <w:rPr>
          <w:rFonts w:ascii="Arial" w:eastAsia="Arial"/>
          <w:sz w:val="16"/>
        </w:rPr>
        <w:t>23</w:t>
      </w:r>
      <w:r>
        <w:rPr>
          <w:sz w:val="16"/>
        </w:rPr>
        <w:t>年</w:t>
      </w:r>
      <w:r>
        <w:rPr>
          <w:rFonts w:ascii="Arial" w:eastAsia="Arial"/>
          <w:sz w:val="16"/>
        </w:rPr>
        <w:t>12</w:t>
      </w:r>
      <w:r>
        <w:rPr>
          <w:sz w:val="16"/>
        </w:rPr>
        <w:t>月同期</w:t>
      </w:r>
    </w:p>
    <w:p>
      <w:pPr>
        <w:pStyle w:val="BodyText"/>
        <w:rPr>
          <w:sz w:val="18"/>
        </w:rPr>
      </w:pPr>
      <w:r>
        <w:br w:type="column"/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"/>
        <w:rPr>
          <w:sz w:val="15"/>
        </w:rPr>
      </w:pPr>
    </w:p>
    <w:p>
      <w:pPr>
        <w:spacing w:before="0"/>
        <w:ind w:left="444" w:right="0" w:firstLine="0"/>
        <w:jc w:val="left"/>
        <w:rPr>
          <w:rFonts w:ascii="Arial"/>
          <w:sz w:val="16"/>
        </w:rPr>
      </w:pPr>
      <w:r>
        <w:pict>
          <v:group id="_x0000_s1182" style="width:207.85pt;height:139.6pt;margin-top:0.23pt;margin-left:47.95pt;mso-position-horizontal-relative:page;position:absolute;z-index:251684864" coordorigin="959,5" coordsize="4157,2792">
            <v:line id="_x0000_s1183" style="position:absolute" from="1764,621" to="1764,2066" stroked="t" strokecolor="#00048d" strokeweight="5.52pt">
              <v:stroke dashstyle="solid"/>
            </v:line>
            <v:line id="_x0000_s1184" style="position:absolute" from="1874,969" to="1874,2066" stroked="t" strokecolor="#bc0505" strokeweight="5.52pt">
              <v:stroke dashstyle="solid"/>
            </v:line>
            <v:line id="_x0000_s1185" style="position:absolute" from="1985,737" to="1985,2066" stroked="t" strokecolor="#679ed3" strokeweight="5.52pt">
              <v:stroke dashstyle="solid"/>
            </v:line>
            <v:shape id="_x0000_s1186" style="width:49;height:2460;left:1624;position:absolute;top:98" coordorigin="1625,99" coordsize="49,2460" path="m1625,2558l1625,99m1625,2558l1673,2558m1625,2066l1673,2066m1625,1574l1673,1574m1625,1082l1673,1082m1625,590l1673,590m1625,99l1673,99e" filled="f" stroked="t" strokecolor="black" strokeweight="0.75pt">
              <v:stroke dashstyle="solid"/>
              <v:path arrowok="t"/>
            </v:shape>
            <v:line id="_x0000_s1187" style="position:absolute" from="2261,540" to="2261,2066" stroked="t" strokecolor="#00048d" strokeweight="5.52pt">
              <v:stroke dashstyle="solid"/>
            </v:line>
            <v:line id="_x0000_s1188" style="position:absolute" from="2371,816" to="2371,2066" stroked="t" strokecolor="#bc0505" strokeweight="5.52pt">
              <v:stroke dashstyle="solid"/>
            </v:line>
            <v:line id="_x0000_s1189" style="position:absolute" from="2482,626" to="2482,2066" stroked="t" strokecolor="#679ed3" strokeweight="5.52pt">
              <v:stroke dashstyle="solid"/>
            </v:line>
            <v:line id="_x0000_s1190" style="position:absolute" from="2758,305" to="2758,2066" stroked="t" strokecolor="#00048d" strokeweight="5.52pt">
              <v:stroke dashstyle="solid"/>
            </v:line>
            <v:line id="_x0000_s1191" style="position:absolute" from="2868,1461" to="2868,2066" stroked="t" strokecolor="#bc0505" strokeweight="5.52pt">
              <v:stroke dashstyle="solid"/>
            </v:line>
            <v:line id="_x0000_s1192" style="position:absolute" from="2978,521" to="2978,2066" stroked="t" strokecolor="#679ed3" strokeweight="5.52pt">
              <v:stroke dashstyle="solid"/>
            </v:line>
            <v:line id="_x0000_s1193" style="position:absolute" from="3257,221" to="3257,2066" stroked="t" strokecolor="#00048d" strokeweight="5.52pt">
              <v:stroke dashstyle="solid"/>
            </v:line>
            <v:line id="_x0000_s1194" style="position:absolute" from="3367,1351" to="3367,2066" stroked="t" strokecolor="#bc0505" strokeweight="5.52pt">
              <v:stroke dashstyle="solid"/>
            </v:line>
            <v:line id="_x0000_s1195" style="position:absolute" from="3754,221" to="3754,2066" stroked="t" strokecolor="#00048d" strokeweight="5.52pt">
              <v:stroke dashstyle="solid"/>
            </v:line>
            <v:line id="_x0000_s1196" style="position:absolute" from="3864,98" to="3864,2066" stroked="t" strokecolor="#bc0505" strokeweight="5.52pt">
              <v:stroke dashstyle="solid"/>
            </v:line>
            <v:line id="_x0000_s1197" style="position:absolute" from="4250,489" to="4250,2066" stroked="t" strokecolor="#00048d" strokeweight="5.52pt">
              <v:stroke dashstyle="solid"/>
            </v:line>
            <v:line id="_x0000_s1198" style="position:absolute" from="4361,1082" to="4361,2066" stroked="t" strokecolor="#bc0505" strokeweight="5.52pt">
              <v:stroke dashstyle="solid"/>
            </v:line>
            <v:line id="_x0000_s1199" style="position:absolute" from="4471,629" to="4471,2066" stroked="t" strokecolor="#679ed3" strokeweight="5.52pt">
              <v:stroke dashstyle="solid"/>
            </v:line>
            <v:line id="_x0000_s1200" style="position:absolute" from="4750,403" to="4750,2066" stroked="t" strokecolor="#00048d" strokeweight="5.52pt">
              <v:stroke dashstyle="solid"/>
            </v:line>
            <v:line id="_x0000_s1201" style="position:absolute" from="4860,1041" to="4860,2066" stroked="t" strokecolor="#bc0505" strokeweight="5.52pt">
              <v:stroke dashstyle="solid"/>
            </v:line>
            <v:shape id="_x0000_s1202" style="width:3484;height:2460;left:1624;position:absolute;top:98" coordorigin="1625,99" coordsize="3484,2460" path="m5108,2558l5108,99m5060,2558l5108,2558m5060,2066l5108,2066m5060,1574l5108,1574m5060,1082l5108,1082m5060,590l5108,590m5060,99l5108,99m1625,2066l5108,2066m1625,2018l1625,2066m3118,2018l3118,2066m3614,2018l3614,2066m4114,2018l4114,2066m4610,2018l4610,2066m5108,2018l5108,2066e" filled="f" stroked="t" strokecolor="black" strokeweight="0.75pt">
              <v:stroke dashstyle="solid"/>
              <v:path arrowok="t"/>
            </v:shape>
            <v:shape id="_x0000_s1203" type="#_x0000_t75" style="width:116;height:116;left:4301;position:absolute;top:1441" stroked="f">
              <v:imagedata r:id="rId31" o:title=""/>
            </v:shape>
            <v:shape id="_x0000_s1204" type="#_x0000_t75" style="width:2280;height:2575;left:1586;position:absolute;top:102" stroked="f">
              <v:imagedata r:id="rId32" o:title=""/>
            </v:shape>
            <v:shape id="_x0000_s1205" type="#_x0000_t75" style="width:116;height:116;left:4301;position:absolute;top:2058" stroked="f">
              <v:imagedata r:id="rId33" o:title=""/>
            </v:shape>
            <v:shape id="_x0000_s1206" type="#_x0000_t75" style="width:353;height:351;left:4012;position:absolute;top:2233" stroked="f">
              <v:imagedata r:id="rId34" o:title=""/>
            </v:shape>
            <v:shape id="_x0000_s1207" type="#_x0000_t75" style="width:237;height:262;left:4634;position:absolute;top:2223" stroked="f">
              <v:imagedata r:id="rId35" o:title=""/>
            </v:shape>
            <v:rect id="_x0000_s1208" style="width:562;height:573;left:959;position:absolute;top:2224" filled="t" fillcolor="white" stroked="f">
              <v:fill type="solid"/>
            </v:rect>
            <v:shape id="_x0000_s1209" type="#_x0000_t202" style="width:4157;height:2792;left:959;position:absolute;top:4" filled="f" stroked="f">
              <v:textbox inset="0,0,0,0">
                <w:txbxContent>
                  <w:p>
                    <w:pPr>
                      <w:spacing w:before="0" w:line="179" w:lineRule="exact"/>
                      <w:ind w:left="83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80000</w:t>
                    </w:r>
                  </w:p>
                  <w:p>
                    <w:pPr>
                      <w:spacing w:before="9" w:line="240" w:lineRule="auto"/>
                      <w:rPr>
                        <w:rFonts w:ascii="Arial"/>
                        <w:sz w:val="26"/>
                      </w:rPr>
                    </w:pPr>
                  </w:p>
                  <w:p>
                    <w:pPr>
                      <w:spacing w:before="0"/>
                      <w:ind w:left="0" w:right="3626" w:firstLine="0"/>
                      <w:jc w:val="righ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pacing w:val="-1"/>
                        <w:sz w:val="16"/>
                      </w:rPr>
                      <w:t>60000</w:t>
                    </w:r>
                  </w:p>
                  <w:p>
                    <w:pPr>
                      <w:spacing w:before="9" w:line="240" w:lineRule="auto"/>
                      <w:rPr>
                        <w:rFonts w:ascii="Arial"/>
                        <w:sz w:val="26"/>
                      </w:rPr>
                    </w:pPr>
                  </w:p>
                  <w:p>
                    <w:pPr>
                      <w:spacing w:before="0"/>
                      <w:ind w:left="0" w:right="3626" w:firstLine="0"/>
                      <w:jc w:val="righ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pacing w:val="-1"/>
                        <w:sz w:val="16"/>
                      </w:rPr>
                      <w:t>40000</w:t>
                    </w:r>
                  </w:p>
                  <w:p>
                    <w:pPr>
                      <w:spacing w:before="9" w:line="240" w:lineRule="auto"/>
                      <w:rPr>
                        <w:rFonts w:ascii="Arial"/>
                        <w:sz w:val="26"/>
                      </w:rPr>
                    </w:pPr>
                  </w:p>
                  <w:p>
                    <w:pPr>
                      <w:spacing w:before="0"/>
                      <w:ind w:left="0" w:right="3626" w:firstLine="0"/>
                      <w:jc w:val="righ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pacing w:val="-1"/>
                        <w:sz w:val="16"/>
                      </w:rPr>
                      <w:t>20000</w:t>
                    </w:r>
                  </w:p>
                  <w:p>
                    <w:pPr>
                      <w:spacing w:before="9" w:line="240" w:lineRule="auto"/>
                      <w:rPr>
                        <w:rFonts w:ascii="Arial"/>
                        <w:sz w:val="26"/>
                      </w:rPr>
                    </w:pPr>
                  </w:p>
                  <w:p>
                    <w:pPr>
                      <w:spacing w:before="0"/>
                      <w:ind w:left="0" w:right="3625" w:firstLine="0"/>
                      <w:jc w:val="righ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00"/>
                        <w:sz w:val="16"/>
                      </w:rPr>
                      <w:t>0</w:t>
                    </w:r>
                  </w:p>
                </w:txbxContent>
              </v:textbox>
            </v:shape>
          </v:group>
        </w:pict>
      </w:r>
      <w:r>
        <w:rPr>
          <w:rFonts w:ascii="Arial"/>
          <w:sz w:val="16"/>
        </w:rPr>
        <w:t>160%</w:t>
      </w:r>
    </w:p>
    <w:p>
      <w:pPr>
        <w:tabs>
          <w:tab w:val="left" w:pos="3424"/>
        </w:tabs>
        <w:spacing w:before="73"/>
        <w:ind w:left="1014" w:right="0" w:firstLine="0"/>
        <w:jc w:val="left"/>
        <w:rPr>
          <w:sz w:val="16"/>
        </w:rPr>
      </w:pPr>
      <w:r>
        <w:br w:type="column"/>
      </w:r>
      <w:r>
        <w:rPr>
          <w:sz w:val="16"/>
        </w:rPr>
        <w:t>22年</w:t>
        <w:tab/>
        <w:t>23年</w:t>
      </w:r>
    </w:p>
    <w:p>
      <w:pPr>
        <w:tabs>
          <w:tab w:val="left" w:pos="3424"/>
        </w:tabs>
        <w:spacing w:before="43"/>
        <w:ind w:left="1014" w:right="0" w:firstLine="0"/>
        <w:jc w:val="left"/>
        <w:rPr>
          <w:sz w:val="16"/>
        </w:rPr>
      </w:pPr>
      <w:r>
        <w:pict>
          <v:line id="_x0000_s1210" style="mso-position-horizontal-relative:page;position:absolute;z-index:251689984" from="326.2pt,-5.15pt" to="345.4pt,-5.15pt" stroked="t" strokecolor="#00048d" strokeweight="3.6pt">
            <v:stroke dashstyle="solid"/>
          </v:line>
        </w:pict>
      </w:r>
      <w:r>
        <w:pict>
          <v:line id="_x0000_s1211" style="mso-position-horizontal-relative:page;position:absolute;z-index:-251633664" from="446.65pt,-5.15pt" to="465.85pt,-5.15pt" stroked="t" strokecolor="#bc0505" strokeweight="3.6pt">
            <v:stroke dashstyle="solid"/>
          </v:line>
        </w:pict>
      </w:r>
      <w:r>
        <w:pict>
          <v:line id="_x0000_s1212" style="mso-position-horizontal-relative:page;position:absolute;z-index:251691008" from="326.2pt,7.25pt" to="345.4pt,7.25pt" stroked="t" strokecolor="#679ed3" strokeweight="3.6pt">
            <v:stroke dashstyle="solid"/>
          </v:line>
        </w:pict>
      </w:r>
      <w:r>
        <w:pict>
          <v:group id="_x0000_s1213" style="width:19.2pt;height:4.75pt;margin-top:4.72pt;margin-left:446.67pt;mso-position-horizontal-relative:page;position:absolute;z-index:-251632640" coordorigin="8933,94" coordsize="384,95">
            <v:line id="_x0000_s1214" style="position:absolute" from="8933,145" to="9317,145" stroked="t" strokecolor="#679ed3" strokeweight="2.25pt">
              <v:stroke dashstyle="solid"/>
            </v:line>
            <v:shape id="_x0000_s1215" style="width:80;height:80;left:9084;position:absolute;top:101" coordorigin="9084,102" coordsize="80,80" path="m9124,102l9108,105,9096,113,9087,126,9084,141,9087,157,9096,169,9108,178,9124,181,9139,178,9152,169,9160,157,9163,141,9160,126,9152,113,9139,105,9124,102xe" filled="t" fillcolor="#679ed3" stroked="f">
              <v:fill type="solid"/>
              <v:path arrowok="t"/>
            </v:shape>
            <v:shape id="_x0000_s1216" style="width:80;height:80;left:9084;position:absolute;top:101" coordorigin="9084,102" coordsize="80,80" path="m9163,141l9160,157,9152,169,9139,178,9124,181,9108,178,9096,169,9087,157,9084,141,9087,126,9096,113,9108,105,9124,102,9139,105,9152,113,9160,126,9163,141xe" filled="f" stroked="t" strokecolor="#679ed3" strokeweight="0.75pt">
              <v:stroke dashstyle="solid"/>
              <v:path arrowok="t"/>
            </v:shape>
          </v:group>
        </w:pict>
      </w:r>
      <w:r>
        <w:rPr>
          <w:sz w:val="16"/>
        </w:rPr>
        <w:t>24年</w:t>
        <w:tab/>
        <w:t>24年同</w:t>
      </w:r>
      <w:r>
        <w:rPr>
          <w:spacing w:val="-19"/>
          <w:sz w:val="16"/>
        </w:rPr>
        <w:t>比</w:t>
      </w:r>
    </w:p>
    <w:p>
      <w:pPr>
        <w:spacing w:before="42"/>
        <w:ind w:left="1014" w:right="0" w:firstLine="0"/>
        <w:jc w:val="left"/>
        <w:rPr>
          <w:sz w:val="16"/>
        </w:rPr>
      </w:pPr>
      <w:r>
        <w:pict>
          <v:group id="_x0000_s1217" style="width:19.2pt;height:4.75pt;margin-top:4.78pt;margin-left:326.22pt;mso-position-horizontal-relative:page;position:absolute;z-index:251692032" coordorigin="6524,96" coordsize="384,95">
            <v:line id="_x0000_s1218" style="position:absolute" from="6524,144" to="6908,144" stroked="t" strokecolor="#c3e3ff" strokeweight="2.25pt">
              <v:stroke dashstyle="solid"/>
            </v:line>
            <v:shape id="_x0000_s1219" style="width:80;height:80;left:6674;position:absolute;top:103" coordorigin="6674,103" coordsize="80,80" path="m6714,103l6699,106,6686,115,6678,127,6674,143,6678,158,6686,171,6699,179,6714,182,6729,179,6742,171,6750,158,6754,143,6750,127,6742,115,6729,106,6714,103xe" filled="t" fillcolor="#c3e3ff" stroked="f">
              <v:fill type="solid"/>
              <v:path arrowok="t"/>
            </v:shape>
            <v:shape id="_x0000_s1220" style="width:80;height:80;left:6674;position:absolute;top:103" coordorigin="6674,103" coordsize="80,80" path="m6754,143l6750,158,6742,171,6729,179,6714,182,6699,179,6686,171,6678,158,6674,143,6678,127,6686,115,6699,106,6714,103,6729,106,6742,115,6750,127,6754,143xe" filled="f" stroked="t" strokecolor="#c3e3ff" strokeweight="0.75pt">
              <v:stroke dashstyle="solid"/>
              <v:path arrowok="t"/>
            </v:shape>
          </v:group>
        </w:pict>
      </w:r>
      <w:r>
        <w:rPr>
          <w:sz w:val="16"/>
        </w:rPr>
        <w:t>环比23年12月同期</w:t>
      </w:r>
    </w:p>
    <w:p>
      <w:pPr>
        <w:pStyle w:val="BodyText"/>
        <w:rPr>
          <w:sz w:val="16"/>
        </w:rPr>
      </w:pPr>
      <w:r>
        <w:br w:type="column"/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"/>
        <w:rPr>
          <w:sz w:val="17"/>
        </w:rPr>
      </w:pPr>
    </w:p>
    <w:p>
      <w:pPr>
        <w:spacing w:before="0"/>
        <w:ind w:left="447" w:right="619" w:firstLine="0"/>
        <w:jc w:val="center"/>
        <w:rPr>
          <w:sz w:val="16"/>
        </w:rPr>
      </w:pPr>
      <w:r>
        <w:pict>
          <v:group id="_x0000_s1221" style="width:205.7pt;height:141.2pt;margin-top:1.09pt;margin-left:313.67pt;mso-position-horizontal-relative:page;position:absolute;z-index:-251634688" coordorigin="6273,22" coordsize="4114,2824">
            <v:line id="_x0000_s1222" style="position:absolute" from="7088,1333" to="7088,2007" stroked="t" strokecolor="#00048d" strokeweight="5.4pt">
              <v:stroke dashstyle="solid"/>
            </v:line>
            <v:line id="_x0000_s1223" style="position:absolute" from="7198,1481" to="7198,2007" stroked="t" strokecolor="#bc0505" strokeweight="5.52pt">
              <v:stroke dashstyle="solid"/>
            </v:line>
            <v:line id="_x0000_s1224" style="position:absolute" from="7307,1409" to="7307,2007" stroked="t" strokecolor="#679ed3" strokeweight="5.4pt">
              <v:stroke dashstyle="solid"/>
            </v:line>
            <v:shape id="_x0000_s1225" style="width:46;height:2540;left:6952;position:absolute;top:101" coordorigin="6953,102" coordsize="46,2540" path="m6953,2642l6953,102m6953,2642l6999,2642m6953,2007l6999,2007m6953,1371l6999,1371m6953,737l6999,737m6953,102l6999,102e" filled="f" stroked="t" strokecolor="black" strokeweight="0.75pt">
              <v:stroke dashstyle="solid"/>
              <v:path arrowok="t"/>
            </v:shape>
            <v:line id="_x0000_s1226" style="position:absolute" from="7578,1287" to="7578,2007" stroked="t" strokecolor="#00048d" strokeweight="5.4pt">
              <v:stroke dashstyle="solid"/>
            </v:line>
            <v:line id="_x0000_s1227" style="position:absolute" from="7687,1412" to="7687,2007" stroked="t" strokecolor="#bc0505" strokeweight="5.52pt">
              <v:stroke dashstyle="solid"/>
            </v:line>
            <v:line id="_x0000_s1228" style="position:absolute" from="7796,1306" to="7796,2007" stroked="t" strokecolor="#679ed3" strokeweight="5.4pt">
              <v:stroke dashstyle="solid"/>
            </v:line>
            <v:line id="_x0000_s1229" style="position:absolute" from="8068,1109" to="8068,2007" stroked="t" strokecolor="#00048d" strokeweight="5.4pt">
              <v:stroke dashstyle="solid"/>
            </v:line>
            <v:line id="_x0000_s1230" style="position:absolute" from="8177,1705" to="8177,2007" stroked="t" strokecolor="#bc0505" strokeweight="5.52pt">
              <v:stroke dashstyle="solid"/>
            </v:line>
            <v:line id="_x0000_s1231" style="position:absolute" from="8286,1289" to="8286,2007" stroked="t" strokecolor="#679ed3" strokeweight="5.4pt">
              <v:stroke dashstyle="solid"/>
            </v:line>
            <v:line id="_x0000_s1232" style="position:absolute" from="8557,867" to="8557,2007" stroked="t" strokecolor="#00048d" strokeweight="5.4pt">
              <v:stroke dashstyle="solid"/>
            </v:line>
            <v:line id="_x0000_s1233" style="position:absolute" from="8665,1544" to="8665,2007" stroked="t" strokecolor="#bc0505" strokeweight="5.4pt">
              <v:stroke dashstyle="solid"/>
            </v:line>
            <v:line id="_x0000_s1234" style="position:absolute" from="9047,797" to="9047,2007" stroked="t" strokecolor="#00048d" strokeweight="5.4pt">
              <v:stroke dashstyle="solid"/>
            </v:line>
            <v:line id="_x0000_s1235" style="position:absolute" from="9155,267" to="9155,2007" stroked="t" strokecolor="#bc0505" strokeweight="5.4pt">
              <v:stroke dashstyle="solid"/>
            </v:line>
            <v:line id="_x0000_s1236" style="position:absolute" from="9536,1244" to="9536,2007" stroked="t" strokecolor="#00048d" strokeweight="5.4pt">
              <v:stroke dashstyle="solid"/>
            </v:line>
            <v:line id="_x0000_s1237" style="position:absolute" from="9644,1534" to="9644,2007" stroked="t" strokecolor="#bc0505" strokeweight="5.4pt">
              <v:stroke dashstyle="solid"/>
            </v:line>
            <v:line id="_x0000_s1238" style="position:absolute" from="9754,1335" to="9754,2007" stroked="t" strokecolor="#679ed3" strokeweight="5.52pt">
              <v:stroke dashstyle="solid"/>
            </v:line>
            <v:line id="_x0000_s1239" style="position:absolute" from="10026,1114" to="10026,2007" stroked="t" strokecolor="#00048d" strokeweight="5.4pt">
              <v:stroke dashstyle="solid"/>
            </v:line>
            <v:line id="_x0000_s1240" style="position:absolute" from="10134,1414" to="10134,2007" stroked="t" strokecolor="#bc0505" strokeweight="5.4pt">
              <v:stroke dashstyle="solid"/>
            </v:line>
            <v:shape id="_x0000_s1241" style="width:3427;height:2540;left:6952;position:absolute;top:101" coordorigin="6953,102" coordsize="3427,2540" path="m10379,2642l10379,102m10333,2642l10379,2642m10333,2007l10379,2007m10333,1371l10379,1371m10333,737l10379,737m10333,102l10379,102m6953,2007l10379,2007m6953,1961l6953,2007m8422,1961l8422,2007m8911,1961l8911,2007m9401,1961l9401,2007m9890,1961l9890,2007m10379,1961l10379,2007e" filled="f" stroked="t" strokecolor="black" strokeweight="0.75pt">
              <v:stroke dashstyle="solid"/>
              <v:path arrowok="t"/>
            </v:shape>
            <v:shape id="_x0000_s1242" type="#_x0000_t75" style="width:116;height:116;left:9587;position:absolute;top:1417" stroked="f">
              <v:imagedata r:id="rId36" o:title=""/>
            </v:shape>
            <v:shape id="_x0000_s1243" type="#_x0000_t75" style="width:2258;height:2402;left:6903;position:absolute;top:197" stroked="f">
              <v:imagedata r:id="rId37" o:title=""/>
            </v:shape>
            <v:shape id="_x0000_s1244" style="width:101;height:101;left:9595;position:absolute;top:2123" coordorigin="9595,2123" coordsize="101,101" path="m9646,2123l9626,2127,9610,2138,9599,2154,9595,2173,9599,2193,9610,2209,9626,2220,9646,2224,9665,2220,9681,2209,9692,2193,9696,2173,9692,2154,9681,2138,9665,2127,9646,2123xe" filled="t" fillcolor="#c3e3ff" stroked="f">
              <v:fill type="solid"/>
              <v:path arrowok="t"/>
            </v:shape>
            <v:shape id="_x0000_s1245" style="width:101;height:101;left:9595;position:absolute;top:2123" coordorigin="9595,2123" coordsize="101,101" path="m9696,2173l9692,2193,9681,2209,9665,2220,9646,2224,9626,2220,9610,2209,9599,2193,9595,2173,9599,2154,9610,2138,9626,2127,9646,2123,9665,2127,9681,2138,9692,2154,9696,2173xe" filled="f" stroked="t" strokecolor="#c3e3ff" strokeweight="0.75pt">
              <v:stroke dashstyle="solid"/>
              <v:path arrowok="t"/>
            </v:shape>
            <v:shape id="_x0000_s1246" style="width:355;height:356;left:9293;position:absolute;top:2169" coordorigin="9294,2169" coordsize="355,356" path="m9376,2516l9324,2463,9300,2439,9294,2445,9296,2456,9296,2468,9294,2481,9302,2489,9305,2480,9306,2471,9306,2463,9367,2525,9376,2516m9418,2404l9411,2397,9360,2447,9367,2455,9418,2404m9506,2386l9498,2378,9466,2410,9465,2392,9463,2377,9462,2365,9460,2356,9458,2345,9455,2337,9452,2334,9446,2327,9442,2324,9437,2322,9432,2321,9428,2320,9424,2321,9419,2322,9416,2324,9413,2325,9410,2327,9408,2330,9403,2335,9400,2339,9397,2345,9396,2358,9398,2366,9403,2375,9412,2368,9410,2363,9409,2357,9410,2353,9410,2348,9412,2344,9418,2337,9421,2335,9430,2334,9434,2335,9437,2337,9440,2340,9443,2344,9446,2350,9448,2356,9450,2366,9452,2379,9453,2393,9454,2403,9454,2411,9453,2418,9455,2424,9459,2429,9461,2431,9482,2410,9506,2386m9546,2346l9493,2294,9469,2270,9464,2275,9466,2287,9466,2299,9464,2311,9472,2319,9474,2310,9476,2301,9476,2294,9537,2355,9546,2346m9648,2254l9646,2247,9645,2244,9645,2242,9644,2240,9640,2234,9629,2224,9627,2222,9627,2238,9627,2240,9626,2242,9623,2242,9619,2242,9615,2241,9612,2244,9605,2258,9600,2265,9593,2272,9576,2254,9568,2245,9573,2243,9573,2243,9578,2238,9591,2219,9592,2214,9587,2216,9582,2217,9578,2221,9575,2228,9572,2234,9569,2239,9566,2243,9558,2235,9549,2227,9541,2220,9551,2206,9558,2195,9564,2188,9567,2185,9570,2183,9575,2185,9589,2198,9610,2219,9622,2231,9627,2238,9627,2222,9593,2190,9588,2183,9586,2181,9584,2171,9582,2169,9578,2170,9574,2170,9570,2171,9562,2175,9560,2177,9559,2180,9559,2183,9557,2187,9554,2193,9551,2198,9548,2203,9541,2212,9538,2215,9534,2218,9532,2220,9529,2221,9526,2223,9526,2224,9533,2226,9537,2228,9541,2231,9545,2234,9552,2240,9571,2259,9578,2267,9581,2273,9585,2279,9589,2283,9601,2287,9601,2283,9596,2275,9599,2273,9600,2272,9603,2268,9614,2254,9618,2249,9620,2247,9623,2245,9626,2244,9628,2245,9630,2246,9634,2248,9640,2251,9646,2255,9648,2254e" filled="t" fillcolor="black" stroked="f">
              <v:fill type="solid"/>
              <v:path arrowok="t"/>
            </v:shape>
            <v:shape id="_x0000_s1247" type="#_x0000_t75" style="width:237;height:262;left:9909;position:absolute;top:2159" stroked="f">
              <v:imagedata r:id="rId38" o:title=""/>
            </v:shape>
            <v:rect id="_x0000_s1248" style="width:610;height:577;left:6273;position:absolute;top:2269" filled="t" fillcolor="white" stroked="f">
              <v:fill type="solid"/>
            </v:rect>
            <v:shape id="_x0000_s1249" type="#_x0000_t202" style="width:501;height:161;left:6348;position:absolute;top:21" filled="f" stroked="f">
              <v:textbox inset="0,0,0,0">
                <w:txbxContent>
                  <w:p>
                    <w:pPr>
                      <w:spacing w:before="0" w:line="161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150000</w:t>
                    </w:r>
                  </w:p>
                </w:txbxContent>
              </v:textbox>
            </v:shape>
            <v:shape id="_x0000_s1250" type="#_x0000_t202" style="width:501;height:161;left:6348;position:absolute;top:656" filled="f" stroked="f">
              <v:textbox inset="0,0,0,0">
                <w:txbxContent>
                  <w:p>
                    <w:pPr>
                      <w:spacing w:before="0" w:line="161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100000</w:t>
                    </w:r>
                  </w:p>
                </w:txbxContent>
              </v:textbox>
            </v:shape>
            <v:shape id="_x0000_s1251" type="#_x0000_t202" style="width:420;height:161;left:6428;position:absolute;top:1291" filled="f" stroked="f">
              <v:textbox inset="0,0,0,0">
                <w:txbxContent>
                  <w:p>
                    <w:pPr>
                      <w:spacing w:before="0" w:line="161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50000</w:t>
                    </w:r>
                  </w:p>
                </w:txbxContent>
              </v:textbox>
            </v:shape>
            <v:shape id="_x0000_s1252" type="#_x0000_t202" style="width:101;height:161;left:6748;position:absolute;top:1926" filled="f" stroked="f">
              <v:textbox inset="0,0,0,0">
                <w:txbxContent>
                  <w:p>
                    <w:pPr>
                      <w:spacing w:before="0" w:line="161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0"/>
                        <w:sz w:val="16"/>
                      </w:rPr>
                      <w:t>0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6824416</wp:posOffset>
            </wp:positionH>
            <wp:positionV relativeFrom="paragraph">
              <wp:posOffset>28575</wp:posOffset>
            </wp:positionV>
            <wp:extent cx="47625" cy="73025"/>
            <wp:effectExtent l="0" t="0" r="0" b="0"/>
            <wp:wrapNone/>
            <wp:docPr id="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t>150</w:t>
      </w:r>
    </w:p>
    <w:p>
      <w:pPr>
        <w:spacing w:after="0"/>
        <w:jc w:val="center"/>
        <w:rPr>
          <w:sz w:val="16"/>
        </w:rPr>
        <w:sectPr>
          <w:headerReference w:type="default" r:id="rId40"/>
          <w:footerReference w:type="default" r:id="rId41"/>
          <w:type w:val="continuous"/>
          <w:pgSz w:w="11910" w:h="16840"/>
          <w:pgMar w:top="960" w:right="520" w:bottom="1200" w:left="720" w:header="708" w:footer="708"/>
          <w:pgNumType w:start="10"/>
          <w:cols w:num="4" w:space="708" w:equalWidth="0">
            <w:col w:w="4043" w:space="40"/>
            <w:col w:w="893" w:space="239"/>
            <w:col w:w="4068" w:space="40"/>
            <w:col w:w="1347" w:space="0"/>
          </w:cols>
        </w:sectPr>
      </w:pPr>
    </w:p>
    <w:p>
      <w:pPr>
        <w:pStyle w:val="BodyText"/>
        <w:spacing w:before="7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42"/>
          <w:footerReference w:type="default" r:id="rId43"/>
          <w:type w:val="continuous"/>
          <w:pgSz w:w="11910" w:h="16840"/>
          <w:pgMar w:top="960" w:right="520" w:bottom="1200" w:left="720" w:header="708" w:footer="708"/>
          <w:pgNumType w:start="11"/>
          <w:cols w:space="708"/>
        </w:sectPr>
      </w:pPr>
    </w:p>
    <w:p>
      <w:pPr>
        <w:spacing w:before="96"/>
        <w:ind w:left="0" w:right="38" w:firstLine="0"/>
        <w:jc w:val="right"/>
        <w:rPr>
          <w:rFonts w:ascii="Arial"/>
          <w:sz w:val="16"/>
        </w:rPr>
      </w:pPr>
      <w:r>
        <w:rPr>
          <w:rFonts w:ascii="Arial"/>
          <w:sz w:val="16"/>
        </w:rPr>
        <w:t>120%</w:t>
      </w:r>
    </w:p>
    <w:p>
      <w:pPr>
        <w:pStyle w:val="BodyText"/>
        <w:spacing w:before="3"/>
        <w:rPr>
          <w:rFonts w:ascii="Arial"/>
          <w:sz w:val="16"/>
        </w:rPr>
      </w:pPr>
      <w:r>
        <w:br w:type="column"/>
      </w:r>
    </w:p>
    <w:p>
      <w:pPr>
        <w:spacing w:before="1"/>
        <w:ind w:left="0" w:right="636" w:firstLine="0"/>
        <w:jc w:val="right"/>
        <w:rPr>
          <w:sz w:val="16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6824416</wp:posOffset>
            </wp:positionH>
            <wp:positionV relativeFrom="paragraph">
              <wp:posOffset>29210</wp:posOffset>
            </wp:positionV>
            <wp:extent cx="47625" cy="73025"/>
            <wp:effectExtent l="0" t="0" r="0" b="0"/>
            <wp:wrapNone/>
            <wp:docPr id="2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</w:rPr>
        <w:t>100</w:t>
      </w:r>
    </w:p>
    <w:p>
      <w:pPr>
        <w:spacing w:after="0"/>
        <w:jc w:val="right"/>
        <w:rPr>
          <w:sz w:val="16"/>
        </w:rPr>
        <w:sectPr>
          <w:headerReference w:type="default" r:id="rId44"/>
          <w:footerReference w:type="default" r:id="rId45"/>
          <w:type w:val="continuous"/>
          <w:pgSz w:w="11910" w:h="16840"/>
          <w:pgMar w:top="960" w:right="520" w:bottom="1200" w:left="720" w:header="708" w:footer="708"/>
          <w:pgNumType w:start="12"/>
          <w:cols w:num="2" w:space="708" w:equalWidth="0">
            <w:col w:w="4976" w:space="284"/>
            <w:col w:w="5410" w:space="0"/>
          </w:cols>
        </w:sectPr>
      </w:pPr>
    </w:p>
    <w:p>
      <w:pPr>
        <w:pStyle w:val="BodyText"/>
        <w:spacing w:before="2"/>
        <w:rPr>
          <w:sz w:val="15"/>
        </w:rPr>
      </w:pPr>
    </w:p>
    <w:p>
      <w:pPr>
        <w:spacing w:before="1"/>
        <w:ind w:left="4526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80%</w:t>
      </w:r>
    </w:p>
    <w:p>
      <w:pPr>
        <w:spacing w:before="50"/>
        <w:ind w:left="0" w:right="641" w:firstLine="0"/>
        <w:jc w:val="right"/>
        <w:rPr>
          <w:sz w:val="16"/>
        </w:rPr>
      </w:pPr>
      <w:r>
        <w:rPr>
          <w:spacing w:val="-1"/>
          <w:sz w:val="16"/>
        </w:rPr>
        <w:t xml:space="preserve">50 </w:t>
      </w:r>
      <w:r>
        <w:rPr>
          <w:w w:val="100"/>
          <w:sz w:val="16"/>
        </w:rPr>
        <w:drawing>
          <wp:inline distT="0" distB="0" distL="0" distR="0">
            <wp:extent cx="47625" cy="73025"/>
            <wp:effectExtent l="0" t="0" r="0" b="0"/>
            <wp:docPr id="2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3"/>
        <w:ind w:left="4526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40%</w:t>
      </w:r>
    </w:p>
    <w:p>
      <w:pPr>
        <w:pStyle w:val="BodyText"/>
        <w:spacing w:before="2"/>
        <w:rPr>
          <w:rFonts w:ascii="Arial"/>
          <w:sz w:val="17"/>
        </w:rPr>
      </w:pPr>
    </w:p>
    <w:p>
      <w:pPr>
        <w:tabs>
          <w:tab w:val="left" w:pos="9787"/>
        </w:tabs>
        <w:spacing w:before="0"/>
        <w:ind w:left="4526" w:right="0" w:firstLine="0"/>
        <w:jc w:val="left"/>
        <w:rPr>
          <w:sz w:val="16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6722364</wp:posOffset>
            </wp:positionH>
            <wp:positionV relativeFrom="paragraph">
              <wp:posOffset>25907</wp:posOffset>
            </wp:positionV>
            <wp:extent cx="47625" cy="73025"/>
            <wp:effectExtent l="0" t="0" r="0" b="0"/>
            <wp:wrapNone/>
            <wp:docPr id="2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7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16"/>
        </w:rPr>
        <w:t>0%</w:t>
        <w:tab/>
      </w:r>
      <w:r>
        <w:rPr>
          <w:position w:val="10"/>
          <w:sz w:val="16"/>
        </w:rPr>
        <w:t>0</w:t>
      </w:r>
    </w:p>
    <w:p>
      <w:pPr>
        <w:pStyle w:val="BodyText"/>
        <w:spacing w:before="8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46"/>
          <w:footerReference w:type="default" r:id="rId47"/>
          <w:type w:val="continuous"/>
          <w:pgSz w:w="11910" w:h="16840"/>
          <w:pgMar w:top="960" w:right="520" w:bottom="1200" w:left="720" w:header="708" w:footer="708"/>
          <w:pgNumType w:start="13"/>
          <w:cols w:space="708"/>
        </w:sectPr>
      </w:pPr>
    </w:p>
    <w:p>
      <w:pPr>
        <w:spacing w:before="95"/>
        <w:ind w:left="0" w:right="38" w:firstLine="0"/>
        <w:jc w:val="right"/>
        <w:rPr>
          <w:rFonts w:ascii="Arial"/>
          <w:sz w:val="16"/>
        </w:rPr>
      </w:pPr>
      <w:r>
        <w:pict>
          <v:shape id="_x0000_s1253" type="#_x0000_t202" style="width:25pt;height:9pt;margin-top:4.98pt;margin-left:49.46pt;mso-position-horizontal-relative:page;position:absolute;z-index:-251621376" filled="f" stroked="f">
            <v:textbox inset="0,0,0,0">
              <w:txbxContent>
                <w:p>
                  <w:pPr>
                    <w:spacing w:before="0" w:line="179" w:lineRule="exact"/>
                    <w:ind w:left="0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-20000</w:t>
                  </w:r>
                </w:p>
              </w:txbxContent>
            </v:textbox>
          </v:shape>
        </w:pict>
      </w:r>
      <w:r>
        <w:rPr>
          <w:rFonts w:ascii="Arial"/>
          <w:sz w:val="16"/>
        </w:rPr>
        <w:t>-40%</w:t>
      </w:r>
    </w:p>
    <w:p>
      <w:pPr>
        <w:spacing w:before="124"/>
        <w:ind w:left="0" w:right="636" w:firstLine="0"/>
        <w:jc w:val="right"/>
        <w:rPr>
          <w:sz w:val="16"/>
        </w:rPr>
      </w:pPr>
      <w:r>
        <w:br w:type="column"/>
      </w:r>
      <w:r>
        <w:rPr>
          <w:sz w:val="16"/>
        </w:rPr>
        <w:t>-50</w:t>
      </w:r>
    </w:p>
    <w:p>
      <w:pPr>
        <w:spacing w:after="0"/>
        <w:jc w:val="right"/>
        <w:rPr>
          <w:sz w:val="16"/>
        </w:rPr>
        <w:sectPr>
          <w:headerReference w:type="default" r:id="rId48"/>
          <w:footerReference w:type="default" r:id="rId49"/>
          <w:type w:val="continuous"/>
          <w:pgSz w:w="11910" w:h="16840"/>
          <w:pgMar w:top="960" w:right="520" w:bottom="1200" w:left="720" w:header="708" w:footer="708"/>
          <w:pgNumType w:start="14"/>
          <w:cols w:num="2" w:space="708" w:equalWidth="0">
            <w:col w:w="4940" w:space="321"/>
            <w:col w:w="5409" w:space="0"/>
          </w:cols>
        </w:sectPr>
      </w:pPr>
    </w:p>
    <w:p>
      <w:pPr>
        <w:pStyle w:val="BodyText"/>
        <w:spacing w:before="8" w:after="1"/>
        <w:rPr>
          <w:sz w:val="17"/>
        </w:rPr>
      </w:pPr>
    </w:p>
    <w:p>
      <w:pPr>
        <w:tabs>
          <w:tab w:val="left" w:pos="5307"/>
        </w:tabs>
        <w:spacing w:line="20" w:lineRule="exact"/>
        <w:ind w:left="127" w:right="0" w:firstLine="0"/>
        <w:rPr>
          <w:sz w:val="2"/>
        </w:rPr>
      </w:pPr>
      <w:r>
        <w:rPr>
          <w:sz w:val="2"/>
        </w:rPr>
        <w:pict>
          <v:group id="_x0000_i1254" style="width:247.15pt;height:0.5pt;mso-position-horizontal-relative:char;mso-position-vertical-relative:line" coordorigin="0,0" coordsize="4943,10">
            <v:line id="_x0000_s1255" style="position:absolute" from="0,5" to="4943,5" stroked="t" strokecolor="black" strokeweight="0.48pt">
              <v:stroke dashstyle="solid"/>
            </v:line>
            <w10:wrap type="none"/>
          </v:group>
        </w:pict>
      </w:r>
      <w:r>
        <w:rPr>
          <w:sz w:val="2"/>
        </w:rPr>
        <w:tab/>
      </w:r>
      <w:r>
        <w:rPr>
          <w:sz w:val="2"/>
        </w:rPr>
        <w:pict>
          <v:group id="_x0000_i1256" style="width:252.05pt;height:0.5pt;mso-position-horizontal-relative:char;mso-position-vertical-relative:line" coordorigin="0,0" coordsize="5041,10">
            <v:line id="_x0000_s1257" style="position:absolute" from="0,5" to="5041,5" stroked="t" strokecolor="black" strokeweight="0.48pt">
              <v:stroke dashstyle="solid"/>
            </v:line>
            <w10:wrap type="none"/>
          </v:group>
        </w:pict>
      </w:r>
    </w:p>
    <w:p>
      <w:pPr>
        <w:tabs>
          <w:tab w:val="left" w:pos="5418"/>
        </w:tabs>
        <w:spacing w:before="0" w:line="198" w:lineRule="exact"/>
        <w:ind w:left="240" w:right="0" w:firstLine="0"/>
        <w:jc w:val="left"/>
        <w:rPr>
          <w:i/>
          <w:sz w:val="17"/>
        </w:rPr>
      </w:pPr>
      <w:r>
        <w:t xml:space="preserve">资料来源：乘联会， </w:t>
        <w:tab/>
        <w:t xml:space="preserve">资料来源：乘联会， 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1"/>
        <w:rPr>
          <w:i/>
          <w:sz w:val="24"/>
        </w:rPr>
      </w:pPr>
    </w:p>
    <w:p>
      <w:pPr>
        <w:pStyle w:val="Heading2"/>
        <w:numPr>
          <w:ilvl w:val="1"/>
          <w:numId w:val="7"/>
        </w:numPr>
        <w:tabs>
          <w:tab w:val="left" w:pos="2449"/>
        </w:tabs>
        <w:spacing w:before="66" w:after="0" w:line="242" w:lineRule="auto"/>
        <w:ind w:left="2023" w:right="334" w:firstLine="0"/>
        <w:jc w:val="left"/>
      </w:pPr>
      <w:bookmarkStart w:id="10" w:name="_TOC_250006"/>
      <w:bookmarkEnd w:id="10"/>
      <w:r>
        <w:rPr>
          <w:spacing w:val="3"/>
        </w:rPr>
        <w:t>本周铜、铝、聚丙烯、冷轧板周均价环比上升，碳酸锂持平，天然橡胶周均价环比下降</w:t>
      </w:r>
    </w:p>
    <w:p>
      <w:pPr>
        <w:spacing w:before="141" w:line="285" w:lineRule="auto"/>
        <w:ind w:left="2023" w:right="325" w:firstLine="0"/>
        <w:jc w:val="both"/>
        <w:rPr>
          <w:sz w:val="21"/>
        </w:rPr>
      </w:pPr>
      <w:r>
        <w:rPr>
          <w:b/>
          <w:sz w:val="21"/>
        </w:rPr>
        <w:t>本周铜、铝、聚丙烯、冷轧板周均价环比上升，碳酸锂持平，天然橡胶周均价环比下降。</w:t>
      </w:r>
      <w:r>
        <w:rPr>
          <w:sz w:val="21"/>
        </w:rPr>
        <w:t>铜均价周环比</w:t>
      </w:r>
      <w:r>
        <w:rPr>
          <w:rFonts w:ascii="Arial" w:eastAsia="Arial"/>
          <w:sz w:val="21"/>
        </w:rPr>
        <w:t>+1.59%</w:t>
      </w:r>
      <w:r>
        <w:rPr>
          <w:sz w:val="21"/>
        </w:rPr>
        <w:t>，铝均价周环比</w:t>
      </w:r>
      <w:r>
        <w:rPr>
          <w:rFonts w:ascii="Arial" w:eastAsia="Arial"/>
          <w:sz w:val="21"/>
        </w:rPr>
        <w:t>+1.54%</w:t>
      </w:r>
      <w:r>
        <w:rPr>
          <w:sz w:val="21"/>
        </w:rPr>
        <w:t>，聚丙烯均价周环比</w:t>
      </w:r>
      <w:r>
        <w:rPr>
          <w:rFonts w:ascii="Arial" w:eastAsia="Arial"/>
          <w:sz w:val="21"/>
        </w:rPr>
        <w:t>+0.88%</w:t>
      </w:r>
      <w:r>
        <w:rPr>
          <w:sz w:val="21"/>
        </w:rPr>
        <w:t>，冷轧板均价周环比</w:t>
      </w:r>
      <w:r>
        <w:rPr>
          <w:rFonts w:ascii="Arial" w:eastAsia="Arial"/>
          <w:sz w:val="21"/>
        </w:rPr>
        <w:t>+0.04%</w:t>
      </w:r>
      <w:r>
        <w:rPr>
          <w:sz w:val="21"/>
        </w:rPr>
        <w:t>，碳酸锂均价周环比</w:t>
      </w:r>
      <w:r>
        <w:rPr>
          <w:rFonts w:ascii="Arial" w:eastAsia="Arial"/>
          <w:sz w:val="21"/>
        </w:rPr>
        <w:t>+0.00%</w:t>
      </w:r>
      <w:r>
        <w:rPr>
          <w:sz w:val="21"/>
        </w:rPr>
        <w:t>，天然橡胶均价周环比</w:t>
      </w:r>
      <w:r>
        <w:rPr>
          <w:rFonts w:ascii="Arial" w:eastAsia="Arial"/>
          <w:sz w:val="21"/>
        </w:rPr>
        <w:t>-0.80%</w:t>
      </w:r>
      <w:r>
        <w:rPr>
          <w:sz w:val="21"/>
        </w:rPr>
        <w:t>。</w:t>
      </w:r>
    </w:p>
    <w:p>
      <w:pPr>
        <w:tabs>
          <w:tab w:val="left" w:pos="5415"/>
        </w:tabs>
        <w:spacing w:before="109" w:after="3"/>
        <w:ind w:left="240" w:right="0" w:firstLine="0"/>
        <w:jc w:val="left"/>
        <w:rPr>
          <w:b/>
          <w:sz w:val="18"/>
        </w:rPr>
      </w:pPr>
      <w:r>
        <w:rPr>
          <w:b/>
          <w:color w:val="152E57"/>
          <w:sz w:val="18"/>
        </w:rPr>
        <w:t>图</w:t>
      </w:r>
      <w:r>
        <w:rPr>
          <w:b/>
          <w:color w:val="152E57"/>
          <w:spacing w:val="-1"/>
          <w:sz w:val="18"/>
        </w:rPr>
        <w:t xml:space="preserve"> </w:t>
      </w:r>
      <w:r>
        <w:rPr>
          <w:b/>
          <w:color w:val="152E57"/>
          <w:sz w:val="18"/>
        </w:rPr>
        <w:t>6：长江有色均价：铜（元/吨）</w:t>
        <w:tab/>
        <w:t>图 7：中铝价格数据（元/吨）</w:t>
      </w:r>
    </w:p>
    <w:p>
      <w:pPr>
        <w:pStyle w:val="BodyText"/>
        <w:spacing w:line="20" w:lineRule="exact"/>
        <w:ind w:left="112"/>
        <w:rPr>
          <w:sz w:val="2"/>
        </w:rPr>
      </w:pPr>
      <w:r>
        <w:rPr>
          <w:sz w:val="2"/>
        </w:rPr>
        <w:pict>
          <v:group id="_x0000_i1258" style="width:247.75pt;height:0.5pt;mso-position-horizontal-relative:char;mso-position-vertical-relative:line" coordorigin="0,0" coordsize="4955,10">
            <v:line id="_x0000_s1259" style="position:absolute" from="0,5" to="4955,5" stroked="t" strokecolor="black" strokeweight="0.48pt">
              <v:stroke dashstyle="solid"/>
            </v:line>
            <w10:wrap type="none"/>
          </v:group>
        </w:pict>
      </w:r>
      <w:r>
        <w:rPr>
          <w:rFonts w:ascii="Times New Roman"/>
          <w:spacing w:val="185"/>
          <w:sz w:val="2"/>
        </w:rPr>
        <w:t xml:space="preserve"> </w:t>
      </w:r>
      <w:r>
        <w:rPr>
          <w:spacing w:val="185"/>
          <w:sz w:val="2"/>
        </w:rPr>
        <w:pict>
          <v:group id="_x0000_i1260" style="width:252.9pt;height:0.5pt;mso-position-horizontal-relative:char;mso-position-vertical-relative:line" coordorigin="0,0" coordsize="5058,10">
            <v:line id="_x0000_s1261" style="position:absolute" from="0,5" to="5058,5" stroked="t" strokecolor="black" strokeweight="0.48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sz w:val="2"/>
        </w:rPr>
        <w:sectPr>
          <w:headerReference w:type="default" r:id="rId50"/>
          <w:footerReference w:type="default" r:id="rId51"/>
          <w:type w:val="continuous"/>
          <w:pgSz w:w="11910" w:h="16840"/>
          <w:pgMar w:top="960" w:right="520" w:bottom="1200" w:left="720" w:header="708" w:footer="708"/>
          <w:pgNumType w:start="15"/>
          <w:cols w:space="708"/>
        </w:sectPr>
      </w:pPr>
    </w:p>
    <w:p>
      <w:pPr>
        <w:pStyle w:val="BodyText"/>
        <w:spacing w:before="5"/>
        <w:rPr>
          <w:b/>
          <w:sz w:val="9"/>
        </w:rPr>
      </w:pPr>
    </w:p>
    <w:p>
      <w:pPr>
        <w:tabs>
          <w:tab w:val="left" w:pos="5305"/>
        </w:tabs>
        <w:spacing w:line="20" w:lineRule="exact"/>
        <w:ind w:left="127" w:right="0" w:firstLine="0"/>
        <w:rPr>
          <w:sz w:val="2"/>
        </w:rPr>
      </w:pPr>
      <w:r>
        <w:rPr>
          <w:sz w:val="2"/>
        </w:rPr>
        <w:pict>
          <v:group id="_x0000_i1262" style="width:247.05pt;height:0.5pt;mso-position-horizontal-relative:char;mso-position-vertical-relative:line" coordorigin="0,0" coordsize="4941,10">
            <v:line id="_x0000_s1263" style="position:absolute" from="0,5" to="4941,5" stroked="t" strokecolor="black" strokeweight="0.48pt">
              <v:stroke dashstyle="solid"/>
            </v:line>
            <w10:wrap type="none"/>
          </v:group>
        </w:pict>
      </w:r>
      <w:r>
        <w:rPr>
          <w:sz w:val="2"/>
        </w:rPr>
        <w:tab/>
      </w:r>
      <w:r>
        <w:rPr>
          <w:sz w:val="2"/>
        </w:rPr>
        <w:pict>
          <v:group id="_x0000_i1264" style="width:252.2pt;height:0.5pt;mso-position-horizontal-relative:char;mso-position-vertical-relative:line" coordorigin="0,0" coordsize="5044,10">
            <v:line id="_x0000_s1265" style="position:absolute" from="0,5" to="5043,5" stroked="t" strokecolor="black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8"/>
        <w:rPr>
          <w:b/>
          <w:sz w:val="6"/>
        </w:rPr>
      </w:pPr>
    </w:p>
    <w:p>
      <w:pPr>
        <w:spacing w:after="0"/>
        <w:rPr>
          <w:sz w:val="6"/>
        </w:rPr>
        <w:sectPr>
          <w:headerReference w:type="default" r:id="rId52"/>
          <w:footerReference w:type="default" r:id="rId53"/>
          <w:pgSz w:w="11910" w:h="16840"/>
          <w:pgMar w:top="960" w:right="520" w:bottom="1200" w:left="720" w:header="708" w:footer="708"/>
          <w:pgNumType w:start="16"/>
          <w:cols w:space="708"/>
        </w:sectPr>
      </w:pPr>
    </w:p>
    <w:p>
      <w:pPr>
        <w:pStyle w:val="BodyText"/>
        <w:spacing w:before="4"/>
        <w:rPr>
          <w:b/>
          <w:sz w:val="17"/>
        </w:rPr>
      </w:pPr>
    </w:p>
    <w:p>
      <w:pPr>
        <w:spacing w:before="0"/>
        <w:ind w:left="0" w:right="39" w:firstLine="0"/>
        <w:jc w:val="right"/>
        <w:rPr>
          <w:rFonts w:ascii="Arial"/>
          <w:sz w:val="16"/>
        </w:rPr>
      </w:pPr>
      <w:r>
        <w:pict>
          <v:group id="_x0000_s1266" style="width:195.95pt;height:124.45pt;margin-top:4.62pt;margin-left:81.75pt;mso-position-horizontal-relative:page;position:absolute;z-index:251696128" coordorigin="1635,92" coordsize="3919,2489">
            <v:shape id="_x0000_s1267" style="width:49;height:2474;left:1656;position:absolute;top:99" coordorigin="1657,100" coordsize="49,2474" path="m1657,2573l1657,100m1657,2573l1705,2573m1657,2299l1705,2299m1657,2023l1705,2023m1657,1749l1705,1749m1657,1473l1705,1473m1657,1200l1705,1200m1657,924l1705,924m1657,650l1705,650m1657,374l1705,374m1657,100l1705,100e" filled="f" stroked="t" strokecolor="#00048d" strokeweight="0.75pt">
              <v:stroke dashstyle="solid"/>
              <v:path arrowok="t"/>
            </v:shape>
            <v:shape id="_x0000_s1268" style="width:3876;height:49;left:1656;position:absolute;top:2524" coordorigin="1657,2525" coordsize="3876,49" path="m1657,2573l5532,2573m1657,2525l1657,2573m2035,2525l2035,2573m2422,2525l2422,2573m2801,2525l2801,2573m3187,2525l3187,2573m3566,2525l3566,2573m3950,2525l3950,2573m4330,2525l4330,2573m4716,2525l4716,2573m5095,2525l5095,2573m5480,2525l5480,2573e" filled="f" stroked="t" strokecolor="black" strokeweight="0.75pt">
              <v:stroke dashstyle="solid"/>
              <v:path arrowok="t"/>
            </v:shape>
            <v:shape id="_x0000_s1269" type="#_x0000_t75" style="width:3919;height:1159;left:1635;position:absolute;top:434" stroked="f">
              <v:imagedata r:id="rId54" o:title=""/>
            </v:shape>
          </v:group>
        </w:pict>
      </w:r>
      <w:r>
        <w:pict>
          <v:line id="_x0000_s1270" style="mso-position-horizontal-relative:page;position:absolute;z-index:251697152" from="355.65pt,-1.4pt" to="374.85pt,-1.4pt" stroked="t" strokecolor="#4471c4" strokeweight="2.25pt">
            <v:stroke dashstyle="solid"/>
          </v:line>
        </w:pict>
      </w:r>
      <w:r>
        <w:rPr>
          <w:rFonts w:ascii="Arial"/>
          <w:spacing w:val="-1"/>
          <w:sz w:val="16"/>
        </w:rPr>
        <w:t>90000</w:t>
      </w:r>
    </w:p>
    <w:p>
      <w:pPr>
        <w:spacing w:before="91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80000</w:t>
      </w:r>
    </w:p>
    <w:p>
      <w:pPr>
        <w:spacing w:before="90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70000</w:t>
      </w:r>
    </w:p>
    <w:p>
      <w:pPr>
        <w:spacing w:before="91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60000</w:t>
      </w:r>
    </w:p>
    <w:p>
      <w:pPr>
        <w:spacing w:before="91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50000</w:t>
      </w:r>
    </w:p>
    <w:p>
      <w:pPr>
        <w:spacing w:before="91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40000</w:t>
      </w:r>
    </w:p>
    <w:p>
      <w:pPr>
        <w:spacing w:before="91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30000</w:t>
      </w:r>
    </w:p>
    <w:p>
      <w:pPr>
        <w:spacing w:before="91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20000</w:t>
      </w:r>
    </w:p>
    <w:p>
      <w:pPr>
        <w:spacing w:before="91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10000</w:t>
      </w:r>
    </w:p>
    <w:p>
      <w:pPr>
        <w:spacing w:before="90"/>
        <w:ind w:left="0" w:right="38" w:firstLine="0"/>
        <w:jc w:val="right"/>
        <w:rPr>
          <w:rFonts w:ascii="Arial"/>
          <w:sz w:val="16"/>
        </w:rPr>
      </w:pPr>
      <w:r>
        <w:rPr>
          <w:rFonts w:ascii="Arial"/>
          <w:w w:val="100"/>
          <w:sz w:val="16"/>
        </w:rPr>
        <w:t>0</w:t>
      </w:r>
    </w:p>
    <w:p>
      <w:pPr>
        <w:pStyle w:val="BodyText"/>
        <w:rPr>
          <w:rFonts w:ascii="Arial"/>
          <w:sz w:val="18"/>
        </w:rPr>
      </w:pPr>
      <w:r>
        <w:br w:type="column"/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9"/>
        <w:rPr>
          <w:rFonts w:ascii="Arial"/>
          <w:sz w:val="15"/>
        </w:rPr>
      </w:pPr>
    </w:p>
    <w:p>
      <w:pPr>
        <w:spacing w:before="0"/>
        <w:ind w:left="0" w:right="39" w:firstLine="0"/>
        <w:jc w:val="right"/>
        <w:rPr>
          <w:rFonts w:ascii="Arial"/>
          <w:sz w:val="16"/>
        </w:rPr>
      </w:pPr>
      <w:r>
        <w:pict>
          <v:line id="_x0000_s1271" style="mso-position-horizontal-relative:page;position:absolute;z-index:251698176" from="355.65pt,-17.3pt" to="374.85pt,-17.3pt" stroked="t" strokecolor="#c00000" strokeweight="2.25pt">
            <v:stroke dashstyle="solid"/>
          </v:line>
        </w:pict>
      </w:r>
      <w:r>
        <w:pict>
          <v:line id="_x0000_s1272" style="mso-position-horizontal-relative:page;position:absolute;z-index:251699200" from="355.65pt,-4.1pt" to="374.85pt,-4.1pt" stroked="t" strokecolor="#00048d" strokeweight="2.25pt">
            <v:stroke dashstyle="solid"/>
          </v:line>
        </w:pict>
      </w:r>
      <w:r>
        <w:rPr>
          <w:rFonts w:ascii="Arial"/>
          <w:spacing w:val="-1"/>
          <w:sz w:val="16"/>
        </w:rPr>
        <w:t>30000</w:t>
      </w:r>
    </w:p>
    <w:p>
      <w:pPr>
        <w:spacing w:before="135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25000</w:t>
      </w:r>
    </w:p>
    <w:p>
      <w:pPr>
        <w:spacing w:before="134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20000</w:t>
      </w:r>
    </w:p>
    <w:p>
      <w:pPr>
        <w:spacing w:before="136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15000</w:t>
      </w:r>
    </w:p>
    <w:p>
      <w:pPr>
        <w:spacing w:before="134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10000</w:t>
      </w:r>
    </w:p>
    <w:p>
      <w:pPr>
        <w:spacing w:before="135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5000</w:t>
      </w:r>
    </w:p>
    <w:p>
      <w:pPr>
        <w:spacing w:before="135"/>
        <w:ind w:left="0" w:right="38" w:firstLine="0"/>
        <w:jc w:val="right"/>
        <w:rPr>
          <w:rFonts w:ascii="Arial"/>
          <w:sz w:val="16"/>
        </w:rPr>
      </w:pPr>
      <w:r>
        <w:rPr>
          <w:rFonts w:ascii="Arial"/>
          <w:w w:val="100"/>
          <w:sz w:val="16"/>
        </w:rPr>
        <w:t>0</w:t>
      </w:r>
    </w:p>
    <w:p>
      <w:pPr>
        <w:spacing w:before="85" w:line="309" w:lineRule="auto"/>
        <w:ind w:left="309" w:right="1328" w:firstLine="0"/>
        <w:jc w:val="both"/>
        <w:rPr>
          <w:sz w:val="16"/>
        </w:rPr>
      </w:pPr>
      <w:r>
        <w:br w:type="column"/>
      </w:r>
      <w:r>
        <w:rPr>
          <w:sz w:val="16"/>
        </w:rPr>
        <w:t>市场价</w:t>
      </w:r>
      <w:r>
        <w:rPr>
          <w:rFonts w:ascii="Arial" w:eastAsia="Arial"/>
          <w:sz w:val="16"/>
        </w:rPr>
        <w:t>:</w:t>
      </w:r>
      <w:r>
        <w:rPr>
          <w:sz w:val="16"/>
        </w:rPr>
        <w:t>铝锭</w:t>
      </w:r>
      <w:r>
        <w:rPr>
          <w:rFonts w:ascii="Arial" w:eastAsia="Arial"/>
          <w:sz w:val="16"/>
        </w:rPr>
        <w:t>(AL99.7):</w:t>
      </w:r>
      <w:r>
        <w:rPr>
          <w:sz w:val="16"/>
        </w:rPr>
        <w:t>中铝</w:t>
      </w:r>
      <w:r>
        <w:rPr>
          <w:rFonts w:ascii="Arial" w:eastAsia="Arial"/>
          <w:sz w:val="16"/>
        </w:rPr>
        <w:t>:</w:t>
      </w:r>
      <w:r>
        <w:rPr>
          <w:sz w:val="16"/>
        </w:rPr>
        <w:t>华东市场市场价</w:t>
      </w:r>
      <w:r>
        <w:rPr>
          <w:rFonts w:ascii="Arial" w:eastAsia="Arial"/>
          <w:sz w:val="16"/>
        </w:rPr>
        <w:t>:</w:t>
      </w:r>
      <w:r>
        <w:rPr>
          <w:sz w:val="16"/>
        </w:rPr>
        <w:t>铝锭</w:t>
      </w:r>
      <w:r>
        <w:rPr>
          <w:rFonts w:ascii="Arial" w:eastAsia="Arial"/>
          <w:sz w:val="16"/>
        </w:rPr>
        <w:t>(AL99.7):</w:t>
      </w:r>
      <w:r>
        <w:rPr>
          <w:sz w:val="16"/>
        </w:rPr>
        <w:t>中铝</w:t>
      </w:r>
      <w:r>
        <w:rPr>
          <w:rFonts w:ascii="Arial" w:eastAsia="Arial"/>
          <w:sz w:val="16"/>
        </w:rPr>
        <w:t>:</w:t>
      </w:r>
      <w:r>
        <w:rPr>
          <w:sz w:val="16"/>
        </w:rPr>
        <w:t>华南市场市场价</w:t>
      </w:r>
      <w:r>
        <w:rPr>
          <w:rFonts w:ascii="Arial" w:eastAsia="Arial"/>
          <w:sz w:val="16"/>
        </w:rPr>
        <w:t>:</w:t>
      </w:r>
      <w:r>
        <w:rPr>
          <w:sz w:val="16"/>
        </w:rPr>
        <w:t>铝锭</w:t>
      </w:r>
      <w:r>
        <w:rPr>
          <w:rFonts w:ascii="Arial" w:eastAsia="Arial"/>
          <w:sz w:val="16"/>
        </w:rPr>
        <w:t>(AL99.7):</w:t>
      </w:r>
      <w:r>
        <w:rPr>
          <w:sz w:val="16"/>
        </w:rPr>
        <w:t>中铝</w:t>
      </w:r>
      <w:r>
        <w:rPr>
          <w:rFonts w:ascii="Arial" w:eastAsia="Arial"/>
          <w:sz w:val="16"/>
        </w:rPr>
        <w:t>:</w:t>
      </w:r>
      <w:r>
        <w:rPr>
          <w:sz w:val="16"/>
        </w:rPr>
        <w:t>西南市场</w:t>
      </w:r>
    </w:p>
    <w:p>
      <w:pPr>
        <w:spacing w:after="0" w:line="309" w:lineRule="auto"/>
        <w:jc w:val="both"/>
        <w:rPr>
          <w:sz w:val="16"/>
        </w:rPr>
        <w:sectPr>
          <w:headerReference w:type="default" r:id="rId55"/>
          <w:footerReference w:type="default" r:id="rId56"/>
          <w:type w:val="continuous"/>
          <w:pgSz w:w="11910" w:h="16840"/>
          <w:pgMar w:top="960" w:right="520" w:bottom="1200" w:left="720" w:header="708" w:footer="708"/>
          <w:pgNumType w:start="17"/>
          <w:cols w:num="3" w:space="708" w:equalWidth="0">
            <w:col w:w="796" w:space="4501"/>
            <w:col w:w="796" w:space="417"/>
            <w:col w:w="4160" w:space="0"/>
          </w:cols>
        </w:sectPr>
      </w:pPr>
    </w:p>
    <w:p>
      <w:pPr>
        <w:pStyle w:val="BodyText"/>
        <w:spacing w:before="5"/>
        <w:rPr>
          <w:sz w:val="2"/>
        </w:rPr>
      </w:pPr>
    </w:p>
    <w:p>
      <w:pPr>
        <w:tabs>
          <w:tab w:val="left" w:pos="5630"/>
        </w:tabs>
        <w:spacing w:line="240" w:lineRule="auto"/>
        <w:ind w:left="334" w:right="0" w:firstLine="0"/>
        <w:rPr>
          <w:sz w:val="20"/>
        </w:rPr>
      </w:pPr>
      <w:r>
        <w:rPr>
          <w:position w:val="3"/>
          <w:sz w:val="20"/>
        </w:rPr>
        <w:drawing>
          <wp:inline distT="0" distB="0" distL="0" distR="0">
            <wp:extent cx="2804539" cy="401383"/>
            <wp:effectExtent l="0" t="0" r="0" b="0"/>
            <wp:docPr id="2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0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4539" cy="401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0"/>
        </w:rPr>
        <w:tab/>
      </w:r>
      <w:r>
        <w:rPr>
          <w:sz w:val="20"/>
        </w:rPr>
        <w:drawing>
          <wp:inline distT="0" distB="0" distL="0" distR="0">
            <wp:extent cx="2703655" cy="404812"/>
            <wp:effectExtent l="0" t="0" r="0" b="0"/>
            <wp:docPr id="3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1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3655" cy="404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2"/>
        </w:rPr>
      </w:pPr>
      <w:r>
        <w:pict>
          <v:shape id="_x0000_s1273" style="width:247.05pt;height:0.1pt;margin-top:16.3pt;margin-left:42.6pt;mso-position-horizontal-relative:page;mso-wrap-distance-left:0;mso-wrap-distance-right:0;position:absolute;z-index:-251616256" coordorigin="852,326" coordsize="4941,0" path="m852,326l5793,326e" filled="f" stroked="t" strokecolor="black" strokeweight="0.48pt">
            <v:stroke dashstyle="solid"/>
            <v:path arrowok="t"/>
            <w10:wrap type="topAndBottom"/>
          </v:shape>
        </w:pict>
      </w:r>
      <w:r>
        <w:pict>
          <v:shape id="_x0000_s1274" style="width:252.2pt;height:0.1pt;margin-top:16.3pt;margin-left:301.51pt;mso-position-horizontal-relative:page;mso-wrap-distance-left:0;mso-wrap-distance-right:0;position:absolute;z-index:-251615232" coordorigin="6030,326" coordsize="5044,0" path="m6030,326l11074,326e" filled="f" stroked="t" strokecolor="black" strokeweight="0.48pt">
            <v:stroke dashstyle="solid"/>
            <v:path arrowok="t"/>
            <w10:wrap type="topAndBottom"/>
          </v:shape>
        </w:pict>
      </w:r>
    </w:p>
    <w:p>
      <w:pPr>
        <w:tabs>
          <w:tab w:val="left" w:pos="5415"/>
        </w:tabs>
        <w:spacing w:before="0" w:line="179" w:lineRule="exact"/>
        <w:ind w:left="240" w:right="0" w:firstLine="0"/>
        <w:jc w:val="left"/>
        <w:rPr>
          <w:i/>
          <w:sz w:val="17"/>
        </w:rPr>
      </w:pPr>
      <w:r>
        <w:t>资料来源：ifind， 。注：单位为元/吨</w:t>
        <w:tab/>
        <w:t>资料来源：ifind， 。注：单位为元/吨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4"/>
        <w:rPr>
          <w:i/>
          <w:sz w:val="16"/>
        </w:rPr>
      </w:pPr>
    </w:p>
    <w:p>
      <w:pPr>
        <w:tabs>
          <w:tab w:val="left" w:pos="5425"/>
        </w:tabs>
        <w:spacing w:before="0" w:after="5"/>
        <w:ind w:left="240" w:right="0" w:firstLine="0"/>
        <w:jc w:val="left"/>
        <w:rPr>
          <w:b/>
          <w:sz w:val="18"/>
        </w:rPr>
      </w:pPr>
      <w:r>
        <w:rPr>
          <w:b/>
          <w:color w:val="152E57"/>
          <w:sz w:val="18"/>
        </w:rPr>
        <w:t>图</w:t>
      </w:r>
      <w:r>
        <w:rPr>
          <w:b/>
          <w:color w:val="152E57"/>
          <w:spacing w:val="-1"/>
          <w:sz w:val="18"/>
        </w:rPr>
        <w:t xml:space="preserve"> </w:t>
      </w:r>
      <w:r>
        <w:rPr>
          <w:b/>
          <w:color w:val="152E57"/>
          <w:sz w:val="18"/>
        </w:rPr>
        <w:t>8：天然橡胶价格数据（元/吨）</w:t>
        <w:tab/>
        <w:t>图 9：冷轧卷价格数</w:t>
      </w:r>
      <w:r>
        <w:rPr>
          <w:b/>
          <w:color w:val="152E57"/>
          <w:spacing w:val="3"/>
          <w:sz w:val="18"/>
        </w:rPr>
        <w:t>据</w:t>
      </w:r>
      <w:r>
        <w:rPr>
          <w:b/>
          <w:color w:val="152E57"/>
          <w:sz w:val="18"/>
        </w:rPr>
        <w:t>（元/吨）</w:t>
      </w:r>
    </w:p>
    <w:p>
      <w:pPr>
        <w:tabs>
          <w:tab w:val="left" w:pos="5312"/>
        </w:tabs>
        <w:spacing w:line="20" w:lineRule="exact"/>
        <w:ind w:left="127" w:right="0" w:firstLine="0"/>
        <w:rPr>
          <w:sz w:val="2"/>
        </w:rPr>
      </w:pPr>
      <w:r>
        <w:rPr>
          <w:sz w:val="2"/>
        </w:rPr>
        <w:pict>
          <v:group id="_x0000_i1275" style="width:247.15pt;height:0.5pt;mso-position-horizontal-relative:char;mso-position-vertical-relative:line" coordorigin="0,0" coordsize="4943,10">
            <v:line id="_x0000_s1276" style="position:absolute" from="0,5" to="4943,5" stroked="t" strokecolor="black" strokeweight="0.48pt">
              <v:stroke dashstyle="solid"/>
            </v:line>
            <w10:wrap type="none"/>
          </v:group>
        </w:pict>
      </w:r>
      <w:r>
        <w:rPr>
          <w:sz w:val="2"/>
        </w:rPr>
        <w:tab/>
      </w:r>
      <w:r>
        <w:rPr>
          <w:sz w:val="2"/>
        </w:rPr>
        <w:pict>
          <v:group id="_x0000_i1277" style="width:251.85pt;height:0.5pt;mso-position-horizontal-relative:char;mso-position-vertical-relative:line" coordorigin="0,0" coordsize="5037,10">
            <v:line id="_x0000_s1278" style="position:absolute" from="0,5" to="5036,5" stroked="t" strokecolor="black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3"/>
        <w:rPr>
          <w:b/>
          <w:sz w:val="13"/>
        </w:rPr>
      </w:pPr>
    </w:p>
    <w:p>
      <w:pPr>
        <w:spacing w:after="0"/>
        <w:rPr>
          <w:sz w:val="13"/>
        </w:rPr>
        <w:sectPr>
          <w:headerReference w:type="default" r:id="rId59"/>
          <w:footerReference w:type="default" r:id="rId60"/>
          <w:type w:val="continuous"/>
          <w:pgSz w:w="11910" w:h="16840"/>
          <w:pgMar w:top="960" w:right="520" w:bottom="1200" w:left="720" w:header="708" w:footer="708"/>
          <w:pgNumType w:start="18"/>
          <w:cols w:space="708"/>
        </w:sectPr>
      </w:pPr>
    </w:p>
    <w:p>
      <w:pPr>
        <w:spacing w:before="96"/>
        <w:ind w:left="0" w:right="39" w:firstLine="0"/>
        <w:jc w:val="right"/>
        <w:rPr>
          <w:rFonts w:ascii="Arial"/>
          <w:sz w:val="16"/>
        </w:rPr>
      </w:pPr>
      <w:r>
        <w:pict>
          <v:group id="_x0000_s1279" style="width:185.95pt;height:127.45pt;margin-top:9.38pt;margin-left:86.75pt;mso-position-horizontal-relative:page;position:absolute;z-index:251702272" coordorigin="1735,188" coordsize="3719,2549">
            <v:shape id="_x0000_s1280" style="width:3676;height:2534;left:1756;position:absolute;top:195" coordorigin="1757,195" coordsize="3676,2534" path="m1757,2728l1757,195m1757,2728l1805,2728m1757,2447l1805,2447m1757,2166l1805,2166m1757,1883l1805,1883m1757,1602l1805,1602m1757,1322l1805,1322m1757,1038l1805,1038m1757,758l1805,758m1757,477l1805,477m1757,195l1805,195m1757,2728l5432,2728m1757,2680l1757,2728m2117,2680l2117,2728m2482,2680l2482,2728m2842,2680l2842,2728m3209,2680l3209,2728m3566,2680l3566,2728m3934,2680l3934,2728m4291,2680l4291,2728m4658,2680l4658,2728m5016,2680l5016,2728m5382,2680l5382,2728e" filled="f" stroked="t" strokecolor="black" strokeweight="0.75pt">
              <v:stroke dashstyle="solid"/>
              <v:path arrowok="t"/>
            </v:shape>
            <v:shape id="_x0000_s1281" type="#_x0000_t75" style="width:3719;height:1126;left:1735;position:absolute;top:344" stroked="f">
              <v:imagedata r:id="rId61" o:title=""/>
            </v:shape>
          </v:group>
        </w:pict>
      </w:r>
      <w:r>
        <w:rPr>
          <w:rFonts w:ascii="Arial"/>
          <w:spacing w:val="-1"/>
          <w:sz w:val="16"/>
        </w:rPr>
        <w:t>18000</w:t>
      </w:r>
    </w:p>
    <w:p>
      <w:pPr>
        <w:spacing w:before="97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16000</w:t>
      </w:r>
    </w:p>
    <w:p>
      <w:pPr>
        <w:spacing w:before="98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14000</w:t>
      </w:r>
    </w:p>
    <w:p>
      <w:pPr>
        <w:spacing w:before="97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12000</w:t>
      </w:r>
    </w:p>
    <w:p>
      <w:pPr>
        <w:spacing w:before="98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10000</w:t>
      </w:r>
    </w:p>
    <w:p>
      <w:pPr>
        <w:spacing w:before="97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8000</w:t>
      </w:r>
    </w:p>
    <w:p>
      <w:pPr>
        <w:spacing w:before="98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6000</w:t>
      </w:r>
    </w:p>
    <w:p>
      <w:pPr>
        <w:spacing w:before="97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4000</w:t>
      </w:r>
    </w:p>
    <w:p>
      <w:pPr>
        <w:spacing w:before="98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2000</w:t>
      </w:r>
    </w:p>
    <w:p>
      <w:pPr>
        <w:spacing w:before="97"/>
        <w:ind w:left="0" w:right="38" w:firstLine="0"/>
        <w:jc w:val="right"/>
        <w:rPr>
          <w:rFonts w:ascii="Arial"/>
          <w:sz w:val="16"/>
        </w:rPr>
      </w:pPr>
      <w:r>
        <w:rPr>
          <w:rFonts w:ascii="Arial"/>
          <w:w w:val="100"/>
          <w:sz w:val="16"/>
        </w:rPr>
        <w:t>0</w:t>
      </w:r>
    </w:p>
    <w:p>
      <w:pPr>
        <w:spacing w:before="96"/>
        <w:ind w:left="0" w:right="4664" w:firstLine="0"/>
        <w:jc w:val="right"/>
        <w:rPr>
          <w:rFonts w:ascii="Arial"/>
          <w:sz w:val="16"/>
        </w:rPr>
      </w:pPr>
      <w:r>
        <w:br w:type="column"/>
      </w:r>
      <w:r>
        <w:rPr>
          <w:rFonts w:ascii="Arial"/>
          <w:spacing w:val="-1"/>
          <w:sz w:val="16"/>
        </w:rPr>
        <w:t>8000</w:t>
      </w:r>
    </w:p>
    <w:p>
      <w:pPr>
        <w:spacing w:before="132"/>
        <w:ind w:left="0" w:right="4664" w:firstLine="0"/>
        <w:jc w:val="right"/>
        <w:rPr>
          <w:rFonts w:ascii="Arial"/>
          <w:sz w:val="16"/>
        </w:rPr>
      </w:pPr>
      <w:r>
        <w:pict>
          <v:group id="_x0000_s1282" style="width:185.9pt;height:127.4pt;margin-top:-4.67pt;margin-left:343.98pt;mso-position-horizontal-relative:page;position:absolute;z-index:251703296" coordorigin="6880,-93" coordsize="3718,2548">
            <v:shape id="_x0000_s1283" style="width:49;height:2533;left:6901;position:absolute;top:-86" coordorigin="6901,-86" coordsize="49,2533" path="m6901,2447l6901,-86m6901,2447l6949,2447m6901,2130l6949,2130m6901,1814l6949,1814m6901,1497l6949,1497m6901,1180l6949,1180m6901,863l6949,863m6901,546l6949,546m6901,230l6949,230m6901,-86l6949,-86e" filled="f" stroked="t" strokecolor="#00048d" strokeweight="0.75pt">
              <v:stroke dashstyle="solid"/>
              <v:path arrowok="t"/>
            </v:shape>
            <v:shape id="_x0000_s1284" style="width:3676;height:49;left:6901;position:absolute;top:2398" coordorigin="6901,2398" coordsize="3676,49" path="m6901,2447l10576,2447m6901,2398l6901,2447m7351,2398l7351,2447m7807,2398l7807,2447m8254,2398l8254,2447m8710,2398l8710,2447m9156,2398l9156,2447m9612,2398l9612,2447m10058,2398l10058,2447m10515,2398l10515,2447e" filled="f" stroked="t" strokecolor="black" strokeweight="0.75pt">
              <v:stroke dashstyle="solid"/>
              <v:path arrowok="t"/>
            </v:shape>
            <v:shape id="_x0000_s1285" type="#_x0000_t75" style="width:3718;height:1153;left:6879;position:absolute;top:113" stroked="f">
              <v:imagedata r:id="rId62" o:title=""/>
            </v:shape>
          </v:group>
        </w:pict>
      </w:r>
      <w:r>
        <w:rPr>
          <w:rFonts w:ascii="Arial"/>
          <w:spacing w:val="-1"/>
          <w:sz w:val="16"/>
        </w:rPr>
        <w:t>7000</w:t>
      </w:r>
    </w:p>
    <w:p>
      <w:pPr>
        <w:spacing w:before="133"/>
        <w:ind w:left="0" w:right="4664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6000</w:t>
      </w:r>
    </w:p>
    <w:p>
      <w:pPr>
        <w:spacing w:before="133"/>
        <w:ind w:left="0" w:right="4664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5000</w:t>
      </w:r>
    </w:p>
    <w:p>
      <w:pPr>
        <w:spacing w:before="132"/>
        <w:ind w:left="0" w:right="4664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4000</w:t>
      </w:r>
    </w:p>
    <w:p>
      <w:pPr>
        <w:spacing w:before="133"/>
        <w:ind w:left="0" w:right="4664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3000</w:t>
      </w:r>
    </w:p>
    <w:p>
      <w:pPr>
        <w:spacing w:before="133"/>
        <w:ind w:left="0" w:right="4664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2000</w:t>
      </w:r>
    </w:p>
    <w:p>
      <w:pPr>
        <w:spacing w:before="132"/>
        <w:ind w:left="0" w:right="4664" w:firstLine="0"/>
        <w:jc w:val="right"/>
        <w:rPr>
          <w:rFonts w:ascii="Arial"/>
          <w:sz w:val="16"/>
        </w:rPr>
      </w:pPr>
      <w:r>
        <w:rPr>
          <w:rFonts w:ascii="Arial"/>
          <w:spacing w:val="-1"/>
          <w:sz w:val="16"/>
        </w:rPr>
        <w:t>1000</w:t>
      </w:r>
    </w:p>
    <w:p>
      <w:pPr>
        <w:spacing w:before="133"/>
        <w:ind w:left="0" w:right="4663" w:firstLine="0"/>
        <w:jc w:val="right"/>
        <w:rPr>
          <w:rFonts w:ascii="Arial"/>
          <w:sz w:val="16"/>
        </w:rPr>
      </w:pPr>
      <w:r>
        <w:rPr>
          <w:rFonts w:ascii="Arial"/>
          <w:w w:val="100"/>
          <w:sz w:val="16"/>
        </w:rPr>
        <w:t>0</w:t>
      </w:r>
    </w:p>
    <w:p>
      <w:pPr>
        <w:spacing w:after="0"/>
        <w:jc w:val="right"/>
        <w:rPr>
          <w:rFonts w:ascii="Arial"/>
          <w:sz w:val="16"/>
        </w:rPr>
        <w:sectPr>
          <w:headerReference w:type="default" r:id="rId63"/>
          <w:footerReference w:type="default" r:id="rId64"/>
          <w:type w:val="continuous"/>
          <w:pgSz w:w="11910" w:h="16840"/>
          <w:pgMar w:top="960" w:right="520" w:bottom="1200" w:left="720" w:header="708" w:footer="708"/>
          <w:pgNumType w:start="19"/>
          <w:cols w:num="2" w:space="708" w:equalWidth="0">
            <w:col w:w="896" w:space="4339"/>
            <w:col w:w="5435" w:space="0"/>
          </w:cols>
        </w:sectPr>
      </w:pPr>
    </w:p>
    <w:p>
      <w:pPr>
        <w:pStyle w:val="BodyText"/>
        <w:spacing w:before="4"/>
        <w:rPr>
          <w:rFonts w:ascii="Arial"/>
          <w:sz w:val="4"/>
        </w:rPr>
      </w:pPr>
      <w:r>
        <w:pict>
          <v:group id="_x0000_s1286" style="width:185.95pt;height:96.4pt;margin-top:104.7pt;margin-left:346.54pt;mso-position-horizontal-relative:page;mso-position-vertical-relative:page;position:absolute;z-index:251706368" coordorigin="6931,2094" coordsize="3719,1928">
            <v:shape id="_x0000_s1287" style="width:3676;height:1913;left:6952;position:absolute;top:2101" coordorigin="6952,2102" coordsize="3676,1913" path="m6952,4014l6952,2102m6952,4014l7000,4014m6952,3696l7000,3696m6952,3377l7000,3377m6952,3058l7000,3058m6952,2738l7000,2738m6952,2419l7000,2419m6952,2102l7000,2102m6952,4014l10628,4014m6952,3966l6952,4014m7313,3966l7313,4014m7678,3966l7678,4014m8038,3966l8038,4014m8405,3966l8405,4014m8762,3966l8762,4014m9130,3966l9130,4014m9487,3966l9487,4014m9854,3966l9854,4014m10212,3966l10212,4014m10579,3966l10579,4014e" filled="f" stroked="t" strokecolor="black" strokeweight="0.75pt">
              <v:stroke dashstyle="solid"/>
              <v:path arrowok="t"/>
            </v:shape>
            <v:shape id="_x0000_s1288" type="#_x0000_t75" style="width:3719;height:877;left:6930;position:absolute;top:2446" stroked="f">
              <v:imagedata r:id="rId65" o:title=""/>
            </v:shape>
          </v:group>
        </w:pict>
      </w:r>
    </w:p>
    <w:p>
      <w:pPr>
        <w:tabs>
          <w:tab w:val="left" w:pos="5579"/>
        </w:tabs>
        <w:spacing w:line="240" w:lineRule="auto"/>
        <w:ind w:left="434" w:right="0" w:firstLine="0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2703287" cy="404812"/>
            <wp:effectExtent l="0" t="0" r="0" b="0"/>
            <wp:docPr id="3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5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3287" cy="404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  <w:tab/>
      </w:r>
      <w:r>
        <w:rPr>
          <w:rFonts w:ascii="Arial"/>
          <w:sz w:val="20"/>
        </w:rPr>
        <w:drawing>
          <wp:inline distT="0" distB="0" distL="0" distR="0">
            <wp:extent cx="2695663" cy="404812"/>
            <wp:effectExtent l="0" t="0" r="0" b="0"/>
            <wp:docPr id="3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6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5663" cy="404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rFonts w:ascii="Arial"/>
          <w:sz w:val="24"/>
        </w:rPr>
      </w:pPr>
      <w:r>
        <w:pict>
          <v:shape id="_x0000_s1289" style="width:247.15pt;height:0.1pt;margin-top:16.22pt;margin-left:42.6pt;mso-position-horizontal-relative:page;mso-wrap-distance-left:0;mso-wrap-distance-right:0;position:absolute;z-index:-251612160" coordorigin="852,324" coordsize="4943,0" path="m852,324l5795,324e" filled="f" stroked="t" strokecolor="black" strokeweight="0.48pt">
            <v:stroke dashstyle="solid"/>
            <v:path arrowok="t"/>
            <w10:wrap type="topAndBottom"/>
          </v:shape>
        </w:pict>
      </w:r>
      <w:r>
        <w:pict>
          <v:shape id="_x0000_s1290" style="width:251.85pt;height:0.1pt;margin-top:16.22pt;margin-left:301.87pt;mso-position-horizontal-relative:page;mso-wrap-distance-left:0;mso-wrap-distance-right:0;position:absolute;z-index:-251611136" coordorigin="6037,324" coordsize="5037,0" path="m6037,324l11074,324e" filled="f" stroked="t" strokecolor="black" strokeweight="0.48pt">
            <v:stroke dashstyle="solid"/>
            <v:path arrowok="t"/>
            <w10:wrap type="topAndBottom"/>
          </v:shape>
        </w:pict>
      </w:r>
    </w:p>
    <w:p>
      <w:pPr>
        <w:tabs>
          <w:tab w:val="left" w:pos="5425"/>
        </w:tabs>
        <w:spacing w:before="0" w:line="182" w:lineRule="exact"/>
        <w:ind w:left="240" w:right="0" w:firstLine="0"/>
        <w:jc w:val="left"/>
        <w:rPr>
          <w:i/>
          <w:sz w:val="17"/>
        </w:rPr>
      </w:pPr>
      <w:r>
        <w:t>资料来源：ifind， 。注：单位为元/吨</w:t>
        <w:tab/>
        <w:t>资料来源：ifind， 。注：单位为元/吨</w:t>
      </w:r>
    </w:p>
    <w:p>
      <w:pPr>
        <w:spacing w:after="0" w:line="182" w:lineRule="exact"/>
        <w:jc w:val="left"/>
        <w:rPr>
          <w:sz w:val="17"/>
        </w:rPr>
        <w:sectPr>
          <w:headerReference w:type="default" r:id="rId68"/>
          <w:footerReference w:type="default" r:id="rId69"/>
          <w:type w:val="continuous"/>
          <w:pgSz w:w="11910" w:h="16840"/>
          <w:pgMar w:top="960" w:right="520" w:bottom="1200" w:left="720" w:header="708" w:footer="708"/>
          <w:pgNumType w:start="20"/>
          <w:cols w:space="708"/>
        </w:sectPr>
      </w:pPr>
    </w:p>
    <w:p>
      <w:pPr>
        <w:spacing w:before="121" w:after="2"/>
        <w:ind w:left="240" w:right="0" w:firstLine="0"/>
        <w:jc w:val="left"/>
        <w:rPr>
          <w:b/>
          <w:sz w:val="18"/>
        </w:rPr>
      </w:pPr>
      <w:r>
        <w:pict>
          <v:group id="_x0000_s1291" style="width:255.45pt;height:10.9pt;margin-top:7.32pt;margin-left:298.27pt;mso-position-horizontal-relative:page;position:absolute;z-index:251716608" coordorigin="5965,146" coordsize="5109,218">
            <v:shape id="_x0000_s1292" type="#_x0000_t75" style="width:85;height:130;left:8109;position:absolute;top:171" stroked="f">
              <v:imagedata r:id="rId7" o:title=""/>
            </v:shape>
            <v:line id="_x0000_s1293" style="position:absolute" from="5965,359" to="11074,359" stroked="t" strokecolor="black" strokeweight="0.48pt">
              <v:stroke dashstyle="solid"/>
            </v:line>
            <v:shape id="_x0000_s1294" type="#_x0000_t202" style="width:5109;height:218;left:5965;position:absolute;top:146" filled="f" stroked="f">
              <v:textbox inset="0,0,0,0">
                <w:txbxContent>
                  <w:p>
                    <w:pPr>
                      <w:spacing w:before="0" w:line="205" w:lineRule="exact"/>
                      <w:ind w:left="105" w:right="0" w:firstLine="0"/>
                      <w:jc w:val="left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color w:val="152E57"/>
                        <w:sz w:val="18"/>
                      </w:rPr>
                      <w:t>图 11：价格:碳酸锂 99.5电:国产（元/吨）</w:t>
                    </w:r>
                  </w:p>
                </w:txbxContent>
              </v:textbox>
            </v:shape>
          </v:group>
        </w:pict>
      </w:r>
      <w:r>
        <w:rPr>
          <w:b/>
          <w:color w:val="152E57"/>
          <w:sz w:val="18"/>
        </w:rPr>
        <w:t>图 10：聚丙烯价格（元/吨）</w:t>
      </w:r>
    </w:p>
    <w:p>
      <w:pPr>
        <w:pStyle w:val="BodyText"/>
        <w:spacing w:line="20" w:lineRule="exact"/>
        <w:ind w:left="127"/>
        <w:rPr>
          <w:sz w:val="2"/>
        </w:rPr>
      </w:pPr>
      <w:r>
        <w:rPr>
          <w:sz w:val="2"/>
        </w:rPr>
        <w:pict>
          <v:group id="_x0000_i1295" style="width:243.7pt;height:0.5pt;mso-position-horizontal-relative:char;mso-position-vertical-relative:line" coordorigin="0,0" coordsize="4874,10">
            <v:line id="_x0000_s1296" style="position:absolute" from="0,5" to="4873,5" stroked="t" strokecolor="black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5"/>
        <w:rPr>
          <w:b/>
          <w:sz w:val="13"/>
        </w:rPr>
      </w:pPr>
    </w:p>
    <w:p>
      <w:pPr>
        <w:tabs>
          <w:tab w:val="left" w:pos="5481"/>
        </w:tabs>
        <w:spacing w:before="97"/>
        <w:ind w:left="456" w:right="0" w:firstLine="0"/>
        <w:jc w:val="left"/>
        <w:rPr>
          <w:rFonts w:ascii="Arial"/>
          <w:sz w:val="16"/>
        </w:rPr>
      </w:pPr>
      <w:r>
        <w:pict>
          <v:group id="_x0000_s1297" style="width:185.5pt;height:126.95pt;margin-top:9.47pt;margin-left:89.08pt;mso-position-horizontal-relative:page;position:absolute;z-index:-251606016" coordorigin="1782,189" coordsize="3710,2539">
            <v:shape id="_x0000_s1298" style="width:3667;height:2524;left:1803;position:absolute;top:196" coordorigin="1803,197" coordsize="3667,2524" path="m1803,2720l1803,197m1803,2720l1851,2720m1803,2299l1851,2299m1803,1879l1851,1879m1803,1459l1851,1459m1803,1039l1851,1039m1803,617l1851,617m1803,197l1851,197m1803,2720l5470,2720m1803,2672l1803,2720m2162,2672l2162,2720m2527,2672l2527,2720m2887,2672l2887,2720m3252,2672l3252,2720m3610,2672l3610,2720m3974,2672l3974,2720m4332,2672l4332,2720m4697,2672l4697,2720m5057,2672l5057,2720m5420,2672l5420,2720e" filled="f" stroked="t" strokecolor="black" strokeweight="0.75pt">
              <v:stroke dashstyle="solid"/>
              <v:path arrowok="t"/>
            </v:shape>
            <v:shape id="_x0000_s1299" type="#_x0000_t75" style="width:3710;height:944;left:1781;position:absolute;top:532" stroked="f">
              <v:imagedata r:id="rId70" o:title=""/>
            </v:shape>
          </v:group>
        </w:pict>
      </w:r>
      <w:r>
        <w:pict>
          <v:group id="_x0000_s1300" style="width:183.5pt;height:127.45pt;margin-top:9.37pt;margin-left:344.73pt;mso-position-horizontal-relative:page;position:absolute;z-index:251717632" coordorigin="6895,187" coordsize="3670,2549">
            <v:shape id="_x0000_s1301" style="width:3627;height:2534;left:6916;position:absolute;top:194" coordorigin="6916,195" coordsize="3627,2534" path="m6916,2728l6916,195m6916,2728l6964,2728m6916,2306l6964,2306m6916,1884l6964,1884m6916,1461l6964,1461m6916,1039l6964,1039m6916,617l6964,617m6916,195l6964,195m6916,2728l10543,2728m6916,2680l6916,2728m7270,2680l7270,2728m7632,2680l7632,2728m7987,2680l7987,2728m8350,2680l8350,2728m8702,2680l8702,2728m9062,2680l9062,2728m9418,2680l9418,2728m9778,2680l9778,2728m10133,2680l10133,2728m10494,2680l10494,2728e" filled="f" stroked="t" strokecolor="black" strokeweight="0.75pt">
              <v:stroke dashstyle="solid"/>
              <v:path arrowok="t"/>
            </v:shape>
            <v:shape id="_x0000_s1302" type="#_x0000_t75" style="width:3670;height:2274;left:6894;position:absolute;top:309" stroked="f">
              <v:imagedata r:id="rId71" o:title=""/>
            </v:shape>
          </v:group>
        </w:pict>
      </w:r>
      <w:r>
        <w:rPr>
          <w:rFonts w:ascii="Arial"/>
          <w:sz w:val="16"/>
        </w:rPr>
        <w:t>12000</w:t>
        <w:tab/>
        <w:t>600000</w:t>
      </w:r>
    </w:p>
    <w:p>
      <w:pPr>
        <w:pStyle w:val="BodyText"/>
        <w:spacing w:before="3"/>
        <w:rPr>
          <w:rFonts w:ascii="Arial"/>
          <w:sz w:val="12"/>
        </w:rPr>
      </w:pPr>
    </w:p>
    <w:p>
      <w:pPr>
        <w:tabs>
          <w:tab w:val="left" w:pos="5481"/>
        </w:tabs>
        <w:spacing w:before="96"/>
        <w:ind w:left="456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10000</w:t>
        <w:tab/>
        <w:t>500000</w:t>
      </w:r>
    </w:p>
    <w:p>
      <w:pPr>
        <w:pStyle w:val="BodyText"/>
        <w:spacing w:before="3"/>
        <w:rPr>
          <w:rFonts w:ascii="Arial"/>
          <w:sz w:val="12"/>
        </w:rPr>
      </w:pPr>
    </w:p>
    <w:p>
      <w:pPr>
        <w:tabs>
          <w:tab w:val="left" w:pos="5481"/>
        </w:tabs>
        <w:spacing w:before="97"/>
        <w:ind w:left="545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8000</w:t>
        <w:tab/>
        <w:t>400000</w:t>
      </w:r>
    </w:p>
    <w:p>
      <w:pPr>
        <w:pStyle w:val="BodyText"/>
        <w:spacing w:before="2"/>
        <w:rPr>
          <w:rFonts w:ascii="Arial"/>
          <w:sz w:val="12"/>
        </w:rPr>
      </w:pPr>
    </w:p>
    <w:p>
      <w:pPr>
        <w:tabs>
          <w:tab w:val="left" w:pos="5481"/>
        </w:tabs>
        <w:spacing w:before="98"/>
        <w:ind w:left="545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6000</w:t>
        <w:tab/>
        <w:t>300000</w:t>
      </w:r>
    </w:p>
    <w:p>
      <w:pPr>
        <w:pStyle w:val="BodyText"/>
        <w:rPr>
          <w:rFonts w:ascii="Arial"/>
          <w:sz w:val="12"/>
        </w:rPr>
      </w:pPr>
    </w:p>
    <w:p>
      <w:pPr>
        <w:tabs>
          <w:tab w:val="left" w:pos="5481"/>
        </w:tabs>
        <w:spacing w:before="101"/>
        <w:ind w:left="545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4000</w:t>
        <w:tab/>
        <w:t>200000</w:t>
      </w:r>
    </w:p>
    <w:p>
      <w:pPr>
        <w:pStyle w:val="BodyText"/>
        <w:spacing w:before="10"/>
        <w:rPr>
          <w:rFonts w:ascii="Arial"/>
          <w:sz w:val="11"/>
        </w:rPr>
      </w:pPr>
    </w:p>
    <w:p>
      <w:pPr>
        <w:tabs>
          <w:tab w:val="left" w:pos="5481"/>
        </w:tabs>
        <w:spacing w:before="92"/>
        <w:ind w:left="545" w:right="0" w:firstLine="0"/>
        <w:jc w:val="left"/>
        <w:rPr>
          <w:rFonts w:ascii="Arial"/>
          <w:sz w:val="16"/>
        </w:rPr>
      </w:pPr>
      <w:r>
        <w:rPr>
          <w:rFonts w:ascii="Arial"/>
          <w:position w:val="1"/>
          <w:sz w:val="16"/>
        </w:rPr>
        <w:t>2000</w:t>
        <w:tab/>
      </w:r>
      <w:r>
        <w:rPr>
          <w:rFonts w:ascii="Arial"/>
          <w:sz w:val="16"/>
        </w:rPr>
        <w:t>100000</w:t>
      </w:r>
    </w:p>
    <w:p>
      <w:pPr>
        <w:pStyle w:val="BodyText"/>
        <w:spacing w:before="8"/>
        <w:rPr>
          <w:rFonts w:ascii="Arial"/>
          <w:sz w:val="11"/>
        </w:rPr>
      </w:pPr>
    </w:p>
    <w:p>
      <w:pPr>
        <w:tabs>
          <w:tab w:val="left" w:pos="5926"/>
        </w:tabs>
        <w:spacing w:before="93"/>
        <w:ind w:left="812" w:right="0" w:firstLine="0"/>
        <w:jc w:val="left"/>
        <w:rPr>
          <w:rFonts w:ascii="Arial"/>
          <w:sz w:val="16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762558</wp:posOffset>
            </wp:positionH>
            <wp:positionV relativeFrom="paragraph">
              <wp:posOffset>209726</wp:posOffset>
            </wp:positionV>
            <wp:extent cx="2697768" cy="404812"/>
            <wp:effectExtent l="0" t="0" r="0" b="0"/>
            <wp:wrapTopAndBottom/>
            <wp:docPr id="3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9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7768" cy="404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4009263</wp:posOffset>
            </wp:positionH>
            <wp:positionV relativeFrom="paragraph">
              <wp:posOffset>214679</wp:posOffset>
            </wp:positionV>
            <wp:extent cx="2672954" cy="404812"/>
            <wp:effectExtent l="0" t="0" r="0" b="0"/>
            <wp:wrapTopAndBottom/>
            <wp:docPr id="3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2954" cy="404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03" style="width:243.7pt;height:0.1pt;margin-top:65.04pt;margin-left:42.6pt;mso-position-horizontal-relative:page;mso-wrap-distance-left:0;mso-wrap-distance-right:0;position:absolute;z-index:-251603968" coordorigin="852,1301" coordsize="4874,0" path="m852,1301l5725,1301e" filled="f" stroked="t" strokecolor="black" strokeweight="0.48pt">
            <v:stroke dashstyle="solid"/>
            <v:path arrowok="t"/>
            <w10:wrap type="topAndBottom"/>
          </v:shape>
        </w:pict>
      </w:r>
      <w:r>
        <w:pict>
          <v:shape id="_x0000_s1304" style="width:255.45pt;height:0.1pt;margin-top:65.04pt;margin-left:298.27pt;mso-position-horizontal-relative:page;mso-wrap-distance-left:0;mso-wrap-distance-right:0;position:absolute;z-index:-251602944" coordorigin="5965,1301" coordsize="5109,0" path="m5965,1301l11074,1301e" filled="f" stroked="t" strokecolor="black" strokeweight="0.48pt">
            <v:stroke dashstyle="solid"/>
            <v:path arrowok="t"/>
            <w10:wrap type="topAndBottom"/>
          </v:shape>
        </w:pict>
      </w:r>
      <w:r>
        <w:rPr>
          <w:rFonts w:ascii="Arial"/>
          <w:position w:val="1"/>
          <w:sz w:val="16"/>
        </w:rPr>
        <w:t>0</w:t>
        <w:tab/>
      </w:r>
      <w:r>
        <w:rPr>
          <w:rFonts w:ascii="Arial"/>
          <w:sz w:val="16"/>
        </w:rPr>
        <w:t>0</w:t>
      </w:r>
    </w:p>
    <w:p>
      <w:pPr>
        <w:pStyle w:val="BodyText"/>
        <w:spacing w:before="10"/>
        <w:rPr>
          <w:rFonts w:ascii="Arial"/>
        </w:rPr>
      </w:pPr>
    </w:p>
    <w:p>
      <w:pPr>
        <w:tabs>
          <w:tab w:val="left" w:pos="5350"/>
        </w:tabs>
        <w:spacing w:before="0" w:line="179" w:lineRule="exact"/>
        <w:ind w:left="240" w:right="0" w:firstLine="0"/>
        <w:jc w:val="left"/>
        <w:rPr>
          <w:i/>
          <w:sz w:val="17"/>
        </w:rPr>
      </w:pPr>
      <w:r>
        <w:t>资料来源：ifind， 。注：单位为元/吨</w:t>
        <w:tab/>
        <w:t>资料来源：ifind， 。注：单位为元/吨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3"/>
        <w:rPr>
          <w:i/>
          <w:sz w:val="24"/>
        </w:rPr>
      </w:pPr>
    </w:p>
    <w:p>
      <w:pPr>
        <w:pStyle w:val="Heading2"/>
        <w:numPr>
          <w:ilvl w:val="1"/>
          <w:numId w:val="8"/>
        </w:numPr>
        <w:tabs>
          <w:tab w:val="left" w:pos="2449"/>
        </w:tabs>
        <w:spacing w:before="67" w:after="0" w:line="240" w:lineRule="auto"/>
        <w:ind w:left="2448" w:right="0" w:hanging="426"/>
        <w:jc w:val="left"/>
      </w:pPr>
      <w:bookmarkStart w:id="11" w:name="_TOC_250005"/>
      <w:bookmarkEnd w:id="11"/>
      <w:r>
        <w:t>本周人民币兑美元与欧元小幅升值</w:t>
      </w:r>
    </w:p>
    <w:p>
      <w:pPr>
        <w:spacing w:before="93" w:after="5"/>
        <w:ind w:left="2129" w:right="0" w:firstLine="0"/>
        <w:jc w:val="left"/>
        <w:rPr>
          <w:b/>
          <w:sz w:val="18"/>
        </w:rPr>
      </w:pPr>
      <w:r>
        <w:rPr>
          <w:b/>
          <w:color w:val="152E57"/>
          <w:sz w:val="18"/>
        </w:rPr>
        <w:t>图 12：2021 年以来人民币汇率变化</w:t>
      </w:r>
    </w:p>
    <w:p>
      <w:pPr>
        <w:pStyle w:val="BodyText"/>
        <w:spacing w:line="20" w:lineRule="exact"/>
        <w:ind w:left="2018"/>
        <w:rPr>
          <w:sz w:val="2"/>
        </w:rPr>
      </w:pPr>
      <w:r>
        <w:rPr>
          <w:sz w:val="2"/>
        </w:rPr>
        <w:pict>
          <v:group id="_x0000_i1305" style="width:415.8pt;height:0.5pt;mso-position-horizontal-relative:char;mso-position-vertical-relative:line" coordorigin="0,0" coordsize="8316,10">
            <v:line id="_x0000_s1306" style="position:absolute" from="0,5" to="8316,5" stroked="t" strokecolor="black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3"/>
        <w:rPr>
          <w:b/>
          <w:sz w:val="17"/>
        </w:rPr>
      </w:pPr>
    </w:p>
    <w:p>
      <w:pPr>
        <w:tabs>
          <w:tab w:val="left" w:pos="6859"/>
        </w:tabs>
        <w:spacing w:before="85"/>
        <w:ind w:left="4632" w:right="0" w:firstLine="0"/>
        <w:jc w:val="left"/>
        <w:rPr>
          <w:sz w:val="16"/>
        </w:rPr>
      </w:pPr>
      <w:r>
        <w:pict>
          <v:line id="_x0000_s1307" style="mso-position-horizontal-relative:page;position:absolute;z-index:251719680" from="246.35pt,9.6pt" to="265.55pt,9.6pt" stroked="t" strokecolor="#00048d" strokeweight="2.25pt">
            <v:stroke dashstyle="solid"/>
          </v:line>
        </w:pict>
      </w:r>
      <w:r>
        <w:pict>
          <v:line id="_x0000_s1308" style="mso-position-horizontal-relative:page;position:absolute;z-index:-251604992" from="357.65pt,9.6pt" to="376.85pt,9.6pt" stroked="t" strokecolor="#c00000" strokeweight="2.25pt">
            <v:stroke dashstyle="solid"/>
          </v:line>
        </w:pict>
      </w:r>
      <w:r>
        <w:rPr>
          <w:sz w:val="16"/>
        </w:rPr>
        <w:t>中间价</w:t>
      </w:r>
      <w:r>
        <w:rPr>
          <w:rFonts w:ascii="Arial" w:eastAsia="Arial"/>
          <w:sz w:val="16"/>
        </w:rPr>
        <w:t>:</w:t>
      </w:r>
      <w:r>
        <w:rPr>
          <w:sz w:val="16"/>
        </w:rPr>
        <w:t>美元兑</w:t>
      </w:r>
      <w:r>
        <w:rPr>
          <w:spacing w:val="-3"/>
          <w:sz w:val="16"/>
        </w:rPr>
        <w:t>人</w:t>
      </w:r>
      <w:r>
        <w:rPr>
          <w:sz w:val="16"/>
        </w:rPr>
        <w:t>民币</w:t>
        <w:tab/>
        <w:t>中间价</w:t>
      </w:r>
      <w:r>
        <w:rPr>
          <w:rFonts w:ascii="Arial" w:eastAsia="Arial"/>
          <w:sz w:val="16"/>
        </w:rPr>
        <w:t>:</w:t>
      </w:r>
      <w:r>
        <w:rPr>
          <w:sz w:val="16"/>
        </w:rPr>
        <w:t>欧元兑</w:t>
      </w:r>
      <w:r>
        <w:rPr>
          <w:spacing w:val="-3"/>
          <w:sz w:val="16"/>
        </w:rPr>
        <w:t>人</w:t>
      </w:r>
      <w:r>
        <w:rPr>
          <w:sz w:val="16"/>
        </w:rPr>
        <w:t>民币</w:t>
      </w:r>
    </w:p>
    <w:p>
      <w:pPr>
        <w:spacing w:before="140"/>
        <w:ind w:left="2418" w:right="0" w:firstLine="0"/>
        <w:jc w:val="left"/>
        <w:rPr>
          <w:rFonts w:ascii="Arial"/>
          <w:sz w:val="16"/>
        </w:rPr>
      </w:pPr>
      <w:r>
        <w:pict>
          <v:group id="_x0000_s1309" style="width:361.6pt;height:127.15pt;margin-top:11.56pt;margin-left:180.62pt;mso-position-horizontal-relative:page;position:absolute;z-index:251718656" coordorigin="3613,231" coordsize="7232,2543">
            <v:shape id="_x0000_s1310" style="width:7194;height:2528;left:3631;position:absolute;top:238" coordorigin="3632,239" coordsize="7194,2528" path="m3632,2766l3632,239m3632,2766l3680,2766m3632,2259l3680,2259m3632,1755l3680,1755m3632,1249l3680,1249m3632,745l3680,745m3632,239l3680,239m3632,2766l10825,2766m3632,2718l3632,2766m4010,2718l4010,2766m4404,2718l4404,2766m4795,2718l4795,2766m5196,2718l5196,2766m5587,2718l5587,2766m5981,2718l5981,2766m6360,2718l6360,2766m6751,2718l6751,2766m7145,2718l7145,2766m7543,2718l7543,2766m7937,2718l7937,2766m8328,2718l8328,2766m8707,2718l8707,2766m9101,2718l9101,2766m9492,2718l9492,2766m9893,2718l9893,2766m10284,2718l10284,2766m10677,2718l10677,2766e" filled="f" stroked="t" strokecolor="black" strokeweight="0.75pt">
              <v:stroke dashstyle="solid"/>
              <v:path arrowok="t"/>
            </v:shape>
            <v:shape id="_x0000_s1311" type="#_x0000_t75" style="width:7232;height:1851;left:3612;position:absolute;top:632" stroked="f">
              <v:imagedata r:id="rId74" o:title=""/>
            </v:shape>
          </v:group>
        </w:pict>
      </w:r>
      <w:r>
        <w:rPr>
          <w:rFonts w:ascii="Arial"/>
          <w:sz w:val="16"/>
        </w:rPr>
        <w:t>8.50</w:t>
      </w:r>
    </w:p>
    <w:p>
      <w:pPr>
        <w:pStyle w:val="BodyText"/>
        <w:spacing w:before="7"/>
        <w:rPr>
          <w:rFonts w:ascii="Arial"/>
          <w:sz w:val="19"/>
        </w:rPr>
      </w:pPr>
    </w:p>
    <w:p>
      <w:pPr>
        <w:spacing w:before="96"/>
        <w:ind w:left="2418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8.00</w:t>
      </w:r>
    </w:p>
    <w:p>
      <w:pPr>
        <w:pStyle w:val="BodyText"/>
        <w:spacing w:before="7"/>
        <w:rPr>
          <w:rFonts w:ascii="Arial"/>
          <w:sz w:val="19"/>
        </w:rPr>
      </w:pPr>
    </w:p>
    <w:p>
      <w:pPr>
        <w:spacing w:before="96"/>
        <w:ind w:left="2418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7.50</w:t>
      </w:r>
    </w:p>
    <w:p>
      <w:pPr>
        <w:pStyle w:val="BodyText"/>
        <w:spacing w:before="7"/>
        <w:rPr>
          <w:rFonts w:ascii="Arial"/>
          <w:sz w:val="19"/>
        </w:rPr>
      </w:pPr>
    </w:p>
    <w:p>
      <w:pPr>
        <w:spacing w:before="96"/>
        <w:ind w:left="2418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7.00</w:t>
      </w:r>
    </w:p>
    <w:p>
      <w:pPr>
        <w:pStyle w:val="BodyText"/>
        <w:spacing w:before="7"/>
        <w:rPr>
          <w:rFonts w:ascii="Arial"/>
          <w:sz w:val="19"/>
        </w:rPr>
      </w:pPr>
    </w:p>
    <w:p>
      <w:pPr>
        <w:spacing w:before="96"/>
        <w:ind w:left="2418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6.50</w:t>
      </w:r>
    </w:p>
    <w:p>
      <w:pPr>
        <w:pStyle w:val="BodyText"/>
        <w:spacing w:before="7"/>
        <w:rPr>
          <w:rFonts w:ascii="Arial"/>
          <w:sz w:val="19"/>
        </w:rPr>
      </w:pPr>
    </w:p>
    <w:p>
      <w:pPr>
        <w:spacing w:before="96"/>
        <w:ind w:left="2418" w:right="0" w:firstLine="0"/>
        <w:jc w:val="left"/>
        <w:rPr>
          <w:rFonts w:ascii="Arial"/>
          <w:sz w:val="16"/>
        </w:rPr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1925192</wp:posOffset>
            </wp:positionH>
            <wp:positionV relativeFrom="paragraph">
              <wp:posOffset>208202</wp:posOffset>
            </wp:positionV>
            <wp:extent cx="4847386" cy="404812"/>
            <wp:effectExtent l="0" t="0" r="0" b="0"/>
            <wp:wrapTopAndBottom/>
            <wp:docPr id="4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2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7386" cy="404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12" style="width:415.8pt;height:0.1pt;margin-top:59.63pt;margin-left:137.18pt;mso-position-horizontal-relative:page;mso-wrap-distance-left:0;mso-wrap-distance-right:0;position:absolute;z-index:-251601920" coordorigin="2744,1193" coordsize="8316,0" path="m2744,1193l11059,1193e" filled="f" stroked="t" strokecolor="black" strokeweight="0.48pt">
            <v:stroke dashstyle="solid"/>
            <v:path arrowok="t"/>
            <w10:wrap type="topAndBottom"/>
          </v:shape>
        </w:pict>
      </w:r>
      <w:r>
        <w:rPr>
          <w:rFonts w:ascii="Arial"/>
          <w:sz w:val="16"/>
        </w:rPr>
        <w:t>6.00</w:t>
      </w:r>
    </w:p>
    <w:p>
      <w:pPr>
        <w:pStyle w:val="BodyText"/>
        <w:spacing w:before="4"/>
        <w:rPr>
          <w:rFonts w:ascii="Arial"/>
          <w:sz w:val="13"/>
        </w:rPr>
      </w:pPr>
    </w:p>
    <w:p>
      <w:pPr>
        <w:spacing w:before="0"/>
        <w:ind w:left="2129" w:right="0" w:firstLine="0"/>
        <w:jc w:val="left"/>
        <w:rPr>
          <w:i/>
          <w:sz w:val="17"/>
        </w:rPr>
      </w:pPr>
      <w:r>
        <w:t xml:space="preserve">资料来源：ifind， 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12"/>
        <w:rPr>
          <w:i/>
          <w:sz w:val="24"/>
        </w:rPr>
      </w:pPr>
    </w:p>
    <w:p>
      <w:pPr>
        <w:pStyle w:val="Heading1"/>
        <w:spacing w:before="58" w:after="21"/>
      </w:pPr>
      <w:bookmarkStart w:id="12" w:name="_TOC_250004"/>
      <w:bookmarkEnd w:id="12"/>
      <w:r>
        <w:t>5、 新车上市情况</w:t>
      </w:r>
    </w:p>
    <w:p>
      <w:pPr>
        <w:pStyle w:val="BodyText"/>
        <w:spacing w:line="20" w:lineRule="exact"/>
        <w:ind w:left="1989"/>
        <w:rPr>
          <w:rFonts w:ascii="黑体"/>
          <w:sz w:val="2"/>
        </w:rPr>
      </w:pPr>
      <w:r>
        <w:rPr>
          <w:rFonts w:ascii="黑体"/>
          <w:sz w:val="2"/>
        </w:rPr>
        <w:pict>
          <v:group id="_x0000_i1313" style="width:418.7pt;height:0.5pt;mso-position-horizontal-relative:char;mso-position-vertical-relative:line" coordorigin="0,0" coordsize="8374,10">
            <v:line id="_x0000_s1314" style="position:absolute" from="0,5" to="8373,5" stroked="t" strokecolor="#51759c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7"/>
        <w:rPr>
          <w:rFonts w:ascii="黑体"/>
          <w:sz w:val="6"/>
        </w:rPr>
      </w:pPr>
    </w:p>
    <w:p>
      <w:pPr>
        <w:pStyle w:val="Heading2"/>
        <w:ind w:left="2023" w:firstLine="0"/>
      </w:pPr>
      <w:bookmarkStart w:id="13" w:name="_TOC_250003"/>
      <w:bookmarkEnd w:id="13"/>
      <w:r>
        <w:t>5.1 本周新车型发布一览</w:t>
      </w:r>
    </w:p>
    <w:p>
      <w:pPr>
        <w:spacing w:before="94" w:after="4"/>
        <w:ind w:left="132" w:right="0" w:firstLine="0"/>
        <w:jc w:val="left"/>
        <w:rPr>
          <w:b/>
          <w:sz w:val="18"/>
        </w:rPr>
      </w:pPr>
      <w:r>
        <w:rPr>
          <w:b/>
          <w:color w:val="152E57"/>
          <w:sz w:val="18"/>
        </w:rPr>
        <w:t>表 6：本周上市新车一览</w:t>
      </w:r>
    </w:p>
    <w:p>
      <w:pPr>
        <w:pStyle w:val="BodyText"/>
        <w:spacing w:line="20" w:lineRule="exact"/>
        <w:ind w:left="122"/>
        <w:rPr>
          <w:sz w:val="2"/>
        </w:rPr>
      </w:pPr>
      <w:r>
        <w:rPr>
          <w:sz w:val="2"/>
        </w:rPr>
        <w:pict>
          <v:group id="_x0000_i1315" style="width:510.4pt;height:1pt;mso-position-horizontal-relative:char;mso-position-vertical-relative:line" coordorigin="0,0" coordsize="10208,20">
            <v:line id="_x0000_s1316" style="position:absolute" from="0,10" to="1133,10" stroked="t" strokecolor="#51759c" strokeweight="0.96pt">
              <v:stroke dashstyle="solid"/>
            </v:line>
            <v:rect id="_x0000_s1317" style="width:20;height:20;left:1133;position:absolute" filled="t" fillcolor="#51759c" stroked="f">
              <v:fill type="solid"/>
            </v:rect>
            <v:line id="_x0000_s1318" style="position:absolute" from="1152,10" to="2266,10" stroked="t" strokecolor="#51759c" strokeweight="0.96pt">
              <v:stroke dashstyle="solid"/>
            </v:line>
            <v:rect id="_x0000_s1319" style="width:20;height:20;left:2266;position:absolute" filled="t" fillcolor="#51759c" stroked="f">
              <v:fill type="solid"/>
            </v:rect>
            <v:line id="_x0000_s1320" style="position:absolute" from="2285,10" to="3402,10" stroked="t" strokecolor="#51759c" strokeweight="0.96pt">
              <v:stroke dashstyle="solid"/>
            </v:line>
            <v:rect id="_x0000_s1321" style="width:20;height:20;left:3401;position:absolute" filled="t" fillcolor="#51759c" stroked="f">
              <v:fill type="solid"/>
            </v:rect>
            <v:line id="_x0000_s1322" style="position:absolute" from="3421,10" to="4537,10" stroked="t" strokecolor="#51759c" strokeweight="0.96pt">
              <v:stroke dashstyle="solid"/>
            </v:line>
            <v:rect id="_x0000_s1323" style="width:20;height:20;left:4537;position:absolute" filled="t" fillcolor="#51759c" stroked="f">
              <v:fill type="solid"/>
            </v:rect>
            <v:line id="_x0000_s1324" style="position:absolute" from="4556,10" to="5670,10" stroked="t" strokecolor="#51759c" strokeweight="0.96pt">
              <v:stroke dashstyle="solid"/>
            </v:line>
            <v:rect id="_x0000_s1325" style="width:20;height:20;left:5670;position:absolute" filled="t" fillcolor="#51759c" stroked="f">
              <v:fill type="solid"/>
            </v:rect>
            <v:line id="_x0000_s1326" style="position:absolute" from="5689,10" to="6806,10" stroked="t" strokecolor="#51759c" strokeweight="0.96pt">
              <v:stroke dashstyle="solid"/>
            </v:line>
            <v:rect id="_x0000_s1327" style="width:20;height:20;left:6806;position:absolute" filled="t" fillcolor="#51759c" stroked="f">
              <v:fill type="solid"/>
            </v:rect>
            <v:line id="_x0000_s1328" style="position:absolute" from="6825,10" to="7941,10" stroked="t" strokecolor="#51759c" strokeweight="0.96pt">
              <v:stroke dashstyle="solid"/>
            </v:line>
            <v:rect id="_x0000_s1329" style="width:20;height:20;left:7941;position:absolute" filled="t" fillcolor="#51759c" stroked="f">
              <v:fill type="solid"/>
            </v:rect>
            <v:line id="_x0000_s1330" style="position:absolute" from="7960,10" to="9074,10" stroked="t" strokecolor="#51759c" strokeweight="0.96pt">
              <v:stroke dashstyle="solid"/>
            </v:line>
            <v:rect id="_x0000_s1331" style="width:20;height:20;left:9074;position:absolute" filled="t" fillcolor="#51759c" stroked="f">
              <v:fill type="solid"/>
            </v:rect>
            <v:line id="_x0000_s1332" style="position:absolute" from="9094,10" to="10207,10" stroked="t" strokecolor="#51759c" strokeweight="0.96pt">
              <v:stroke dashstyle="solid"/>
            </v:line>
            <w10:wrap type="none"/>
          </v:group>
        </w:pict>
      </w:r>
    </w:p>
    <w:p>
      <w:pPr>
        <w:tabs>
          <w:tab w:val="left" w:pos="1668"/>
          <w:tab w:val="left" w:pos="2804"/>
          <w:tab w:val="left" w:pos="3776"/>
          <w:tab w:val="left" w:pos="5072"/>
          <w:tab w:val="left" w:pos="6044"/>
          <w:tab w:val="left" w:pos="7158"/>
          <w:tab w:val="left" w:pos="8236"/>
          <w:tab w:val="left" w:pos="9609"/>
        </w:tabs>
        <w:spacing w:before="41"/>
        <w:ind w:left="538" w:right="0" w:firstLine="0"/>
        <w:jc w:val="left"/>
        <w:rPr>
          <w:b/>
          <w:sz w:val="16"/>
        </w:rPr>
      </w:pPr>
      <w:r>
        <w:pict>
          <v:group id="_x0000_s1333" style="width:510.4pt;height:104.1pt;margin-top:14.37pt;margin-left:42.6pt;mso-position-horizontal-relative:page;mso-wrap-distance-left:0;mso-wrap-distance-right:0;position:absolute;z-index:-251600896" coordorigin="852,287" coordsize="10208,2082">
            <v:line id="_x0000_s1334" style="position:absolute" from="852,297" to="1985,297" stroked="t" strokecolor="#51759c" strokeweight="0.96pt">
              <v:stroke dashstyle="solid"/>
            </v:line>
            <v:rect id="_x0000_s1335" style="width:20;height:20;left:1985;position:absolute;top:287" filled="t" fillcolor="#51759c" stroked="f">
              <v:fill type="solid"/>
            </v:rect>
            <v:line id="_x0000_s1336" style="position:absolute" from="2004,297" to="3118,297" stroked="t" strokecolor="#51759c" strokeweight="0.96pt">
              <v:stroke dashstyle="solid"/>
            </v:line>
            <v:rect id="_x0000_s1337" style="width:20;height:20;left:3118;position:absolute;top:287" filled="t" fillcolor="#51759c" stroked="f">
              <v:fill type="solid"/>
            </v:rect>
            <v:line id="_x0000_s1338" style="position:absolute" from="3137,297" to="4254,297" stroked="t" strokecolor="#51759c" strokeweight="0.96pt">
              <v:stroke dashstyle="solid"/>
            </v:line>
            <v:rect id="_x0000_s1339" style="width:20;height:20;left:4253;position:absolute;top:287" filled="t" fillcolor="#51759c" stroked="f">
              <v:fill type="solid"/>
            </v:rect>
            <v:line id="_x0000_s1340" style="position:absolute" from="4273,297" to="5389,297" stroked="t" strokecolor="#51759c" strokeweight="0.96pt">
              <v:stroke dashstyle="solid"/>
            </v:line>
            <v:rect id="_x0000_s1341" style="width:20;height:20;left:5389;position:absolute;top:287" filled="t" fillcolor="#51759c" stroked="f">
              <v:fill type="solid"/>
            </v:rect>
            <v:line id="_x0000_s1342" style="position:absolute" from="5408,297" to="6522,297" stroked="t" strokecolor="#51759c" strokeweight="0.96pt">
              <v:stroke dashstyle="solid"/>
            </v:line>
            <v:rect id="_x0000_s1343" style="width:20;height:20;left:6522;position:absolute;top:287" filled="t" fillcolor="#51759c" stroked="f">
              <v:fill type="solid"/>
            </v:rect>
            <v:line id="_x0000_s1344" style="position:absolute" from="6541,297" to="7658,297" stroked="t" strokecolor="#51759c" strokeweight="0.96pt">
              <v:stroke dashstyle="solid"/>
            </v:line>
            <v:rect id="_x0000_s1345" style="width:20;height:20;left:7658;position:absolute;top:287" filled="t" fillcolor="#51759c" stroked="f">
              <v:fill type="solid"/>
            </v:rect>
            <v:line id="_x0000_s1346" style="position:absolute" from="7677,297" to="8793,297" stroked="t" strokecolor="#51759c" strokeweight="0.96pt">
              <v:stroke dashstyle="solid"/>
            </v:line>
            <v:rect id="_x0000_s1347" style="width:20;height:20;left:8793;position:absolute;top:287" filled="t" fillcolor="#51759c" stroked="f">
              <v:fill type="solid"/>
            </v:rect>
            <v:line id="_x0000_s1348" style="position:absolute" from="8812,297" to="9926,297" stroked="t" strokecolor="#51759c" strokeweight="0.96pt">
              <v:stroke dashstyle="solid"/>
            </v:line>
            <v:rect id="_x0000_s1349" style="width:20;height:20;left:9926;position:absolute;top:287" filled="t" fillcolor="#51759c" stroked="f">
              <v:fill type="solid"/>
            </v:rect>
            <v:line id="_x0000_s1350" style="position:absolute" from="9946,297" to="11059,297" stroked="t" strokecolor="#51759c" strokeweight="0.96pt">
              <v:stroke dashstyle="solid"/>
            </v:line>
            <v:rect id="_x0000_s1351" style="width:108;height:692;left:1874;position:absolute;top:993" filled="t" fillcolor="#ccdcea" stroked="f">
              <v:fill type="solid"/>
            </v:rect>
            <v:rect id="_x0000_s1352" style="width:1136;height:692;left:1982;position:absolute;top:993" filled="t" fillcolor="#ccdcea" stroked="f">
              <v:fill type="solid"/>
            </v:rect>
            <v:rect id="_x0000_s1353" style="width:920;height:207;left:2090;position:absolute;top:1132" filled="t" fillcolor="#ccdcea" stroked="f">
              <v:fill type="solid"/>
            </v:rect>
            <v:rect id="_x0000_s1354" style="width:920;height:209;left:2090;position:absolute;top:1339" filled="t" fillcolor="#ccdcea" stroked="f">
              <v:fill type="solid"/>
            </v:rect>
            <v:rect id="_x0000_s1355" style="width:1134;height:692;left:3118;position:absolute;top:993" filled="t" fillcolor="#ccdcea" stroked="f">
              <v:fill type="solid"/>
            </v:rect>
            <v:rect id="_x0000_s1356" style="width:918;height:207;left:3226;position:absolute;top:1235" filled="t" fillcolor="#ccdcea" stroked="f">
              <v:fill type="solid"/>
            </v:rect>
            <v:rect id="_x0000_s1357" style="width:1136;height:692;left:4251;position:absolute;top:993" filled="t" fillcolor="#ccdcea" stroked="f">
              <v:fill type="solid"/>
            </v:rect>
            <v:rect id="_x0000_s1358" style="width:920;height:185;left:4359;position:absolute;top:1247" filled="t" fillcolor="#ccdcea" stroked="f">
              <v:fill type="solid"/>
            </v:rect>
            <v:rect id="_x0000_s1359" style="width:1134;height:692;left:5386;position:absolute;top:993" filled="t" fillcolor="#ccdcea" stroked="f">
              <v:fill type="solid"/>
            </v:rect>
            <v:rect id="_x0000_s1360" style="width:917;height:207;left:5495;position:absolute;top:1235" filled="t" fillcolor="#ccdcea" stroked="f">
              <v:fill type="solid"/>
            </v:rect>
            <v:rect id="_x0000_s1361" style="width:1136;height:692;left:6519;position:absolute;top:993" filled="t" fillcolor="#ccdcea" stroked="f">
              <v:fill type="solid"/>
            </v:rect>
            <v:rect id="_x0000_s1362" style="width:920;height:207;left:6627;position:absolute;top:1235" filled="t" fillcolor="#ccdcea" stroked="f">
              <v:fill type="solid"/>
            </v:rect>
            <v:rect id="_x0000_s1363" style="width:1136;height:692;left:7655;position:absolute;top:993" filled="t" fillcolor="#ccdcea" stroked="f">
              <v:fill type="solid"/>
            </v:rect>
            <v:rect id="_x0000_s1364" style="width:920;height:207;left:7763;position:absolute;top:1144" filled="t" fillcolor="#ccdcea" stroked="f">
              <v:fill type="solid"/>
            </v:rect>
            <v:rect id="_x0000_s1365" style="width:920;height:185;left:7763;position:absolute;top:1351" filled="t" fillcolor="#ccdcea" stroked="f">
              <v:fill type="solid"/>
            </v:rect>
            <v:rect id="_x0000_s1366" style="width:1136;height:692;left:8790;position:absolute;top:993" filled="t" fillcolor="#ccdcea" stroked="f">
              <v:fill type="solid"/>
            </v:rect>
            <v:rect id="_x0000_s1367" style="width:920;height:183;left:8898;position:absolute;top:1144" filled="t" fillcolor="#ccdcea" stroked="f">
              <v:fill type="solid"/>
            </v:rect>
            <v:rect id="_x0000_s1368" style="width:920;height:209;left:8898;position:absolute;top:1327" filled="t" fillcolor="#ccdcea" stroked="f">
              <v:fill type="solid"/>
            </v:rect>
            <v:rect id="_x0000_s1369" style="width:1131;height:692;left:9926;position:absolute;top:993" filled="t" fillcolor="#ccdcea" stroked="f">
              <v:fill type="solid"/>
            </v:rect>
            <v:rect id="_x0000_s1370" style="width:915;height:207;left:10034;position:absolute;top:1235" filled="t" fillcolor="#ccdcea" stroked="f">
              <v:fill type="solid"/>
            </v:rect>
            <v:rect id="_x0000_s1371" style="width:108;height:692;left:852;position:absolute;top:993" filled="t" fillcolor="#ccdcea" stroked="f">
              <v:fill type="solid"/>
            </v:rect>
            <v:shape id="_x0000_s1372" type="#_x0000_t75" style="width:916;height:2064;left:959;position:absolute;top:305" stroked="f">
              <v:imagedata r:id="rId76" o:title=""/>
            </v:shape>
            <v:shape id="_x0000_s1373" type="#_x0000_t202" style="width:894;height:375;left:2112;position:absolute;top:459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18" w:firstLine="0"/>
                      <w:jc w:val="center"/>
                      <w:rPr>
                        <w:sz w:val="16"/>
                      </w:rPr>
                    </w:pPr>
                    <w:r>
                      <w:rPr>
                        <w:rFonts w:ascii="Arial" w:eastAsia="Arial"/>
                        <w:color w:val="1F3763"/>
                        <w:sz w:val="16"/>
                      </w:rPr>
                      <w:t xml:space="preserve">SRM </w:t>
                    </w:r>
                    <w:r>
                      <w:rPr>
                        <w:color w:val="1F3763"/>
                        <w:spacing w:val="-7"/>
                        <w:sz w:val="16"/>
                      </w:rPr>
                      <w:t>鑫源新</w:t>
                    </w:r>
                  </w:p>
                  <w:p>
                    <w:pPr>
                      <w:spacing w:before="1" w:line="183" w:lineRule="exact"/>
                      <w:ind w:left="0" w:right="17" w:firstLine="0"/>
                      <w:jc w:val="center"/>
                      <w:rPr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能源</w:t>
                    </w:r>
                  </w:p>
                </w:txbxContent>
              </v:textbox>
            </v:shape>
            <v:shape id="_x0000_s1374" type="#_x0000_t202" style="width:579;height:180;left:3406;position:absolute;top:562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rFonts w:ascii="Arial" w:eastAsia="Arial"/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鑫源</w:t>
                    </w:r>
                    <w:r>
                      <w:rPr>
                        <w:rFonts w:ascii="Arial" w:eastAsia="Arial"/>
                        <w:color w:val="1F3763"/>
                        <w:sz w:val="16"/>
                      </w:rPr>
                      <w:t>E3</w:t>
                    </w:r>
                  </w:p>
                </w:txbxContent>
              </v:textbox>
            </v:shape>
            <v:shape id="_x0000_s1375" type="#_x0000_t202" style="width:333;height:180;left:4661;position:absolute;top:564" filled="f" stroked="f">
              <v:textbox inset="0,0,0,0">
                <w:txbxContent>
                  <w:p>
                    <w:pPr>
                      <w:spacing w:before="0" w:line="179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color w:val="1F3763"/>
                        <w:sz w:val="16"/>
                      </w:rPr>
                      <w:t>1.22</w:t>
                    </w:r>
                  </w:p>
                </w:txbxContent>
              </v:textbox>
            </v:shape>
            <v:shape id="_x0000_s1376" type="#_x0000_t202" style="width:342;height:161;left:5792;position:absolute;top:569" filled="f" stroked="f">
              <v:textbox inset="0,0,0,0">
                <w:txbxContent>
                  <w:p>
                    <w:pPr>
                      <w:spacing w:before="0" w:line="161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微面</w:t>
                    </w:r>
                  </w:p>
                </w:txbxContent>
              </v:textbox>
            </v:shape>
            <v:shape id="_x0000_s1377" type="#_x0000_t202" style="width:503;height:161;left:6846;position:absolute;top:569" filled="f" stroked="f">
              <v:textbox inset="0,0,0,0">
                <w:txbxContent>
                  <w:p>
                    <w:pPr>
                      <w:spacing w:before="0" w:line="161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纯电动</w:t>
                    </w:r>
                  </w:p>
                </w:txbxContent>
              </v:textbox>
            </v:shape>
            <v:shape id="_x0000_s1378" type="#_x0000_t202" style="width:664;height:370;left:7902;position:absolute;top:478" filled="f" stroked="f">
              <v:textbox inset="0,0,0,0">
                <w:txbxContent>
                  <w:p>
                    <w:pPr>
                      <w:spacing w:before="0" w:line="183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纯电续航</w:t>
                    </w:r>
                  </w:p>
                  <w:p>
                    <w:pPr>
                      <w:spacing w:before="1"/>
                      <w:ind w:left="79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color w:val="1F3763"/>
                        <w:sz w:val="16"/>
                      </w:rPr>
                      <w:t>253km</w:t>
                    </w:r>
                  </w:p>
                </w:txbxContent>
              </v:textbox>
            </v:shape>
            <v:shape id="_x0000_s1379" type="#_x0000_t202" style="width:875;height:363;left:8930;position:absolute;top:459" filled="f" stroked="f">
              <v:textbox inset="0,0,0,0">
                <w:txbxContent>
                  <w:p>
                    <w:pPr>
                      <w:spacing w:before="0" w:line="179" w:lineRule="exact"/>
                      <w:ind w:left="-1" w:right="18" w:firstLine="0"/>
                      <w:jc w:val="center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color w:val="1F3763"/>
                        <w:spacing w:val="-1"/>
                        <w:sz w:val="16"/>
                      </w:rPr>
                      <w:t>16.78-17.18</w:t>
                    </w:r>
                  </w:p>
                  <w:p>
                    <w:pPr>
                      <w:spacing w:before="0" w:line="183" w:lineRule="exact"/>
                      <w:ind w:left="0" w:right="16" w:firstLine="0"/>
                      <w:jc w:val="center"/>
                      <w:rPr>
                        <w:sz w:val="16"/>
                      </w:rPr>
                    </w:pPr>
                    <w:r>
                      <w:rPr>
                        <w:color w:val="1F3763"/>
                        <w:w w:val="100"/>
                        <w:sz w:val="16"/>
                      </w:rPr>
                      <w:t>万</w:t>
                    </w:r>
                  </w:p>
                </w:txbxContent>
              </v:textbox>
            </v:shape>
            <v:shape id="_x0000_s1380" type="#_x0000_t202" style="width:342;height:161;left:10332;position:absolute;top:569" filled="f" stroked="f">
              <v:textbox inset="0,0,0,0">
                <w:txbxContent>
                  <w:p>
                    <w:pPr>
                      <w:spacing w:before="0" w:line="161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新车</w:t>
                    </w:r>
                  </w:p>
                </w:txbxContent>
              </v:textbox>
            </v:shape>
            <v:shape id="_x0000_s1381" type="#_x0000_t202" style="width:664;height:161;left:2227;position:absolute;top:1947" filled="f" stroked="f">
              <v:textbox inset="0,0,0,0">
                <w:txbxContent>
                  <w:p>
                    <w:pPr>
                      <w:spacing w:before="0" w:line="161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江汽集团</w:t>
                    </w:r>
                  </w:p>
                </w:txbxContent>
              </v:textbox>
            </v:shape>
            <v:shape id="_x0000_s1382" type="#_x0000_t202" style="width:342;height:161;left:3524;position:absolute;top:1947" filled="f" stroked="f">
              <v:textbox inset="0,0,0,0">
                <w:txbxContent>
                  <w:p>
                    <w:pPr>
                      <w:spacing w:before="0" w:line="161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星锐</w:t>
                    </w:r>
                  </w:p>
                </w:txbxContent>
              </v:textbox>
            </v:shape>
            <v:shape id="_x0000_s1383" type="#_x0000_t202" style="width:333;height:180;left:4661;position:absolute;top:1939" filled="f" stroked="f">
              <v:textbox inset="0,0,0,0">
                <w:txbxContent>
                  <w:p>
                    <w:pPr>
                      <w:spacing w:before="0" w:line="179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color w:val="1F3763"/>
                        <w:sz w:val="16"/>
                      </w:rPr>
                      <w:t>1.23</w:t>
                    </w:r>
                  </w:p>
                </w:txbxContent>
              </v:textbox>
            </v:shape>
            <v:shape id="_x0000_s1384" type="#_x0000_t202" style="width:342;height:161;left:5792;position:absolute;top:1947" filled="f" stroked="f">
              <v:textbox inset="0,0,0,0">
                <w:txbxContent>
                  <w:p>
                    <w:pPr>
                      <w:spacing w:before="0" w:line="161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轻客</w:t>
                    </w:r>
                  </w:p>
                </w:txbxContent>
              </v:textbox>
            </v:shape>
            <v:shape id="_x0000_s1385" type="#_x0000_t202" style="width:503;height:161;left:6846;position:absolute;top:1947" filled="f" stroked="f">
              <v:textbox inset="0,0,0,0">
                <w:txbxContent>
                  <w:p>
                    <w:pPr>
                      <w:spacing w:before="0" w:line="161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纯燃油</w:t>
                    </w:r>
                  </w:p>
                </w:txbxContent>
              </v:textbox>
            </v:shape>
            <v:shape id="_x0000_s1386" type="#_x0000_t202" style="width:342;height:180;left:8063;position:absolute;top:1939" filled="f" stroked="f">
              <v:textbox inset="0,0,0,0">
                <w:txbxContent>
                  <w:p>
                    <w:pPr>
                      <w:spacing w:before="0" w:line="179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color w:val="1F3763"/>
                        <w:sz w:val="16"/>
                      </w:rPr>
                      <w:t>2.5T</w:t>
                    </w:r>
                  </w:p>
                </w:txbxContent>
              </v:textbox>
            </v:shape>
            <v:shape id="_x0000_s1387" type="#_x0000_t202" style="width:875;height:363;left:8930;position:absolute;top:1836" filled="f" stroked="f">
              <v:textbox inset="0,0,0,0">
                <w:txbxContent>
                  <w:p>
                    <w:pPr>
                      <w:spacing w:before="0" w:line="179" w:lineRule="exact"/>
                      <w:ind w:left="-1" w:right="18" w:firstLine="0"/>
                      <w:jc w:val="center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color w:val="1F3763"/>
                        <w:spacing w:val="-1"/>
                        <w:sz w:val="16"/>
                      </w:rPr>
                      <w:t>11.97-19.47</w:t>
                    </w:r>
                  </w:p>
                  <w:p>
                    <w:pPr>
                      <w:spacing w:before="0" w:line="183" w:lineRule="exact"/>
                      <w:ind w:left="0" w:right="16" w:firstLine="0"/>
                      <w:jc w:val="center"/>
                      <w:rPr>
                        <w:sz w:val="16"/>
                      </w:rPr>
                    </w:pPr>
                    <w:r>
                      <w:rPr>
                        <w:color w:val="1F3763"/>
                        <w:w w:val="100"/>
                        <w:sz w:val="16"/>
                      </w:rPr>
                      <w:t>万</w:t>
                    </w:r>
                  </w:p>
                </w:txbxContent>
              </v:textbox>
            </v:shape>
            <v:shape id="_x0000_s1388" type="#_x0000_t202" style="width:342;height:161;left:10332;position:absolute;top:1947" filled="f" stroked="f">
              <v:textbox inset="0,0,0,0">
                <w:txbxContent>
                  <w:p>
                    <w:pPr>
                      <w:spacing w:before="0" w:line="161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改款</w:t>
                    </w:r>
                  </w:p>
                </w:txbxContent>
              </v:textbox>
            </v:shape>
            <v:shape id="_x0000_s1389" type="#_x0000_t202" style="width:342;height:161;left:10332;position:absolute;top:1258" filled="f" stroked="f">
              <v:textbox inset="0,0,0,0">
                <w:txbxContent>
                  <w:p>
                    <w:pPr>
                      <w:spacing w:before="0" w:line="161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新车</w:t>
                    </w:r>
                  </w:p>
                </w:txbxContent>
              </v:textbox>
            </v:shape>
            <v:shape id="_x0000_s1390" type="#_x0000_t202" style="width:875;height:363;left:8930;position:absolute;top:1147" filled="f" stroked="f">
              <v:textbox inset="0,0,0,0">
                <w:txbxContent>
                  <w:p>
                    <w:pPr>
                      <w:spacing w:before="0" w:line="179" w:lineRule="exact"/>
                      <w:ind w:left="-1" w:right="18" w:firstLine="0"/>
                      <w:jc w:val="center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color w:val="1F3763"/>
                        <w:spacing w:val="-1"/>
                        <w:sz w:val="16"/>
                      </w:rPr>
                      <w:t>17.18-17.58</w:t>
                    </w:r>
                  </w:p>
                  <w:p>
                    <w:pPr>
                      <w:spacing w:before="0" w:line="183" w:lineRule="exact"/>
                      <w:ind w:left="0" w:right="16" w:firstLine="0"/>
                      <w:jc w:val="center"/>
                      <w:rPr>
                        <w:sz w:val="16"/>
                      </w:rPr>
                    </w:pPr>
                    <w:r>
                      <w:rPr>
                        <w:color w:val="1F3763"/>
                        <w:w w:val="100"/>
                        <w:sz w:val="16"/>
                      </w:rPr>
                      <w:t>万</w:t>
                    </w:r>
                  </w:p>
                </w:txbxContent>
              </v:textbox>
            </v:shape>
            <v:shape id="_x0000_s1391" type="#_x0000_t202" style="width:664;height:370;left:7902;position:absolute;top:1167" filled="f" stroked="f">
              <v:textbox inset="0,0,0,0">
                <w:txbxContent>
                  <w:p>
                    <w:pPr>
                      <w:spacing w:before="0" w:line="183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纯电续航</w:t>
                    </w:r>
                  </w:p>
                  <w:p>
                    <w:pPr>
                      <w:spacing w:before="1"/>
                      <w:ind w:left="79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color w:val="1F3763"/>
                        <w:sz w:val="16"/>
                      </w:rPr>
                      <w:t>263km</w:t>
                    </w:r>
                  </w:p>
                </w:txbxContent>
              </v:textbox>
            </v:shape>
            <v:shape id="_x0000_s1392" type="#_x0000_t202" style="width:503;height:161;left:6846;position:absolute;top:1258" filled="f" stroked="f">
              <v:textbox inset="0,0,0,0">
                <w:txbxContent>
                  <w:p>
                    <w:pPr>
                      <w:spacing w:before="0" w:line="161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纯电动</w:t>
                    </w:r>
                  </w:p>
                </w:txbxContent>
              </v:textbox>
            </v:shape>
            <v:shape id="_x0000_s1393" type="#_x0000_t202" style="width:342;height:161;left:5792;position:absolute;top:1258" filled="f" stroked="f">
              <v:textbox inset="0,0,0,0">
                <w:txbxContent>
                  <w:p>
                    <w:pPr>
                      <w:spacing w:before="0" w:line="161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微面</w:t>
                    </w:r>
                  </w:p>
                </w:txbxContent>
              </v:textbox>
            </v:shape>
            <v:shape id="_x0000_s1394" type="#_x0000_t202" style="width:333;height:180;left:4661;position:absolute;top:1253" filled="f" stroked="f">
              <v:textbox inset="0,0,0,0">
                <w:txbxContent>
                  <w:p>
                    <w:pPr>
                      <w:spacing w:before="0" w:line="179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color w:val="1F3763"/>
                        <w:sz w:val="16"/>
                      </w:rPr>
                      <w:t>1.22</w:t>
                    </w:r>
                  </w:p>
                </w:txbxContent>
              </v:textbox>
            </v:shape>
            <v:shape id="_x0000_s1395" type="#_x0000_t202" style="width:667;height:180;left:3361;position:absolute;top:1251" filled="f" stroked="f">
              <v:textbox inset="0,0,0,0">
                <w:txbxContent>
                  <w:p>
                    <w:pPr>
                      <w:spacing w:before="0" w:line="180" w:lineRule="exact"/>
                      <w:ind w:left="0" w:right="0" w:firstLine="0"/>
                      <w:jc w:val="left"/>
                      <w:rPr>
                        <w:rFonts w:ascii="Arial" w:eastAsia="Arial"/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鑫源</w:t>
                    </w:r>
                    <w:r>
                      <w:rPr>
                        <w:rFonts w:ascii="Arial" w:eastAsia="Arial"/>
                        <w:color w:val="1F3763"/>
                        <w:sz w:val="16"/>
                      </w:rPr>
                      <w:t>E3L</w:t>
                    </w:r>
                  </w:p>
                </w:txbxContent>
              </v:textbox>
            </v:shape>
            <v:shape id="_x0000_s1396" type="#_x0000_t202" style="width:894;height:375;left:2112;position:absolute;top:1147" filled="f" stroked="f">
              <v:textbox inset="0,0,0,0">
                <w:txbxContent>
                  <w:p>
                    <w:pPr>
                      <w:spacing w:before="0" w:line="191" w:lineRule="exact"/>
                      <w:ind w:left="0" w:right="18" w:firstLine="0"/>
                      <w:jc w:val="center"/>
                      <w:rPr>
                        <w:sz w:val="16"/>
                      </w:rPr>
                    </w:pPr>
                    <w:r>
                      <w:rPr>
                        <w:rFonts w:ascii="Arial" w:eastAsia="Arial"/>
                        <w:color w:val="1F3763"/>
                        <w:sz w:val="16"/>
                      </w:rPr>
                      <w:t xml:space="preserve">SRM </w:t>
                    </w:r>
                    <w:r>
                      <w:rPr>
                        <w:color w:val="1F3763"/>
                        <w:spacing w:val="-7"/>
                        <w:sz w:val="16"/>
                      </w:rPr>
                      <w:t>鑫源新</w:t>
                    </w:r>
                  </w:p>
                  <w:p>
                    <w:pPr>
                      <w:spacing w:before="1" w:line="183" w:lineRule="exact"/>
                      <w:ind w:left="0" w:right="17" w:firstLine="0"/>
                      <w:jc w:val="center"/>
                      <w:rPr>
                        <w:sz w:val="16"/>
                      </w:rPr>
                    </w:pPr>
                    <w:r>
                      <w:rPr>
                        <w:color w:val="1F3763"/>
                        <w:sz w:val="16"/>
                      </w:rPr>
                      <w:t>能源</w:t>
                    </w:r>
                  </w:p>
                </w:txbxContent>
              </v:textbox>
            </v:shape>
            <w10:wrap type="topAndBottom"/>
          </v:group>
        </w:pict>
      </w:r>
      <w:r>
        <w:rPr>
          <w:b/>
          <w:color w:val="1F3763"/>
          <w:sz w:val="16"/>
        </w:rPr>
        <w:t>图片</w:t>
        <w:tab/>
        <w:t>厂商</w:t>
        <w:tab/>
        <w:t>车型</w:t>
        <w:tab/>
        <w:t>上市时间</w:t>
        <w:tab/>
        <w:t>级别</w:t>
        <w:tab/>
        <w:t>动力类型</w:t>
        <w:tab/>
        <w:t>续航</w:t>
      </w:r>
      <w:r>
        <w:rPr>
          <w:rFonts w:ascii="Arial" w:eastAsia="Arial"/>
          <w:b/>
          <w:color w:val="1F3763"/>
          <w:sz w:val="16"/>
        </w:rPr>
        <w:t>/</w:t>
      </w:r>
      <w:r>
        <w:rPr>
          <w:b/>
          <w:color w:val="1F3763"/>
          <w:sz w:val="16"/>
        </w:rPr>
        <w:t>动力</w:t>
        <w:tab/>
        <w:t>售价（万）</w:t>
        <w:tab/>
        <w:t>备注</w:t>
      </w:r>
    </w:p>
    <w:p>
      <w:pPr>
        <w:spacing w:after="0"/>
        <w:jc w:val="left"/>
        <w:rPr>
          <w:sz w:val="16"/>
        </w:rPr>
        <w:sectPr>
          <w:headerReference w:type="default" r:id="rId77"/>
          <w:footerReference w:type="default" r:id="rId78"/>
          <w:pgSz w:w="11910" w:h="16840"/>
          <w:pgMar w:top="960" w:right="520" w:bottom="1200" w:left="720" w:header="708" w:footer="708"/>
          <w:pgNumType w:start="21"/>
          <w:cols w:space="708"/>
        </w:sectPr>
      </w:pPr>
    </w:p>
    <w:p>
      <w:pPr>
        <w:pStyle w:val="BodyText"/>
        <w:spacing w:before="4"/>
        <w:rPr>
          <w:b/>
        </w:rPr>
      </w:pPr>
    </w:p>
    <w:p>
      <w:pPr>
        <w:tabs>
          <w:tab w:val="left" w:pos="2693"/>
          <w:tab w:val="left" w:pos="3941"/>
          <w:tab w:val="left" w:pos="4808"/>
          <w:tab w:val="left" w:pos="6126"/>
          <w:tab w:val="left" w:pos="7182"/>
          <w:tab w:val="left" w:pos="8210"/>
          <w:tab w:val="left" w:pos="9612"/>
        </w:tabs>
        <w:spacing w:line="240" w:lineRule="auto"/>
        <w:ind w:left="1668" w:right="0" w:firstLine="0"/>
        <w:rPr>
          <w:sz w:val="20"/>
        </w:rPr>
      </w:pPr>
      <w:r>
        <w:rPr>
          <w:position w:val="12"/>
          <w:sz w:val="20"/>
        </w:rPr>
        <w:pict>
          <v:shape id="_x0000_i1397" type="#_x0000_t202" style="width:17.1pt;height:8.05pt;mso-position-horizontal-relative:char;mso-position-vertical-relative:line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埃安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12"/>
          <w:sz w:val="20"/>
        </w:rPr>
        <w:tab/>
      </w:r>
      <w:r>
        <w:rPr>
          <w:position w:val="10"/>
          <w:sz w:val="20"/>
        </w:rPr>
        <w:pict>
          <v:shape id="_x0000_i1398" type="#_x0000_t202" style="width:28.25pt;height:9pt;mso-position-horizontal-relative:char;mso-position-vertical-relative:line" filled="f" stroked="f">
            <v:textbox inset="0,0,0,0">
              <w:txbxContent>
                <w:p>
                  <w:pPr>
                    <w:spacing w:before="0" w:line="179" w:lineRule="exact"/>
                    <w:ind w:left="0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z w:val="16"/>
                    </w:rPr>
                    <w:t>AION V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10"/>
          <w:sz w:val="20"/>
        </w:rPr>
        <w:tab/>
      </w:r>
      <w:r>
        <w:rPr>
          <w:position w:val="10"/>
          <w:sz w:val="20"/>
        </w:rPr>
        <w:pict>
          <v:shape id="_x0000_i1399" type="#_x0000_t202" style="width:16.65pt;height:9pt;mso-position-horizontal-relative:char;mso-position-vertical-relative:line" filled="f" stroked="f">
            <v:textbox inset="0,0,0,0">
              <w:txbxContent>
                <w:p>
                  <w:pPr>
                    <w:spacing w:before="0" w:line="179" w:lineRule="exact"/>
                    <w:ind w:left="0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z w:val="16"/>
                    </w:rPr>
                    <w:t>1.23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10"/>
          <w:sz w:val="20"/>
        </w:rPr>
        <w:tab/>
      </w:r>
      <w:r>
        <w:rPr>
          <w:position w:val="11"/>
          <w:sz w:val="20"/>
        </w:rPr>
        <w:pict>
          <v:shape id="_x0000_i1400" type="#_x0000_t202" style="width:43.6pt;height:9pt;mso-position-horizontal-relative:char;mso-position-vertical-relative:line" filled="f" stroked="f">
            <v:textbox inset="0,0,0,0">
              <w:txbxContent>
                <w:p>
                  <w:pPr>
                    <w:spacing w:before="0" w:line="180" w:lineRule="exact"/>
                    <w:ind w:left="0" w:right="0" w:firstLine="0"/>
                    <w:jc w:val="left"/>
                    <w:rPr>
                      <w:rFonts w:ascii="Arial" w:eastAsia="Arial"/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紧凑型</w:t>
                  </w:r>
                  <w:r>
                    <w:rPr>
                      <w:rFonts w:ascii="Arial" w:eastAsia="Arial"/>
                      <w:color w:val="1F3763"/>
                      <w:sz w:val="16"/>
                    </w:rPr>
                    <w:t>SUV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11"/>
          <w:sz w:val="20"/>
        </w:rPr>
        <w:tab/>
      </w:r>
      <w:r>
        <w:rPr>
          <w:position w:val="12"/>
          <w:sz w:val="20"/>
        </w:rPr>
        <w:pict>
          <v:shape id="_x0000_i1401" type="#_x0000_t202" style="width:25.15pt;height:8.05pt;mso-position-horizontal-relative:char;mso-position-vertical-relative:line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纯电动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12"/>
          <w:sz w:val="20"/>
        </w:rPr>
        <w:tab/>
      </w:r>
      <w:r>
        <w:rPr>
          <w:sz w:val="20"/>
        </w:rPr>
        <w:pict>
          <v:shape id="_x0000_i1402" type="#_x0000_t202" style="width:33.2pt;height:18.5pt;mso-position-horizontal-relative:char;mso-position-vertical-relative:line" filled="f" stroked="f">
            <v:textbox inset="0,0,0,0">
              <w:txbxContent>
                <w:p>
                  <w:pPr>
                    <w:spacing w:before="0" w:line="183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纯电续航</w:t>
                  </w:r>
                </w:p>
                <w:p>
                  <w:pPr>
                    <w:spacing w:before="2"/>
                    <w:ind w:left="79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z w:val="16"/>
                    </w:rPr>
                    <w:t>702km</w:t>
                  </w:r>
                </w:p>
              </w:txbxContent>
            </v:textbox>
            <w10:wrap type="none"/>
            <w10:anchorlock/>
          </v:shape>
        </w:pict>
      </w:r>
      <w:r>
        <w:rPr>
          <w:sz w:val="20"/>
        </w:rPr>
        <w:tab/>
      </w:r>
      <w:r>
        <w:rPr>
          <w:position w:val="3"/>
          <w:sz w:val="20"/>
        </w:rPr>
        <w:pict>
          <v:shape id="_x0000_i1403" type="#_x0000_t202" style="width:43.75pt;height:18.15pt;mso-position-horizontal-relative:char;mso-position-vertical-relative:line" filled="f" stroked="f">
            <v:textbox inset="0,0,0,0">
              <w:txbxContent>
                <w:p>
                  <w:pPr>
                    <w:spacing w:before="0" w:line="179" w:lineRule="exact"/>
                    <w:ind w:left="-1" w:right="18" w:firstLine="0"/>
                    <w:jc w:val="center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pacing w:val="-1"/>
                      <w:sz w:val="16"/>
                    </w:rPr>
                    <w:t>15.39-26.98</w:t>
                  </w:r>
                </w:p>
                <w:p>
                  <w:pPr>
                    <w:spacing w:before="1" w:line="183" w:lineRule="exact"/>
                    <w:ind w:left="0" w:right="16" w:firstLine="0"/>
                    <w:jc w:val="center"/>
                    <w:rPr>
                      <w:sz w:val="16"/>
                    </w:rPr>
                  </w:pPr>
                  <w:r>
                    <w:rPr>
                      <w:color w:val="1F3763"/>
                      <w:w w:val="100"/>
                      <w:sz w:val="16"/>
                    </w:rPr>
                    <w:t>万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3"/>
          <w:sz w:val="20"/>
        </w:rPr>
        <w:tab/>
      </w:r>
      <w:r>
        <w:rPr>
          <w:position w:val="12"/>
          <w:sz w:val="20"/>
        </w:rPr>
        <w:pict>
          <v:shape id="_x0000_i1404" type="#_x0000_t202" style="width:17.1pt;height:8.05pt;mso-position-horizontal-relative:char;mso-position-vertical-relative:line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改款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val="left" w:pos="2676"/>
          <w:tab w:val="left" w:pos="3941"/>
          <w:tab w:val="left" w:pos="5072"/>
          <w:tab w:val="left" w:pos="6126"/>
          <w:tab w:val="left" w:pos="7475"/>
          <w:tab w:val="left" w:pos="8339"/>
          <w:tab w:val="left" w:pos="9611"/>
        </w:tabs>
        <w:spacing w:before="88"/>
        <w:ind w:left="1507" w:right="0" w:firstLine="0"/>
        <w:jc w:val="left"/>
        <w:rPr>
          <w:sz w:val="16"/>
        </w:rPr>
      </w:pPr>
      <w:r>
        <w:pict>
          <v:group id="_x0000_s1405" style="width:511.1pt;height:516.6pt;margin-top:-42.1pt;margin-left:41.88pt;mso-position-horizontal-relative:page;position:absolute;z-index:-251595776" coordorigin="838,-842" coordsize="10222,10332">
            <v:shape id="_x0000_s1406" style="width:10205;height:10311;left:852;position:absolute;top:-843" coordorigin="852,-842" coordsize="10205,10311" path="m4251,8782l3118,8782,3118,8782,1983,8782,1875,8782,960,8782,852,8782,852,9468,960,9468,1875,9468,1983,9468,3118,9468,3118,9468,4251,9468,4251,8782m4251,7406l3118,7406,3118,7406,1983,7406,1875,7406,960,7406,852,7406,852,8095,960,8095,1875,8095,1983,8095,3118,8095,3118,8095,4251,8095,4251,7406m4251,6033l3118,6033,3118,6033,1983,6033,1875,6033,960,6033,852,6033,852,6719,960,6719,1875,6719,1983,6719,3118,6719,3118,6719,4251,6719,4251,6033m4251,4657l3118,4657,3118,4657,1983,4657,1875,4657,960,4657,852,4657,852,5346,960,5346,1875,5346,1983,5346,3118,5346,3118,5346,4251,5346,4251,4657m4251,3285l3118,3285,3118,3285,1983,3285,1875,3285,960,3285,852,3285,852,3971,960,3971,1875,3971,1983,3971,3118,3971,3118,3971,4251,3971,4251,3285m4251,1907l3118,1907,3118,1907,1983,1907,1875,1907,960,1907,852,1907,852,2598,960,2598,1875,2598,1983,2598,3118,2598,3118,2598,4251,2598,4251,1907m4251,534l3118,534,3118,534,1983,534,1875,534,960,534,852,534,852,1220,960,1220,1875,1220,1983,1220,3118,1220,3118,1220,4251,1220,4251,534m4251,-842l3118,-842,3118,-842,1983,-842,1875,-842,960,-842,852,-842,852,-155,960,-155,1875,-155,1983,-155,3118,-155,3118,-155,4251,-155,4251,-842m7655,8782l6520,8782,6520,8782,5387,8782,4251,8782,4251,9468,5387,9468,6520,9468,6520,9468,7655,9468,7655,8782m7655,7406l6520,7406,6520,7406,5387,7406,4251,7406,4251,8095,5387,8095,6520,8095,6520,8095,7655,8095,7655,7406m7655,6033l6520,6033,6520,6033,5387,6033,4251,6033,4251,6719,5387,6719,6520,6719,6520,6719,7655,6719,7655,6033m7655,4657l6520,4657,6520,4657,5387,4657,4251,4657,4251,5346,5387,5346,6520,5346,6520,5346,7655,5346,7655,4657m7655,3285l6520,3285,6520,3285,5387,3285,4251,3285,4251,3971,5387,3971,6520,3971,6520,3971,7655,3971,7655,3285m7655,1907l6520,1907,6520,1907,5387,1907,4251,1907,4251,2598,5387,2598,6520,2598,6520,2598,7655,2598,7655,1907m7655,534l6520,534,6520,534,5387,534,4251,534,4251,1220,5387,1220,6520,1220,6520,1220,7655,1220,7655,534m7655,-842l6520,-842,6520,-842,5387,-842,4251,-842,4251,-155,5387,-155,6520,-155,6520,-155,7655,-155,7655,-842m8791,8782l7656,8782,7656,9468,8791,9468,8791,8782m8791,7406l7656,7406,7656,8095,8791,8095,8791,7406m8791,6033l7656,6033,7656,6719,8791,6719,8791,6033m8791,4657l7656,4657,7656,5346,8791,5346,8791,4657m8791,3285l7656,3285,7656,3971,8791,3971,8791,3285m8791,1907l7656,1907,7656,2598,8791,2598,8791,1907m8791,534l7656,534,7656,1220,8791,1220,8791,534m8791,-842l7656,-842,7656,-155,8791,-155,8791,-842m11057,8782l9926,8782,9926,8782,8791,8782,8791,9468,9926,9468,9926,9468,11057,9468,11057,8782m11057,7406l9926,7406,9926,7406,8791,7406,8791,8095,9926,8095,9926,8095,11057,8095,11057,7406m11057,6033l9926,6033,9926,6033,8791,6033,8791,6719,9926,6719,9926,6719,11057,6719,11057,6033m11057,4657l9926,4657,9926,4657,8791,4657,8791,5346,9926,5346,9926,5346,11057,5346,11057,4657m11057,3285l9926,3285,9926,3285,8791,3285,8791,3971,9926,3971,9926,3971,11057,3971,11057,3285m11057,1907l9926,1907,9926,1907,8791,1907,8791,2598,9926,2598,9926,2598,11057,2598,11057,1907m11057,534l9926,534,9926,534,8791,534,8791,1220,9926,1220,9926,1220,11057,1220,11057,534m11057,-842l9926,-842,9926,-842,8791,-842,8791,-155,9926,-155,9926,-155,11057,-155,11057,-842e" filled="t" fillcolor="#ccdcea" stroked="f">
              <v:fill type="solid"/>
              <v:path arrowok="t"/>
            </v:shape>
            <v:line id="_x0000_s1407" style="position:absolute" from="838,9480" to="1985,9480" stroked="t" strokecolor="#1f3763" strokeweight="0.96pt">
              <v:stroke dashstyle="solid"/>
            </v:line>
            <v:rect id="_x0000_s1408" style="width:20;height:20;left:1970;position:absolute;top:9470" filled="t" fillcolor="#1f3763" stroked="f">
              <v:fill type="solid"/>
            </v:rect>
            <v:rect id="_x0000_s1409" style="width:1128;height:20;left:1990;position:absolute;top:9470" filled="t" fillcolor="#1f3763" stroked="f">
              <v:fill type="solid"/>
            </v:rect>
            <v:rect id="_x0000_s1410" style="width:20;height:20;left:3103;position:absolute;top:9470" filled="t" fillcolor="#1f3763" stroked="f">
              <v:fill type="solid"/>
            </v:rect>
            <v:rect id="_x0000_s1411" style="width:1131;height:20;left:3122;position:absolute;top:9470" filled="t" fillcolor="#1f3763" stroked="f">
              <v:fill type="solid"/>
            </v:rect>
            <v:rect id="_x0000_s1412" style="width:20;height:20;left:4239;position:absolute;top:9470" filled="t" fillcolor="#1f3763" stroked="f">
              <v:fill type="solid"/>
            </v:rect>
            <v:rect id="_x0000_s1413" style="width:1131;height:20;left:4258;position:absolute;top:9470" filled="t" fillcolor="#1f3763" stroked="f">
              <v:fill type="solid"/>
            </v:rect>
            <v:rect id="_x0000_s1414" style="width:20;height:20;left:5374;position:absolute;top:9470" filled="t" fillcolor="#1f3763" stroked="f">
              <v:fill type="solid"/>
            </v:rect>
            <v:rect id="_x0000_s1415" style="width:1129;height:20;left:5393;position:absolute;top:9470" filled="t" fillcolor="#1f3763" stroked="f">
              <v:fill type="solid"/>
            </v:rect>
            <v:rect id="_x0000_s1416" style="width:20;height:20;left:6507;position:absolute;top:9470" filled="t" fillcolor="#1f3763" stroked="f">
              <v:fill type="solid"/>
            </v:rect>
            <v:rect id="_x0000_s1417" style="width:1131;height:20;left:6527;position:absolute;top:9470" filled="t" fillcolor="#1f3763" stroked="f">
              <v:fill type="solid"/>
            </v:rect>
            <v:rect id="_x0000_s1418" style="width:20;height:20;left:7643;position:absolute;top:9470" filled="t" fillcolor="#1f3763" stroked="f">
              <v:fill type="solid"/>
            </v:rect>
            <v:rect id="_x0000_s1419" style="width:1131;height:20;left:7662;position:absolute;top:9470" filled="t" fillcolor="#1f3763" stroked="f">
              <v:fill type="solid"/>
            </v:rect>
            <v:rect id="_x0000_s1420" style="width:20;height:20;left:8778;position:absolute;top:9470" filled="t" fillcolor="#1f3763" stroked="f">
              <v:fill type="solid"/>
            </v:rect>
            <v:rect id="_x0000_s1421" style="width:1129;height:20;left:8798;position:absolute;top:9470" filled="t" fillcolor="#1f3763" stroked="f">
              <v:fill type="solid"/>
            </v:rect>
            <v:rect id="_x0000_s1422" style="width:20;height:20;left:9912;position:absolute;top:9470" filled="t" fillcolor="#1f3763" stroked="f">
              <v:fill type="solid"/>
            </v:rect>
            <v:rect id="_x0000_s1423" style="width:1128;height:20;left:9931;position:absolute;top:9470" filled="t" fillcolor="#1f3763" stroked="f">
              <v:fill type="solid"/>
            </v:rect>
            <v:shape id="_x0000_s1424" type="#_x0000_t75" style="width:916;height:10308;left:959;position:absolute;top:-842" stroked="f">
              <v:imagedata r:id="rId79" o:title=""/>
            </v:shape>
          </v:group>
        </w:pict>
      </w:r>
      <w:r>
        <w:rPr>
          <w:color w:val="1F3763"/>
          <w:sz w:val="16"/>
        </w:rPr>
        <w:t>江汽集团</w:t>
        <w:tab/>
        <w:t>星</w:t>
      </w:r>
      <w:r>
        <w:rPr>
          <w:color w:val="1F3763"/>
          <w:spacing w:val="38"/>
          <w:sz w:val="16"/>
        </w:rPr>
        <w:t>锐</w:t>
      </w:r>
      <w:r>
        <w:rPr>
          <w:rFonts w:ascii="Arial" w:eastAsia="Arial"/>
          <w:color w:val="1F3763"/>
          <w:sz w:val="16"/>
        </w:rPr>
        <w:t>EV</w:t>
        <w:tab/>
        <w:t>1.23</w:t>
        <w:tab/>
      </w:r>
      <w:r>
        <w:rPr>
          <w:color w:val="1F3763"/>
          <w:sz w:val="16"/>
        </w:rPr>
        <w:t>轻客</w:t>
        <w:tab/>
        <w:t>纯电动</w:t>
        <w:tab/>
      </w:r>
      <w:r>
        <w:rPr>
          <w:rFonts w:ascii="Arial" w:eastAsia="Arial"/>
          <w:color w:val="1F3763"/>
          <w:sz w:val="16"/>
        </w:rPr>
        <w:t>-</w:t>
        <w:tab/>
        <w:t>18.68</w:t>
      </w:r>
      <w:r>
        <w:rPr>
          <w:rFonts w:ascii="Arial" w:eastAsia="Arial"/>
          <w:color w:val="1F3763"/>
          <w:spacing w:val="-10"/>
          <w:sz w:val="16"/>
        </w:rPr>
        <w:t xml:space="preserve"> </w:t>
      </w:r>
      <w:r>
        <w:rPr>
          <w:color w:val="1F3763"/>
          <w:sz w:val="16"/>
        </w:rPr>
        <w:t>万</w:t>
        <w:tab/>
        <w:t>新车</w:t>
      </w:r>
    </w:p>
    <w:p>
      <w:pPr>
        <w:pStyle w:val="BodyText"/>
        <w:spacing w:before="8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80"/>
          <w:footerReference w:type="default" r:id="rId81"/>
          <w:pgSz w:w="11910" w:h="16840"/>
          <w:pgMar w:top="960" w:right="520" w:bottom="1200" w:left="720" w:header="708" w:footer="708"/>
          <w:pgNumType w:start="22"/>
          <w:cols w:space="708"/>
        </w:sectPr>
      </w:pPr>
    </w:p>
    <w:p>
      <w:pPr>
        <w:tabs>
          <w:tab w:val="left" w:pos="2535"/>
        </w:tabs>
        <w:spacing w:before="103" w:line="156" w:lineRule="auto"/>
        <w:ind w:left="1454" w:right="0" w:firstLine="0"/>
        <w:jc w:val="left"/>
        <w:rPr>
          <w:sz w:val="16"/>
        </w:rPr>
      </w:pPr>
      <w:r>
        <w:rPr>
          <w:color w:val="1F3763"/>
          <w:position w:val="-10"/>
          <w:sz w:val="16"/>
        </w:rPr>
        <w:t>宝马</w:t>
      </w:r>
      <w:r>
        <w:rPr>
          <w:rFonts w:ascii="Arial" w:eastAsia="Arial"/>
          <w:color w:val="1F3763"/>
          <w:position w:val="-10"/>
          <w:sz w:val="16"/>
        </w:rPr>
        <w:t>(</w:t>
      </w:r>
      <w:r>
        <w:rPr>
          <w:color w:val="1F3763"/>
          <w:position w:val="-10"/>
          <w:sz w:val="16"/>
        </w:rPr>
        <w:t>进口</w:t>
      </w:r>
      <w:r>
        <w:rPr>
          <w:rFonts w:ascii="Arial" w:eastAsia="Arial"/>
          <w:color w:val="1F3763"/>
          <w:position w:val="-10"/>
          <w:sz w:val="16"/>
        </w:rPr>
        <w:t>)</w:t>
        <w:tab/>
      </w:r>
      <w:r>
        <w:rPr>
          <w:color w:val="1F3763"/>
          <w:sz w:val="16"/>
        </w:rPr>
        <w:t>宝马</w:t>
      </w:r>
      <w:r>
        <w:rPr>
          <w:color w:val="1F3763"/>
          <w:spacing w:val="-39"/>
          <w:sz w:val="16"/>
        </w:rPr>
        <w:t xml:space="preserve"> </w:t>
      </w:r>
      <w:r>
        <w:rPr>
          <w:rFonts w:ascii="Arial" w:eastAsia="Arial"/>
          <w:color w:val="1F3763"/>
          <w:sz w:val="16"/>
        </w:rPr>
        <w:t>5</w:t>
      </w:r>
      <w:r>
        <w:rPr>
          <w:rFonts w:ascii="Arial" w:eastAsia="Arial"/>
          <w:color w:val="1F3763"/>
          <w:spacing w:val="-10"/>
          <w:sz w:val="16"/>
        </w:rPr>
        <w:t xml:space="preserve"> </w:t>
      </w:r>
      <w:r>
        <w:rPr>
          <w:color w:val="1F3763"/>
          <w:sz w:val="16"/>
        </w:rPr>
        <w:t>系</w:t>
      </w:r>
      <w:r>
        <w:rPr>
          <w:rFonts w:ascii="Arial" w:eastAsia="Arial"/>
          <w:color w:val="1F3763"/>
          <w:sz w:val="16"/>
        </w:rPr>
        <w:t>(</w:t>
      </w:r>
      <w:r>
        <w:rPr>
          <w:color w:val="1F3763"/>
          <w:spacing w:val="-19"/>
          <w:sz w:val="16"/>
        </w:rPr>
        <w:t>进</w:t>
      </w:r>
    </w:p>
    <w:p>
      <w:pPr>
        <w:spacing w:before="0" w:line="152" w:lineRule="exact"/>
        <w:ind w:left="0" w:right="321" w:firstLine="0"/>
        <w:jc w:val="right"/>
        <w:rPr>
          <w:rFonts w:ascii="Arial" w:eastAsia="Arial"/>
          <w:sz w:val="16"/>
        </w:rPr>
      </w:pPr>
      <w:r>
        <w:rPr>
          <w:color w:val="1F3763"/>
          <w:sz w:val="16"/>
        </w:rPr>
        <w:t>口</w:t>
      </w:r>
      <w:r>
        <w:rPr>
          <w:rFonts w:ascii="Arial" w:eastAsia="Arial"/>
          <w:color w:val="1F3763"/>
          <w:sz w:val="16"/>
        </w:rPr>
        <w:t>)</w:t>
      </w:r>
    </w:p>
    <w:p>
      <w:pPr>
        <w:tabs>
          <w:tab w:val="left" w:pos="1477"/>
          <w:tab w:val="left" w:pos="2691"/>
          <w:tab w:val="left" w:pos="3908"/>
          <w:tab w:val="right" w:pos="5630"/>
        </w:tabs>
        <w:spacing w:before="101"/>
        <w:ind w:left="507" w:right="0" w:firstLine="0"/>
        <w:jc w:val="left"/>
        <w:rPr>
          <w:rFonts w:ascii="Arial" w:eastAsia="Arial"/>
          <w:sz w:val="16"/>
        </w:rPr>
      </w:pPr>
      <w:r>
        <w:br w:type="column"/>
      </w:r>
      <w:r>
        <w:rPr>
          <w:rFonts w:ascii="Arial" w:eastAsia="Arial"/>
          <w:color w:val="1F3763"/>
          <w:sz w:val="16"/>
        </w:rPr>
        <w:t>1.25</w:t>
        <w:tab/>
      </w:r>
      <w:r>
        <w:rPr>
          <w:color w:val="1F3763"/>
          <w:sz w:val="16"/>
        </w:rPr>
        <w:t>中大型车</w:t>
        <w:tab/>
        <w:t>纯燃油</w:t>
        <w:tab/>
      </w:r>
      <w:r>
        <w:rPr>
          <w:rFonts w:ascii="Arial" w:eastAsia="Arial"/>
          <w:color w:val="1F3763"/>
          <w:sz w:val="16"/>
        </w:rPr>
        <w:t>2.0T</w:t>
        <w:tab/>
      </w:r>
      <w:r>
        <w:rPr>
          <w:rFonts w:ascii="Arial" w:eastAsia="Arial"/>
          <w:color w:val="1F3763"/>
          <w:position w:val="10"/>
          <w:sz w:val="16"/>
        </w:rPr>
        <w:t>32.24-43.99</w:t>
      </w:r>
    </w:p>
    <w:p>
      <w:pPr>
        <w:spacing w:before="192"/>
        <w:ind w:left="346" w:right="0" w:firstLine="0"/>
        <w:jc w:val="left"/>
        <w:rPr>
          <w:sz w:val="16"/>
        </w:rPr>
      </w:pPr>
      <w:r>
        <w:br w:type="column"/>
      </w:r>
      <w:r>
        <w:rPr>
          <w:color w:val="1F3763"/>
          <w:sz w:val="16"/>
        </w:rPr>
        <w:t>垂直换代</w:t>
      </w:r>
    </w:p>
    <w:p>
      <w:pPr>
        <w:spacing w:after="0"/>
        <w:jc w:val="left"/>
        <w:rPr>
          <w:sz w:val="16"/>
        </w:rPr>
        <w:sectPr>
          <w:headerReference w:type="default" r:id="rId82"/>
          <w:footerReference w:type="default" r:id="rId83"/>
          <w:type w:val="continuous"/>
          <w:pgSz w:w="11910" w:h="16840"/>
          <w:pgMar w:top="960" w:right="520" w:bottom="1200" w:left="720" w:header="708" w:footer="708"/>
          <w:pgNumType w:start="23"/>
          <w:cols w:num="3" w:space="708" w:equalWidth="0">
            <w:col w:w="3395" w:space="40"/>
            <w:col w:w="5631" w:space="39"/>
            <w:col w:w="1565" w:space="0"/>
          </w:cols>
        </w:sectPr>
      </w:pPr>
    </w:p>
    <w:p>
      <w:pPr>
        <w:tabs>
          <w:tab w:val="left" w:pos="2643"/>
          <w:tab w:val="left" w:pos="3941"/>
          <w:tab w:val="left" w:pos="4911"/>
          <w:tab w:val="left" w:pos="6126"/>
          <w:tab w:val="left" w:pos="7343"/>
          <w:tab w:val="right" w:pos="9064"/>
        </w:tabs>
        <w:spacing w:before="288"/>
        <w:ind w:left="1507" w:right="0" w:firstLine="0"/>
        <w:jc w:val="left"/>
        <w:rPr>
          <w:rFonts w:ascii="Arial" w:eastAsia="Arial"/>
          <w:sz w:val="16"/>
        </w:rPr>
      </w:pPr>
      <w:r>
        <w:pict>
          <v:shape id="_x0000_s1425" type="#_x0000_t202" style="width:8.05pt;height:8.05pt;margin-top:-9.77pt;margin-left:463.9pt;mso-position-horizontal-relative:page;position:absolute;z-index:-251594752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w w:val="100"/>
                      <w:sz w:val="16"/>
                    </w:rPr>
                    <w:t>万</w:t>
                  </w:r>
                </w:p>
              </w:txbxContent>
            </v:textbox>
          </v:shape>
        </w:pict>
      </w:r>
      <w:r>
        <w:pict>
          <v:shape id="_x0000_s1426" type="#_x0000_t202" style="width:8.05pt;height:8.05pt;margin-top:24.55pt;margin-left:463.9pt;mso-position-horizontal-relative:page;position:absolute;z-index:-251593728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w w:val="100"/>
                      <w:sz w:val="16"/>
                    </w:rPr>
                    <w:t>万</w:t>
                  </w:r>
                </w:p>
              </w:txbxContent>
            </v:textbox>
          </v:shape>
        </w:pict>
      </w:r>
      <w:r>
        <w:rPr>
          <w:color w:val="1F3763"/>
          <w:sz w:val="16"/>
        </w:rPr>
        <w:t>华晨宝马</w:t>
        <w:tab/>
        <w:t>宝马</w:t>
      </w:r>
      <w:r>
        <w:rPr>
          <w:color w:val="1F3763"/>
          <w:spacing w:val="-40"/>
          <w:sz w:val="16"/>
        </w:rPr>
        <w:t xml:space="preserve"> </w:t>
      </w:r>
      <w:r>
        <w:rPr>
          <w:rFonts w:ascii="Arial" w:eastAsia="Arial"/>
          <w:color w:val="1F3763"/>
          <w:sz w:val="16"/>
        </w:rPr>
        <w:t>5</w:t>
      </w:r>
      <w:r>
        <w:rPr>
          <w:rFonts w:ascii="Arial" w:eastAsia="Arial"/>
          <w:color w:val="1F3763"/>
          <w:spacing w:val="-12"/>
          <w:sz w:val="16"/>
        </w:rPr>
        <w:t xml:space="preserve"> </w:t>
      </w:r>
      <w:r>
        <w:rPr>
          <w:color w:val="1F3763"/>
          <w:sz w:val="16"/>
        </w:rPr>
        <w:t>系</w:t>
        <w:tab/>
      </w:r>
      <w:r>
        <w:rPr>
          <w:rFonts w:ascii="Arial" w:eastAsia="Arial"/>
          <w:color w:val="1F3763"/>
          <w:sz w:val="16"/>
        </w:rPr>
        <w:t>1.25</w:t>
        <w:tab/>
      </w:r>
      <w:r>
        <w:rPr>
          <w:color w:val="1F3763"/>
          <w:sz w:val="16"/>
        </w:rPr>
        <w:t>中大型车</w:t>
        <w:tab/>
        <w:t>纯燃油</w:t>
        <w:tab/>
      </w:r>
      <w:r>
        <w:rPr>
          <w:rFonts w:ascii="Arial" w:eastAsia="Arial"/>
          <w:color w:val="1F3763"/>
          <w:sz w:val="16"/>
        </w:rPr>
        <w:t>2.0T</w:t>
        <w:tab/>
      </w:r>
      <w:r>
        <w:rPr>
          <w:rFonts w:ascii="Arial" w:eastAsia="Arial"/>
          <w:color w:val="1F3763"/>
          <w:position w:val="10"/>
          <w:sz w:val="16"/>
        </w:rPr>
        <w:t>29.89-52.59</w:t>
      </w:r>
    </w:p>
    <w:p>
      <w:pPr>
        <w:spacing w:before="378"/>
        <w:ind w:left="346" w:right="0" w:firstLine="0"/>
        <w:jc w:val="left"/>
        <w:rPr>
          <w:sz w:val="16"/>
        </w:rPr>
      </w:pPr>
      <w:r>
        <w:br w:type="column"/>
      </w:r>
      <w:r>
        <w:rPr>
          <w:color w:val="1F3763"/>
          <w:sz w:val="16"/>
        </w:rPr>
        <w:t>垂直换代</w:t>
      </w:r>
    </w:p>
    <w:p>
      <w:pPr>
        <w:spacing w:after="0"/>
        <w:jc w:val="left"/>
        <w:rPr>
          <w:sz w:val="16"/>
        </w:rPr>
        <w:sectPr>
          <w:headerReference w:type="default" r:id="rId84"/>
          <w:footerReference w:type="default" r:id="rId85"/>
          <w:type w:val="continuous"/>
          <w:pgSz w:w="11910" w:h="16840"/>
          <w:pgMar w:top="960" w:right="520" w:bottom="1200" w:left="720" w:header="708" w:footer="708"/>
          <w:pgNumType w:start="24"/>
          <w:cols w:num="2" w:space="708" w:equalWidth="0">
            <w:col w:w="9065" w:space="40"/>
            <w:col w:w="156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1"/>
        </w:rPr>
      </w:pPr>
    </w:p>
    <w:p>
      <w:pPr>
        <w:tabs>
          <w:tab w:val="left" w:pos="2804"/>
          <w:tab w:val="left" w:pos="3941"/>
          <w:tab w:val="left" w:pos="5072"/>
          <w:tab w:val="left" w:pos="6126"/>
          <w:tab w:val="left" w:pos="7475"/>
        </w:tabs>
        <w:spacing w:line="240" w:lineRule="auto"/>
        <w:ind w:left="1428" w:right="0" w:firstLine="0"/>
        <w:rPr>
          <w:sz w:val="20"/>
        </w:rPr>
      </w:pPr>
      <w:r>
        <w:rPr>
          <w:sz w:val="20"/>
        </w:rPr>
        <w:pict>
          <v:shape id="_x0000_i1427" type="#_x0000_t202" style="width:41.1pt;height:18.5pt;mso-position-horizontal-relative:char;mso-position-vertical-relative:line" filled="f" stroked="f">
            <v:textbox inset="0,0,0,0">
              <w:txbxContent>
                <w:p>
                  <w:pPr>
                    <w:spacing w:before="0" w:line="183" w:lineRule="exact"/>
                    <w:ind w:left="-1" w:right="18" w:firstLine="0"/>
                    <w:jc w:val="center"/>
                    <w:rPr>
                      <w:sz w:val="16"/>
                    </w:rPr>
                  </w:pPr>
                  <w:r>
                    <w:rPr>
                      <w:color w:val="1F3763"/>
                      <w:spacing w:val="-5"/>
                      <w:sz w:val="16"/>
                    </w:rPr>
                    <w:t>厦门金龙联</w:t>
                  </w:r>
                </w:p>
                <w:p>
                  <w:pPr>
                    <w:spacing w:before="4" w:line="183" w:lineRule="exact"/>
                    <w:ind w:left="0" w:right="20" w:firstLine="0"/>
                    <w:jc w:val="center"/>
                    <w:rPr>
                      <w:sz w:val="16"/>
                    </w:rPr>
                  </w:pPr>
                  <w:r>
                    <w:rPr>
                      <w:color w:val="1F3763"/>
                      <w:w w:val="100"/>
                      <w:sz w:val="16"/>
                    </w:rPr>
                    <w:t>合</w:t>
                  </w:r>
                </w:p>
              </w:txbxContent>
            </v:textbox>
            <w10:wrap type="none"/>
            <w10:anchorlock/>
          </v:shape>
        </w:pict>
      </w:r>
      <w:r>
        <w:rPr>
          <w:sz w:val="20"/>
        </w:rPr>
        <w:tab/>
      </w:r>
      <w:r>
        <w:rPr>
          <w:position w:val="10"/>
          <w:sz w:val="20"/>
        </w:rPr>
        <w:pict>
          <v:shape id="_x0000_i1428" type="#_x0000_t202" style="width:17.1pt;height:8.05pt;mso-position-horizontal-relative:char;mso-position-vertical-relative:line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金威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10"/>
          <w:sz w:val="20"/>
        </w:rPr>
        <w:tab/>
      </w:r>
      <w:r>
        <w:rPr>
          <w:position w:val="9"/>
          <w:sz w:val="20"/>
        </w:rPr>
        <w:pict>
          <v:shape id="_x0000_i1429" type="#_x0000_t202" style="width:16.65pt;height:9pt;mso-position-horizontal-relative:char;mso-position-vertical-relative:line" filled="f" stroked="f">
            <v:textbox inset="0,0,0,0">
              <w:txbxContent>
                <w:p>
                  <w:pPr>
                    <w:spacing w:before="0" w:line="179" w:lineRule="exact"/>
                    <w:ind w:left="0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z w:val="16"/>
                    </w:rPr>
                    <w:t>1.25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9"/>
          <w:sz w:val="20"/>
        </w:rPr>
        <w:tab/>
      </w:r>
      <w:r>
        <w:rPr>
          <w:position w:val="10"/>
          <w:sz w:val="20"/>
        </w:rPr>
        <w:pict>
          <v:shape id="_x0000_i1430" type="#_x0000_t202" style="width:17.1pt;height:8.05pt;mso-position-horizontal-relative:char;mso-position-vertical-relative:line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轻客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10"/>
          <w:sz w:val="20"/>
        </w:rPr>
        <w:tab/>
      </w:r>
      <w:r>
        <w:rPr>
          <w:position w:val="10"/>
          <w:sz w:val="20"/>
        </w:rPr>
        <w:pict>
          <v:shape id="_x0000_i1431" type="#_x0000_t202" style="width:25.15pt;height:8.05pt;mso-position-horizontal-relative:char;mso-position-vertical-relative:line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纯燃油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10"/>
          <w:sz w:val="20"/>
        </w:rPr>
        <w:tab/>
      </w:r>
      <w:r>
        <w:rPr>
          <w:position w:val="9"/>
          <w:sz w:val="20"/>
        </w:rPr>
        <w:pict>
          <v:shape id="_x0000_i1432" type="#_x0000_t202" style="width:3.7pt;height:9pt;mso-position-horizontal-relative:char;mso-position-vertical-relative:line" filled="f" stroked="f">
            <v:textbox inset="0,0,0,0">
              <w:txbxContent>
                <w:p>
                  <w:pPr>
                    <w:spacing w:before="0" w:line="179" w:lineRule="exact"/>
                    <w:ind w:left="0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w w:val="100"/>
                      <w:sz w:val="16"/>
                    </w:rPr>
                    <w:t>-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spacing w:before="5"/>
        <w:rPr>
          <w:sz w:val="24"/>
        </w:rPr>
      </w:pPr>
    </w:p>
    <w:p>
      <w:pPr>
        <w:tabs>
          <w:tab w:val="left" w:pos="2508"/>
          <w:tab w:val="left" w:pos="3941"/>
          <w:tab w:val="left" w:pos="4911"/>
          <w:tab w:val="left" w:pos="6126"/>
          <w:tab w:val="left" w:pos="7182"/>
        </w:tabs>
        <w:spacing w:before="0" w:line="249" w:lineRule="exact"/>
        <w:ind w:left="1454" w:right="0" w:firstLine="0"/>
        <w:jc w:val="left"/>
        <w:rPr>
          <w:sz w:val="16"/>
        </w:rPr>
      </w:pPr>
      <w:r>
        <w:rPr>
          <w:color w:val="1F3763"/>
          <w:sz w:val="16"/>
        </w:rPr>
        <w:t>宝马</w:t>
      </w:r>
      <w:r>
        <w:rPr>
          <w:rFonts w:ascii="Arial" w:eastAsia="Arial"/>
          <w:color w:val="1F3763"/>
          <w:sz w:val="16"/>
        </w:rPr>
        <w:t>(</w:t>
      </w:r>
      <w:r>
        <w:rPr>
          <w:color w:val="1F3763"/>
          <w:sz w:val="16"/>
        </w:rPr>
        <w:t>进口</w:t>
      </w:r>
      <w:r>
        <w:rPr>
          <w:rFonts w:ascii="Arial" w:eastAsia="Arial"/>
          <w:color w:val="1F3763"/>
          <w:sz w:val="16"/>
        </w:rPr>
        <w:t>)</w:t>
        <w:tab/>
      </w:r>
      <w:r>
        <w:rPr>
          <w:color w:val="1F3763"/>
          <w:sz w:val="16"/>
        </w:rPr>
        <w:t>宝马</w:t>
      </w:r>
      <w:r>
        <w:rPr>
          <w:color w:val="1F3763"/>
          <w:spacing w:val="-39"/>
          <w:sz w:val="16"/>
        </w:rPr>
        <w:t xml:space="preserve"> </w:t>
      </w:r>
      <w:r>
        <w:rPr>
          <w:rFonts w:ascii="Arial" w:eastAsia="Arial"/>
          <w:color w:val="1F3763"/>
          <w:sz w:val="16"/>
        </w:rPr>
        <w:t>i5(</w:t>
      </w:r>
      <w:r>
        <w:rPr>
          <w:color w:val="1F3763"/>
          <w:spacing w:val="-3"/>
          <w:sz w:val="16"/>
        </w:rPr>
        <w:t>进</w:t>
      </w:r>
      <w:r>
        <w:rPr>
          <w:color w:val="1F3763"/>
          <w:sz w:val="16"/>
        </w:rPr>
        <w:t>口</w:t>
      </w:r>
      <w:r>
        <w:rPr>
          <w:rFonts w:ascii="Arial" w:eastAsia="Arial"/>
          <w:color w:val="1F3763"/>
          <w:sz w:val="16"/>
        </w:rPr>
        <w:t>)</w:t>
        <w:tab/>
        <w:t>1.25</w:t>
        <w:tab/>
      </w:r>
      <w:r>
        <w:rPr>
          <w:color w:val="1F3763"/>
          <w:sz w:val="16"/>
        </w:rPr>
        <w:t>中大型车</w:t>
        <w:tab/>
        <w:t>纯电动</w:t>
        <w:tab/>
      </w:r>
      <w:r>
        <w:rPr>
          <w:color w:val="1F3763"/>
          <w:position w:val="9"/>
          <w:sz w:val="16"/>
        </w:rPr>
        <w:t>纯电续</w:t>
      </w:r>
      <w:r>
        <w:rPr>
          <w:color w:val="1F3763"/>
          <w:spacing w:val="-20"/>
          <w:position w:val="9"/>
          <w:sz w:val="16"/>
        </w:rPr>
        <w:t>航</w:t>
      </w:r>
    </w:p>
    <w:p>
      <w:pPr>
        <w:spacing w:before="0" w:line="138" w:lineRule="exact"/>
        <w:ind w:left="0" w:right="80" w:firstLine="0"/>
        <w:jc w:val="right"/>
        <w:rPr>
          <w:rFonts w:ascii="Arial"/>
          <w:sz w:val="16"/>
        </w:rPr>
      </w:pPr>
      <w:r>
        <w:rPr>
          <w:rFonts w:ascii="Arial"/>
          <w:color w:val="1F3763"/>
          <w:spacing w:val="-1"/>
          <w:sz w:val="16"/>
        </w:rPr>
        <w:t>570km</w:t>
      </w:r>
    </w:p>
    <w:p>
      <w:pPr>
        <w:pStyle w:val="BodyText"/>
        <w:rPr>
          <w:rFonts w:ascii="Arial"/>
          <w:sz w:val="20"/>
        </w:rPr>
      </w:pPr>
      <w:r>
        <w:br w:type="column"/>
      </w:r>
    </w:p>
    <w:p>
      <w:pPr>
        <w:pStyle w:val="BodyText"/>
        <w:spacing w:before="3"/>
        <w:rPr>
          <w:rFonts w:ascii="Arial"/>
        </w:rPr>
      </w:pPr>
      <w:r>
        <w:pict>
          <v:shape id="_x0000_s1433" type="#_x0000_t202" style="width:44.7pt;height:9pt;margin-top:13.43pt;margin-left:446.14pt;mso-position-horizontal-relative:page;mso-wrap-distance-left:0;mso-wrap-distance-right:0;position:absolute;z-index:-251592704" filled="f" stroked="f">
            <v:textbox inset="0,0,0,0">
              <w:txbxContent>
                <w:p>
                  <w:pPr>
                    <w:spacing w:before="0" w:line="180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rFonts w:ascii="Arial" w:eastAsia="Arial"/>
                      <w:color w:val="1F3763"/>
                      <w:sz w:val="16"/>
                    </w:rPr>
                    <w:t xml:space="preserve">7.88-9.38 </w:t>
                  </w:r>
                  <w:r>
                    <w:rPr>
                      <w:color w:val="1F3763"/>
                      <w:sz w:val="16"/>
                    </w:rPr>
                    <w:t>万</w:t>
                  </w:r>
                </w:p>
              </w:txbxContent>
            </v:textbox>
            <w10:wrap type="topAndBottom"/>
          </v:shape>
        </w:pict>
      </w:r>
      <w:r>
        <w:pict>
          <v:shape id="_x0000_s1434" type="#_x0000_t202" style="width:17.1pt;height:8.05pt;margin-top:13.8pt;margin-left:516.6pt;mso-position-horizontal-relative:page;mso-wrap-distance-left:0;mso-wrap-distance-right:0;position:absolute;z-index:-251591680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改款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8"/>
        <w:rPr>
          <w:rFonts w:ascii="Arial"/>
          <w:sz w:val="23"/>
        </w:rPr>
      </w:pPr>
    </w:p>
    <w:p>
      <w:pPr>
        <w:tabs>
          <w:tab w:val="left" w:pos="1745"/>
        </w:tabs>
        <w:spacing w:before="1"/>
        <w:ind w:left="473" w:right="0" w:firstLine="0"/>
        <w:jc w:val="left"/>
        <w:rPr>
          <w:sz w:val="16"/>
        </w:rPr>
      </w:pPr>
      <w:r>
        <w:rPr>
          <w:rFonts w:ascii="Arial" w:eastAsia="Arial"/>
          <w:color w:val="1F3763"/>
          <w:sz w:val="16"/>
        </w:rPr>
        <w:t>63.99</w:t>
      </w:r>
      <w:r>
        <w:rPr>
          <w:rFonts w:ascii="Arial" w:eastAsia="Arial"/>
          <w:color w:val="1F3763"/>
          <w:spacing w:val="-10"/>
          <w:sz w:val="16"/>
        </w:rPr>
        <w:t xml:space="preserve"> </w:t>
      </w:r>
      <w:r>
        <w:rPr>
          <w:color w:val="1F3763"/>
          <w:sz w:val="16"/>
        </w:rPr>
        <w:t>万</w:t>
        <w:tab/>
        <w:t>新车</w:t>
      </w:r>
    </w:p>
    <w:p>
      <w:pPr>
        <w:spacing w:after="0"/>
        <w:jc w:val="left"/>
        <w:rPr>
          <w:sz w:val="16"/>
        </w:rPr>
        <w:sectPr>
          <w:headerReference w:type="default" r:id="rId86"/>
          <w:footerReference w:type="default" r:id="rId87"/>
          <w:type w:val="continuous"/>
          <w:pgSz w:w="11910" w:h="16840"/>
          <w:pgMar w:top="960" w:right="520" w:bottom="1200" w:left="720" w:header="708" w:footer="708"/>
          <w:pgNumType w:start="25"/>
          <w:cols w:num="2" w:space="708" w:equalWidth="0">
            <w:col w:w="7827" w:space="40"/>
            <w:col w:w="2803" w:space="0"/>
          </w:cols>
        </w:sectPr>
      </w:pPr>
    </w:p>
    <w:p>
      <w:pPr>
        <w:pStyle w:val="BodyText"/>
        <w:spacing w:before="9"/>
        <w:rPr>
          <w:sz w:val="17"/>
        </w:rPr>
      </w:pPr>
    </w:p>
    <w:p>
      <w:pPr>
        <w:tabs>
          <w:tab w:val="left" w:pos="2542"/>
          <w:tab w:val="left" w:pos="3941"/>
          <w:tab w:val="left" w:pos="4887"/>
          <w:tab w:val="left" w:pos="6126"/>
          <w:tab w:val="left" w:pos="7182"/>
          <w:tab w:val="left" w:pos="8210"/>
          <w:tab w:val="left" w:pos="9612"/>
        </w:tabs>
        <w:spacing w:line="240" w:lineRule="auto"/>
        <w:ind w:left="1428" w:right="0" w:firstLine="0"/>
        <w:rPr>
          <w:sz w:val="20"/>
        </w:rPr>
      </w:pPr>
      <w:r>
        <w:rPr>
          <w:position w:val="21"/>
          <w:sz w:val="20"/>
        </w:rPr>
        <w:pict>
          <v:shape id="_x0000_i1435" type="#_x0000_t202" style="width:41.1pt;height:8.05pt;mso-position-horizontal-relative:char;mso-position-vertical-relative:line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北汽新能源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21"/>
          <w:sz w:val="20"/>
        </w:rPr>
        <w:tab/>
      </w:r>
      <w:r>
        <w:rPr>
          <w:sz w:val="20"/>
        </w:rPr>
        <w:pict>
          <v:shape id="_x0000_i1436" type="#_x0000_t202" style="width:43.4pt;height:27.7pt;mso-position-horizontal-relative:char;mso-position-vertical-relative:line" filled="f" stroked="f">
            <v:textbox inset="0,0,0,0">
              <w:txbxContent>
                <w:p>
                  <w:pPr>
                    <w:spacing w:before="0" w:line="183" w:lineRule="exact"/>
                    <w:ind w:left="0" w:right="18" w:firstLine="0"/>
                    <w:jc w:val="center"/>
                    <w:rPr>
                      <w:sz w:val="16"/>
                    </w:rPr>
                  </w:pPr>
                  <w:r>
                    <w:rPr>
                      <w:color w:val="1F3763"/>
                      <w:spacing w:val="-10"/>
                      <w:sz w:val="16"/>
                    </w:rPr>
                    <w:t>极狐 阿尔法</w:t>
                  </w:r>
                </w:p>
                <w:p>
                  <w:pPr>
                    <w:spacing w:before="1"/>
                    <w:ind w:left="0" w:right="21" w:firstLine="0"/>
                    <w:jc w:val="center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z w:val="16"/>
                    </w:rPr>
                    <w:t>T(ARCFOX</w:t>
                  </w:r>
                </w:p>
                <w:p>
                  <w:pPr>
                    <w:spacing w:before="1"/>
                    <w:ind w:left="0" w:right="19" w:firstLine="0"/>
                    <w:jc w:val="center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color w:val="1F3763"/>
                      <w:sz w:val="16"/>
                    </w:rPr>
                    <w:t>αT)</w:t>
                  </w:r>
                </w:p>
              </w:txbxContent>
            </v:textbox>
            <w10:wrap type="none"/>
            <w10:anchorlock/>
          </v:shape>
        </w:pict>
      </w:r>
      <w:r>
        <w:rPr>
          <w:sz w:val="20"/>
        </w:rPr>
        <w:tab/>
      </w:r>
      <w:r>
        <w:rPr>
          <w:position w:val="20"/>
          <w:sz w:val="20"/>
        </w:rPr>
        <w:pict>
          <v:shape id="_x0000_i1437" type="#_x0000_t202" style="width:16.65pt;height:9pt;mso-position-horizontal-relative:char;mso-position-vertical-relative:line" filled="f" stroked="f">
            <v:textbox inset="0,0,0,0">
              <w:txbxContent>
                <w:p>
                  <w:pPr>
                    <w:spacing w:before="0" w:line="179" w:lineRule="exact"/>
                    <w:ind w:left="0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z w:val="16"/>
                    </w:rPr>
                    <w:t>1.25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20"/>
          <w:sz w:val="20"/>
        </w:rPr>
        <w:tab/>
      </w:r>
      <w:r>
        <w:rPr>
          <w:position w:val="20"/>
          <w:sz w:val="20"/>
        </w:rPr>
        <w:pict>
          <v:shape id="_x0000_i1438" type="#_x0000_t202" style="width:35.55pt;height:9pt;mso-position-horizontal-relative:char;mso-position-vertical-relative:line" filled="f" stroked="f">
            <v:textbox inset="0,0,0,0">
              <w:txbxContent>
                <w:p>
                  <w:pPr>
                    <w:spacing w:before="0" w:line="180" w:lineRule="exact"/>
                    <w:ind w:left="0" w:right="0" w:firstLine="0"/>
                    <w:jc w:val="left"/>
                    <w:rPr>
                      <w:rFonts w:ascii="Arial" w:eastAsia="Arial"/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中型</w:t>
                  </w:r>
                  <w:r>
                    <w:rPr>
                      <w:rFonts w:ascii="Arial" w:eastAsia="Arial"/>
                      <w:color w:val="1F3763"/>
                      <w:sz w:val="16"/>
                    </w:rPr>
                    <w:t>SUV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20"/>
          <w:sz w:val="20"/>
        </w:rPr>
        <w:tab/>
      </w:r>
      <w:r>
        <w:rPr>
          <w:position w:val="21"/>
          <w:sz w:val="20"/>
        </w:rPr>
        <w:pict>
          <v:shape id="_x0000_i1439" type="#_x0000_t202" style="width:25.15pt;height:8.05pt;mso-position-horizontal-relative:char;mso-position-vertical-relative:line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纯电动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21"/>
          <w:sz w:val="20"/>
        </w:rPr>
        <w:tab/>
      </w:r>
      <w:r>
        <w:rPr>
          <w:position w:val="9"/>
          <w:sz w:val="20"/>
        </w:rPr>
        <w:pict>
          <v:shape id="_x0000_i1440" type="#_x0000_t202" style="width:33.2pt;height:18.6pt;mso-position-horizontal-relative:char;mso-position-vertical-relative:line" filled="f" stroked="f">
            <v:textbox inset="0,0,0,0">
              <w:txbxContent>
                <w:p>
                  <w:pPr>
                    <w:spacing w:before="0" w:line="183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纯电续航</w:t>
                  </w:r>
                </w:p>
                <w:p>
                  <w:pPr>
                    <w:spacing w:before="4"/>
                    <w:ind w:left="79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z w:val="16"/>
                    </w:rPr>
                    <w:t>688km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9"/>
          <w:sz w:val="20"/>
        </w:rPr>
        <w:tab/>
      </w:r>
      <w:r>
        <w:rPr>
          <w:position w:val="12"/>
          <w:sz w:val="20"/>
        </w:rPr>
        <w:pict>
          <v:shape id="_x0000_i1441" type="#_x0000_t202" style="width:43.75pt;height:18.15pt;mso-position-horizontal-relative:char;mso-position-vertical-relative:line" filled="f" stroked="f">
            <v:textbox inset="0,0,0,0">
              <w:txbxContent>
                <w:p>
                  <w:pPr>
                    <w:spacing w:before="0" w:line="179" w:lineRule="exact"/>
                    <w:ind w:left="-1" w:right="18" w:firstLine="0"/>
                    <w:jc w:val="center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pacing w:val="-1"/>
                      <w:sz w:val="16"/>
                    </w:rPr>
                    <w:t>18.58-33.13</w:t>
                  </w:r>
                </w:p>
                <w:p>
                  <w:pPr>
                    <w:spacing w:before="0" w:line="183" w:lineRule="exact"/>
                    <w:ind w:left="0" w:right="16" w:firstLine="0"/>
                    <w:jc w:val="center"/>
                    <w:rPr>
                      <w:sz w:val="16"/>
                    </w:rPr>
                  </w:pPr>
                  <w:r>
                    <w:rPr>
                      <w:color w:val="1F3763"/>
                      <w:w w:val="100"/>
                      <w:sz w:val="16"/>
                    </w:rPr>
                    <w:t>万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12"/>
          <w:sz w:val="20"/>
        </w:rPr>
        <w:tab/>
      </w:r>
      <w:r>
        <w:rPr>
          <w:position w:val="21"/>
          <w:sz w:val="20"/>
        </w:rPr>
        <w:pict>
          <v:shape id="_x0000_i1442" type="#_x0000_t202" style="width:17.1pt;height:8.05pt;mso-position-horizontal-relative:char;mso-position-vertical-relative:line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改款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88"/>
          <w:footerReference w:type="default" r:id="rId89"/>
          <w:type w:val="continuous"/>
          <w:pgSz w:w="11910" w:h="16840"/>
          <w:pgMar w:top="960" w:right="520" w:bottom="1200" w:left="720" w:header="708" w:footer="708"/>
          <w:pgNumType w:start="26"/>
          <w:cols w:space="708"/>
        </w:sectPr>
      </w:pPr>
    </w:p>
    <w:p>
      <w:pPr>
        <w:pStyle w:val="BodyText"/>
        <w:spacing w:before="8"/>
        <w:rPr>
          <w:sz w:val="17"/>
        </w:rPr>
      </w:pPr>
    </w:p>
    <w:p>
      <w:pPr>
        <w:spacing w:before="0"/>
        <w:ind w:left="1428" w:right="0" w:firstLine="0"/>
        <w:jc w:val="left"/>
        <w:rPr>
          <w:sz w:val="16"/>
        </w:rPr>
      </w:pPr>
      <w:r>
        <w:rPr>
          <w:color w:val="1F3763"/>
          <w:sz w:val="16"/>
        </w:rPr>
        <w:t>北汽新能源</w:t>
      </w:r>
    </w:p>
    <w:p>
      <w:pPr>
        <w:spacing w:before="41"/>
        <w:ind w:left="272" w:right="0" w:firstLine="0"/>
        <w:jc w:val="center"/>
        <w:rPr>
          <w:sz w:val="16"/>
        </w:rPr>
      </w:pPr>
      <w:r>
        <w:br w:type="column"/>
      </w:r>
      <w:r>
        <w:rPr>
          <w:color w:val="1F3763"/>
          <w:spacing w:val="-10"/>
          <w:sz w:val="16"/>
        </w:rPr>
        <w:t>极狐 阿尔法</w:t>
      </w:r>
    </w:p>
    <w:p>
      <w:pPr>
        <w:spacing w:before="4" w:line="183" w:lineRule="exact"/>
        <w:ind w:left="269" w:right="0" w:firstLine="0"/>
        <w:jc w:val="center"/>
        <w:rPr>
          <w:rFonts w:ascii="Arial"/>
          <w:sz w:val="16"/>
        </w:rPr>
      </w:pPr>
      <w:r>
        <w:rPr>
          <w:rFonts w:ascii="Arial"/>
          <w:color w:val="1F3763"/>
          <w:sz w:val="16"/>
        </w:rPr>
        <w:t>S(ARCFOX</w:t>
      </w:r>
    </w:p>
    <w:p>
      <w:pPr>
        <w:spacing w:before="0" w:line="183" w:lineRule="exact"/>
        <w:ind w:left="271" w:right="0" w:firstLine="0"/>
        <w:jc w:val="center"/>
        <w:rPr>
          <w:rFonts w:ascii="Arial" w:hAnsi="Arial"/>
          <w:sz w:val="16"/>
        </w:rPr>
      </w:pPr>
      <w:r>
        <w:rPr>
          <w:rFonts w:ascii="Arial" w:hAnsi="Arial"/>
          <w:color w:val="1F3763"/>
          <w:sz w:val="16"/>
        </w:rPr>
        <w:t>αS)</w:t>
      </w:r>
    </w:p>
    <w:p>
      <w:pPr>
        <w:pStyle w:val="BodyText"/>
        <w:spacing w:before="10"/>
        <w:rPr>
          <w:rFonts w:ascii="Arial"/>
          <w:sz w:val="19"/>
        </w:rPr>
      </w:pPr>
      <w:r>
        <w:br w:type="column"/>
      </w:r>
    </w:p>
    <w:p>
      <w:pPr>
        <w:tabs>
          <w:tab w:val="left" w:pos="1481"/>
          <w:tab w:val="left" w:pos="2696"/>
        </w:tabs>
        <w:spacing w:before="0"/>
        <w:ind w:left="512" w:right="0" w:firstLine="0"/>
        <w:jc w:val="left"/>
        <w:rPr>
          <w:sz w:val="16"/>
        </w:rPr>
      </w:pPr>
      <w:r>
        <w:rPr>
          <w:rFonts w:ascii="Arial" w:eastAsia="Arial"/>
          <w:color w:val="1F3763"/>
          <w:sz w:val="16"/>
        </w:rPr>
        <w:t>1.25</w:t>
        <w:tab/>
      </w:r>
      <w:r>
        <w:rPr>
          <w:color w:val="1F3763"/>
          <w:sz w:val="16"/>
        </w:rPr>
        <w:t>中大型车</w:t>
        <w:tab/>
        <w:t>纯电</w:t>
      </w:r>
      <w:r>
        <w:rPr>
          <w:color w:val="1F3763"/>
          <w:spacing w:val="-20"/>
          <w:sz w:val="16"/>
        </w:rPr>
        <w:t>动</w:t>
      </w:r>
    </w:p>
    <w:p>
      <w:pPr>
        <w:spacing w:before="135"/>
        <w:ind w:left="534" w:right="0" w:firstLine="0"/>
        <w:jc w:val="left"/>
        <w:rPr>
          <w:sz w:val="16"/>
        </w:rPr>
      </w:pPr>
      <w:r>
        <w:br w:type="column"/>
      </w:r>
      <w:r>
        <w:rPr>
          <w:color w:val="1F3763"/>
          <w:spacing w:val="-5"/>
          <w:sz w:val="16"/>
        </w:rPr>
        <w:t>纯电续航</w:t>
      </w:r>
    </w:p>
    <w:p>
      <w:pPr>
        <w:spacing w:before="2"/>
        <w:ind w:left="613" w:right="0" w:firstLine="0"/>
        <w:jc w:val="left"/>
        <w:rPr>
          <w:rFonts w:ascii="Arial"/>
          <w:sz w:val="16"/>
        </w:rPr>
      </w:pPr>
      <w:r>
        <w:rPr>
          <w:rFonts w:ascii="Arial"/>
          <w:color w:val="1F3763"/>
          <w:sz w:val="16"/>
        </w:rPr>
        <w:t>735km</w:t>
      </w:r>
    </w:p>
    <w:p>
      <w:pPr>
        <w:tabs>
          <w:tab w:val="left" w:pos="1745"/>
        </w:tabs>
        <w:spacing w:before="156" w:line="146" w:lineRule="auto"/>
        <w:ind w:left="343" w:right="0" w:firstLine="0"/>
        <w:jc w:val="left"/>
        <w:rPr>
          <w:sz w:val="16"/>
        </w:rPr>
      </w:pPr>
      <w:r>
        <w:br w:type="column"/>
      </w:r>
      <w:r>
        <w:rPr>
          <w:rFonts w:ascii="Arial" w:eastAsia="Arial"/>
          <w:color w:val="1F3763"/>
          <w:sz w:val="16"/>
        </w:rPr>
        <w:t>18.98-35.63</w:t>
        <w:tab/>
      </w:r>
      <w:r>
        <w:rPr>
          <w:color w:val="1F3763"/>
          <w:position w:val="-9"/>
          <w:sz w:val="16"/>
        </w:rPr>
        <w:t>改款</w:t>
      </w:r>
    </w:p>
    <w:p>
      <w:pPr>
        <w:spacing w:before="0" w:line="149" w:lineRule="exact"/>
        <w:ind w:left="691" w:right="0" w:firstLine="0"/>
        <w:jc w:val="left"/>
        <w:rPr>
          <w:sz w:val="16"/>
        </w:rPr>
      </w:pPr>
      <w:r>
        <w:rPr>
          <w:color w:val="1F3763"/>
          <w:w w:val="100"/>
          <w:sz w:val="16"/>
        </w:rPr>
        <w:t>万</w:t>
      </w:r>
    </w:p>
    <w:p>
      <w:pPr>
        <w:spacing w:after="0" w:line="149" w:lineRule="exact"/>
        <w:jc w:val="left"/>
        <w:rPr>
          <w:sz w:val="16"/>
        </w:rPr>
        <w:sectPr>
          <w:headerReference w:type="default" r:id="rId90"/>
          <w:footerReference w:type="default" r:id="rId91"/>
          <w:type w:val="continuous"/>
          <w:pgSz w:w="11910" w:h="16840"/>
          <w:pgMar w:top="960" w:right="520" w:bottom="1200" w:left="720" w:header="708" w:footer="708"/>
          <w:pgNumType w:start="27"/>
          <w:cols w:num="5" w:space="708" w:equalWidth="0">
            <w:col w:w="2230" w:space="40"/>
            <w:col w:w="1120" w:space="39"/>
            <w:col w:w="3179" w:space="40"/>
            <w:col w:w="1178" w:space="40"/>
            <w:col w:w="2804" w:space="0"/>
          </w:cols>
        </w:sectPr>
      </w:pPr>
    </w:p>
    <w:p>
      <w:pPr>
        <w:pStyle w:val="BodyText"/>
        <w:spacing w:before="4" w:after="1"/>
        <w:rPr>
          <w:sz w:val="16"/>
        </w:rPr>
      </w:pPr>
    </w:p>
    <w:p>
      <w:pPr>
        <w:tabs>
          <w:tab w:val="left" w:pos="2691"/>
          <w:tab w:val="left" w:pos="3941"/>
          <w:tab w:val="left" w:pos="4808"/>
          <w:tab w:val="left" w:pos="6126"/>
          <w:tab w:val="left" w:pos="7343"/>
          <w:tab w:val="left" w:pos="8255"/>
          <w:tab w:val="left" w:pos="9612"/>
        </w:tabs>
        <w:spacing w:line="240" w:lineRule="auto"/>
        <w:ind w:left="1507" w:right="0" w:firstLine="0"/>
        <w:rPr>
          <w:sz w:val="20"/>
        </w:rPr>
      </w:pPr>
      <w:r>
        <w:rPr>
          <w:position w:val="12"/>
          <w:sz w:val="20"/>
        </w:rPr>
        <w:pict>
          <v:shape id="_x0000_i1443" type="#_x0000_t202" style="width:33.2pt;height:8.05pt;mso-position-horizontal-relative:char;mso-position-vertical-relative:line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东风风行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12"/>
          <w:sz w:val="20"/>
        </w:rPr>
        <w:tab/>
      </w:r>
      <w:r>
        <w:rPr>
          <w:sz w:val="20"/>
        </w:rPr>
        <w:pict>
          <v:shape id="_x0000_i1444" type="#_x0000_t202" style="width:28.55pt;height:18.85pt;mso-position-horizontal-relative:char;mso-position-vertical-relative:line" filled="f" stroked="f">
            <v:textbox inset="0,0,0,0">
              <w:txbxContent>
                <w:p>
                  <w:pPr>
                    <w:spacing w:before="0" w:line="191" w:lineRule="exact"/>
                    <w:ind w:left="-1" w:right="18" w:firstLine="0"/>
                    <w:jc w:val="center"/>
                    <w:rPr>
                      <w:rFonts w:ascii="Arial" w:eastAsia="Arial"/>
                      <w:sz w:val="16"/>
                    </w:rPr>
                  </w:pPr>
                  <w:r>
                    <w:rPr>
                      <w:color w:val="1F3763"/>
                      <w:spacing w:val="-13"/>
                      <w:sz w:val="16"/>
                    </w:rPr>
                    <w:t xml:space="preserve">风行 </w:t>
                  </w:r>
                  <w:r>
                    <w:rPr>
                      <w:rFonts w:ascii="Arial" w:eastAsia="Arial"/>
                      <w:color w:val="1F3763"/>
                      <w:spacing w:val="-9"/>
                      <w:sz w:val="16"/>
                    </w:rPr>
                    <w:t>T5</w:t>
                  </w:r>
                </w:p>
                <w:p>
                  <w:pPr>
                    <w:spacing w:before="1"/>
                    <w:ind w:left="87" w:right="106" w:firstLine="0"/>
                    <w:jc w:val="center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z w:val="16"/>
                    </w:rPr>
                    <w:t>EVO</w:t>
                  </w:r>
                </w:p>
              </w:txbxContent>
            </v:textbox>
            <w10:wrap type="none"/>
            <w10:anchorlock/>
          </v:shape>
        </w:pict>
      </w:r>
      <w:r>
        <w:rPr>
          <w:sz w:val="20"/>
        </w:rPr>
        <w:tab/>
      </w:r>
      <w:r>
        <w:rPr>
          <w:position w:val="10"/>
          <w:sz w:val="20"/>
        </w:rPr>
        <w:pict>
          <v:shape id="_x0000_i1445" type="#_x0000_t202" style="width:16.65pt;height:9pt;mso-position-horizontal-relative:char;mso-position-vertical-relative:line" filled="f" stroked="f">
            <v:textbox inset="0,0,0,0">
              <w:txbxContent>
                <w:p>
                  <w:pPr>
                    <w:spacing w:before="0" w:line="179" w:lineRule="exact"/>
                    <w:ind w:left="0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z w:val="16"/>
                    </w:rPr>
                    <w:t>1.25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10"/>
          <w:sz w:val="20"/>
        </w:rPr>
        <w:tab/>
      </w:r>
      <w:r>
        <w:rPr>
          <w:position w:val="11"/>
          <w:sz w:val="20"/>
        </w:rPr>
        <w:pict>
          <v:shape id="_x0000_i1446" type="#_x0000_t202" style="width:43.6pt;height:9pt;mso-position-horizontal-relative:char;mso-position-vertical-relative:line" filled="f" stroked="f">
            <v:textbox inset="0,0,0,0">
              <w:txbxContent>
                <w:p>
                  <w:pPr>
                    <w:spacing w:before="0" w:line="180" w:lineRule="exact"/>
                    <w:ind w:left="0" w:right="0" w:firstLine="0"/>
                    <w:jc w:val="left"/>
                    <w:rPr>
                      <w:rFonts w:ascii="Arial" w:eastAsia="Arial"/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紧凑型</w:t>
                  </w:r>
                  <w:r>
                    <w:rPr>
                      <w:rFonts w:ascii="Arial" w:eastAsia="Arial"/>
                      <w:color w:val="1F3763"/>
                      <w:sz w:val="16"/>
                    </w:rPr>
                    <w:t>SUV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11"/>
          <w:sz w:val="20"/>
        </w:rPr>
        <w:tab/>
      </w:r>
      <w:r>
        <w:rPr>
          <w:position w:val="12"/>
          <w:sz w:val="20"/>
        </w:rPr>
        <w:pict>
          <v:shape id="_x0000_i1447" type="#_x0000_t202" style="width:25.15pt;height:8.05pt;mso-position-horizontal-relative:char;mso-position-vertical-relative:line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纯燃油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12"/>
          <w:sz w:val="20"/>
        </w:rPr>
        <w:tab/>
      </w:r>
      <w:r>
        <w:rPr>
          <w:position w:val="10"/>
          <w:sz w:val="20"/>
        </w:rPr>
        <w:pict>
          <v:shape id="_x0000_i1448" type="#_x0000_t202" style="width:17.1pt;height:9pt;mso-position-horizontal-relative:char;mso-position-vertical-relative:line" filled="f" stroked="f">
            <v:textbox inset="0,0,0,0">
              <w:txbxContent>
                <w:p>
                  <w:pPr>
                    <w:spacing w:before="0" w:line="179" w:lineRule="exact"/>
                    <w:ind w:left="0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z w:val="16"/>
                    </w:rPr>
                    <w:t>1.5T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10"/>
          <w:sz w:val="20"/>
        </w:rPr>
        <w:tab/>
      </w:r>
      <w:r>
        <w:rPr>
          <w:position w:val="2"/>
          <w:sz w:val="20"/>
        </w:rPr>
        <w:pict>
          <v:shape id="_x0000_i1449" type="#_x0000_t202" style="width:39.35pt;height:18.15pt;mso-position-horizontal-relative:char;mso-position-vertical-relative:line" filled="f" stroked="f">
            <v:textbox inset="0,0,0,0">
              <w:txbxContent>
                <w:p>
                  <w:pPr>
                    <w:spacing w:before="0" w:line="179" w:lineRule="exact"/>
                    <w:ind w:left="0" w:right="18" w:firstLine="0"/>
                    <w:jc w:val="center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z w:val="16"/>
                    </w:rPr>
                    <w:t>9.49-13.99</w:t>
                  </w:r>
                </w:p>
                <w:p>
                  <w:pPr>
                    <w:spacing w:before="0" w:line="183" w:lineRule="exact"/>
                    <w:ind w:left="0" w:right="18" w:firstLine="0"/>
                    <w:jc w:val="center"/>
                    <w:rPr>
                      <w:sz w:val="16"/>
                    </w:rPr>
                  </w:pPr>
                  <w:r>
                    <w:rPr>
                      <w:color w:val="1F3763"/>
                      <w:w w:val="100"/>
                      <w:sz w:val="16"/>
                    </w:rPr>
                    <w:t>万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2"/>
          <w:sz w:val="20"/>
        </w:rPr>
        <w:tab/>
      </w:r>
      <w:r>
        <w:rPr>
          <w:position w:val="12"/>
          <w:sz w:val="20"/>
        </w:rPr>
        <w:pict>
          <v:shape id="_x0000_i1450" type="#_x0000_t202" style="width:17.1pt;height:8.05pt;mso-position-horizontal-relative:char;mso-position-vertical-relative:line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改款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92"/>
          <w:footerReference w:type="default" r:id="rId93"/>
          <w:type w:val="continuous"/>
          <w:pgSz w:w="11910" w:h="16840"/>
          <w:pgMar w:top="960" w:right="520" w:bottom="1200" w:left="720" w:header="708" w:footer="708"/>
          <w:pgNumType w:start="28"/>
          <w:cols w:space="708"/>
        </w:sectPr>
      </w:pPr>
    </w:p>
    <w:p>
      <w:pPr>
        <w:tabs>
          <w:tab w:val="left" w:pos="2722"/>
          <w:tab w:val="left" w:pos="3941"/>
          <w:tab w:val="left" w:pos="4911"/>
          <w:tab w:val="left" w:pos="6126"/>
          <w:tab w:val="left" w:pos="7182"/>
        </w:tabs>
        <w:spacing w:before="99" w:line="249" w:lineRule="exact"/>
        <w:ind w:left="1507" w:right="0" w:firstLine="0"/>
        <w:jc w:val="left"/>
        <w:rPr>
          <w:sz w:val="16"/>
        </w:rPr>
      </w:pPr>
      <w:r>
        <w:rPr>
          <w:color w:val="1F3763"/>
          <w:sz w:val="16"/>
        </w:rPr>
        <w:t>华晨宝马</w:t>
        <w:tab/>
        <w:t>宝马</w:t>
      </w:r>
      <w:r>
        <w:rPr>
          <w:color w:val="1F3763"/>
          <w:spacing w:val="-40"/>
          <w:sz w:val="16"/>
        </w:rPr>
        <w:t xml:space="preserve"> </w:t>
      </w:r>
      <w:r>
        <w:rPr>
          <w:rFonts w:ascii="Arial" w:eastAsia="Arial"/>
          <w:color w:val="1F3763"/>
          <w:sz w:val="16"/>
        </w:rPr>
        <w:t>i5</w:t>
        <w:tab/>
        <w:t>1.25</w:t>
        <w:tab/>
      </w:r>
      <w:r>
        <w:rPr>
          <w:color w:val="1F3763"/>
          <w:sz w:val="16"/>
        </w:rPr>
        <w:t>中大型车</w:t>
        <w:tab/>
        <w:t>纯电动</w:t>
        <w:tab/>
      </w:r>
      <w:r>
        <w:rPr>
          <w:color w:val="1F3763"/>
          <w:position w:val="9"/>
          <w:sz w:val="16"/>
        </w:rPr>
        <w:t>纯电续</w:t>
      </w:r>
      <w:r>
        <w:rPr>
          <w:color w:val="1F3763"/>
          <w:spacing w:val="-20"/>
          <w:position w:val="9"/>
          <w:sz w:val="16"/>
        </w:rPr>
        <w:t>航</w:t>
      </w:r>
    </w:p>
    <w:p>
      <w:pPr>
        <w:spacing w:before="0" w:line="138" w:lineRule="exact"/>
        <w:ind w:left="0" w:right="80" w:firstLine="0"/>
        <w:jc w:val="right"/>
        <w:rPr>
          <w:rFonts w:ascii="Arial"/>
          <w:sz w:val="16"/>
        </w:rPr>
      </w:pPr>
      <w:r>
        <w:rPr>
          <w:rFonts w:ascii="Arial"/>
          <w:color w:val="1F3763"/>
          <w:spacing w:val="-1"/>
          <w:sz w:val="16"/>
        </w:rPr>
        <w:t>567km</w:t>
      </w:r>
    </w:p>
    <w:p>
      <w:pPr>
        <w:spacing w:before="95" w:line="139" w:lineRule="exact"/>
        <w:ind w:left="343" w:right="0" w:firstLine="0"/>
        <w:jc w:val="left"/>
        <w:rPr>
          <w:rFonts w:ascii="Arial"/>
          <w:sz w:val="16"/>
        </w:rPr>
      </w:pPr>
      <w:r>
        <w:br w:type="column"/>
      </w:r>
      <w:r>
        <w:rPr>
          <w:rFonts w:ascii="Arial"/>
          <w:color w:val="1F3763"/>
          <w:sz w:val="16"/>
        </w:rPr>
        <w:t>43.99-46.59</w:t>
      </w:r>
    </w:p>
    <w:p>
      <w:pPr>
        <w:tabs>
          <w:tab w:val="left" w:pos="1745"/>
        </w:tabs>
        <w:spacing w:before="0" w:line="170" w:lineRule="auto"/>
        <w:ind w:left="691" w:right="0" w:firstLine="0"/>
        <w:jc w:val="left"/>
        <w:rPr>
          <w:sz w:val="16"/>
        </w:rPr>
      </w:pPr>
      <w:r>
        <w:rPr>
          <w:color w:val="1F3763"/>
          <w:position w:val="-8"/>
          <w:sz w:val="16"/>
        </w:rPr>
        <w:t>万</w:t>
        <w:tab/>
      </w:r>
      <w:r>
        <w:rPr>
          <w:color w:val="1F3763"/>
          <w:sz w:val="16"/>
        </w:rPr>
        <w:t>新车</w:t>
      </w:r>
    </w:p>
    <w:p>
      <w:pPr>
        <w:spacing w:after="0" w:line="170" w:lineRule="auto"/>
        <w:jc w:val="left"/>
        <w:rPr>
          <w:sz w:val="16"/>
        </w:rPr>
        <w:sectPr>
          <w:headerReference w:type="default" r:id="rId94"/>
          <w:footerReference w:type="default" r:id="rId95"/>
          <w:type w:val="continuous"/>
          <w:pgSz w:w="11910" w:h="16840"/>
          <w:pgMar w:top="960" w:right="520" w:bottom="1200" w:left="720" w:header="708" w:footer="708"/>
          <w:pgNumType w:start="29"/>
          <w:cols w:num="2" w:space="708" w:equalWidth="0">
            <w:col w:w="7827" w:space="40"/>
            <w:col w:w="2803" w:space="0"/>
          </w:cols>
        </w:sectPr>
      </w:pPr>
    </w:p>
    <w:p>
      <w:pPr>
        <w:pStyle w:val="BodyText"/>
        <w:spacing w:before="6"/>
        <w:rPr>
          <w:sz w:val="23"/>
        </w:rPr>
      </w:pPr>
    </w:p>
    <w:p>
      <w:pPr>
        <w:tabs>
          <w:tab w:val="left" w:pos="3941"/>
          <w:tab w:val="left" w:pos="4808"/>
          <w:tab w:val="left" w:pos="6126"/>
          <w:tab w:val="left" w:pos="7343"/>
          <w:tab w:val="left" w:pos="8210"/>
          <w:tab w:val="left" w:pos="9612"/>
        </w:tabs>
        <w:spacing w:line="240" w:lineRule="auto"/>
        <w:ind w:left="1481" w:right="0" w:firstLine="0"/>
        <w:rPr>
          <w:sz w:val="20"/>
        </w:rPr>
      </w:pPr>
      <w:r>
        <w:rPr>
          <w:position w:val="8"/>
          <w:sz w:val="20"/>
        </w:rPr>
        <w:pict>
          <v:shape id="_x0000_i1451" type="#_x0000_t202" style="width:96.8pt;height:9pt;mso-position-horizontal-relative:char;mso-position-vertical-relative:line" filled="f" stroked="f">
            <v:textbox inset="0,0,0,0">
              <w:txbxContent>
                <w:p>
                  <w:pPr>
                    <w:tabs>
                      <w:tab w:val="left" w:pos="1051"/>
                    </w:tabs>
                    <w:spacing w:before="0" w:line="180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一汽</w:t>
                  </w:r>
                  <w:r>
                    <w:rPr>
                      <w:rFonts w:ascii="Arial" w:eastAsia="Arial"/>
                      <w:color w:val="1F3763"/>
                      <w:sz w:val="16"/>
                    </w:rPr>
                    <w:t>-</w:t>
                  </w:r>
                  <w:r>
                    <w:rPr>
                      <w:color w:val="1F3763"/>
                      <w:sz w:val="16"/>
                    </w:rPr>
                    <w:t>大众</w:t>
                    <w:tab/>
                  </w:r>
                  <w:r>
                    <w:rPr>
                      <w:rFonts w:ascii="Arial" w:eastAsia="Arial"/>
                      <w:color w:val="1F3763"/>
                      <w:sz w:val="16"/>
                    </w:rPr>
                    <w:t>T-ROC</w:t>
                  </w:r>
                  <w:r>
                    <w:rPr>
                      <w:rFonts w:ascii="Arial" w:eastAsia="Arial"/>
                      <w:color w:val="1F3763"/>
                      <w:spacing w:val="-9"/>
                      <w:sz w:val="16"/>
                    </w:rPr>
                    <w:t xml:space="preserve"> </w:t>
                  </w:r>
                  <w:r>
                    <w:rPr>
                      <w:color w:val="1F3763"/>
                      <w:sz w:val="16"/>
                    </w:rPr>
                    <w:t>探歌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8"/>
          <w:sz w:val="20"/>
        </w:rPr>
        <w:tab/>
      </w:r>
      <w:r>
        <w:rPr>
          <w:position w:val="8"/>
          <w:sz w:val="20"/>
        </w:rPr>
        <w:pict>
          <v:shape id="_x0000_i1452" type="#_x0000_t202" style="width:16.65pt;height:9pt;mso-position-horizontal-relative:char;mso-position-vertical-relative:line" filled="f" stroked="f">
            <v:textbox inset="0,0,0,0">
              <w:txbxContent>
                <w:p>
                  <w:pPr>
                    <w:spacing w:before="0" w:line="179" w:lineRule="exact"/>
                    <w:ind w:left="0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z w:val="16"/>
                    </w:rPr>
                    <w:t>1.26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8"/>
          <w:sz w:val="20"/>
        </w:rPr>
        <w:tab/>
      </w:r>
      <w:r>
        <w:rPr>
          <w:position w:val="8"/>
          <w:sz w:val="20"/>
        </w:rPr>
        <w:pict>
          <v:shape id="_x0000_i1453" type="#_x0000_t202" style="width:43.6pt;height:9pt;mso-position-horizontal-relative:char;mso-position-vertical-relative:line" filled="f" stroked="f">
            <v:textbox inset="0,0,0,0">
              <w:txbxContent>
                <w:p>
                  <w:pPr>
                    <w:spacing w:before="0" w:line="180" w:lineRule="exact"/>
                    <w:ind w:left="0" w:right="0" w:firstLine="0"/>
                    <w:jc w:val="left"/>
                    <w:rPr>
                      <w:rFonts w:ascii="Arial" w:eastAsia="Arial"/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紧凑型</w:t>
                  </w:r>
                  <w:r>
                    <w:rPr>
                      <w:rFonts w:ascii="Arial" w:eastAsia="Arial"/>
                      <w:color w:val="1F3763"/>
                      <w:sz w:val="16"/>
                    </w:rPr>
                    <w:t>SUV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8"/>
          <w:sz w:val="20"/>
        </w:rPr>
        <w:tab/>
      </w:r>
      <w:r>
        <w:rPr>
          <w:position w:val="9"/>
          <w:sz w:val="20"/>
        </w:rPr>
        <w:pict>
          <v:shape id="_x0000_i1454" type="#_x0000_t202" style="width:25.15pt;height:8.05pt;mso-position-horizontal-relative:char;mso-position-vertical-relative:line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纯燃油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9"/>
          <w:sz w:val="20"/>
        </w:rPr>
        <w:tab/>
      </w:r>
      <w:r>
        <w:rPr>
          <w:position w:val="8"/>
          <w:sz w:val="20"/>
        </w:rPr>
        <w:pict>
          <v:shape id="_x0000_i1455" type="#_x0000_t202" style="width:17.1pt;height:9pt;mso-position-horizontal-relative:char;mso-position-vertical-relative:line" filled="f" stroked="f">
            <v:textbox inset="0,0,0,0">
              <w:txbxContent>
                <w:p>
                  <w:pPr>
                    <w:spacing w:before="0" w:line="179" w:lineRule="exact"/>
                    <w:ind w:left="0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z w:val="16"/>
                    </w:rPr>
                    <w:t>1.5T</w:t>
                  </w:r>
                </w:p>
              </w:txbxContent>
            </v:textbox>
            <w10:wrap type="none"/>
            <w10:anchorlock/>
          </v:shape>
        </w:pict>
      </w:r>
      <w:r>
        <w:rPr>
          <w:position w:val="8"/>
          <w:sz w:val="20"/>
        </w:rPr>
        <w:tab/>
      </w:r>
      <w:r>
        <w:rPr>
          <w:sz w:val="20"/>
        </w:rPr>
        <w:pict>
          <v:shape id="_x0000_i1456" type="#_x0000_t202" style="width:43.75pt;height:18.15pt;mso-position-horizontal-relative:char;mso-position-vertical-relative:line" filled="f" stroked="f">
            <v:textbox inset="0,0,0,0">
              <w:txbxContent>
                <w:p>
                  <w:pPr>
                    <w:spacing w:before="0" w:line="179" w:lineRule="exact"/>
                    <w:ind w:left="-1" w:right="18" w:firstLine="0"/>
                    <w:jc w:val="center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pacing w:val="-1"/>
                      <w:sz w:val="16"/>
                    </w:rPr>
                    <w:t>12.39-17.99</w:t>
                  </w:r>
                </w:p>
                <w:p>
                  <w:pPr>
                    <w:spacing w:before="0" w:line="183" w:lineRule="exact"/>
                    <w:ind w:left="0" w:right="16" w:firstLine="0"/>
                    <w:jc w:val="center"/>
                    <w:rPr>
                      <w:sz w:val="16"/>
                    </w:rPr>
                  </w:pPr>
                  <w:r>
                    <w:rPr>
                      <w:color w:val="1F3763"/>
                      <w:w w:val="100"/>
                      <w:sz w:val="16"/>
                    </w:rPr>
                    <w:t>万</w:t>
                  </w:r>
                </w:p>
              </w:txbxContent>
            </v:textbox>
            <w10:wrap type="none"/>
            <w10:anchorlock/>
          </v:shape>
        </w:pict>
      </w:r>
      <w:r>
        <w:rPr>
          <w:sz w:val="20"/>
        </w:rPr>
        <w:tab/>
      </w:r>
      <w:r>
        <w:rPr>
          <w:position w:val="9"/>
          <w:sz w:val="20"/>
        </w:rPr>
        <w:pict>
          <v:shape id="_x0000_i1457" type="#_x0000_t202" style="width:17.1pt;height:8.05pt;mso-position-horizontal-relative:char;mso-position-vertical-relative:line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改款</w:t>
                  </w:r>
                </w:p>
              </w:txbxContent>
            </v:textbox>
            <w10:wrap type="none"/>
            <w10:anchorlock/>
          </v:shape>
        </w:pict>
      </w:r>
    </w:p>
    <w:p>
      <w:pPr>
        <w:pStyle w:val="BodyText"/>
        <w:spacing w:before="5"/>
        <w:rPr>
          <w:sz w:val="17"/>
        </w:rPr>
      </w:pPr>
    </w:p>
    <w:p>
      <w:pPr>
        <w:tabs>
          <w:tab w:val="left" w:pos="2739"/>
          <w:tab w:val="left" w:pos="3941"/>
          <w:tab w:val="left" w:pos="4887"/>
          <w:tab w:val="left" w:pos="6126"/>
          <w:tab w:val="left" w:pos="7343"/>
          <w:tab w:val="left" w:pos="8255"/>
          <w:tab w:val="left" w:pos="9611"/>
        </w:tabs>
        <w:spacing w:before="91"/>
        <w:ind w:left="1507" w:right="0" w:firstLine="0"/>
        <w:jc w:val="left"/>
        <w:rPr>
          <w:sz w:val="16"/>
        </w:rPr>
      </w:pPr>
      <w:r>
        <w:pict>
          <v:shape id="_x0000_s1458" type="#_x0000_t202" style="width:8.05pt;height:8.05pt;margin-top:15.08pt;margin-left:463.9pt;mso-position-horizontal-relative:page;position:absolute;z-index:-251590656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color w:val="1F3763"/>
                      <w:w w:val="100"/>
                      <w:sz w:val="16"/>
                    </w:rPr>
                    <w:t>万</w:t>
                  </w:r>
                </w:p>
              </w:txbxContent>
            </v:textbox>
          </v:shape>
        </w:pict>
      </w:r>
      <w:r>
        <w:rPr>
          <w:color w:val="1F3763"/>
          <w:sz w:val="16"/>
        </w:rPr>
        <w:t>奇瑞汽车</w:t>
        <w:tab/>
        <w:t>瑞虎</w:t>
      </w:r>
      <w:r>
        <w:rPr>
          <w:color w:val="1F3763"/>
          <w:spacing w:val="-40"/>
          <w:sz w:val="16"/>
        </w:rPr>
        <w:t xml:space="preserve"> </w:t>
      </w:r>
      <w:r>
        <w:rPr>
          <w:rFonts w:ascii="Arial" w:eastAsia="Arial"/>
          <w:color w:val="1F3763"/>
          <w:sz w:val="16"/>
        </w:rPr>
        <w:t>8</w:t>
        <w:tab/>
        <w:t>1.26</w:t>
        <w:tab/>
      </w:r>
      <w:r>
        <w:rPr>
          <w:color w:val="1F3763"/>
          <w:sz w:val="16"/>
        </w:rPr>
        <w:t>中</w:t>
      </w:r>
      <w:r>
        <w:rPr>
          <w:color w:val="1F3763"/>
          <w:spacing w:val="38"/>
          <w:sz w:val="16"/>
        </w:rPr>
        <w:t>型</w:t>
      </w:r>
      <w:r>
        <w:rPr>
          <w:rFonts w:ascii="Arial" w:eastAsia="Arial"/>
          <w:color w:val="1F3763"/>
          <w:sz w:val="16"/>
        </w:rPr>
        <w:t>SUV</w:t>
        <w:tab/>
      </w:r>
      <w:r>
        <w:rPr>
          <w:color w:val="1F3763"/>
          <w:sz w:val="16"/>
        </w:rPr>
        <w:t>纯燃油</w:t>
        <w:tab/>
      </w:r>
      <w:r>
        <w:rPr>
          <w:rFonts w:ascii="Arial" w:eastAsia="Arial"/>
          <w:color w:val="1F3763"/>
          <w:sz w:val="16"/>
        </w:rPr>
        <w:t>1.6T</w:t>
        <w:tab/>
      </w:r>
      <w:r>
        <w:rPr>
          <w:rFonts w:ascii="Arial" w:eastAsia="Arial"/>
          <w:color w:val="1F3763"/>
          <w:position w:val="11"/>
          <w:sz w:val="16"/>
        </w:rPr>
        <w:t>8.89-16.18</w:t>
        <w:tab/>
      </w:r>
      <w:r>
        <w:rPr>
          <w:color w:val="1F3763"/>
          <w:sz w:val="16"/>
        </w:rPr>
        <w:t>改款</w:t>
      </w:r>
    </w:p>
    <w:p>
      <w:pPr>
        <w:pStyle w:val="BodyText"/>
        <w:spacing w:before="10"/>
        <w:rPr>
          <w:sz w:val="28"/>
        </w:rPr>
      </w:pPr>
      <w:r>
        <w:pict>
          <v:shape id="_x0000_s1459" type="#_x0000_t202" style="width:35.8pt;height:9pt;margin-top:24.71pt;margin-left:110.06pt;mso-position-horizontal-relative:page;mso-wrap-distance-left:0;mso-wrap-distance-right:0;position:absolute;z-index:-251589632" filled="f" stroked="f">
            <v:textbox inset="0,0,0,0">
              <w:txbxContent>
                <w:p>
                  <w:pPr>
                    <w:spacing w:before="0" w:line="180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一汽</w:t>
                  </w:r>
                  <w:r>
                    <w:rPr>
                      <w:rFonts w:ascii="Arial" w:eastAsia="Arial"/>
                      <w:sz w:val="16"/>
                    </w:rPr>
                    <w:t>-</w:t>
                  </w:r>
                  <w:r>
                    <w:rPr>
                      <w:sz w:val="16"/>
                    </w:rPr>
                    <w:t>大众</w:t>
                  </w:r>
                </w:p>
              </w:txbxContent>
            </v:textbox>
            <w10:wrap type="topAndBottom"/>
          </v:shape>
        </w:pict>
      </w:r>
      <w:r>
        <w:pict>
          <v:shape id="_x0000_s1460" type="#_x0000_t202" style="width:35.55pt;height:9pt;margin-top:24.71pt;margin-left:166.97pt;mso-position-horizontal-relative:page;mso-wrap-distance-left:0;mso-wrap-distance-right:0;position:absolute;z-index:-251588608" filled="f" stroked="f">
            <v:textbox inset="0,0,0,0">
              <w:txbxContent>
                <w:p>
                  <w:pPr>
                    <w:spacing w:before="0" w:line="180" w:lineRule="exact"/>
                    <w:ind w:left="0" w:right="0" w:firstLine="0"/>
                    <w:jc w:val="left"/>
                    <w:rPr>
                      <w:rFonts w:ascii="Arial" w:eastAsia="Arial"/>
                      <w:sz w:val="16"/>
                    </w:rPr>
                  </w:pPr>
                  <w:r>
                    <w:rPr>
                      <w:spacing w:val="-14"/>
                      <w:sz w:val="16"/>
                    </w:rPr>
                    <w:t xml:space="preserve">探岳 </w:t>
                  </w:r>
                  <w:r>
                    <w:rPr>
                      <w:rFonts w:ascii="Arial" w:eastAsia="Arial"/>
                      <w:sz w:val="16"/>
                    </w:rPr>
                    <w:t>GTE</w:t>
                  </w:r>
                </w:p>
              </w:txbxContent>
            </v:textbox>
            <w10:wrap type="topAndBottom"/>
          </v:shape>
        </w:pict>
      </w:r>
      <w:r>
        <w:pict>
          <v:shape id="_x0000_s1461" type="#_x0000_t202" style="width:16.65pt;height:9pt;margin-top:24.83pt;margin-left:233.09pt;mso-position-horizontal-relative:page;mso-wrap-distance-left:0;mso-wrap-distance-right:0;position:absolute;z-index:-251587584" filled="f" stroked="f">
            <v:textbox inset="0,0,0,0">
              <w:txbxContent>
                <w:p>
                  <w:pPr>
                    <w:spacing w:before="0" w:line="179" w:lineRule="exact"/>
                    <w:ind w:left="0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1.26</w:t>
                  </w:r>
                </w:p>
              </w:txbxContent>
            </v:textbox>
            <w10:wrap type="topAndBottom"/>
          </v:shape>
        </w:pict>
      </w:r>
      <w:r>
        <w:pict>
          <v:shape id="_x0000_s1462" type="#_x0000_t202" style="width:35.55pt;height:9pt;margin-top:24.71pt;margin-left:280.39pt;mso-position-horizontal-relative:page;mso-wrap-distance-left:0;mso-wrap-distance-right:0;position:absolute;z-index:-251586560" filled="f" stroked="f">
            <v:textbox inset="0,0,0,0">
              <w:txbxContent>
                <w:p>
                  <w:pPr>
                    <w:spacing w:before="0" w:line="180" w:lineRule="exact"/>
                    <w:ind w:left="0" w:right="0" w:firstLine="0"/>
                    <w:jc w:val="left"/>
                    <w:rPr>
                      <w:rFonts w:ascii="Arial" w:eastAsia="Arial"/>
                      <w:sz w:val="16"/>
                    </w:rPr>
                  </w:pPr>
                  <w:r>
                    <w:rPr>
                      <w:sz w:val="16"/>
                    </w:rPr>
                    <w:t>中型</w:t>
                  </w:r>
                  <w:r>
                    <w:rPr>
                      <w:rFonts w:ascii="Arial" w:eastAsia="Arial"/>
                      <w:sz w:val="16"/>
                    </w:rPr>
                    <w:t>SUV</w:t>
                  </w:r>
                </w:p>
              </w:txbxContent>
            </v:textbox>
            <w10:wrap type="topAndBottom"/>
          </v:shape>
        </w:pict>
      </w:r>
      <w:r>
        <w:pict>
          <v:shape id="_x0000_s1463" type="#_x0000_t202" style="width:33.2pt;height:8.05pt;margin-top:25.07pt;margin-left:338.35pt;mso-position-horizontal-relative:page;mso-wrap-distance-left:0;mso-wrap-distance-right:0;position:absolute;z-index:-251585536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插电混动</w:t>
                  </w:r>
                </w:p>
              </w:txbxContent>
            </v:textbox>
            <w10:wrap type="topAndBottom"/>
          </v:shape>
        </w:pict>
      </w:r>
      <w:r>
        <w:pict>
          <v:shape id="_x0000_s1464" type="#_x0000_t202" style="width:33.2pt;height:18.5pt;margin-top:20.51pt;margin-left:395.14pt;mso-position-horizontal-relative:page;mso-wrap-distance-left:0;mso-wrap-distance-right:0;position:absolute;z-index:-251584512" filled="f" stroked="f">
            <v:textbox inset="0,0,0,0">
              <w:txbxContent>
                <w:p>
                  <w:pPr>
                    <w:spacing w:before="0" w:line="183" w:lineRule="exact"/>
                    <w:ind w:left="0" w:right="18" w:firstLine="0"/>
                    <w:jc w:val="center"/>
                    <w:rPr>
                      <w:sz w:val="16"/>
                    </w:rPr>
                  </w:pPr>
                  <w:r>
                    <w:rPr>
                      <w:color w:val="1F3763"/>
                      <w:sz w:val="16"/>
                    </w:rPr>
                    <w:t>纯电续航</w:t>
                  </w:r>
                </w:p>
                <w:p>
                  <w:pPr>
                    <w:spacing w:before="1"/>
                    <w:ind w:left="0" w:right="18" w:firstLine="0"/>
                    <w:jc w:val="center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color w:val="1F3763"/>
                      <w:sz w:val="16"/>
                    </w:rPr>
                    <w:t>46km</w:t>
                  </w:r>
                </w:p>
              </w:txbxContent>
            </v:textbox>
            <w10:wrap type="topAndBottom"/>
          </v:shape>
        </w:pict>
      </w:r>
      <w:r>
        <w:pict>
          <v:shape id="_x0000_s1465" type="#_x0000_t202" style="width:43.75pt;height:18.15pt;margin-top:19.67pt;margin-left:446.5pt;mso-position-horizontal-relative:page;mso-wrap-distance-left:0;mso-wrap-distance-right:0;position:absolute;z-index:-251583488" filled="f" stroked="f">
            <v:textbox inset="0,0,0,0">
              <w:txbxContent>
                <w:p>
                  <w:pPr>
                    <w:spacing w:before="0" w:line="179" w:lineRule="exact"/>
                    <w:ind w:left="-1" w:right="18" w:firstLine="0"/>
                    <w:jc w:val="center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pacing w:val="-1"/>
                      <w:sz w:val="16"/>
                    </w:rPr>
                    <w:t>19.29-24.29</w:t>
                  </w:r>
                </w:p>
                <w:p>
                  <w:pPr>
                    <w:spacing w:before="0" w:line="183" w:lineRule="exact"/>
                    <w:ind w:left="0" w:right="16" w:firstLine="0"/>
                    <w:jc w:val="center"/>
                    <w:rPr>
                      <w:sz w:val="16"/>
                    </w:rPr>
                  </w:pPr>
                  <w:r>
                    <w:rPr>
                      <w:w w:val="100"/>
                      <w:sz w:val="16"/>
                    </w:rPr>
                    <w:t>万</w:t>
                  </w:r>
                </w:p>
              </w:txbxContent>
            </v:textbox>
            <w10:wrap type="topAndBottom"/>
          </v:shape>
        </w:pict>
      </w:r>
      <w:r>
        <w:pict>
          <v:shape id="_x0000_s1466" type="#_x0000_t202" style="width:17.1pt;height:8.05pt;margin-top:25.07pt;margin-left:516.6pt;mso-position-horizontal-relative:page;mso-wrap-distance-left:0;mso-wrap-distance-right:0;position:absolute;z-index:-251582464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改款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6"/>
        <w:rPr>
          <w:sz w:val="22"/>
        </w:rPr>
      </w:pPr>
    </w:p>
    <w:p>
      <w:pPr>
        <w:tabs>
          <w:tab w:val="left" w:pos="2645"/>
          <w:tab w:val="left" w:pos="3941"/>
          <w:tab w:val="left" w:pos="5072"/>
          <w:tab w:val="left" w:pos="6126"/>
          <w:tab w:val="left" w:pos="7345"/>
          <w:tab w:val="left" w:pos="8202"/>
          <w:tab w:val="left" w:pos="9611"/>
        </w:tabs>
        <w:spacing w:before="86"/>
        <w:ind w:left="1507" w:right="0" w:firstLine="0"/>
        <w:jc w:val="left"/>
        <w:rPr>
          <w:sz w:val="16"/>
        </w:rPr>
      </w:pPr>
      <w:r>
        <w:rPr>
          <w:sz w:val="16"/>
        </w:rPr>
        <w:t>长安凯程</w:t>
        <w:tab/>
        <w:t>神骐</w:t>
      </w:r>
      <w:r>
        <w:rPr>
          <w:spacing w:val="-40"/>
          <w:sz w:val="16"/>
        </w:rPr>
        <w:t xml:space="preserve"> </w:t>
      </w:r>
      <w:r>
        <w:rPr>
          <w:rFonts w:ascii="Arial" w:eastAsia="Arial"/>
          <w:sz w:val="16"/>
        </w:rPr>
        <w:t>T30</w:t>
        <w:tab/>
        <w:t>1.26</w:t>
        <w:tab/>
      </w:r>
      <w:r>
        <w:rPr>
          <w:sz w:val="16"/>
        </w:rPr>
        <w:t>微卡</w:t>
        <w:tab/>
        <w:t>纯燃油</w:t>
        <w:tab/>
      </w:r>
      <w:r>
        <w:rPr>
          <w:rFonts w:ascii="Arial" w:eastAsia="Arial"/>
          <w:sz w:val="16"/>
        </w:rPr>
        <w:t>1.6L</w:t>
        <w:tab/>
        <w:t>5.39-6.91</w:t>
      </w:r>
      <w:r>
        <w:rPr>
          <w:rFonts w:ascii="Arial" w:eastAsia="Arial"/>
          <w:spacing w:val="-9"/>
          <w:sz w:val="16"/>
        </w:rPr>
        <w:t xml:space="preserve"> </w:t>
      </w:r>
      <w:r>
        <w:rPr>
          <w:sz w:val="16"/>
        </w:rPr>
        <w:t>万</w:t>
        <w:tab/>
        <w:t>改款</w:t>
      </w:r>
    </w:p>
    <w:p>
      <w:pPr>
        <w:pStyle w:val="BodyText"/>
        <w:spacing w:before="10"/>
        <w:rPr>
          <w:sz w:val="28"/>
        </w:rPr>
      </w:pPr>
      <w:r>
        <w:pict>
          <v:shape id="_x0000_s1467" type="#_x0000_t202" style="width:33.2pt;height:8.05pt;margin-top:25.2pt;margin-left:111.38pt;mso-position-horizontal-relative:page;mso-wrap-distance-left:0;mso-wrap-distance-right:0;position:absolute;z-index:-251581440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奇瑞汽车</w:t>
                  </w:r>
                </w:p>
              </w:txbxContent>
            </v:textbox>
            <w10:wrap type="topAndBottom"/>
          </v:shape>
        </w:pict>
      </w:r>
      <w:r>
        <w:pict>
          <v:shape id="_x0000_s1468" type="#_x0000_t202" style="width:41.1pt;height:8.05pt;margin-top:25.2pt;margin-left:164.21pt;mso-position-horizontal-relative:page;mso-wrap-distance-left:0;mso-wrap-distance-right:0;position:absolute;z-index:-251580416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捷途旅行者</w:t>
                  </w:r>
                </w:p>
              </w:txbxContent>
            </v:textbox>
            <w10:wrap type="topAndBottom"/>
          </v:shape>
        </w:pict>
      </w:r>
      <w:r>
        <w:pict>
          <v:shape id="_x0000_s1469" type="#_x0000_t202" style="width:16.65pt;height:9pt;margin-top:24.83pt;margin-left:233.09pt;mso-position-horizontal-relative:page;mso-wrap-distance-left:0;mso-wrap-distance-right:0;position:absolute;z-index:-251579392" filled="f" stroked="f">
            <v:textbox inset="0,0,0,0">
              <w:txbxContent>
                <w:p>
                  <w:pPr>
                    <w:spacing w:before="0" w:line="179" w:lineRule="exact"/>
                    <w:ind w:left="0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1.28</w:t>
                  </w:r>
                </w:p>
              </w:txbxContent>
            </v:textbox>
            <w10:wrap type="topAndBottom"/>
          </v:shape>
        </w:pict>
      </w:r>
      <w:r>
        <w:pict>
          <v:shape id="_x0000_s1470" type="#_x0000_t202" style="width:43.6pt;height:9pt;margin-top:24.83pt;margin-left:276.43pt;mso-position-horizontal-relative:page;mso-wrap-distance-left:0;mso-wrap-distance-right:0;position:absolute;z-index:-251578368" filled="f" stroked="f">
            <v:textbox inset="0,0,0,0">
              <w:txbxContent>
                <w:p>
                  <w:pPr>
                    <w:spacing w:before="0" w:line="180" w:lineRule="exact"/>
                    <w:ind w:left="0" w:right="0" w:firstLine="0"/>
                    <w:jc w:val="left"/>
                    <w:rPr>
                      <w:rFonts w:ascii="Arial" w:eastAsia="Arial"/>
                      <w:sz w:val="16"/>
                    </w:rPr>
                  </w:pPr>
                  <w:r>
                    <w:rPr>
                      <w:sz w:val="16"/>
                    </w:rPr>
                    <w:t>紧凑型</w:t>
                  </w:r>
                  <w:r>
                    <w:rPr>
                      <w:rFonts w:ascii="Arial" w:eastAsia="Arial"/>
                      <w:sz w:val="16"/>
                    </w:rPr>
                    <w:t>SUV</w:t>
                  </w:r>
                </w:p>
              </w:txbxContent>
            </v:textbox>
            <w10:wrap type="topAndBottom"/>
          </v:shape>
        </w:pict>
      </w:r>
      <w:r>
        <w:pict>
          <v:shape id="_x0000_s1471" type="#_x0000_t202" style="width:25.15pt;height:8.05pt;margin-top:25.2pt;margin-left:342.31pt;mso-position-horizontal-relative:page;mso-wrap-distance-left:0;mso-wrap-distance-right:0;position:absolute;z-index:-251577344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纯燃油</w:t>
                  </w:r>
                </w:p>
              </w:txbxContent>
            </v:textbox>
            <w10:wrap type="topAndBottom"/>
          </v:shape>
        </w:pict>
      </w:r>
      <w:r>
        <w:pict>
          <v:shape id="_x0000_s1472" type="#_x0000_t202" style="width:17.1pt;height:9pt;margin-top:24.83pt;margin-left:403.18pt;mso-position-horizontal-relative:page;mso-wrap-distance-left:0;mso-wrap-distance-right:0;position:absolute;z-index:-251576320" filled="f" stroked="f">
            <v:textbox inset="0,0,0,0">
              <w:txbxContent>
                <w:p>
                  <w:pPr>
                    <w:spacing w:before="0" w:line="179" w:lineRule="exact"/>
                    <w:ind w:left="0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2.0T</w:t>
                  </w:r>
                </w:p>
              </w:txbxContent>
            </v:textbox>
            <w10:wrap type="topAndBottom"/>
          </v:shape>
        </w:pict>
      </w:r>
      <w:r>
        <w:pict>
          <v:shape id="_x0000_s1473" type="#_x0000_t202" style="width:43.75pt;height:18.15pt;margin-top:19.67pt;margin-left:446.5pt;mso-position-horizontal-relative:page;mso-wrap-distance-left:0;mso-wrap-distance-right:0;position:absolute;z-index:-251575296" filled="f" stroked="f">
            <v:textbox inset="0,0,0,0">
              <w:txbxContent>
                <w:p>
                  <w:pPr>
                    <w:spacing w:before="0" w:line="179" w:lineRule="exact"/>
                    <w:ind w:left="-1" w:right="18" w:firstLine="0"/>
                    <w:jc w:val="center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pacing w:val="-1"/>
                      <w:sz w:val="16"/>
                    </w:rPr>
                    <w:t>12.49-16.99</w:t>
                  </w:r>
                </w:p>
                <w:p>
                  <w:pPr>
                    <w:spacing w:before="0" w:line="183" w:lineRule="exact"/>
                    <w:ind w:left="0" w:right="16" w:firstLine="0"/>
                    <w:jc w:val="center"/>
                    <w:rPr>
                      <w:sz w:val="16"/>
                    </w:rPr>
                  </w:pPr>
                  <w:r>
                    <w:rPr>
                      <w:w w:val="100"/>
                      <w:sz w:val="16"/>
                    </w:rPr>
                    <w:t>万</w:t>
                  </w:r>
                </w:p>
              </w:txbxContent>
            </v:textbox>
            <w10:wrap type="topAndBottom"/>
          </v:shape>
        </w:pict>
      </w:r>
      <w:r>
        <w:pict>
          <v:shape id="_x0000_s1474" type="#_x0000_t202" style="width:17.1pt;height:8.05pt;margin-top:25.2pt;margin-left:516.6pt;mso-position-horizontal-relative:page;mso-wrap-distance-left:0;mso-wrap-distance-right:0;position:absolute;z-index:-251574272" filled="f" stroked="f">
            <v:textbox inset="0,0,0,0">
              <w:txbxContent>
                <w:p>
                  <w:pPr>
                    <w:spacing w:before="0" w:line="161" w:lineRule="exact"/>
                    <w:ind w:left="0" w:right="0" w:firstLine="0"/>
                    <w:jc w:val="left"/>
                    <w:rPr>
                      <w:sz w:val="16"/>
                    </w:rPr>
                  </w:pPr>
                  <w:r>
                    <w:rPr>
                      <w:sz w:val="16"/>
                    </w:rPr>
                    <w:t>新车</w:t>
                  </w: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sz w:val="7"/>
        </w:rPr>
      </w:pPr>
    </w:p>
    <w:p>
      <w:pPr>
        <w:spacing w:before="76"/>
        <w:ind w:left="131" w:right="0" w:firstLine="0"/>
        <w:jc w:val="left"/>
        <w:rPr>
          <w:i/>
          <w:sz w:val="17"/>
        </w:rPr>
      </w:pPr>
      <w:r>
        <w:t xml:space="preserve">资料来源：太平洋汽车， </w:t>
      </w:r>
    </w:p>
    <w:p>
      <w:pPr>
        <w:pStyle w:val="BodyText"/>
        <w:rPr>
          <w:i/>
          <w:sz w:val="16"/>
        </w:rPr>
      </w:pPr>
    </w:p>
    <w:p>
      <w:pPr>
        <w:pStyle w:val="BodyText"/>
        <w:rPr>
          <w:i/>
          <w:sz w:val="16"/>
        </w:rPr>
      </w:pPr>
    </w:p>
    <w:p>
      <w:pPr>
        <w:pStyle w:val="BodyText"/>
        <w:spacing w:before="4"/>
        <w:rPr>
          <w:i/>
          <w:sz w:val="17"/>
        </w:rPr>
      </w:pPr>
    </w:p>
    <w:p>
      <w:pPr>
        <w:pStyle w:val="Heading1"/>
        <w:spacing w:after="21"/>
      </w:pPr>
      <w:bookmarkStart w:id="14" w:name="_TOC_250002"/>
      <w:bookmarkEnd w:id="14"/>
      <w:r>
        <w:t>6、 近期重点报告</w:t>
      </w:r>
    </w:p>
    <w:p>
      <w:pPr>
        <w:pStyle w:val="BodyText"/>
        <w:spacing w:line="20" w:lineRule="exact"/>
        <w:ind w:left="1989"/>
        <w:rPr>
          <w:rFonts w:ascii="黑体"/>
          <w:sz w:val="2"/>
        </w:rPr>
      </w:pPr>
      <w:r>
        <w:rPr>
          <w:rFonts w:ascii="黑体"/>
          <w:sz w:val="2"/>
        </w:rPr>
        <w:pict>
          <v:group id="_x0000_i1475" style="width:418.7pt;height:0.5pt;mso-position-horizontal-relative:char;mso-position-vertical-relative:line" coordorigin="0,0" coordsize="8374,10">
            <v:line id="_x0000_s1476" style="position:absolute" from="0,5" to="8373,5" stroked="t" strokecolor="#51759c" strokeweight="0.48pt">
              <v:stroke dashstyle="solid"/>
            </v:line>
            <w10:wrap type="none"/>
          </v:group>
        </w:pict>
      </w:r>
    </w:p>
    <w:p>
      <w:pPr>
        <w:pStyle w:val="BodyText"/>
        <w:spacing w:before="10"/>
        <w:rPr>
          <w:rFonts w:ascii="黑体"/>
          <w:sz w:val="6"/>
        </w:rPr>
      </w:pPr>
    </w:p>
    <w:p>
      <w:pPr>
        <w:pStyle w:val="BodyText"/>
        <w:spacing w:before="72"/>
        <w:ind w:left="2023"/>
        <w:jc w:val="both"/>
        <w:rPr>
          <w:rFonts w:ascii="黑体" w:eastAsia="黑体" w:hint="eastAsia"/>
        </w:rPr>
      </w:pPr>
      <w:r>
        <w:rPr>
          <w:rFonts w:ascii="黑体" w:eastAsia="黑体" w:hint="eastAsia"/>
        </w:rPr>
        <w:t>《2024 年度策略报告：拥抱行业变革，布局成长主线》</w:t>
      </w:r>
    </w:p>
    <w:p>
      <w:pPr>
        <w:pStyle w:val="BodyText"/>
        <w:spacing w:before="1"/>
        <w:rPr>
          <w:rFonts w:ascii="黑体"/>
          <w:sz w:val="16"/>
        </w:rPr>
      </w:pPr>
    </w:p>
    <w:p>
      <w:pPr>
        <w:spacing w:before="0" w:line="285" w:lineRule="auto"/>
        <w:ind w:left="2023" w:right="320" w:firstLine="0"/>
        <w:jc w:val="both"/>
        <w:rPr>
          <w:sz w:val="21"/>
        </w:rPr>
      </w:pPr>
      <w:r>
        <w:rPr>
          <w:b/>
          <w:spacing w:val="-1"/>
          <w:sz w:val="21"/>
        </w:rPr>
        <w:t xml:space="preserve">总量层面，我们看好 </w:t>
      </w:r>
      <w:r>
        <w:rPr>
          <w:b/>
          <w:sz w:val="21"/>
        </w:rPr>
        <w:t>2024</w:t>
      </w:r>
      <w:r>
        <w:rPr>
          <w:b/>
          <w:spacing w:val="-3"/>
          <w:sz w:val="21"/>
        </w:rPr>
        <w:t xml:space="preserve"> 年汽车销量平稳向上，新能源及出口贡献主要增长。</w:t>
      </w:r>
      <w:r>
        <w:rPr>
          <w:spacing w:val="-1"/>
          <w:sz w:val="21"/>
        </w:rPr>
        <w:t xml:space="preserve">展望 </w:t>
      </w:r>
      <w:r>
        <w:rPr>
          <w:sz w:val="21"/>
        </w:rPr>
        <w:t>2024 年，虽然宏观经济增长及消费者信心恢复或仍面临一定压力，但国内汽车需求处于疫情三</w:t>
      </w:r>
      <w:r>
        <w:rPr>
          <w:spacing w:val="-4"/>
          <w:sz w:val="21"/>
        </w:rPr>
        <w:t xml:space="preserve">年后向上恢复期，叠加 </w:t>
      </w:r>
      <w:r>
        <w:rPr>
          <w:sz w:val="21"/>
        </w:rPr>
        <w:t>2016-2017</w:t>
      </w:r>
      <w:r>
        <w:rPr>
          <w:spacing w:val="-6"/>
          <w:sz w:val="21"/>
        </w:rPr>
        <w:t xml:space="preserve"> 年上一轮乘用车销量高峰后 </w:t>
      </w:r>
      <w:r>
        <w:rPr>
          <w:sz w:val="21"/>
        </w:rPr>
        <w:t>6-7</w:t>
      </w:r>
      <w:r>
        <w:rPr>
          <w:spacing w:val="-5"/>
          <w:sz w:val="21"/>
        </w:rPr>
        <w:t xml:space="preserve"> 年换车周期到来，电动</w:t>
      </w:r>
    </w:p>
    <w:p>
      <w:pPr>
        <w:pStyle w:val="BodyText"/>
        <w:ind w:left="2023"/>
      </w:pPr>
      <w:r>
        <w:rPr>
          <w:spacing w:val="-2"/>
        </w:rPr>
        <w:t xml:space="preserve">化智能化技术的不断进步带来更高性价比产品，以及汽车出口的快速增长，我们预计 </w:t>
      </w:r>
      <w:r>
        <w:t>2024</w:t>
      </w:r>
    </w:p>
    <w:p>
      <w:pPr>
        <w:pStyle w:val="BodyText"/>
        <w:spacing w:before="52"/>
        <w:ind w:left="2023"/>
      </w:pPr>
      <w:r>
        <w:t>年汽车销</w:t>
      </w:r>
      <w:r>
        <w:rPr>
          <w:spacing w:val="-3"/>
        </w:rPr>
        <w:t>量</w:t>
      </w:r>
      <w:r>
        <w:t>有</w:t>
      </w:r>
      <w:r>
        <w:rPr>
          <w:spacing w:val="-3"/>
        </w:rPr>
        <w:t>望达</w:t>
      </w:r>
      <w:r>
        <w:t>到</w:t>
      </w:r>
      <w:r>
        <w:rPr>
          <w:spacing w:val="-33"/>
        </w:rPr>
        <w:t xml:space="preserve"> </w:t>
      </w:r>
      <w:r>
        <w:t>3020</w:t>
      </w:r>
      <w:r>
        <w:rPr>
          <w:spacing w:val="-35"/>
        </w:rPr>
        <w:t xml:space="preserve"> </w:t>
      </w:r>
      <w:r>
        <w:t>万辆</w:t>
      </w:r>
      <w:r>
        <w:rPr>
          <w:spacing w:val="-3"/>
        </w:rPr>
        <w:t>，</w:t>
      </w:r>
      <w:r>
        <w:t>同</w:t>
      </w:r>
      <w:r>
        <w:rPr>
          <w:spacing w:val="-3"/>
        </w:rPr>
        <w:t>比</w:t>
      </w:r>
      <w:r>
        <w:t>增</w:t>
      </w:r>
      <w:r>
        <w:rPr>
          <w:spacing w:val="-3"/>
        </w:rPr>
        <w:t>长</w:t>
      </w:r>
      <w:r>
        <w:t>约</w:t>
      </w:r>
      <w:r>
        <w:rPr>
          <w:spacing w:val="-32"/>
        </w:rPr>
        <w:t xml:space="preserve"> </w:t>
      </w:r>
      <w:r>
        <w:rPr>
          <w:spacing w:val="-3"/>
        </w:rPr>
        <w:t>8</w:t>
      </w:r>
      <w:r>
        <w:rPr>
          <w:spacing w:val="-105"/>
        </w:rPr>
        <w:t xml:space="preserve"> </w:t>
      </w:r>
      <w:r>
        <w:rPr>
          <w:spacing w:val="-3"/>
          <w:w w:val="100"/>
        </w:rPr>
        <w:drawing>
          <wp:inline distT="0" distB="0" distL="0" distR="0">
            <wp:extent cx="63500" cy="95250"/>
            <wp:effectExtent l="0" t="0" r="0" b="0"/>
            <wp:docPr id="4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5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。其</w:t>
      </w:r>
      <w:r>
        <w:t>中，</w:t>
      </w:r>
      <w:r>
        <w:rPr>
          <w:spacing w:val="-3"/>
        </w:rPr>
        <w:t>我</w:t>
      </w:r>
      <w:r>
        <w:t>们</w:t>
      </w:r>
      <w:r>
        <w:rPr>
          <w:spacing w:val="-3"/>
        </w:rPr>
        <w:t>预</w:t>
      </w:r>
      <w:r>
        <w:t>计</w:t>
      </w:r>
      <w:r>
        <w:rPr>
          <w:spacing w:val="-29"/>
        </w:rPr>
        <w:t xml:space="preserve"> </w:t>
      </w:r>
      <w:r>
        <w:t>2024</w:t>
      </w:r>
      <w:r>
        <w:rPr>
          <w:spacing w:val="-32"/>
        </w:rPr>
        <w:t xml:space="preserve"> </w:t>
      </w:r>
      <w:r>
        <w:t>年</w:t>
      </w:r>
      <w:r>
        <w:rPr>
          <w:spacing w:val="-3"/>
        </w:rPr>
        <w:t>乘用</w:t>
      </w:r>
      <w:r>
        <w:t>车批</w:t>
      </w:r>
      <w:r>
        <w:rPr>
          <w:spacing w:val="-3"/>
        </w:rPr>
        <w:t>发</w:t>
      </w:r>
      <w:r>
        <w:t>销量</w:t>
      </w:r>
    </w:p>
    <w:p>
      <w:pPr>
        <w:pStyle w:val="BodyText"/>
        <w:spacing w:before="50"/>
        <w:ind w:left="2023"/>
      </w:pPr>
      <w:r>
        <w:t>有望</w:t>
      </w:r>
      <w:r>
        <w:rPr>
          <w:spacing w:val="-3"/>
        </w:rPr>
        <w:t>达</w:t>
      </w:r>
      <w:r>
        <w:t>到</w:t>
      </w:r>
      <w:r>
        <w:rPr>
          <w:spacing w:val="-34"/>
        </w:rPr>
        <w:t xml:space="preserve"> </w:t>
      </w:r>
      <w:r>
        <w:t>2550</w:t>
      </w:r>
      <w:r>
        <w:rPr>
          <w:spacing w:val="-37"/>
        </w:rPr>
        <w:t xml:space="preserve"> </w:t>
      </w:r>
      <w:r>
        <w:t>万</w:t>
      </w:r>
      <w:r>
        <w:rPr>
          <w:spacing w:val="-3"/>
        </w:rPr>
        <w:t>辆</w:t>
      </w:r>
      <w:r>
        <w:t>，</w:t>
      </w:r>
      <w:r>
        <w:rPr>
          <w:spacing w:val="-3"/>
        </w:rPr>
        <w:t>同比</w:t>
      </w:r>
      <w:r>
        <w:t>增长</w:t>
      </w:r>
      <w:r>
        <w:rPr>
          <w:spacing w:val="-33"/>
        </w:rPr>
        <w:t xml:space="preserve"> </w:t>
      </w:r>
      <w:r>
        <w:rPr>
          <w:spacing w:val="-3"/>
        </w:rPr>
        <w:t>6</w:t>
      </w:r>
      <w:r>
        <w:rPr>
          <w:spacing w:val="-3"/>
          <w:w w:val="100"/>
        </w:rPr>
        <w:drawing>
          <wp:inline distT="0" distB="0" distL="0" distR="0">
            <wp:extent cx="63500" cy="95250"/>
            <wp:effectExtent l="0" t="0" r="0" b="0"/>
            <wp:docPr id="4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5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</w:rPr>
        <w:t>；</w:t>
      </w:r>
      <w:r>
        <w:t>新</w:t>
      </w:r>
      <w:r>
        <w:rPr>
          <w:spacing w:val="-3"/>
        </w:rPr>
        <w:t>能</w:t>
      </w:r>
      <w:r>
        <w:t>源</w:t>
      </w:r>
      <w:r>
        <w:rPr>
          <w:spacing w:val="-3"/>
        </w:rPr>
        <w:t>乘</w:t>
      </w:r>
      <w:r>
        <w:t>用</w:t>
      </w:r>
      <w:r>
        <w:rPr>
          <w:spacing w:val="-3"/>
        </w:rPr>
        <w:t>车批</w:t>
      </w:r>
      <w:r>
        <w:t>发销</w:t>
      </w:r>
      <w:r>
        <w:rPr>
          <w:spacing w:val="-3"/>
        </w:rPr>
        <w:t>量</w:t>
      </w:r>
      <w:r>
        <w:t>有</w:t>
      </w:r>
      <w:r>
        <w:rPr>
          <w:spacing w:val="-3"/>
        </w:rPr>
        <w:t>望达</w:t>
      </w:r>
      <w:r>
        <w:t>到</w:t>
      </w:r>
      <w:r>
        <w:rPr>
          <w:spacing w:val="-26"/>
        </w:rPr>
        <w:t xml:space="preserve"> </w:t>
      </w:r>
      <w:r>
        <w:t>1150</w:t>
      </w:r>
      <w:r>
        <w:rPr>
          <w:spacing w:val="-26"/>
        </w:rPr>
        <w:t xml:space="preserve"> </w:t>
      </w:r>
      <w:r>
        <w:rPr>
          <w:spacing w:val="-3"/>
        </w:rPr>
        <w:t>万辆</w:t>
      </w:r>
      <w:r>
        <w:t>，同</w:t>
      </w:r>
      <w:r>
        <w:rPr>
          <w:spacing w:val="-3"/>
        </w:rPr>
        <w:t>比</w:t>
      </w:r>
      <w:r>
        <w:t>增长</w:t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https://d.book118.com/375200341102011113</w:t>
        </w:r>
      </w:hyperlink>
    </w:p>
    <w:p>
      <w:pPr>
        <w:pStyle w:val="BodyText"/>
        <w:spacing w:before="50"/>
        <w:ind w:left="2023"/>
      </w:pPr>
    </w:p>
    <w:sectPr>
      <w:headerReference w:type="default" r:id="rId98"/>
      <w:footerReference w:type="default" r:id="rId99"/>
      <w:type w:val="continuous"/>
      <w:pgSz w:w="11910" w:h="16840"/>
      <w:pgMar w:top="960" w:right="520" w:bottom="1200" w:left="720" w:header="708" w:footer="708"/>
      <w:pgNumType w:start="3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AD84D"/>
    <w:multiLevelType w:val="hybridMultilevel"/>
    <w:tmpl w:val="00000000"/>
    <w:lvl w:ilvl="0">
      <w:start w:val="4"/>
      <w:numFmt w:val="decimal"/>
      <w:lvlText w:val="%1"/>
      <w:lvlJc w:val="left"/>
      <w:pPr>
        <w:ind w:left="3860" w:hanging="363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3860" w:hanging="363"/>
        <w:jc w:val="left"/>
      </w:pPr>
      <w:rPr>
        <w:rFonts w:ascii="黑体" w:eastAsia="黑体" w:hAnsi="黑体" w:cs="黑体" w:hint="default"/>
        <w:spacing w:val="0"/>
        <w:w w:val="100"/>
        <w:sz w:val="18"/>
        <w:szCs w:val="18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221" w:hanging="36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901" w:hanging="36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582" w:hanging="36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263" w:hanging="36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943" w:hanging="36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624" w:hanging="36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05" w:hanging="363"/>
      </w:pPr>
      <w:rPr>
        <w:rFonts w:hint="default"/>
        <w:lang w:val="zh-CN" w:eastAsia="zh-CN" w:bidi="zh-CN"/>
      </w:rPr>
    </w:lvl>
  </w:abstractNum>
  <w:abstractNum w:abstractNumId="1">
    <w:nsid w:val="13166B21"/>
    <w:multiLevelType w:val="hybridMultilevel"/>
    <w:tmpl w:val="00000000"/>
    <w:lvl w:ilvl="0">
      <w:start w:val="4"/>
      <w:numFmt w:val="decimal"/>
      <w:lvlText w:val="%1"/>
      <w:lvlJc w:val="left"/>
      <w:pPr>
        <w:ind w:left="2448" w:hanging="425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448" w:hanging="425"/>
        <w:jc w:val="left"/>
      </w:pPr>
      <w:rPr>
        <w:rFonts w:ascii="黑体" w:eastAsia="黑体" w:hAnsi="黑体" w:cs="黑体" w:hint="default"/>
        <w:w w:val="100"/>
        <w:sz w:val="24"/>
        <w:szCs w:val="24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2655" w:hanging="632"/>
        <w:jc w:val="left"/>
      </w:pPr>
      <w:rPr>
        <w:rFonts w:ascii="黑体" w:eastAsia="黑体" w:hAnsi="黑体" w:cs="黑体" w:hint="default"/>
        <w:w w:val="100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39" w:hanging="63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28" w:hanging="63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18" w:hanging="63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08" w:hanging="63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997" w:hanging="63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887" w:hanging="632"/>
      </w:pPr>
      <w:rPr>
        <w:rFonts w:hint="default"/>
        <w:lang w:val="zh-CN" w:eastAsia="zh-CN" w:bidi="zh-CN"/>
      </w:rPr>
    </w:lvl>
  </w:abstractNum>
  <w:abstractNum w:abstractNumId="2">
    <w:nsid w:val="21491B5A"/>
    <w:multiLevelType w:val="hybridMultilevel"/>
    <w:tmpl w:val="00000000"/>
    <w:lvl w:ilvl="0">
      <w:start w:val="4"/>
      <w:numFmt w:val="decimal"/>
      <w:lvlText w:val="%1"/>
      <w:lvlJc w:val="left"/>
      <w:pPr>
        <w:ind w:left="2448" w:hanging="425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448" w:hanging="425"/>
        <w:jc w:val="left"/>
      </w:pPr>
      <w:rPr>
        <w:rFonts w:ascii="黑体" w:eastAsia="黑体" w:hAnsi="黑体" w:cs="黑体" w:hint="default"/>
        <w:w w:val="100"/>
        <w:sz w:val="24"/>
        <w:szCs w:val="24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2655" w:hanging="632"/>
        <w:jc w:val="left"/>
      </w:pPr>
      <w:rPr>
        <w:rFonts w:ascii="黑体" w:eastAsia="黑体" w:hAnsi="黑体" w:cs="黑体" w:hint="default"/>
        <w:w w:val="100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39" w:hanging="63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28" w:hanging="63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18" w:hanging="63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08" w:hanging="63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997" w:hanging="63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887" w:hanging="632"/>
      </w:pPr>
      <w:rPr>
        <w:rFonts w:hint="default"/>
        <w:lang w:val="zh-CN" w:eastAsia="zh-CN" w:bidi="zh-CN"/>
      </w:rPr>
    </w:lvl>
  </w:abstractNum>
  <w:abstractNum w:abstractNumId="3">
    <w:nsid w:val="39B3D5E1"/>
    <w:multiLevelType w:val="hybridMultilevel"/>
    <w:tmpl w:val="00000000"/>
    <w:lvl w:ilvl="0">
      <w:start w:val="2"/>
      <w:numFmt w:val="decimal"/>
      <w:lvlText w:val="%1"/>
      <w:lvlJc w:val="left"/>
      <w:pPr>
        <w:ind w:left="3860" w:hanging="363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3860" w:hanging="363"/>
        <w:jc w:val="left"/>
      </w:pPr>
      <w:rPr>
        <w:rFonts w:ascii="黑体" w:eastAsia="黑体" w:hAnsi="黑体" w:cs="黑体" w:hint="default"/>
        <w:spacing w:val="0"/>
        <w:w w:val="100"/>
        <w:sz w:val="18"/>
        <w:szCs w:val="18"/>
        <w:lang w:val="zh-CN" w:eastAsia="zh-CN" w:bidi="zh-CN"/>
      </w:rPr>
    </w:lvl>
    <w:lvl w:ilvl="2">
      <w:start w:val="0"/>
      <w:numFmt w:val="bullet"/>
      <w:lvlText w:val="•"/>
      <w:lvlJc w:val="left"/>
      <w:pPr>
        <w:ind w:left="5221" w:hanging="36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901" w:hanging="36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582" w:hanging="36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263" w:hanging="36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943" w:hanging="36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624" w:hanging="36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05" w:hanging="363"/>
      </w:pPr>
      <w:rPr>
        <w:rFonts w:hint="default"/>
        <w:lang w:val="zh-CN" w:eastAsia="zh-CN" w:bidi="zh-CN"/>
      </w:rPr>
    </w:lvl>
  </w:abstractNum>
  <w:abstractNum w:abstractNumId="4">
    <w:nsid w:val="460D2CA5"/>
    <w:multiLevelType w:val="hybridMultilevel"/>
    <w:tmpl w:val="00000000"/>
    <w:lvl w:ilvl="0">
      <w:start w:val="4"/>
      <w:numFmt w:val="decimal"/>
      <w:lvlText w:val="%1"/>
      <w:lvlJc w:val="left"/>
      <w:pPr>
        <w:ind w:left="2448" w:hanging="425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448" w:hanging="425"/>
        <w:jc w:val="left"/>
      </w:pPr>
      <w:rPr>
        <w:rFonts w:ascii="黑体" w:eastAsia="黑体" w:hAnsi="黑体" w:cs="黑体" w:hint="default"/>
        <w:w w:val="100"/>
        <w:sz w:val="24"/>
        <w:szCs w:val="24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2655" w:hanging="632"/>
        <w:jc w:val="left"/>
      </w:pPr>
      <w:rPr>
        <w:rFonts w:ascii="黑体" w:eastAsia="黑体" w:hAnsi="黑体" w:cs="黑体" w:hint="default"/>
        <w:w w:val="100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39" w:hanging="63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28" w:hanging="63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18" w:hanging="63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08" w:hanging="63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997" w:hanging="63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887" w:hanging="632"/>
      </w:pPr>
      <w:rPr>
        <w:rFonts w:hint="default"/>
        <w:lang w:val="zh-CN" w:eastAsia="zh-CN" w:bidi="zh-CN"/>
      </w:rPr>
    </w:lvl>
  </w:abstractNum>
  <w:abstractNum w:abstractNumId="5">
    <w:nsid w:val="492EEA8A"/>
    <w:multiLevelType w:val="hybridMultilevel"/>
    <w:tmpl w:val="00000000"/>
    <w:lvl w:ilvl="0">
      <w:start w:val="2"/>
      <w:numFmt w:val="decimal"/>
      <w:lvlText w:val="%1"/>
      <w:lvlJc w:val="left"/>
      <w:pPr>
        <w:ind w:left="2448" w:hanging="425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448" w:hanging="425"/>
        <w:jc w:val="left"/>
      </w:pPr>
      <w:rPr>
        <w:rFonts w:ascii="黑体" w:eastAsia="黑体" w:hAnsi="黑体" w:cs="黑体" w:hint="default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085" w:hanging="42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907" w:hanging="42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30" w:hanging="42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53" w:hanging="42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375" w:hanging="42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98" w:hanging="42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1" w:hanging="425"/>
      </w:pPr>
      <w:rPr>
        <w:rFonts w:hint="default"/>
        <w:lang w:val="zh-CN" w:eastAsia="zh-CN" w:bidi="zh-CN"/>
      </w:rPr>
    </w:lvl>
  </w:abstractNum>
  <w:abstractNum w:abstractNumId="6">
    <w:nsid w:val="5ED609FA"/>
    <w:multiLevelType w:val="hybridMultilevel"/>
    <w:tmpl w:val="00000000"/>
    <w:lvl w:ilvl="0">
      <w:start w:val="2"/>
      <w:numFmt w:val="decimal"/>
      <w:lvlText w:val="%1"/>
      <w:lvlJc w:val="left"/>
      <w:pPr>
        <w:ind w:left="2448" w:hanging="425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448" w:hanging="425"/>
        <w:jc w:val="left"/>
      </w:pPr>
      <w:rPr>
        <w:rFonts w:ascii="黑体" w:eastAsia="黑体" w:hAnsi="黑体" w:cs="黑体" w:hint="default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085" w:hanging="42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907" w:hanging="42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730" w:hanging="42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553" w:hanging="42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375" w:hanging="42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198" w:hanging="42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021" w:hanging="425"/>
      </w:pPr>
      <w:rPr>
        <w:rFonts w:hint="default"/>
        <w:lang w:val="zh-CN" w:eastAsia="zh-CN" w:bidi="zh-CN"/>
      </w:rPr>
    </w:lvl>
  </w:abstractNum>
  <w:abstractNum w:abstractNumId="7">
    <w:nsid w:val="712602D3"/>
    <w:multiLevelType w:val="hybridMultilevel"/>
    <w:tmpl w:val="00000000"/>
    <w:lvl w:ilvl="0">
      <w:start w:val="4"/>
      <w:numFmt w:val="decimal"/>
      <w:lvlText w:val="%1"/>
      <w:lvlJc w:val="left"/>
      <w:pPr>
        <w:ind w:left="2448" w:hanging="425"/>
        <w:jc w:val="left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448" w:hanging="425"/>
        <w:jc w:val="left"/>
      </w:pPr>
      <w:rPr>
        <w:rFonts w:ascii="黑体" w:eastAsia="黑体" w:hAnsi="黑体" w:cs="黑体" w:hint="default"/>
        <w:w w:val="100"/>
        <w:sz w:val="24"/>
        <w:szCs w:val="24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2655" w:hanging="632"/>
        <w:jc w:val="left"/>
      </w:pPr>
      <w:rPr>
        <w:rFonts w:ascii="黑体" w:eastAsia="黑体" w:hAnsi="黑体" w:cs="黑体" w:hint="default"/>
        <w:w w:val="100"/>
        <w:sz w:val="21"/>
        <w:szCs w:val="21"/>
        <w:lang w:val="zh-CN" w:eastAsia="zh-CN" w:bidi="zh-CN"/>
      </w:rPr>
    </w:lvl>
    <w:lvl w:ilvl="3">
      <w:start w:val="0"/>
      <w:numFmt w:val="bullet"/>
      <w:lvlText w:val="•"/>
      <w:lvlJc w:val="left"/>
      <w:pPr>
        <w:ind w:left="4439" w:hanging="632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5328" w:hanging="632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6218" w:hanging="632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108" w:hanging="632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7997" w:hanging="632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8887" w:hanging="632"/>
      </w:pPr>
      <w:rPr>
        <w:rFonts w:hint="default"/>
        <w:lang w:val="zh-CN" w:eastAsia="zh-CN" w:bidi="zh-CN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7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  <w:lang w:val="zh-CN" w:eastAsia="zh-CN" w:bidi="zh-CN"/>
    </w:rPr>
  </w:style>
  <w:style w:type="paragraph" w:styleId="Heading1">
    <w:name w:val="heading 1"/>
    <w:basedOn w:val="Normal"/>
    <w:uiPriority w:val="1"/>
    <w:qFormat/>
    <w:pPr>
      <w:spacing w:before="19"/>
      <w:ind w:left="2023"/>
      <w:outlineLvl w:val="0"/>
    </w:pPr>
    <w:rPr>
      <w:rFonts w:ascii="黑体" w:eastAsia="黑体" w:hAnsi="黑体" w:cs="黑体"/>
      <w:sz w:val="30"/>
      <w:szCs w:val="30"/>
      <w:lang w:val="zh-CN" w:eastAsia="zh-CN" w:bidi="zh-CN"/>
    </w:rPr>
  </w:style>
  <w:style w:type="paragraph" w:styleId="Heading2">
    <w:name w:val="heading 2"/>
    <w:basedOn w:val="Normal"/>
    <w:uiPriority w:val="1"/>
    <w:qFormat/>
    <w:pPr>
      <w:spacing w:before="66"/>
      <w:ind w:left="2448" w:hanging="426"/>
      <w:outlineLvl w:val="1"/>
    </w:pPr>
    <w:rPr>
      <w:rFonts w:ascii="黑体" w:eastAsia="黑体" w:hAnsi="黑体" w:cs="黑体"/>
      <w:sz w:val="24"/>
      <w:szCs w:val="24"/>
      <w:lang w:val="zh-CN" w:eastAsia="zh-CN" w:bidi="zh-CN"/>
    </w:rPr>
  </w:style>
  <w:style w:type="paragraph" w:styleId="Heading3">
    <w:name w:val="heading 3"/>
    <w:basedOn w:val="Normal"/>
    <w:uiPriority w:val="1"/>
    <w:qFormat/>
    <w:pPr>
      <w:ind w:left="2023"/>
      <w:outlineLvl w:val="2"/>
    </w:pPr>
    <w:rPr>
      <w:rFonts w:ascii="楷体" w:eastAsia="楷体" w:hAnsi="楷体" w:cs="楷体"/>
      <w:b/>
      <w:bCs/>
      <w:sz w:val="21"/>
      <w:szCs w:val="21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626"/>
      <w:ind w:right="188"/>
      <w:jc w:val="right"/>
    </w:pPr>
    <w:rPr>
      <w:rFonts w:ascii="楷体" w:eastAsia="楷体" w:hAnsi="楷体" w:cs="楷体"/>
      <w:sz w:val="24"/>
      <w:szCs w:val="24"/>
      <w:lang w:val="zh-CN" w:eastAsia="zh-CN" w:bidi="zh-CN"/>
    </w:rPr>
  </w:style>
  <w:style w:type="paragraph" w:styleId="TOC2">
    <w:name w:val="toc 2"/>
    <w:basedOn w:val="Normal"/>
    <w:uiPriority w:val="1"/>
    <w:qFormat/>
    <w:pPr>
      <w:spacing w:before="2"/>
      <w:ind w:left="3125"/>
    </w:pPr>
    <w:rPr>
      <w:rFonts w:ascii="楷体" w:eastAsia="楷体" w:hAnsi="楷体" w:cs="楷体"/>
      <w:sz w:val="18"/>
      <w:szCs w:val="18"/>
      <w:lang w:val="zh-CN" w:eastAsia="zh-CN" w:bidi="zh-CN"/>
    </w:rPr>
  </w:style>
  <w:style w:type="paragraph" w:styleId="TOC3">
    <w:name w:val="toc 3"/>
    <w:basedOn w:val="Normal"/>
    <w:uiPriority w:val="1"/>
    <w:qFormat/>
    <w:pPr>
      <w:spacing w:before="2"/>
      <w:ind w:left="3497" w:hanging="364"/>
    </w:pPr>
    <w:rPr>
      <w:rFonts w:ascii="楷体" w:eastAsia="楷体" w:hAnsi="楷体" w:cs="楷体"/>
      <w:sz w:val="18"/>
      <w:szCs w:val="18"/>
      <w:lang w:val="zh-CN" w:eastAsia="zh-CN" w:bidi="zh-CN"/>
    </w:r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21"/>
      <w:szCs w:val="21"/>
      <w:lang w:val="zh-CN" w:eastAsia="zh-CN" w:bidi="zh-CN"/>
    </w:rPr>
  </w:style>
  <w:style w:type="paragraph" w:styleId="ListParagraph">
    <w:name w:val="List Paragraph"/>
    <w:basedOn w:val="Normal"/>
    <w:uiPriority w:val="1"/>
    <w:qFormat/>
    <w:pPr>
      <w:spacing w:before="2"/>
      <w:ind w:left="2448" w:hanging="426"/>
    </w:pPr>
    <w:rPr>
      <w:rFonts w:ascii="黑体" w:eastAsia="黑体" w:hAnsi="黑体" w:cs="黑体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pPr>
      <w:spacing w:before="46"/>
      <w:jc w:val="center"/>
    </w:pPr>
    <w:rPr>
      <w:rFonts w:ascii="Arial" w:eastAsia="Arial" w:hAnsi="Arial" w:cs="Arial"/>
      <w:lang w:val="zh-CN" w:eastAsia="zh-CN" w:bidi="zh-C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theme" Target="theme/theme1.xml" /><Relationship Id="rId101" Type="http://schemas.openxmlformats.org/officeDocument/2006/relationships/numbering" Target="numbering.xml" /><Relationship Id="rId102" Type="http://schemas.openxmlformats.org/officeDocument/2006/relationships/styles" Target="styles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header" Target="header2.xml" /><Relationship Id="rId14" Type="http://schemas.openxmlformats.org/officeDocument/2006/relationships/footer" Target="footer2.xml" /><Relationship Id="rId15" Type="http://schemas.openxmlformats.org/officeDocument/2006/relationships/image" Target="media/image8.png" /><Relationship Id="rId16" Type="http://schemas.openxmlformats.org/officeDocument/2006/relationships/header" Target="header3.xml" /><Relationship Id="rId17" Type="http://schemas.openxmlformats.org/officeDocument/2006/relationships/footer" Target="footer3.xml" /><Relationship Id="rId18" Type="http://schemas.openxmlformats.org/officeDocument/2006/relationships/header" Target="header4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header" Target="header7.xml" /><Relationship Id="rId25" Type="http://schemas.openxmlformats.org/officeDocument/2006/relationships/footer" Target="footer7.xml" /><Relationship Id="rId26" Type="http://schemas.openxmlformats.org/officeDocument/2006/relationships/image" Target="media/image9.png" /><Relationship Id="rId27" Type="http://schemas.openxmlformats.org/officeDocument/2006/relationships/header" Target="header8.xml" /><Relationship Id="rId28" Type="http://schemas.openxmlformats.org/officeDocument/2006/relationships/footer" Target="footer8.xm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png" /><Relationship Id="rId32" Type="http://schemas.openxmlformats.org/officeDocument/2006/relationships/image" Target="media/image11.png" /><Relationship Id="rId33" Type="http://schemas.openxmlformats.org/officeDocument/2006/relationships/image" Target="media/image12.png" /><Relationship Id="rId34" Type="http://schemas.openxmlformats.org/officeDocument/2006/relationships/image" Target="media/image13.png" /><Relationship Id="rId35" Type="http://schemas.openxmlformats.org/officeDocument/2006/relationships/image" Target="media/image14.png" /><Relationship Id="rId36" Type="http://schemas.openxmlformats.org/officeDocument/2006/relationships/image" Target="media/image15.png" /><Relationship Id="rId37" Type="http://schemas.openxmlformats.org/officeDocument/2006/relationships/image" Target="media/image16.png" /><Relationship Id="rId38" Type="http://schemas.openxmlformats.org/officeDocument/2006/relationships/image" Target="media/image17.png" /><Relationship Id="rId39" Type="http://schemas.openxmlformats.org/officeDocument/2006/relationships/image" Target="media/image18.png" /><Relationship Id="rId4" Type="http://schemas.openxmlformats.org/officeDocument/2006/relationships/image" Target="media/image1.png" /><Relationship Id="rId40" Type="http://schemas.openxmlformats.org/officeDocument/2006/relationships/header" Target="header10.xml" /><Relationship Id="rId41" Type="http://schemas.openxmlformats.org/officeDocument/2006/relationships/footer" Target="footer10.xml" /><Relationship Id="rId42" Type="http://schemas.openxmlformats.org/officeDocument/2006/relationships/header" Target="header11.xml" /><Relationship Id="rId43" Type="http://schemas.openxmlformats.org/officeDocument/2006/relationships/footer" Target="footer11.xml" /><Relationship Id="rId44" Type="http://schemas.openxmlformats.org/officeDocument/2006/relationships/header" Target="header12.xml" /><Relationship Id="rId45" Type="http://schemas.openxmlformats.org/officeDocument/2006/relationships/footer" Target="footer12.xml" /><Relationship Id="rId46" Type="http://schemas.openxmlformats.org/officeDocument/2006/relationships/header" Target="header13.xml" /><Relationship Id="rId47" Type="http://schemas.openxmlformats.org/officeDocument/2006/relationships/footer" Target="footer13.xml" /><Relationship Id="rId48" Type="http://schemas.openxmlformats.org/officeDocument/2006/relationships/header" Target="header14.xml" /><Relationship Id="rId49" Type="http://schemas.openxmlformats.org/officeDocument/2006/relationships/footer" Target="footer14.xml" /><Relationship Id="rId5" Type="http://schemas.openxmlformats.org/officeDocument/2006/relationships/header" Target="header1.xml" /><Relationship Id="rId50" Type="http://schemas.openxmlformats.org/officeDocument/2006/relationships/header" Target="header15.xml" /><Relationship Id="rId51" Type="http://schemas.openxmlformats.org/officeDocument/2006/relationships/footer" Target="footer15.xml" /><Relationship Id="rId52" Type="http://schemas.openxmlformats.org/officeDocument/2006/relationships/header" Target="header16.xml" /><Relationship Id="rId53" Type="http://schemas.openxmlformats.org/officeDocument/2006/relationships/footer" Target="footer16.xml" /><Relationship Id="rId54" Type="http://schemas.openxmlformats.org/officeDocument/2006/relationships/image" Target="media/image19.png" /><Relationship Id="rId55" Type="http://schemas.openxmlformats.org/officeDocument/2006/relationships/header" Target="header17.xml" /><Relationship Id="rId56" Type="http://schemas.openxmlformats.org/officeDocument/2006/relationships/footer" Target="footer17.xml" /><Relationship Id="rId57" Type="http://schemas.openxmlformats.org/officeDocument/2006/relationships/image" Target="media/image20.png" /><Relationship Id="rId58" Type="http://schemas.openxmlformats.org/officeDocument/2006/relationships/image" Target="media/image21.png" /><Relationship Id="rId59" Type="http://schemas.openxmlformats.org/officeDocument/2006/relationships/header" Target="header18.xml" /><Relationship Id="rId6" Type="http://schemas.openxmlformats.org/officeDocument/2006/relationships/footer" Target="footer1.xml" /><Relationship Id="rId60" Type="http://schemas.openxmlformats.org/officeDocument/2006/relationships/footer" Target="footer18.xml" /><Relationship Id="rId61" Type="http://schemas.openxmlformats.org/officeDocument/2006/relationships/image" Target="media/image22.png" /><Relationship Id="rId62" Type="http://schemas.openxmlformats.org/officeDocument/2006/relationships/image" Target="media/image23.png" /><Relationship Id="rId63" Type="http://schemas.openxmlformats.org/officeDocument/2006/relationships/header" Target="header19.xml" /><Relationship Id="rId64" Type="http://schemas.openxmlformats.org/officeDocument/2006/relationships/footer" Target="footer19.xml" /><Relationship Id="rId65" Type="http://schemas.openxmlformats.org/officeDocument/2006/relationships/image" Target="media/image24.png" /><Relationship Id="rId66" Type="http://schemas.openxmlformats.org/officeDocument/2006/relationships/image" Target="media/image25.png" /><Relationship Id="rId67" Type="http://schemas.openxmlformats.org/officeDocument/2006/relationships/image" Target="media/image26.png" /><Relationship Id="rId68" Type="http://schemas.openxmlformats.org/officeDocument/2006/relationships/header" Target="header20.xml" /><Relationship Id="rId69" Type="http://schemas.openxmlformats.org/officeDocument/2006/relationships/footer" Target="footer20.xml" /><Relationship Id="rId7" Type="http://schemas.openxmlformats.org/officeDocument/2006/relationships/image" Target="media/image2.png" /><Relationship Id="rId70" Type="http://schemas.openxmlformats.org/officeDocument/2006/relationships/image" Target="media/image27.png" /><Relationship Id="rId71" Type="http://schemas.openxmlformats.org/officeDocument/2006/relationships/image" Target="media/image28.png" /><Relationship Id="rId72" Type="http://schemas.openxmlformats.org/officeDocument/2006/relationships/image" Target="media/image29.png" /><Relationship Id="rId73" Type="http://schemas.openxmlformats.org/officeDocument/2006/relationships/image" Target="media/image30.png" /><Relationship Id="rId74" Type="http://schemas.openxmlformats.org/officeDocument/2006/relationships/image" Target="media/image31.png" /><Relationship Id="rId75" Type="http://schemas.openxmlformats.org/officeDocument/2006/relationships/image" Target="media/image32.png" /><Relationship Id="rId76" Type="http://schemas.openxmlformats.org/officeDocument/2006/relationships/image" Target="media/image33.png" /><Relationship Id="rId77" Type="http://schemas.openxmlformats.org/officeDocument/2006/relationships/header" Target="header21.xml" /><Relationship Id="rId78" Type="http://schemas.openxmlformats.org/officeDocument/2006/relationships/footer" Target="footer21.xml" /><Relationship Id="rId79" Type="http://schemas.openxmlformats.org/officeDocument/2006/relationships/image" Target="media/image34.png" /><Relationship Id="rId8" Type="http://schemas.openxmlformats.org/officeDocument/2006/relationships/image" Target="media/image3.png" /><Relationship Id="rId80" Type="http://schemas.openxmlformats.org/officeDocument/2006/relationships/header" Target="header22.xml" /><Relationship Id="rId81" Type="http://schemas.openxmlformats.org/officeDocument/2006/relationships/footer" Target="footer22.xml" /><Relationship Id="rId82" Type="http://schemas.openxmlformats.org/officeDocument/2006/relationships/header" Target="header23.xml" /><Relationship Id="rId83" Type="http://schemas.openxmlformats.org/officeDocument/2006/relationships/footer" Target="footer23.xml" /><Relationship Id="rId84" Type="http://schemas.openxmlformats.org/officeDocument/2006/relationships/header" Target="header24.xml" /><Relationship Id="rId85" Type="http://schemas.openxmlformats.org/officeDocument/2006/relationships/footer" Target="footer24.xml" /><Relationship Id="rId86" Type="http://schemas.openxmlformats.org/officeDocument/2006/relationships/header" Target="header25.xml" /><Relationship Id="rId87" Type="http://schemas.openxmlformats.org/officeDocument/2006/relationships/footer" Target="footer25.xml" /><Relationship Id="rId88" Type="http://schemas.openxmlformats.org/officeDocument/2006/relationships/header" Target="header26.xml" /><Relationship Id="rId89" Type="http://schemas.openxmlformats.org/officeDocument/2006/relationships/footer" Target="footer26.xml" /><Relationship Id="rId9" Type="http://schemas.openxmlformats.org/officeDocument/2006/relationships/image" Target="media/image4.png" /><Relationship Id="rId90" Type="http://schemas.openxmlformats.org/officeDocument/2006/relationships/header" Target="header27.xml" /><Relationship Id="rId91" Type="http://schemas.openxmlformats.org/officeDocument/2006/relationships/footer" Target="footer27.xml" /><Relationship Id="rId92" Type="http://schemas.openxmlformats.org/officeDocument/2006/relationships/header" Target="header28.xml" /><Relationship Id="rId93" Type="http://schemas.openxmlformats.org/officeDocument/2006/relationships/footer" Target="footer28.xml" /><Relationship Id="rId94" Type="http://schemas.openxmlformats.org/officeDocument/2006/relationships/header" Target="header29.xml" /><Relationship Id="rId95" Type="http://schemas.openxmlformats.org/officeDocument/2006/relationships/footer" Target="footer29.xml" /><Relationship Id="rId96" Type="http://schemas.openxmlformats.org/officeDocument/2006/relationships/image" Target="media/image35.png" /><Relationship Id="rId97" Type="http://schemas.openxmlformats.org/officeDocument/2006/relationships/hyperlink" Target="https://d.book118.com/375200341102011113" TargetMode="External" /><Relationship Id="rId98" Type="http://schemas.openxmlformats.org/officeDocument/2006/relationships/header" Target="header30.xml" /><Relationship Id="rId99" Type="http://schemas.openxmlformats.org/officeDocument/2006/relationships/footer" Target="footer30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2024-02-27T05:46:42Z</dcterms:created>
  <dcterms:modified xsi:type="dcterms:W3CDTF">2024-02-27T05:46:42Z</dcterms:modified>
</cp:coreProperties>
</file>