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发酵甘油行业相关公司筹备报告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_Toc27094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_Toc23148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三、发酵甘油项目概况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(二)、发酵甘油项目提出的理由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eastAsia="zh-CN"/>
          </w:rPr>
          <w:t>(三)、发酵甘油项目选址</w:t>
        </w:r>
        <w:r>
          <w:tab/>
        </w:r>
        <w:r>
          <w:fldChar w:fldCharType="begin"/>
        </w:r>
        <w:r>
          <w:instrText xml:space="preserve"> PAGEREF _Toc20547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(六)、发酵甘油项目投资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(七)、发酵甘油项目进度规划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(九)、发酵甘油项目综合评价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四、发酵甘油筹建公司基本信息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_Toc17014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_Toc6417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_Toc20622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六、发酵甘油项目经济效益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(三)、发酵甘油项目盈利能力分析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eastAsia="zh-CN"/>
          </w:rPr>
          <w:t>(五)、发酵甘油项目总投资</w:t>
        </w:r>
        <w:r>
          <w:tab/>
        </w:r>
        <w:r>
          <w:fldChar w:fldCharType="begin"/>
        </w:r>
        <w:r>
          <w:instrText xml:space="preserve"> PAGEREF _Toc17187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_Toc27606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九、发酵甘油项目风险分析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(一)、发酵甘油项目风险分析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2" w:history="1">
        <w:r>
          <w:rPr>
            <w:rFonts w:ascii="仿宋" w:eastAsia="仿宋" w:hAnsi="仿宋" w:cs="仿宋" w:hint="eastAsia"/>
            <w:lang w:eastAsia="zh-CN"/>
          </w:rPr>
          <w:t>(二)、发酵甘油项目风险对策</w:t>
        </w:r>
        <w:r>
          <w:tab/>
        </w:r>
        <w:r>
          <w:fldChar w:fldCharType="begin"/>
        </w:r>
        <w:r>
          <w:instrText xml:space="preserve"> PAGEREF _Toc5772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_Toc11000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_Toc6364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十五、发酵甘油项目总结分析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0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59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1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https://d.book118.com/375240200010011102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5240200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2024-01-18T22:58:00Z</dcterms:created>
  <dcterms:modified xsi:type="dcterms:W3CDTF">2024-01-18T22:58:31Z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53FD4CB15B8F448DAC5D48591D6F3529_11</vt:lpwstr>
  </property>
  <property fmtid="{D5CDD505-2E9C-101B-9397-08002B2CF9AE}" pid="3" name="KSOProductBuildVer">
    <vt:lpwstr>2052-12.1.0.16120</vt:lpwstr>
  </property>
</Properties>
</file>