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0" w:line="691" w:lineRule="exact"/>
        <w:ind w:left="2448" w:right="0" w:firstLine="0"/>
        <w:jc w:val="left"/>
        <w:rPr>
          <w:rFonts w:ascii="Microsoft JhengHei" w:eastAsia="Microsoft JhengHei"/>
          <w:b/>
          <w:sz w:val="44"/>
        </w:rPr>
      </w:pPr>
      <w:r>
        <w:rPr>
          <w:rFonts w:ascii="Microsoft JhengHei" w:eastAsia="Microsoft JhengHei"/>
          <w:b/>
          <w:color w:val="353535"/>
          <w:spacing w:val="-2"/>
          <w:sz w:val="44"/>
        </w:rPr>
        <w:t>旧楼综合整治项目</w:t>
      </w:r>
    </w:p>
    <w:p>
      <w:pPr>
        <w:pStyle w:val="BodyText"/>
        <w:spacing w:before="14"/>
        <w:rPr>
          <w:rFonts w:ascii="Microsoft JhengHei"/>
          <w:b/>
          <w:sz w:val="27"/>
        </w:rPr>
      </w:pPr>
    </w:p>
    <w:p>
      <w:pPr>
        <w:pStyle w:val="Title"/>
      </w:pPr>
      <w:r>
        <w:rPr>
          <w:spacing w:val="-2"/>
        </w:rPr>
        <w:t>监理实施细则</w:t>
      </w:r>
    </w:p>
    <w:p>
      <w:pPr>
        <w:pStyle w:val="BodyText"/>
        <w:spacing w:before="3"/>
        <w:rPr>
          <w:rFonts w:ascii="Microsoft JhengHei"/>
          <w:b/>
          <w:sz w:val="107"/>
        </w:rPr>
      </w:pPr>
    </w:p>
    <w:p>
      <w:pPr>
        <w:tabs>
          <w:tab w:val="left" w:pos="5756"/>
        </w:tabs>
        <w:spacing w:before="0"/>
        <w:ind w:left="2251" w:right="0" w:firstLine="0"/>
        <w:jc w:val="left"/>
        <w:rPr>
          <w:rFonts w:ascii="Times New Roman" w:eastAsia="Times New Roman"/>
          <w:sz w:val="36"/>
        </w:rPr>
      </w:pPr>
      <w:r>
        <w:rPr>
          <w:sz w:val="36"/>
        </w:rPr>
        <w:t>编制人</w:t>
      </w:r>
      <w:r>
        <w:rPr>
          <w:spacing w:val="-10"/>
          <w:sz w:val="36"/>
        </w:rPr>
        <w:t>：</w:t>
      </w:r>
      <w:r>
        <w:rPr>
          <w:rFonts w:ascii="Times New Roman" w:eastAsia="Times New Roman"/>
          <w:sz w:val="36"/>
          <w:u w:val="single"/>
        </w:rPr>
        <w:tab/>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7"/>
        </w:rPr>
      </w:pPr>
    </w:p>
    <w:p>
      <w:pPr>
        <w:tabs>
          <w:tab w:val="left" w:pos="5756"/>
        </w:tabs>
        <w:spacing w:before="61"/>
        <w:ind w:left="2251" w:right="0" w:firstLine="0"/>
        <w:jc w:val="left"/>
        <w:rPr>
          <w:rFonts w:ascii="Times New Roman" w:eastAsia="Times New Roman"/>
          <w:sz w:val="36"/>
        </w:rPr>
      </w:pPr>
      <w:r>
        <w:rPr>
          <w:sz w:val="36"/>
        </w:rPr>
        <w:t>审核人</w:t>
      </w:r>
      <w:r>
        <w:rPr>
          <w:spacing w:val="-10"/>
          <w:sz w:val="36"/>
        </w:rPr>
        <w:t>：</w:t>
      </w:r>
      <w:r>
        <w:rPr>
          <w:rFonts w:ascii="Times New Roman" w:eastAsia="Times New Roman"/>
          <w:sz w:val="36"/>
          <w:u w:val="single"/>
        </w:rPr>
        <w:tab/>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rPr>
      </w:pPr>
    </w:p>
    <w:p>
      <w:pPr>
        <w:spacing w:before="50"/>
        <w:ind w:left="0" w:right="79" w:firstLine="0"/>
        <w:jc w:val="center"/>
        <w:rPr>
          <w:sz w:val="36"/>
        </w:rPr>
      </w:pPr>
      <w:r>
        <w:rPr>
          <w:sz w:val="36"/>
        </w:rPr>
        <w:t>******</w:t>
      </w:r>
      <w:r>
        <w:rPr>
          <w:spacing w:val="-2"/>
          <w:sz w:val="36"/>
        </w:rPr>
        <w:t>管理咨询有限公司</w:t>
      </w:r>
    </w:p>
    <w:p>
      <w:pPr>
        <w:pStyle w:val="BodyText"/>
        <w:spacing w:before="8"/>
        <w:rPr>
          <w:sz w:val="32"/>
        </w:rPr>
      </w:pPr>
    </w:p>
    <w:p>
      <w:pPr>
        <w:tabs>
          <w:tab w:val="left" w:pos="999"/>
          <w:tab w:val="left" w:pos="1719"/>
        </w:tabs>
        <w:spacing w:before="0"/>
        <w:ind w:left="280" w:right="0" w:firstLine="0"/>
        <w:jc w:val="center"/>
        <w:rPr>
          <w:sz w:val="36"/>
        </w:rPr>
      </w:pPr>
      <w:r>
        <w:rPr>
          <w:spacing w:val="-10"/>
          <w:sz w:val="36"/>
        </w:rPr>
        <w:t>年</w:t>
      </w:r>
      <w:r>
        <w:rPr>
          <w:sz w:val="36"/>
        </w:rPr>
        <w:tab/>
      </w:r>
      <w:r>
        <w:rPr>
          <w:spacing w:val="-10"/>
          <w:sz w:val="36"/>
        </w:rPr>
        <w:t>月</w:t>
      </w:r>
      <w:r>
        <w:rPr>
          <w:sz w:val="36"/>
        </w:rPr>
        <w:tab/>
      </w:r>
      <w:r>
        <w:rPr>
          <w:spacing w:val="-10"/>
          <w:sz w:val="36"/>
        </w:rPr>
        <w:t>日</w:t>
      </w:r>
    </w:p>
    <w:p>
      <w:pPr>
        <w:spacing w:after="0"/>
        <w:jc w:val="center"/>
        <w:rPr>
          <w:sz w:val="36"/>
        </w:rPr>
        <w:sectPr>
          <w:type w:val="continuous"/>
          <w:pgSz w:w="11910" w:h="16160"/>
          <w:pgMar w:top="1420" w:right="1460" w:bottom="280" w:left="1540" w:header="708" w:footer="708"/>
          <w:cols w:space="708"/>
        </w:sectPr>
      </w:pPr>
    </w:p>
    <w:p>
      <w:pPr>
        <w:pStyle w:val="Heading1"/>
        <w:tabs>
          <w:tab w:val="left" w:pos="1101"/>
        </w:tabs>
        <w:spacing w:line="688" w:lineRule="exact"/>
        <w:ind w:left="0" w:right="79"/>
        <w:jc w:val="center"/>
      </w:pPr>
      <w:r>
        <w:rPr>
          <w:spacing w:val="-10"/>
        </w:rPr>
        <w:t>目</w:t>
      </w:r>
      <w:r>
        <w:tab/>
      </w:r>
      <w:r>
        <w:rPr>
          <w:spacing w:val="-10"/>
        </w:rPr>
        <w:t>录</w:t>
      </w:r>
    </w:p>
    <w:p>
      <w:pPr>
        <w:spacing w:after="0" w:line="688" w:lineRule="exact"/>
        <w:jc w:val="center"/>
        <w:sectPr>
          <w:pgSz w:w="11910" w:h="16160"/>
          <w:pgMar w:top="1280" w:right="1460" w:bottom="1731" w:left="1540" w:header="708" w:footer="708"/>
          <w:pgNumType w:start="2"/>
          <w:cols w:space="708"/>
        </w:sectPr>
      </w:pPr>
    </w:p>
    <w:sdt>
      <w:sdtPr>
        <w:id w:val="733266844"/>
        <w:docPartObj>
          <w:docPartGallery w:val="Table of Contents"/>
          <w:docPartUnique/>
        </w:docPartObj>
      </w:sdtPr>
      <w:sdtContent>
        <w:p>
          <w:pPr>
            <w:pStyle w:val="TOC1"/>
            <w:tabs>
              <w:tab w:val="right" w:leader="dot" w:pos="8525"/>
            </w:tabs>
            <w:spacing w:before="379"/>
            <w:rPr>
              <w:rFonts w:ascii="宋体" w:eastAsia="宋体" w:hint="eastAsia"/>
              <w:b w:val="0"/>
            </w:rPr>
          </w:pPr>
          <w:hyperlink w:anchor="_TOC_250035" w:history="1">
            <w:r>
              <w:t>一</w:t>
            </w:r>
            <w:r>
              <w:t>．</w:t>
            </w:r>
            <w:r>
              <w:t>工</w:t>
            </w:r>
            <w:r>
              <w:t>程</w:t>
            </w:r>
            <w:r>
              <w:t>项</w:t>
            </w:r>
            <w:r>
              <w:t>目</w:t>
            </w:r>
            <w:r>
              <w:t>特</w:t>
            </w:r>
            <w:r>
              <w:rPr>
                <w:spacing w:val="-10"/>
              </w:rPr>
              <w:t>点</w:t>
            </w:r>
            <w:r>
              <w:rPr>
                <w:rFonts w:ascii="Times New Roman" w:eastAsia="Times New Roman"/>
                <w:b w:val="0"/>
              </w:rPr>
              <w:tab/>
            </w:r>
            <w:r>
              <w:rPr>
                <w:rFonts w:ascii="宋体" w:eastAsia="宋体" w:hint="eastAsia"/>
                <w:b w:val="0"/>
                <w:spacing w:val="-12"/>
              </w:rPr>
              <w:t>1</w:t>
            </w:r>
          </w:hyperlink>
        </w:p>
        <w:p>
          <w:pPr>
            <w:pStyle w:val="TOC2"/>
            <w:tabs>
              <w:tab w:val="right" w:leader="dot" w:pos="8526"/>
            </w:tabs>
            <w:spacing w:before="78"/>
          </w:pPr>
          <w:r>
            <w:t>1、多层住宅（5</w:t>
          </w:r>
          <w:r>
            <w:rPr>
              <w:spacing w:val="-70"/>
            </w:rPr>
            <w:t xml:space="preserve"> </w:t>
          </w:r>
          <w:r>
            <w:t>号楼）综合整治工程特</w:t>
          </w:r>
          <w:r>
            <w:rPr>
              <w:spacing w:val="-10"/>
            </w:rPr>
            <w:t>点</w:t>
          </w:r>
          <w:r>
            <w:rPr>
              <w:rFonts w:ascii="Times New Roman" w:eastAsia="Times New Roman"/>
            </w:rPr>
            <w:tab/>
          </w:r>
          <w:r>
            <w:rPr>
              <w:spacing w:val="-10"/>
            </w:rPr>
            <w:t>2</w:t>
          </w:r>
        </w:p>
        <w:p>
          <w:pPr>
            <w:pStyle w:val="TOC2"/>
            <w:tabs>
              <w:tab w:val="right" w:leader="dot" w:pos="8486"/>
            </w:tabs>
          </w:pPr>
          <w:hyperlink w:anchor="_TOC_250034" w:history="1">
            <w:r>
              <w:t>2、辅助用房综合整治工程特</w:t>
            </w:r>
            <w:r>
              <w:rPr>
                <w:spacing w:val="-10"/>
              </w:rPr>
              <w:t>点</w:t>
            </w:r>
            <w:r>
              <w:rPr>
                <w:rFonts w:ascii="Times New Roman" w:eastAsia="Times New Roman"/>
              </w:rPr>
              <w:tab/>
            </w:r>
            <w:r>
              <w:rPr>
                <w:spacing w:val="-10"/>
              </w:rPr>
              <w:t>7</w:t>
            </w:r>
          </w:hyperlink>
        </w:p>
        <w:p>
          <w:pPr>
            <w:pStyle w:val="TOC2"/>
            <w:tabs>
              <w:tab w:val="right" w:leader="dot" w:pos="8486"/>
            </w:tabs>
          </w:pPr>
          <w:hyperlink w:anchor="_TOC_250033" w:history="1">
            <w:r>
              <w:t>3、调压站综合整治工程特</w:t>
            </w:r>
            <w:r>
              <w:rPr>
                <w:spacing w:val="-10"/>
              </w:rPr>
              <w:t>点</w:t>
            </w:r>
            <w:r>
              <w:rPr>
                <w:rFonts w:ascii="Times New Roman" w:eastAsia="Times New Roman"/>
              </w:rPr>
              <w:tab/>
            </w:r>
            <w:r>
              <w:rPr>
                <w:spacing w:val="-10"/>
              </w:rPr>
              <w:t>7</w:t>
            </w:r>
          </w:hyperlink>
        </w:p>
        <w:p>
          <w:pPr>
            <w:pStyle w:val="TOC2"/>
            <w:tabs>
              <w:tab w:val="right" w:leader="dot" w:pos="8486"/>
            </w:tabs>
            <w:spacing w:before="142"/>
          </w:pPr>
          <w:hyperlink w:anchor="_TOC_250032" w:history="1">
            <w:r>
              <w:t>4、管理室综合整治工程特</w:t>
            </w:r>
            <w:r>
              <w:rPr>
                <w:spacing w:val="-10"/>
              </w:rPr>
              <w:t>点</w:t>
            </w:r>
            <w:r>
              <w:rPr>
                <w:rFonts w:ascii="Times New Roman" w:eastAsia="Times New Roman"/>
              </w:rPr>
              <w:tab/>
            </w:r>
            <w:r>
              <w:rPr>
                <w:spacing w:val="-10"/>
              </w:rPr>
              <w:t>7</w:t>
            </w:r>
          </w:hyperlink>
        </w:p>
        <w:p>
          <w:pPr>
            <w:pStyle w:val="TOC2"/>
            <w:tabs>
              <w:tab w:val="right" w:leader="dot" w:pos="8486"/>
            </w:tabs>
          </w:pPr>
          <w:hyperlink w:anchor="_TOC_250031" w:history="1">
            <w:r>
              <w:t>5、环境治</w:t>
            </w:r>
            <w:r>
              <w:rPr>
                <w:spacing w:val="-10"/>
              </w:rPr>
              <w:t>理</w:t>
            </w:r>
            <w:r>
              <w:rPr>
                <w:rFonts w:ascii="Times New Roman" w:eastAsia="Times New Roman"/>
              </w:rPr>
              <w:tab/>
            </w:r>
            <w:r>
              <w:rPr>
                <w:spacing w:val="-10"/>
              </w:rPr>
              <w:t>8</w:t>
            </w:r>
          </w:hyperlink>
        </w:p>
        <w:p>
          <w:pPr>
            <w:pStyle w:val="TOC1"/>
            <w:tabs>
              <w:tab w:val="right" w:leader="dot" w:pos="8549"/>
            </w:tabs>
            <w:spacing w:line="507" w:lineRule="exact"/>
          </w:pPr>
          <w:hyperlink w:anchor="_TOC_250030" w:history="1">
            <w:r>
              <w:t>二</w:t>
            </w:r>
            <w:r>
              <w:t>．</w:t>
            </w:r>
            <w:r>
              <w:t>监</w:t>
            </w:r>
            <w:r>
              <w:t>理</w:t>
            </w:r>
            <w:r>
              <w:t>工</w:t>
            </w:r>
            <w:r>
              <w:t>作</w:t>
            </w:r>
            <w:r>
              <w:t>依</w:t>
            </w:r>
            <w:r>
              <w:rPr>
                <w:spacing w:val="-10"/>
              </w:rPr>
              <w:t>据</w:t>
            </w:r>
            <w:r>
              <w:rPr>
                <w:rFonts w:ascii="Times New Roman" w:eastAsia="Times New Roman"/>
                <w:b w:val="0"/>
              </w:rPr>
              <w:tab/>
            </w:r>
            <w:r>
              <w:rPr>
                <w:spacing w:val="-10"/>
              </w:rPr>
              <w:t>8</w:t>
            </w:r>
          </w:hyperlink>
        </w:p>
        <w:p>
          <w:pPr>
            <w:pStyle w:val="TOC1"/>
            <w:tabs>
              <w:tab w:val="right" w:leader="dot" w:pos="8549"/>
            </w:tabs>
            <w:spacing w:before="0" w:line="507" w:lineRule="exact"/>
          </w:pPr>
          <w:hyperlink w:anchor="_TOC_250029" w:history="1">
            <w:r>
              <w:t>三</w:t>
            </w:r>
            <w:r>
              <w:t>．</w:t>
            </w:r>
            <w:r>
              <w:t>监</w:t>
            </w:r>
            <w:r>
              <w:t>理</w:t>
            </w:r>
            <w:r>
              <w:t>工</w:t>
            </w:r>
            <w:r>
              <w:t>作</w:t>
            </w:r>
            <w:r>
              <w:t>流</w:t>
            </w:r>
            <w:r>
              <w:rPr>
                <w:spacing w:val="-10"/>
              </w:rPr>
              <w:t>程</w:t>
            </w:r>
            <w:r>
              <w:rPr>
                <w:rFonts w:ascii="Times New Roman" w:eastAsia="Times New Roman"/>
                <w:b w:val="0"/>
              </w:rPr>
              <w:tab/>
            </w:r>
            <w:r>
              <w:rPr>
                <w:spacing w:val="-10"/>
              </w:rPr>
              <w:t>9</w:t>
            </w:r>
          </w:hyperlink>
        </w:p>
        <w:p>
          <w:pPr>
            <w:pStyle w:val="TOC2"/>
            <w:tabs>
              <w:tab w:val="right" w:leader="dot" w:pos="8516"/>
            </w:tabs>
            <w:spacing w:before="77"/>
          </w:pPr>
          <w:hyperlink w:anchor="_TOC_250028" w:history="1">
            <w:r>
              <w:t>1、施工质量控制流程</w:t>
            </w:r>
            <w:r>
              <w:rPr>
                <w:spacing w:val="-10"/>
              </w:rPr>
              <w:t>…</w:t>
            </w:r>
            <w:r>
              <w:rPr>
                <w:rFonts w:ascii="Times New Roman" w:eastAsia="Times New Roman" w:hAnsi="Times New Roman"/>
              </w:rPr>
              <w:tab/>
            </w:r>
            <w:r>
              <w:rPr>
                <w:spacing w:val="-5"/>
              </w:rPr>
              <w:t>11</w:t>
            </w:r>
          </w:hyperlink>
        </w:p>
        <w:p>
          <w:pPr>
            <w:pStyle w:val="TOC2"/>
            <w:tabs>
              <w:tab w:val="right" w:leader="dot" w:pos="8516"/>
            </w:tabs>
            <w:spacing w:before="142"/>
          </w:pPr>
          <w:hyperlink w:anchor="_TOC_250027" w:history="1">
            <w:r>
              <w:t>2、施工进度控制流程</w:t>
            </w:r>
            <w:r>
              <w:rPr>
                <w:spacing w:val="-10"/>
              </w:rPr>
              <w:t>…</w:t>
            </w:r>
            <w:r>
              <w:rPr>
                <w:rFonts w:ascii="Times New Roman" w:eastAsia="Times New Roman" w:hAnsi="Times New Roman"/>
              </w:rPr>
              <w:tab/>
            </w:r>
            <w:r>
              <w:rPr>
                <w:spacing w:val="-5"/>
              </w:rPr>
              <w:t>11</w:t>
            </w:r>
          </w:hyperlink>
        </w:p>
        <w:p>
          <w:pPr>
            <w:pStyle w:val="TOC2"/>
            <w:tabs>
              <w:tab w:val="right" w:leader="dot" w:pos="8516"/>
            </w:tabs>
          </w:pPr>
          <w:hyperlink w:anchor="_TOC_250026" w:history="1">
            <w:r>
              <w:t>3、造价控制流程</w:t>
            </w:r>
            <w:r>
              <w:rPr>
                <w:spacing w:val="-5"/>
              </w:rPr>
              <w:t>：…</w:t>
            </w:r>
            <w:r>
              <w:rPr>
                <w:rFonts w:ascii="Times New Roman" w:eastAsia="Times New Roman" w:hAnsi="Times New Roman"/>
              </w:rPr>
              <w:tab/>
            </w:r>
            <w:r>
              <w:rPr>
                <w:spacing w:val="-5"/>
              </w:rPr>
              <w:t>11</w:t>
            </w:r>
          </w:hyperlink>
        </w:p>
        <w:p>
          <w:pPr>
            <w:pStyle w:val="TOC2"/>
            <w:tabs>
              <w:tab w:val="right" w:leader="dot" w:pos="8516"/>
            </w:tabs>
          </w:pPr>
          <w:hyperlink w:anchor="_TOC_250025" w:history="1">
            <w:r>
              <w:t>4、现场安全生产文明施工监理流程</w:t>
            </w:r>
            <w:r>
              <w:rPr>
                <w:spacing w:val="-10"/>
              </w:rPr>
              <w:t>…</w:t>
            </w:r>
            <w:r>
              <w:rPr>
                <w:rFonts w:ascii="Times New Roman" w:eastAsia="Times New Roman" w:hAnsi="Times New Roman"/>
              </w:rPr>
              <w:tab/>
            </w:r>
            <w:r>
              <w:rPr>
                <w:spacing w:val="-5"/>
              </w:rPr>
              <w:t>11</w:t>
            </w:r>
          </w:hyperlink>
        </w:p>
        <w:p>
          <w:pPr>
            <w:pStyle w:val="TOC2"/>
            <w:tabs>
              <w:tab w:val="right" w:leader="dot" w:pos="8516"/>
            </w:tabs>
          </w:pPr>
          <w:hyperlink w:anchor="_TOC_250024" w:history="1">
            <w:r>
              <w:t>5、分包单位资格审核流程</w:t>
            </w:r>
            <w:r>
              <w:rPr>
                <w:spacing w:val="-10"/>
              </w:rPr>
              <w:t>…</w:t>
            </w:r>
            <w:r>
              <w:rPr>
                <w:rFonts w:ascii="Times New Roman" w:eastAsia="Times New Roman" w:hAnsi="Times New Roman"/>
              </w:rPr>
              <w:tab/>
            </w:r>
            <w:r>
              <w:rPr>
                <w:spacing w:val="-5"/>
              </w:rPr>
              <w:t>11</w:t>
            </w:r>
          </w:hyperlink>
        </w:p>
        <w:p>
          <w:pPr>
            <w:pStyle w:val="TOC2"/>
            <w:tabs>
              <w:tab w:val="right" w:leader="dot" w:pos="8516"/>
            </w:tabs>
            <w:spacing w:before="142"/>
          </w:pPr>
          <w:hyperlink w:anchor="_TOC_250023" w:history="1">
            <w:r>
              <w:t>6、旁站检查工作流程</w:t>
            </w:r>
            <w:r>
              <w:rPr>
                <w:spacing w:val="-10"/>
              </w:rPr>
              <w:t>…</w:t>
            </w:r>
            <w:r>
              <w:rPr>
                <w:rFonts w:ascii="Times New Roman" w:eastAsia="Times New Roman" w:hAnsi="Times New Roman"/>
              </w:rPr>
              <w:tab/>
            </w:r>
            <w:r>
              <w:rPr>
                <w:spacing w:val="-5"/>
              </w:rPr>
              <w:t>11</w:t>
            </w:r>
          </w:hyperlink>
        </w:p>
        <w:p>
          <w:pPr>
            <w:pStyle w:val="TOC2"/>
            <w:tabs>
              <w:tab w:val="right" w:leader="dot" w:pos="8516"/>
            </w:tabs>
          </w:pPr>
          <w:hyperlink w:anchor="_TOC_250022" w:history="1">
            <w:r>
              <w:t>7、隐蔽工程验收流程</w:t>
            </w:r>
            <w:r>
              <w:rPr>
                <w:spacing w:val="-10"/>
              </w:rPr>
              <w:t>…</w:t>
            </w:r>
            <w:r>
              <w:rPr>
                <w:rFonts w:ascii="Times New Roman" w:eastAsia="Times New Roman" w:hAnsi="Times New Roman"/>
              </w:rPr>
              <w:tab/>
            </w:r>
            <w:r>
              <w:rPr>
                <w:spacing w:val="-5"/>
              </w:rPr>
              <w:t>12</w:t>
            </w:r>
          </w:hyperlink>
        </w:p>
        <w:p>
          <w:pPr>
            <w:pStyle w:val="TOC2"/>
            <w:tabs>
              <w:tab w:val="right" w:leader="dot" w:pos="8516"/>
            </w:tabs>
          </w:pPr>
          <w:hyperlink w:anchor="_TOC_250021" w:history="1">
            <w:r>
              <w:t>8、工程变更处理流程</w:t>
            </w:r>
            <w:r>
              <w:rPr>
                <w:spacing w:val="-10"/>
              </w:rPr>
              <w:t>…</w:t>
            </w:r>
            <w:r>
              <w:rPr>
                <w:rFonts w:ascii="Times New Roman" w:eastAsia="Times New Roman" w:hAnsi="Times New Roman"/>
              </w:rPr>
              <w:tab/>
            </w:r>
            <w:r>
              <w:rPr>
                <w:spacing w:val="-5"/>
              </w:rPr>
              <w:t>12</w:t>
            </w:r>
          </w:hyperlink>
        </w:p>
        <w:p>
          <w:pPr>
            <w:pStyle w:val="TOC2"/>
            <w:tabs>
              <w:tab w:val="right" w:leader="dot" w:pos="8516"/>
            </w:tabs>
          </w:pPr>
          <w:hyperlink w:anchor="_TOC_250020" w:history="1">
            <w:r>
              <w:t>9、信息资料管理流程</w:t>
            </w:r>
            <w:r>
              <w:rPr>
                <w:spacing w:val="-10"/>
              </w:rPr>
              <w:t>…</w:t>
            </w:r>
            <w:r>
              <w:rPr>
                <w:rFonts w:ascii="Times New Roman" w:eastAsia="Times New Roman" w:hAnsi="Times New Roman"/>
              </w:rPr>
              <w:tab/>
            </w:r>
            <w:r>
              <w:rPr>
                <w:spacing w:val="-5"/>
              </w:rPr>
              <w:t>12</w:t>
            </w:r>
          </w:hyperlink>
        </w:p>
        <w:p>
          <w:pPr>
            <w:pStyle w:val="TOC2"/>
            <w:tabs>
              <w:tab w:val="right" w:leader="dot" w:pos="8486"/>
            </w:tabs>
            <w:spacing w:before="142"/>
          </w:pPr>
          <w:hyperlink w:anchor="_TOC_250019" w:history="1">
            <w:r>
              <w:t>10、质量问题处理流</w:t>
            </w:r>
            <w:r>
              <w:rPr>
                <w:spacing w:val="-10"/>
              </w:rPr>
              <w:t>程</w:t>
            </w:r>
            <w:r>
              <w:rPr>
                <w:rFonts w:ascii="Times New Roman" w:eastAsia="Times New Roman"/>
              </w:rPr>
              <w:tab/>
            </w:r>
            <w:r>
              <w:rPr>
                <w:spacing w:val="-5"/>
              </w:rPr>
              <w:t>12</w:t>
            </w:r>
          </w:hyperlink>
        </w:p>
        <w:p>
          <w:pPr>
            <w:pStyle w:val="TOC2"/>
            <w:tabs>
              <w:tab w:val="right" w:leader="dot" w:pos="8486"/>
            </w:tabs>
          </w:pPr>
          <w:hyperlink w:anchor="_TOC_250018" w:history="1">
            <w:r>
              <w:t>11、技术管理流</w:t>
            </w:r>
            <w:r>
              <w:rPr>
                <w:spacing w:val="-10"/>
              </w:rPr>
              <w:t>程</w:t>
            </w:r>
            <w:r>
              <w:rPr>
                <w:rFonts w:ascii="Times New Roman" w:eastAsia="Times New Roman"/>
              </w:rPr>
              <w:tab/>
            </w:r>
            <w:r>
              <w:rPr>
                <w:spacing w:val="-5"/>
              </w:rPr>
              <w:t>12</w:t>
            </w:r>
          </w:hyperlink>
        </w:p>
        <w:p>
          <w:pPr>
            <w:pStyle w:val="TOC2"/>
            <w:tabs>
              <w:tab w:val="right" w:leader="dot" w:pos="8486"/>
            </w:tabs>
          </w:pPr>
          <w:hyperlink w:anchor="_TOC_250017" w:history="1">
            <w:r>
              <w:t>12、见证取样管理流</w:t>
            </w:r>
            <w:r>
              <w:rPr>
                <w:spacing w:val="-10"/>
              </w:rPr>
              <w:t>程</w:t>
            </w:r>
            <w:r>
              <w:rPr>
                <w:rFonts w:ascii="Times New Roman" w:eastAsia="Times New Roman"/>
              </w:rPr>
              <w:tab/>
            </w:r>
            <w:r>
              <w:rPr>
                <w:spacing w:val="-5"/>
              </w:rPr>
              <w:t>13</w:t>
            </w:r>
          </w:hyperlink>
        </w:p>
        <w:p>
          <w:pPr>
            <w:pStyle w:val="TOC2"/>
            <w:tabs>
              <w:tab w:val="right" w:leader="dot" w:pos="8486"/>
            </w:tabs>
          </w:pPr>
          <w:hyperlink w:anchor="_TOC_250016" w:history="1">
            <w:r>
              <w:t>13、巡视工作流</w:t>
            </w:r>
            <w:r>
              <w:rPr>
                <w:spacing w:val="-10"/>
              </w:rPr>
              <w:t>程</w:t>
            </w:r>
            <w:r>
              <w:rPr>
                <w:rFonts w:ascii="Times New Roman" w:eastAsia="Times New Roman"/>
              </w:rPr>
              <w:tab/>
            </w:r>
            <w:r>
              <w:rPr>
                <w:spacing w:val="-5"/>
              </w:rPr>
              <w:t>13</w:t>
            </w:r>
          </w:hyperlink>
        </w:p>
        <w:p>
          <w:pPr>
            <w:pStyle w:val="TOC2"/>
            <w:tabs>
              <w:tab w:val="right" w:leader="dot" w:pos="8486"/>
            </w:tabs>
            <w:spacing w:before="142"/>
          </w:pPr>
          <w:hyperlink w:anchor="_TOC_250015" w:history="1">
            <w:r>
              <w:t>14、旁站工作管理流</w:t>
            </w:r>
            <w:r>
              <w:rPr>
                <w:spacing w:val="-10"/>
              </w:rPr>
              <w:t>程</w:t>
            </w:r>
            <w:r>
              <w:rPr>
                <w:rFonts w:ascii="Times New Roman" w:eastAsia="Times New Roman"/>
              </w:rPr>
              <w:tab/>
            </w:r>
            <w:r>
              <w:rPr>
                <w:spacing w:val="-5"/>
              </w:rPr>
              <w:t>13</w:t>
            </w:r>
          </w:hyperlink>
        </w:p>
        <w:p>
          <w:pPr>
            <w:pStyle w:val="TOC2"/>
            <w:tabs>
              <w:tab w:val="right" w:leader="dot" w:pos="8486"/>
            </w:tabs>
          </w:pPr>
          <w:hyperlink w:anchor="_TOC_250014" w:history="1">
            <w:r>
              <w:t>15、平行检</w:t>
            </w:r>
            <w:r>
              <w:rPr>
                <w:spacing w:val="-10"/>
              </w:rPr>
              <w:t>验</w:t>
            </w:r>
            <w:r>
              <w:rPr>
                <w:rFonts w:ascii="Times New Roman" w:eastAsia="Times New Roman"/>
              </w:rPr>
              <w:tab/>
            </w:r>
            <w:r>
              <w:rPr>
                <w:spacing w:val="-5"/>
              </w:rPr>
              <w:t>13</w:t>
            </w:r>
          </w:hyperlink>
        </w:p>
        <w:p>
          <w:pPr>
            <w:pStyle w:val="TOC1"/>
            <w:tabs>
              <w:tab w:val="right" w:leader="dot" w:pos="8501"/>
            </w:tabs>
            <w:spacing w:after="65"/>
            <w:rPr>
              <w:rFonts w:ascii="宋体" w:eastAsia="宋体" w:hint="eastAsia"/>
              <w:b w:val="0"/>
            </w:rPr>
            <w:sectPr>
              <w:type w:val="continuous"/>
              <w:pgSz w:w="11910" w:h="16160"/>
              <w:pgMar w:top="1520" w:right="1460" w:bottom="1731" w:left="1540" w:header="708" w:footer="708"/>
              <w:pgNumType w:start="3"/>
              <w:cols w:space="708"/>
            </w:sectPr>
          </w:pPr>
          <w:hyperlink w:anchor="_TOC_250013" w:history="1">
            <w:r>
              <w:t>四</w:t>
            </w:r>
            <w:r>
              <w:t>．</w:t>
            </w:r>
            <w:r>
              <w:t>质</w:t>
            </w:r>
            <w:r>
              <w:t>量</w:t>
            </w:r>
            <w:r>
              <w:t>控</w:t>
            </w:r>
            <w:r>
              <w:t>制</w:t>
            </w:r>
            <w:r>
              <w:t>要</w:t>
            </w:r>
            <w:r>
              <w:t>点</w:t>
            </w:r>
            <w:r>
              <w:t>及</w:t>
            </w:r>
            <w:r>
              <w:t>验</w:t>
            </w:r>
            <w:r>
              <w:t>收</w:t>
            </w:r>
            <w:r>
              <w:t>标</w:t>
            </w:r>
            <w:r>
              <w:rPr>
                <w:spacing w:val="-10"/>
              </w:rPr>
              <w:t>准</w:t>
            </w:r>
            <w:r>
              <w:rPr>
                <w:rFonts w:ascii="Times New Roman" w:eastAsia="Times New Roman"/>
                <w:b w:val="0"/>
              </w:rPr>
              <w:tab/>
            </w:r>
            <w:r>
              <w:rPr>
                <w:rFonts w:ascii="宋体" w:eastAsia="宋体" w:hint="eastAsia"/>
                <w:b w:val="0"/>
                <w:spacing w:val="-5"/>
              </w:rPr>
              <w:t>14</w:t>
            </w:r>
          </w:hyperlink>
        </w:p>
      </w:sdtContent>
    </w:sdt>
    <w:sdt>
      <w:sdtPr>
        <w:id w:val="2043141044"/>
        <w:docPartObj>
          <w:docPartGallery w:val="Table of Contents"/>
          <w:docPartUnique/>
        </w:docPartObj>
      </w:sdtPr>
      <w:sdtContent>
        <w:p>
          <w:pPr>
            <w:pStyle w:val="TOC2"/>
            <w:tabs>
              <w:tab w:val="right" w:leader="dot" w:pos="8516"/>
            </w:tabs>
            <w:spacing w:before="40"/>
          </w:pPr>
          <w:hyperlink w:anchor="_TOC_250012" w:history="1">
            <w:r>
              <w:t>1、屋面工程</w:t>
            </w:r>
            <w:r>
              <w:rPr>
                <w:spacing w:val="-10"/>
              </w:rPr>
              <w:t>…</w:t>
            </w:r>
            <w:r>
              <w:rPr>
                <w:rFonts w:ascii="Times New Roman" w:eastAsia="Times New Roman" w:hAnsi="Times New Roman"/>
              </w:rPr>
              <w:tab/>
            </w:r>
            <w:r>
              <w:rPr>
                <w:spacing w:val="-5"/>
              </w:rPr>
              <w:t>14</w:t>
            </w:r>
          </w:hyperlink>
        </w:p>
        <w:p>
          <w:pPr>
            <w:pStyle w:val="TOC2"/>
            <w:tabs>
              <w:tab w:val="right" w:leader="dot" w:pos="8516"/>
            </w:tabs>
          </w:pPr>
          <w:hyperlink w:anchor="_TOC_250011" w:history="1">
            <w:r>
              <w:t>2、外墙保温工程</w:t>
            </w:r>
            <w:r>
              <w:rPr>
                <w:spacing w:val="-10"/>
              </w:rPr>
              <w:t>…</w:t>
            </w:r>
            <w:r>
              <w:rPr>
                <w:rFonts w:ascii="Times New Roman" w:eastAsia="Times New Roman" w:hAnsi="Times New Roman"/>
              </w:rPr>
              <w:tab/>
            </w:r>
            <w:r>
              <w:rPr>
                <w:spacing w:val="-5"/>
              </w:rPr>
              <w:t>23</w:t>
            </w:r>
          </w:hyperlink>
        </w:p>
        <w:p>
          <w:pPr>
            <w:pStyle w:val="TOC2"/>
            <w:tabs>
              <w:tab w:val="right" w:leader="dot" w:pos="8516"/>
            </w:tabs>
          </w:pPr>
          <w:hyperlink w:anchor="_TOC_250010" w:history="1">
            <w:r>
              <w:t>3、外窗安装</w:t>
            </w:r>
            <w:r>
              <w:rPr>
                <w:spacing w:val="-10"/>
              </w:rPr>
              <w:t>…</w:t>
            </w:r>
            <w:r>
              <w:rPr>
                <w:rFonts w:ascii="Times New Roman" w:eastAsia="Times New Roman" w:hAnsi="Times New Roman"/>
              </w:rPr>
              <w:tab/>
            </w:r>
            <w:r>
              <w:rPr>
                <w:spacing w:val="-5"/>
              </w:rPr>
              <w:t>26</w:t>
            </w:r>
          </w:hyperlink>
        </w:p>
        <w:p>
          <w:pPr>
            <w:pStyle w:val="TOC2"/>
            <w:tabs>
              <w:tab w:val="right" w:leader="dot" w:pos="8526"/>
            </w:tabs>
          </w:pPr>
          <w:hyperlink w:anchor="_TOC_250009" w:history="1">
            <w:r>
              <w:t>4</w:t>
            </w:r>
            <w:r>
              <w:rPr>
                <w:spacing w:val="-70"/>
              </w:rPr>
              <w:t xml:space="preserve"> </w:t>
            </w:r>
            <w:r>
              <w:t>卫生间防水工</w:t>
            </w:r>
            <w:r>
              <w:rPr>
                <w:spacing w:val="-10"/>
              </w:rPr>
              <w:t>程</w:t>
            </w:r>
            <w:r>
              <w:rPr>
                <w:rFonts w:ascii="Times New Roman" w:eastAsia="Times New Roman"/>
              </w:rPr>
              <w:tab/>
            </w:r>
            <w:r>
              <w:rPr>
                <w:spacing w:val="-5"/>
              </w:rPr>
              <w:t>28</w:t>
            </w:r>
          </w:hyperlink>
        </w:p>
        <w:p>
          <w:pPr>
            <w:pStyle w:val="TOC2"/>
            <w:tabs>
              <w:tab w:val="right" w:leader="dot" w:pos="8516"/>
            </w:tabs>
            <w:spacing w:before="142"/>
          </w:pPr>
          <w:hyperlink w:anchor="_TOC_250008" w:history="1">
            <w:r>
              <w:t>5、卫生间墙地砖</w:t>
            </w:r>
            <w:r>
              <w:rPr>
                <w:spacing w:val="-10"/>
              </w:rPr>
              <w:t>…</w:t>
            </w:r>
            <w:r>
              <w:rPr>
                <w:rFonts w:ascii="Times New Roman" w:eastAsia="Times New Roman" w:hAnsi="Times New Roman"/>
              </w:rPr>
              <w:tab/>
            </w:r>
            <w:r>
              <w:rPr>
                <w:spacing w:val="-5"/>
              </w:rPr>
              <w:t>28</w:t>
            </w:r>
          </w:hyperlink>
        </w:p>
        <w:p>
          <w:pPr>
            <w:pStyle w:val="TOC1"/>
            <w:tabs>
              <w:tab w:val="right" w:leader="dot" w:pos="8503"/>
            </w:tabs>
            <w:rPr>
              <w:rFonts w:ascii="宋体" w:eastAsia="宋体" w:hint="eastAsia"/>
              <w:b w:val="0"/>
            </w:rPr>
          </w:pPr>
          <w:hyperlink w:anchor="_TOC_250007" w:history="1">
            <w:r>
              <w:t>五</w:t>
            </w:r>
            <w:r>
              <w:t>．</w:t>
            </w:r>
            <w:r>
              <w:t>质</w:t>
            </w:r>
            <w:r>
              <w:t>量</w:t>
            </w:r>
            <w:r>
              <w:t>控</w:t>
            </w:r>
            <w:r>
              <w:t>制</w:t>
            </w:r>
            <w:r>
              <w:t>停</w:t>
            </w:r>
            <w:r>
              <w:t>止</w:t>
            </w:r>
            <w:r>
              <w:t>点</w:t>
            </w:r>
            <w:r>
              <w:t>及</w:t>
            </w:r>
            <w:r>
              <w:t>见</w:t>
            </w:r>
            <w:r>
              <w:t>证</w:t>
            </w:r>
            <w:r>
              <w:t>点</w:t>
            </w:r>
            <w:r>
              <w:t>设</w:t>
            </w:r>
            <w:r>
              <w:rPr>
                <w:spacing w:val="-10"/>
              </w:rPr>
              <w:t>置</w:t>
            </w:r>
            <w:r>
              <w:rPr>
                <w:rFonts w:ascii="Times New Roman" w:eastAsia="Times New Roman"/>
                <w:b w:val="0"/>
              </w:rPr>
              <w:tab/>
            </w:r>
            <w:r>
              <w:rPr>
                <w:rFonts w:ascii="宋体" w:eastAsia="宋体" w:hint="eastAsia"/>
                <w:b w:val="0"/>
                <w:spacing w:val="-5"/>
              </w:rPr>
              <w:t>29</w:t>
            </w:r>
          </w:hyperlink>
        </w:p>
        <w:p>
          <w:pPr>
            <w:pStyle w:val="TOC2"/>
            <w:numPr>
              <w:ilvl w:val="0"/>
              <w:numId w:val="35"/>
            </w:numPr>
            <w:tabs>
              <w:tab w:val="left" w:pos="467"/>
              <w:tab w:val="right" w:leader="dot" w:pos="8526"/>
            </w:tabs>
            <w:spacing w:before="77" w:after="0" w:line="240" w:lineRule="auto"/>
            <w:ind w:left="467" w:right="0" w:hanging="211"/>
            <w:jc w:val="left"/>
          </w:pPr>
          <w:hyperlink w:anchor="_TOC_250006" w:history="1">
            <w:r>
              <w:t>停止点及见证点的概</w:t>
            </w:r>
            <w:r>
              <w:rPr>
                <w:spacing w:val="-10"/>
              </w:rPr>
              <w:t>念</w:t>
            </w:r>
            <w:r>
              <w:rPr>
                <w:rFonts w:ascii="Times New Roman" w:eastAsia="Times New Roman"/>
              </w:rPr>
              <w:tab/>
            </w:r>
            <w:r>
              <w:rPr>
                <w:spacing w:val="-5"/>
              </w:rPr>
              <w:t>29</w:t>
            </w:r>
          </w:hyperlink>
        </w:p>
        <w:p>
          <w:pPr>
            <w:pStyle w:val="TOC2"/>
            <w:numPr>
              <w:ilvl w:val="0"/>
              <w:numId w:val="35"/>
            </w:numPr>
            <w:tabs>
              <w:tab w:val="left" w:pos="467"/>
              <w:tab w:val="right" w:leader="dot" w:pos="8526"/>
            </w:tabs>
            <w:spacing w:before="141" w:after="0" w:line="240" w:lineRule="auto"/>
            <w:ind w:left="467" w:right="0" w:hanging="211"/>
            <w:jc w:val="left"/>
          </w:pPr>
          <w:hyperlink w:anchor="_TOC_250005" w:history="1">
            <w:r>
              <w:t>本工程停止点及见证点设</w:t>
            </w:r>
            <w:r>
              <w:rPr>
                <w:spacing w:val="-10"/>
              </w:rPr>
              <w:t>置</w:t>
            </w:r>
            <w:r>
              <w:rPr>
                <w:rFonts w:ascii="Times New Roman" w:eastAsia="Times New Roman"/>
              </w:rPr>
              <w:tab/>
            </w:r>
            <w:r>
              <w:rPr>
                <w:spacing w:val="-5"/>
              </w:rPr>
              <w:t>30</w:t>
            </w:r>
          </w:hyperlink>
        </w:p>
        <w:p>
          <w:pPr>
            <w:pStyle w:val="TOC1"/>
            <w:tabs>
              <w:tab w:val="right" w:leader="dot" w:pos="8500"/>
            </w:tabs>
            <w:rPr>
              <w:rFonts w:ascii="宋体" w:eastAsia="宋体" w:hint="eastAsia"/>
              <w:b w:val="0"/>
            </w:rPr>
          </w:pPr>
          <w:hyperlink w:anchor="_TOC_250004" w:history="1">
            <w:r>
              <w:t>六</w:t>
            </w:r>
            <w:r>
              <w:t>．</w:t>
            </w:r>
            <w:r>
              <w:t>监</w:t>
            </w:r>
            <w:r>
              <w:t>理</w:t>
            </w:r>
            <w:r>
              <w:t>工</w:t>
            </w:r>
            <w:r>
              <w:t>作</w:t>
            </w:r>
            <w:r>
              <w:t>的</w:t>
            </w:r>
            <w:r>
              <w:t>方</w:t>
            </w:r>
            <w:r>
              <w:t>法</w:t>
            </w:r>
            <w:r>
              <w:t>和</w:t>
            </w:r>
            <w:r>
              <w:t>措</w:t>
            </w:r>
            <w:r>
              <w:rPr>
                <w:spacing w:val="-10"/>
              </w:rPr>
              <w:t>施</w:t>
            </w:r>
            <w:r>
              <w:rPr>
                <w:rFonts w:ascii="Times New Roman" w:eastAsia="Times New Roman"/>
                <w:b w:val="0"/>
              </w:rPr>
              <w:tab/>
            </w:r>
            <w:r>
              <w:rPr>
                <w:rFonts w:ascii="宋体" w:eastAsia="宋体" w:hint="eastAsia"/>
                <w:b w:val="0"/>
                <w:spacing w:val="-5"/>
              </w:rPr>
              <w:t>30</w:t>
            </w:r>
          </w:hyperlink>
        </w:p>
        <w:p>
          <w:pPr>
            <w:pStyle w:val="TOC2"/>
            <w:numPr>
              <w:ilvl w:val="0"/>
              <w:numId w:val="34"/>
            </w:numPr>
            <w:tabs>
              <w:tab w:val="left" w:pos="467"/>
              <w:tab w:val="right" w:leader="dot" w:pos="8526"/>
            </w:tabs>
            <w:spacing w:before="78" w:after="0" w:line="240" w:lineRule="auto"/>
            <w:ind w:left="467" w:right="0" w:hanging="211"/>
            <w:jc w:val="left"/>
          </w:pPr>
          <w:hyperlink w:anchor="_TOC_250003" w:history="1">
            <w:r>
              <w:t>事前控</w:t>
            </w:r>
            <w:r>
              <w:rPr>
                <w:spacing w:val="-10"/>
              </w:rPr>
              <w:t>制</w:t>
            </w:r>
            <w:r>
              <w:rPr>
                <w:rFonts w:ascii="Times New Roman" w:eastAsia="Times New Roman"/>
              </w:rPr>
              <w:tab/>
            </w:r>
            <w:r>
              <w:rPr>
                <w:spacing w:val="-5"/>
              </w:rPr>
              <w:t>30</w:t>
            </w:r>
          </w:hyperlink>
        </w:p>
        <w:p>
          <w:pPr>
            <w:pStyle w:val="TOC2"/>
            <w:numPr>
              <w:ilvl w:val="0"/>
              <w:numId w:val="34"/>
            </w:numPr>
            <w:tabs>
              <w:tab w:val="left" w:pos="467"/>
              <w:tab w:val="right" w:leader="dot" w:pos="8377"/>
            </w:tabs>
            <w:spacing w:before="49" w:after="0" w:line="507" w:lineRule="exact"/>
            <w:ind w:left="467" w:right="0" w:hanging="211"/>
            <w:jc w:val="left"/>
          </w:pPr>
          <w:hyperlink w:anchor="_TOC_250002" w:history="1">
            <w:r>
              <w:t>事中控</w:t>
            </w:r>
            <w:r>
              <w:rPr>
                <w:spacing w:val="-10"/>
              </w:rPr>
              <w:t>制</w:t>
            </w:r>
            <w:r>
              <w:rPr>
                <w:rFonts w:ascii="Times New Roman" w:eastAsia="Times New Roman"/>
              </w:rPr>
              <w:tab/>
            </w:r>
            <w:r>
              <w:rPr>
                <w:spacing w:val="-5"/>
              </w:rPr>
              <w:t>31</w:t>
            </w:r>
          </w:hyperlink>
        </w:p>
        <w:p>
          <w:pPr>
            <w:pStyle w:val="TOC2"/>
            <w:numPr>
              <w:ilvl w:val="0"/>
              <w:numId w:val="34"/>
            </w:numPr>
            <w:tabs>
              <w:tab w:val="left" w:pos="467"/>
              <w:tab w:val="right" w:leader="dot" w:pos="8377"/>
            </w:tabs>
            <w:spacing w:before="0" w:after="0" w:line="500" w:lineRule="exact"/>
            <w:ind w:left="467" w:right="0" w:hanging="211"/>
            <w:jc w:val="left"/>
          </w:pPr>
          <w:hyperlink w:anchor="_TOC_250001" w:history="1">
            <w:r>
              <w:t>事后控</w:t>
            </w:r>
            <w:r>
              <w:rPr>
                <w:spacing w:val="-10"/>
              </w:rPr>
              <w:t>制</w:t>
            </w:r>
            <w:r>
              <w:rPr>
                <w:rFonts w:ascii="Times New Roman" w:eastAsia="Times New Roman"/>
              </w:rPr>
              <w:tab/>
            </w:r>
            <w:r>
              <w:rPr>
                <w:spacing w:val="-5"/>
              </w:rPr>
              <w:t>31</w:t>
            </w:r>
          </w:hyperlink>
        </w:p>
        <w:p>
          <w:pPr>
            <w:pStyle w:val="TOC3"/>
            <w:tabs>
              <w:tab w:val="right" w:leader="dot" w:pos="8493"/>
            </w:tabs>
            <w:rPr>
              <w:rFonts w:ascii="宋体" w:eastAsia="宋体" w:hint="eastAsia"/>
              <w:b w:val="0"/>
              <w:i w:val="0"/>
              <w:sz w:val="28"/>
            </w:rPr>
          </w:pPr>
          <w:hyperlink w:anchor="_TOC_250000" w:history="1">
            <w:r>
              <w:rPr>
                <w:i w:val="0"/>
                <w:sz w:val="28"/>
              </w:rPr>
              <w:t>七</w:t>
            </w:r>
            <w:r>
              <w:rPr>
                <w:i w:val="0"/>
                <w:sz w:val="28"/>
              </w:rPr>
              <w:t>．</w:t>
            </w:r>
            <w:r>
              <w:rPr>
                <w:i w:val="0"/>
                <w:sz w:val="28"/>
              </w:rPr>
              <w:t>监</w:t>
            </w:r>
            <w:r>
              <w:rPr>
                <w:i w:val="0"/>
                <w:sz w:val="28"/>
              </w:rPr>
              <w:t>理</w:t>
            </w:r>
            <w:r>
              <w:rPr>
                <w:i w:val="0"/>
                <w:sz w:val="28"/>
              </w:rPr>
              <w:t>记</w:t>
            </w:r>
            <w:r>
              <w:rPr>
                <w:i w:val="0"/>
                <w:spacing w:val="-10"/>
                <w:sz w:val="28"/>
              </w:rPr>
              <w:t>录</w:t>
            </w:r>
            <w:r>
              <w:rPr>
                <w:rFonts w:ascii="Times New Roman" w:eastAsia="Times New Roman"/>
                <w:b w:val="0"/>
                <w:i w:val="0"/>
                <w:sz w:val="28"/>
              </w:rPr>
              <w:tab/>
            </w:r>
            <w:r>
              <w:rPr>
                <w:rFonts w:ascii="宋体" w:eastAsia="宋体" w:hint="eastAsia"/>
                <w:b w:val="0"/>
                <w:i w:val="0"/>
                <w:spacing w:val="-5"/>
                <w:sz w:val="28"/>
              </w:rPr>
              <w:t>32</w:t>
            </w:r>
          </w:hyperlink>
        </w:p>
      </w:sdtContent>
    </w:sdt>
    <w:p>
      <w:pPr>
        <w:spacing w:after="0"/>
        <w:rPr>
          <w:rFonts w:hint="eastAsia"/>
          <w:sz w:val="28"/>
        </w:rPr>
        <w:sectPr>
          <w:type w:val="nextPage"/>
          <w:pgSz w:w="11910" w:h="16160"/>
          <w:pgMar w:top="1520" w:right="1460" w:bottom="1731" w:left="1540" w:header="708" w:footer="708"/>
          <w:pgNumType w:start="4"/>
          <w:cols w:space="708"/>
          <w:titlePg w:val="0"/>
        </w:sectPr>
      </w:pPr>
    </w:p>
    <w:p>
      <w:pPr>
        <w:pStyle w:val="BodyText"/>
        <w:spacing w:before="837" w:line="333" w:lineRule="auto"/>
        <w:ind w:left="256" w:right="335" w:firstLine="560"/>
        <w:jc w:val="both"/>
      </w:pPr>
      <w:r>
        <w:t>本监理实施细则是在</w:t>
      </w:r>
      <w:r>
        <w:rPr>
          <w:u w:val="single"/>
        </w:rPr>
        <w:t xml:space="preserve"> ********综合整治项目</w:t>
      </w:r>
      <w:r>
        <w:t>工程监理规划的基</w:t>
      </w:r>
      <w:r>
        <w:rPr>
          <w:spacing w:val="-4"/>
        </w:rPr>
        <w:t>础上、依据工程设计图纸及相关的技术规范、标准编制的。其中监理</w:t>
      </w:r>
      <w:r>
        <w:rPr>
          <w:spacing w:val="-4"/>
        </w:rPr>
        <w:t>工作程序及控制程序除特别提出的，均按规划中的要求执行。针对实</w:t>
      </w:r>
      <w:r>
        <w:rPr>
          <w:spacing w:val="-4"/>
        </w:rPr>
        <w:t>施细则对应工程的特点，明确了质量控制要点、标准，控制的方法及</w:t>
      </w:r>
      <w:r>
        <w:rPr>
          <w:spacing w:val="-2"/>
        </w:rPr>
        <w:t>措施。是项目监理机构开展监理工作的操作性文件。</w:t>
      </w:r>
    </w:p>
    <w:p>
      <w:pPr>
        <w:pStyle w:val="Heading1"/>
        <w:spacing w:before="88"/>
        <w:ind w:left="256"/>
      </w:pPr>
      <w:bookmarkStart w:id="0" w:name="_TOC_250035"/>
      <w:bookmarkEnd w:id="0"/>
      <w:r>
        <w:rPr>
          <w:spacing w:val="-2"/>
        </w:rPr>
        <w:t>一．工程项目特点</w:t>
      </w:r>
    </w:p>
    <w:p>
      <w:pPr>
        <w:pStyle w:val="BodyText"/>
        <w:spacing w:before="14"/>
        <w:rPr>
          <w:rFonts w:ascii="Microsoft JhengHei"/>
          <w:b/>
          <w:sz w:val="62"/>
        </w:rPr>
      </w:pPr>
    </w:p>
    <w:p>
      <w:pPr>
        <w:pStyle w:val="BodyText"/>
        <w:ind w:left="256"/>
      </w:pPr>
      <w:r>
        <w:pict>
          <v:group id="_x0000_s1025" style="width:427.6pt;height:34.2pt;margin-top:18.33pt;margin-left:83.88pt;mso-position-horizontal-relative:page;mso-wrap-distance-left:0;mso-wrap-distance-right:0;position:absolute;z-index:-251658240" coordorigin="1678,367" coordsize="8552,684">
            <v:line id="_x0000_s1026" style="position:absolute" from="1693,397" to="1693,1021" stroked="t" strokecolor="black" strokeweight="1.5pt">
              <v:stroke dashstyle="solid"/>
            </v:line>
            <v:line id="_x0000_s1027" style="position:absolute" from="3091,397" to="3091,1021" stroked="t" strokecolor="black" strokeweight="0.75pt">
              <v:stroke dashstyle="solid"/>
            </v:line>
            <v:shape id="_x0000_s1028" style="width:8552;height:654;left:1677;position:absolute;top:381" coordorigin="1678,382" coordsize="8552,654" path="m10215,397l10215,1021m1678,382l10230,382m1678,1036l10230,1036e" filled="f" stroked="t" strokecolor="black" strokeweight="1.5pt">
              <v:stroke dashstyle="solid"/>
              <v:path arrowok="t"/>
            </v:shape>
            <v:shapetype id="_x0000_t202" coordsize="21600,21600" o:spt="202" path="m,l,21600r21600,l21600,xe">
              <v:stroke joinstyle="miter"/>
              <v:path gradientshapeok="t" o:connecttype="rect"/>
            </v:shapetype>
            <v:shape id="_x0000_s1029" type="#_x0000_t202" style="width:7102;height:624;left:3098;position:absolute;top:396" filled="f" stroked="f">
              <v:textbox inset="0,0,0,0">
                <w:txbxContent>
                  <w:p>
                    <w:pPr>
                      <w:spacing w:before="182"/>
                      <w:ind w:left="100" w:right="0" w:firstLine="0"/>
                      <w:jc w:val="left"/>
                      <w:rPr>
                        <w:sz w:val="28"/>
                      </w:rPr>
                    </w:pPr>
                    <w:r>
                      <w:rPr>
                        <w:sz w:val="28"/>
                      </w:rPr>
                      <w:t>***********</w:t>
                    </w:r>
                    <w:r>
                      <w:rPr>
                        <w:spacing w:val="-2"/>
                        <w:sz w:val="28"/>
                      </w:rPr>
                      <w:t>综合整治项目</w:t>
                    </w:r>
                  </w:p>
                </w:txbxContent>
              </v:textbox>
            </v:shape>
            <v:shape id="_x0000_s1030" type="#_x0000_t202" style="width:1376;height:624;left:1707;position:absolute;top:396" filled="f" stroked="f">
              <v:textbox inset="0,0,0,0">
                <w:txbxContent>
                  <w:p>
                    <w:pPr>
                      <w:spacing w:before="182"/>
                      <w:ind w:left="93" w:right="0" w:firstLine="0"/>
                      <w:jc w:val="left"/>
                      <w:rPr>
                        <w:sz w:val="28"/>
                      </w:rPr>
                    </w:pPr>
                    <w:r>
                      <w:rPr>
                        <w:spacing w:val="-3"/>
                        <w:sz w:val="28"/>
                      </w:rPr>
                      <w:t>工程名称</w:t>
                    </w:r>
                  </w:p>
                </w:txbxContent>
              </v:textbox>
            </v:shape>
            <w10:wrap type="topAndBottom"/>
          </v:group>
        </w:pict>
      </w:r>
      <w:r>
        <w:rPr>
          <w:spacing w:val="-7"/>
        </w:rPr>
        <w:t xml:space="preserve">本工程筹建于上世纪 </w:t>
      </w:r>
      <w:r>
        <w:t>70</w:t>
      </w:r>
      <w:r>
        <w:rPr>
          <w:spacing w:val="-14"/>
        </w:rPr>
        <w:t xml:space="preserve"> 年代中期，小区占地面积为 </w:t>
      </w:r>
      <w:r>
        <w:t>2637</w:t>
      </w:r>
      <w:r>
        <w:rPr>
          <w:spacing w:val="-17"/>
        </w:rPr>
        <w:t xml:space="preserve"> 平方米。</w:t>
      </w:r>
    </w:p>
    <w:p>
      <w:pPr>
        <w:spacing w:after="0"/>
        <w:sectPr>
          <w:type w:val="continuous"/>
          <w:pgSz w:w="11910" w:h="16160"/>
          <w:pgMar w:top="1520" w:right="1460" w:bottom="280" w:left="1540" w:header="708" w:footer="708"/>
          <w:pgNumType w:start="5"/>
          <w:cols w:space="708"/>
        </w:sectPr>
      </w:pPr>
    </w:p>
    <w:tbl>
      <w:tblPr>
        <w:tblStyle w:val="TableNormal0"/>
        <w:tblW w:w="0" w:type="auto"/>
        <w:jc w:val="left"/>
        <w:tblInd w:w="1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398"/>
        <w:gridCol w:w="3153"/>
        <w:gridCol w:w="3971"/>
      </w:tblGrid>
      <w:tr>
        <w:tblPrEx>
          <w:tblW w:w="0" w:type="auto"/>
          <w:jc w:val="left"/>
          <w:tblInd w:w="1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624"/>
          <w:jc w:val="left"/>
        </w:trPr>
        <w:tc>
          <w:tcPr>
            <w:tcW w:w="1398" w:type="dxa"/>
            <w:tcBorders>
              <w:bottom w:val="single" w:sz="6" w:space="0" w:color="000000"/>
              <w:right w:val="single" w:sz="6" w:space="0" w:color="000000"/>
            </w:tcBorders>
          </w:tcPr>
          <w:p>
            <w:pPr>
              <w:pStyle w:val="TableParagraph"/>
              <w:spacing w:before="182"/>
              <w:ind w:left="98" w:right="129"/>
              <w:jc w:val="center"/>
              <w:rPr>
                <w:sz w:val="28"/>
              </w:rPr>
            </w:pPr>
            <w:r>
              <w:rPr>
                <w:spacing w:val="-3"/>
                <w:sz w:val="28"/>
              </w:rPr>
              <w:t>建设地点</w:t>
            </w:r>
          </w:p>
        </w:tc>
        <w:tc>
          <w:tcPr>
            <w:tcW w:w="7124" w:type="dxa"/>
            <w:gridSpan w:val="2"/>
            <w:tcBorders>
              <w:left w:val="single" w:sz="6" w:space="0" w:color="000000"/>
              <w:bottom w:val="single" w:sz="6" w:space="0" w:color="000000"/>
            </w:tcBorders>
          </w:tcPr>
          <w:p>
            <w:pPr>
              <w:pStyle w:val="TableParagraph"/>
              <w:spacing w:before="182"/>
              <w:ind w:left="108"/>
              <w:rPr>
                <w:sz w:val="28"/>
              </w:rPr>
            </w:pPr>
            <w:r>
              <w:rPr>
                <w:sz w:val="28"/>
              </w:rPr>
              <w:t>北京市西城区</w:t>
            </w:r>
            <w:r>
              <w:rPr>
                <w:spacing w:val="-2"/>
                <w:sz w:val="28"/>
              </w:rPr>
              <w:t>**********</w:t>
            </w:r>
          </w:p>
        </w:tc>
      </w:tr>
      <w:tr>
        <w:tblPrEx>
          <w:tblW w:w="0" w:type="auto"/>
          <w:jc w:val="left"/>
          <w:tblInd w:w="167" w:type="dxa"/>
          <w:tblLayout w:type="fixed"/>
          <w:tblCellMar>
            <w:top w:w="0" w:type="dxa"/>
            <w:left w:w="0" w:type="dxa"/>
            <w:bottom w:w="0" w:type="dxa"/>
            <w:right w:w="0" w:type="dxa"/>
          </w:tblCellMar>
          <w:tblLook w:val="01E0"/>
        </w:tblPrEx>
        <w:trPr>
          <w:trHeight w:val="624"/>
          <w:jc w:val="left"/>
        </w:trPr>
        <w:tc>
          <w:tcPr>
            <w:tcW w:w="1398" w:type="dxa"/>
            <w:tcBorders>
              <w:top w:val="single" w:sz="6" w:space="0" w:color="000000"/>
              <w:bottom w:val="single" w:sz="6" w:space="0" w:color="000000"/>
              <w:right w:val="single" w:sz="6" w:space="0" w:color="000000"/>
            </w:tcBorders>
          </w:tcPr>
          <w:p>
            <w:pPr>
              <w:pStyle w:val="TableParagraph"/>
              <w:spacing w:before="182"/>
              <w:ind w:left="98" w:right="129"/>
              <w:jc w:val="center"/>
              <w:rPr>
                <w:sz w:val="28"/>
              </w:rPr>
            </w:pPr>
            <w:r>
              <w:rPr>
                <w:spacing w:val="-3"/>
                <w:sz w:val="28"/>
              </w:rPr>
              <w:t>建设单位</w:t>
            </w:r>
          </w:p>
        </w:tc>
        <w:tc>
          <w:tcPr>
            <w:tcW w:w="7124" w:type="dxa"/>
            <w:gridSpan w:val="2"/>
            <w:tcBorders>
              <w:top w:val="single" w:sz="6" w:space="0" w:color="000000"/>
              <w:left w:val="single" w:sz="6" w:space="0" w:color="000000"/>
              <w:bottom w:val="single" w:sz="6" w:space="0" w:color="000000"/>
            </w:tcBorders>
          </w:tcPr>
          <w:p>
            <w:pPr>
              <w:pStyle w:val="TableParagraph"/>
              <w:spacing w:before="182"/>
              <w:ind w:left="108"/>
              <w:rPr>
                <w:sz w:val="28"/>
              </w:rPr>
            </w:pPr>
            <w:r>
              <w:rPr>
                <w:sz w:val="28"/>
              </w:rPr>
              <w:t>************</w:t>
            </w:r>
            <w:r>
              <w:rPr>
                <w:spacing w:val="-2"/>
                <w:sz w:val="28"/>
              </w:rPr>
              <w:t>事务管理局</w:t>
            </w:r>
          </w:p>
        </w:tc>
      </w:tr>
      <w:tr>
        <w:tblPrEx>
          <w:tblW w:w="0" w:type="auto"/>
          <w:jc w:val="left"/>
          <w:tblInd w:w="167" w:type="dxa"/>
          <w:tblLayout w:type="fixed"/>
          <w:tblCellMar>
            <w:top w:w="0" w:type="dxa"/>
            <w:left w:w="0" w:type="dxa"/>
            <w:bottom w:w="0" w:type="dxa"/>
            <w:right w:w="0" w:type="dxa"/>
          </w:tblCellMar>
          <w:tblLook w:val="01E0"/>
        </w:tblPrEx>
        <w:trPr>
          <w:trHeight w:val="519"/>
          <w:jc w:val="left"/>
        </w:trPr>
        <w:tc>
          <w:tcPr>
            <w:tcW w:w="1398" w:type="dxa"/>
            <w:tcBorders>
              <w:top w:val="single" w:sz="6" w:space="0" w:color="000000"/>
              <w:bottom w:val="single" w:sz="6" w:space="0" w:color="000000"/>
              <w:right w:val="single" w:sz="6" w:space="0" w:color="000000"/>
            </w:tcBorders>
          </w:tcPr>
          <w:p>
            <w:pPr>
              <w:pStyle w:val="TableParagraph"/>
              <w:spacing w:before="129"/>
              <w:ind w:left="98" w:right="129"/>
              <w:jc w:val="center"/>
              <w:rPr>
                <w:sz w:val="28"/>
              </w:rPr>
            </w:pPr>
            <w:r>
              <w:rPr>
                <w:spacing w:val="-3"/>
                <w:sz w:val="28"/>
              </w:rPr>
              <w:t>设计单位</w:t>
            </w:r>
          </w:p>
        </w:tc>
        <w:tc>
          <w:tcPr>
            <w:tcW w:w="7124" w:type="dxa"/>
            <w:gridSpan w:val="2"/>
            <w:tcBorders>
              <w:top w:val="single" w:sz="6" w:space="0" w:color="000000"/>
              <w:left w:val="single" w:sz="6" w:space="0" w:color="000000"/>
              <w:bottom w:val="single" w:sz="6" w:space="0" w:color="000000"/>
            </w:tcBorders>
          </w:tcPr>
          <w:p>
            <w:pPr>
              <w:pStyle w:val="TableParagraph"/>
              <w:spacing w:before="129"/>
              <w:ind w:left="108"/>
              <w:rPr>
                <w:sz w:val="28"/>
              </w:rPr>
            </w:pPr>
            <w:r>
              <w:rPr>
                <w:sz w:val="28"/>
              </w:rPr>
              <w:t>*********</w:t>
            </w:r>
            <w:r>
              <w:rPr>
                <w:spacing w:val="-1"/>
                <w:sz w:val="28"/>
              </w:rPr>
              <w:t>建筑工程设计有限责任公司</w:t>
            </w:r>
          </w:p>
        </w:tc>
      </w:tr>
      <w:tr>
        <w:tblPrEx>
          <w:tblW w:w="0" w:type="auto"/>
          <w:jc w:val="left"/>
          <w:tblInd w:w="167" w:type="dxa"/>
          <w:tblLayout w:type="fixed"/>
          <w:tblCellMar>
            <w:top w:w="0" w:type="dxa"/>
            <w:left w:w="0" w:type="dxa"/>
            <w:bottom w:w="0" w:type="dxa"/>
            <w:right w:w="0" w:type="dxa"/>
          </w:tblCellMar>
          <w:tblLook w:val="01E0"/>
        </w:tblPrEx>
        <w:trPr>
          <w:trHeight w:val="518"/>
          <w:jc w:val="left"/>
        </w:trPr>
        <w:tc>
          <w:tcPr>
            <w:tcW w:w="1398" w:type="dxa"/>
            <w:tcBorders>
              <w:top w:val="single" w:sz="6" w:space="0" w:color="000000"/>
              <w:bottom w:val="single" w:sz="6" w:space="0" w:color="000000"/>
              <w:right w:val="single" w:sz="6" w:space="0" w:color="000000"/>
            </w:tcBorders>
          </w:tcPr>
          <w:p>
            <w:pPr>
              <w:pStyle w:val="TableParagraph"/>
              <w:spacing w:before="129"/>
              <w:ind w:left="98" w:right="129"/>
              <w:jc w:val="center"/>
              <w:rPr>
                <w:sz w:val="28"/>
              </w:rPr>
            </w:pPr>
            <w:r>
              <w:rPr>
                <w:spacing w:val="-3"/>
                <w:sz w:val="28"/>
              </w:rPr>
              <w:t>施工单位</w:t>
            </w:r>
          </w:p>
        </w:tc>
        <w:tc>
          <w:tcPr>
            <w:tcW w:w="7124" w:type="dxa"/>
            <w:gridSpan w:val="2"/>
            <w:tcBorders>
              <w:top w:val="single" w:sz="6" w:space="0" w:color="000000"/>
              <w:left w:val="single" w:sz="6" w:space="0" w:color="000000"/>
              <w:bottom w:val="single" w:sz="6" w:space="0" w:color="000000"/>
            </w:tcBorders>
          </w:tcPr>
          <w:p>
            <w:pPr>
              <w:pStyle w:val="TableParagraph"/>
              <w:spacing w:before="129"/>
              <w:ind w:left="108"/>
              <w:rPr>
                <w:sz w:val="28"/>
              </w:rPr>
            </w:pPr>
            <w:r>
              <w:rPr>
                <w:sz w:val="28"/>
              </w:rPr>
              <w:t>*******</w:t>
            </w:r>
            <w:r>
              <w:rPr>
                <w:spacing w:val="-2"/>
                <w:sz w:val="28"/>
              </w:rPr>
              <w:t>建设发展有限公司</w:t>
            </w:r>
          </w:p>
        </w:tc>
      </w:tr>
      <w:tr>
        <w:tblPrEx>
          <w:tblW w:w="0" w:type="auto"/>
          <w:jc w:val="left"/>
          <w:tblInd w:w="167" w:type="dxa"/>
          <w:tblLayout w:type="fixed"/>
          <w:tblCellMar>
            <w:top w:w="0" w:type="dxa"/>
            <w:left w:w="0" w:type="dxa"/>
            <w:bottom w:w="0" w:type="dxa"/>
            <w:right w:w="0" w:type="dxa"/>
          </w:tblCellMar>
          <w:tblLook w:val="01E0"/>
        </w:tblPrEx>
        <w:trPr>
          <w:trHeight w:val="518"/>
          <w:jc w:val="left"/>
        </w:trPr>
        <w:tc>
          <w:tcPr>
            <w:tcW w:w="1398" w:type="dxa"/>
            <w:tcBorders>
              <w:top w:val="single" w:sz="6" w:space="0" w:color="000000"/>
              <w:bottom w:val="single" w:sz="6" w:space="0" w:color="000000"/>
              <w:right w:val="single" w:sz="6" w:space="0" w:color="000000"/>
            </w:tcBorders>
          </w:tcPr>
          <w:p>
            <w:pPr>
              <w:pStyle w:val="TableParagraph"/>
              <w:spacing w:before="129"/>
              <w:ind w:left="98" w:right="129"/>
              <w:jc w:val="center"/>
              <w:rPr>
                <w:sz w:val="28"/>
              </w:rPr>
            </w:pPr>
            <w:r>
              <w:rPr>
                <w:spacing w:val="-3"/>
                <w:sz w:val="28"/>
              </w:rPr>
              <w:t>监理单位</w:t>
            </w:r>
          </w:p>
        </w:tc>
        <w:tc>
          <w:tcPr>
            <w:tcW w:w="7124" w:type="dxa"/>
            <w:gridSpan w:val="2"/>
            <w:tcBorders>
              <w:top w:val="single" w:sz="6" w:space="0" w:color="000000"/>
              <w:left w:val="single" w:sz="6" w:space="0" w:color="000000"/>
              <w:bottom w:val="single" w:sz="6" w:space="0" w:color="000000"/>
            </w:tcBorders>
          </w:tcPr>
          <w:p>
            <w:pPr>
              <w:pStyle w:val="TableParagraph"/>
              <w:spacing w:before="129"/>
              <w:ind w:left="108"/>
              <w:rPr>
                <w:sz w:val="28"/>
              </w:rPr>
            </w:pPr>
            <w:r>
              <w:rPr>
                <w:sz w:val="28"/>
              </w:rPr>
              <w:t>*******</w:t>
            </w:r>
            <w:r>
              <w:rPr>
                <w:spacing w:val="-2"/>
                <w:sz w:val="28"/>
              </w:rPr>
              <w:t>管理咨询有限公司</w:t>
            </w:r>
          </w:p>
        </w:tc>
      </w:tr>
      <w:tr>
        <w:tblPrEx>
          <w:tblW w:w="0" w:type="auto"/>
          <w:jc w:val="left"/>
          <w:tblInd w:w="167" w:type="dxa"/>
          <w:tblLayout w:type="fixed"/>
          <w:tblCellMar>
            <w:top w:w="0" w:type="dxa"/>
            <w:left w:w="0" w:type="dxa"/>
            <w:bottom w:w="0" w:type="dxa"/>
            <w:right w:w="0" w:type="dxa"/>
          </w:tblCellMar>
          <w:tblLook w:val="01E0"/>
        </w:tblPrEx>
        <w:trPr>
          <w:trHeight w:val="500"/>
          <w:jc w:val="left"/>
        </w:trPr>
        <w:tc>
          <w:tcPr>
            <w:tcW w:w="1398" w:type="dxa"/>
            <w:tcBorders>
              <w:top w:val="single" w:sz="6" w:space="0" w:color="000000"/>
              <w:bottom w:val="single" w:sz="6" w:space="0" w:color="000000"/>
              <w:right w:val="single" w:sz="6" w:space="0" w:color="000000"/>
            </w:tcBorders>
          </w:tcPr>
          <w:p>
            <w:pPr>
              <w:pStyle w:val="TableParagraph"/>
              <w:spacing w:before="120"/>
              <w:ind w:left="98" w:right="129"/>
              <w:jc w:val="center"/>
              <w:rPr>
                <w:sz w:val="28"/>
              </w:rPr>
            </w:pPr>
            <w:r>
              <w:rPr>
                <w:spacing w:val="-3"/>
                <w:sz w:val="28"/>
              </w:rPr>
              <w:t>建筑面积</w:t>
            </w:r>
          </w:p>
        </w:tc>
        <w:tc>
          <w:tcPr>
            <w:tcW w:w="7124" w:type="dxa"/>
            <w:gridSpan w:val="2"/>
            <w:tcBorders>
              <w:top w:val="single" w:sz="6" w:space="0" w:color="000000"/>
              <w:left w:val="single" w:sz="6" w:space="0" w:color="000000"/>
              <w:bottom w:val="single" w:sz="6" w:space="0" w:color="000000"/>
            </w:tcBorders>
          </w:tcPr>
          <w:p>
            <w:pPr>
              <w:pStyle w:val="TableParagraph"/>
              <w:spacing w:before="120"/>
              <w:ind w:left="108"/>
              <w:rPr>
                <w:sz w:val="28"/>
              </w:rPr>
            </w:pPr>
            <w:r>
              <w:rPr>
                <w:sz w:val="28"/>
              </w:rPr>
              <w:t>6400</w:t>
            </w:r>
            <w:r>
              <w:rPr>
                <w:spacing w:val="-21"/>
                <w:sz w:val="28"/>
              </w:rPr>
              <w:t xml:space="preserve"> 平方米</w:t>
            </w:r>
          </w:p>
        </w:tc>
      </w:tr>
      <w:tr>
        <w:tblPrEx>
          <w:tblW w:w="0" w:type="auto"/>
          <w:jc w:val="left"/>
          <w:tblInd w:w="167" w:type="dxa"/>
          <w:tblLayout w:type="fixed"/>
          <w:tblCellMar>
            <w:top w:w="0" w:type="dxa"/>
            <w:left w:w="0" w:type="dxa"/>
            <w:bottom w:w="0" w:type="dxa"/>
            <w:right w:w="0" w:type="dxa"/>
          </w:tblCellMar>
          <w:tblLook w:val="01E0"/>
        </w:tblPrEx>
        <w:trPr>
          <w:trHeight w:val="1500"/>
          <w:jc w:val="left"/>
        </w:trPr>
        <w:tc>
          <w:tcPr>
            <w:tcW w:w="1398" w:type="dxa"/>
            <w:tcBorders>
              <w:top w:val="single" w:sz="6" w:space="0" w:color="000000"/>
              <w:bottom w:val="single" w:sz="6" w:space="0" w:color="000000"/>
              <w:right w:val="single" w:sz="6" w:space="0" w:color="000000"/>
            </w:tcBorders>
          </w:tcPr>
          <w:p>
            <w:pPr>
              <w:pStyle w:val="TableParagraph"/>
              <w:rPr>
                <w:sz w:val="28"/>
              </w:rPr>
            </w:pPr>
          </w:p>
          <w:p>
            <w:pPr>
              <w:pStyle w:val="TableParagraph"/>
              <w:spacing w:before="5"/>
              <w:rPr>
                <w:sz w:val="20"/>
              </w:rPr>
            </w:pPr>
          </w:p>
          <w:p>
            <w:pPr>
              <w:pStyle w:val="TableParagraph"/>
              <w:ind w:left="98" w:right="129"/>
              <w:jc w:val="center"/>
              <w:rPr>
                <w:sz w:val="28"/>
              </w:rPr>
            </w:pPr>
            <w:r>
              <w:rPr>
                <w:spacing w:val="-3"/>
                <w:sz w:val="28"/>
              </w:rPr>
              <w:t>改造范围</w:t>
            </w:r>
          </w:p>
        </w:tc>
        <w:tc>
          <w:tcPr>
            <w:tcW w:w="7124" w:type="dxa"/>
            <w:gridSpan w:val="2"/>
            <w:tcBorders>
              <w:top w:val="single" w:sz="6" w:space="0" w:color="000000"/>
              <w:left w:val="single" w:sz="6" w:space="0" w:color="000000"/>
              <w:bottom w:val="single" w:sz="6" w:space="0" w:color="000000"/>
            </w:tcBorders>
          </w:tcPr>
          <w:p>
            <w:pPr>
              <w:pStyle w:val="TableParagraph"/>
              <w:spacing w:line="500" w:lineRule="exact"/>
              <w:ind w:left="108" w:right="76"/>
              <w:jc w:val="both"/>
              <w:rPr>
                <w:sz w:val="28"/>
              </w:rPr>
            </w:pPr>
            <w:r>
              <w:rPr>
                <w:spacing w:val="-4"/>
                <w:sz w:val="28"/>
              </w:rPr>
              <w:t>改造范围：抗震节能综合改造，给排水、电气、供暖、安</w:t>
            </w:r>
            <w:r>
              <w:rPr>
                <w:spacing w:val="-12"/>
                <w:sz w:val="28"/>
              </w:rPr>
              <w:t>防系统更新改造，环境整治等图纸和清单内的全部施工内</w:t>
            </w:r>
            <w:r>
              <w:rPr>
                <w:spacing w:val="-10"/>
                <w:sz w:val="28"/>
              </w:rPr>
              <w:t>容</w:t>
            </w:r>
          </w:p>
        </w:tc>
      </w:tr>
      <w:tr>
        <w:tblPrEx>
          <w:tblW w:w="0" w:type="auto"/>
          <w:jc w:val="left"/>
          <w:tblInd w:w="167" w:type="dxa"/>
          <w:tblLayout w:type="fixed"/>
          <w:tblCellMar>
            <w:top w:w="0" w:type="dxa"/>
            <w:left w:w="0" w:type="dxa"/>
            <w:bottom w:w="0" w:type="dxa"/>
            <w:right w:w="0" w:type="dxa"/>
          </w:tblCellMar>
          <w:tblLook w:val="01E0"/>
        </w:tblPrEx>
        <w:trPr>
          <w:trHeight w:val="624"/>
          <w:jc w:val="left"/>
        </w:trPr>
        <w:tc>
          <w:tcPr>
            <w:tcW w:w="1398" w:type="dxa"/>
            <w:vMerge w:val="restart"/>
            <w:tcBorders>
              <w:top w:val="single" w:sz="6" w:space="0" w:color="000000"/>
              <w:bottom w:val="single" w:sz="6" w:space="0" w:color="000000"/>
              <w:right w:val="single" w:sz="6" w:space="0" w:color="000000"/>
            </w:tcBorders>
          </w:tcPr>
          <w:p>
            <w:pPr>
              <w:pStyle w:val="TableParagraph"/>
              <w:rPr>
                <w:sz w:val="28"/>
              </w:rPr>
            </w:pPr>
          </w:p>
          <w:p>
            <w:pPr>
              <w:pStyle w:val="TableParagraph"/>
              <w:spacing w:before="12"/>
              <w:rPr>
                <w:sz w:val="32"/>
              </w:rPr>
            </w:pPr>
          </w:p>
          <w:p>
            <w:pPr>
              <w:pStyle w:val="TableParagraph"/>
              <w:ind w:left="108"/>
              <w:rPr>
                <w:sz w:val="28"/>
              </w:rPr>
            </w:pPr>
            <w:r>
              <w:rPr>
                <w:spacing w:val="-3"/>
                <w:sz w:val="28"/>
              </w:rPr>
              <w:t>工期要求</w:t>
            </w:r>
          </w:p>
        </w:tc>
        <w:tc>
          <w:tcPr>
            <w:tcW w:w="3153" w:type="dxa"/>
            <w:tcBorders>
              <w:top w:val="single" w:sz="6" w:space="0" w:color="000000"/>
              <w:left w:val="single" w:sz="6" w:space="0" w:color="000000"/>
              <w:bottom w:val="single" w:sz="6" w:space="0" w:color="000000"/>
              <w:right w:val="single" w:sz="6" w:space="0" w:color="000000"/>
            </w:tcBorders>
          </w:tcPr>
          <w:p>
            <w:pPr>
              <w:pStyle w:val="TableParagraph"/>
              <w:spacing w:before="182"/>
              <w:ind w:left="115"/>
              <w:rPr>
                <w:sz w:val="28"/>
              </w:rPr>
            </w:pPr>
            <w:r>
              <w:rPr>
                <w:spacing w:val="-4"/>
                <w:sz w:val="28"/>
              </w:rPr>
              <w:t>总工期</w:t>
            </w:r>
          </w:p>
        </w:tc>
        <w:tc>
          <w:tcPr>
            <w:tcW w:w="3971" w:type="dxa"/>
            <w:tcBorders>
              <w:top w:val="single" w:sz="6" w:space="0" w:color="000000"/>
              <w:left w:val="single" w:sz="6" w:space="0" w:color="000000"/>
              <w:bottom w:val="single" w:sz="6" w:space="0" w:color="000000"/>
            </w:tcBorders>
          </w:tcPr>
          <w:p>
            <w:pPr>
              <w:pStyle w:val="TableParagraph"/>
              <w:spacing w:before="182"/>
              <w:ind w:left="108"/>
              <w:rPr>
                <w:sz w:val="28"/>
              </w:rPr>
            </w:pPr>
            <w:r>
              <w:rPr>
                <w:sz w:val="28"/>
              </w:rPr>
              <w:t>275</w:t>
            </w:r>
            <w:r>
              <w:rPr>
                <w:spacing w:val="-21"/>
                <w:sz w:val="28"/>
              </w:rPr>
              <w:t xml:space="preserve"> 日历天</w:t>
            </w:r>
          </w:p>
        </w:tc>
      </w:tr>
      <w:tr>
        <w:tblPrEx>
          <w:tblW w:w="0" w:type="auto"/>
          <w:jc w:val="left"/>
          <w:tblInd w:w="167" w:type="dxa"/>
          <w:tblLayout w:type="fixed"/>
          <w:tblCellMar>
            <w:top w:w="0" w:type="dxa"/>
            <w:left w:w="0" w:type="dxa"/>
            <w:bottom w:w="0" w:type="dxa"/>
            <w:right w:w="0" w:type="dxa"/>
          </w:tblCellMar>
          <w:tblLook w:val="01E0"/>
        </w:tblPrEx>
        <w:trPr>
          <w:trHeight w:val="565"/>
          <w:jc w:val="left"/>
        </w:trPr>
        <w:tc>
          <w:tcPr>
            <w:tcW w:w="1398" w:type="dxa"/>
            <w:vMerge/>
            <w:tcBorders>
              <w:top w:val="nil"/>
              <w:bottom w:val="single" w:sz="6" w:space="0" w:color="000000"/>
              <w:right w:val="single" w:sz="6" w:space="0" w:color="000000"/>
            </w:tcBorders>
          </w:tcPr>
          <w:p>
            <w:pPr>
              <w:rPr>
                <w:sz w:val="2"/>
                <w:szCs w:val="2"/>
              </w:rPr>
            </w:pPr>
          </w:p>
        </w:tc>
        <w:tc>
          <w:tcPr>
            <w:tcW w:w="3153" w:type="dxa"/>
            <w:tcBorders>
              <w:top w:val="single" w:sz="6" w:space="0" w:color="000000"/>
              <w:left w:val="single" w:sz="6" w:space="0" w:color="000000"/>
              <w:bottom w:val="single" w:sz="6" w:space="0" w:color="000000"/>
              <w:right w:val="single" w:sz="6" w:space="0" w:color="000000"/>
            </w:tcBorders>
          </w:tcPr>
          <w:p>
            <w:pPr>
              <w:pStyle w:val="TableParagraph"/>
              <w:spacing w:before="153"/>
              <w:ind w:left="115"/>
              <w:rPr>
                <w:sz w:val="28"/>
              </w:rPr>
            </w:pPr>
            <w:r>
              <w:rPr>
                <w:spacing w:val="-2"/>
                <w:sz w:val="28"/>
              </w:rPr>
              <w:t>计划开工日期</w:t>
            </w:r>
          </w:p>
        </w:tc>
        <w:tc>
          <w:tcPr>
            <w:tcW w:w="3971" w:type="dxa"/>
            <w:tcBorders>
              <w:top w:val="single" w:sz="6" w:space="0" w:color="000000"/>
              <w:left w:val="single" w:sz="6" w:space="0" w:color="000000"/>
              <w:bottom w:val="single" w:sz="6" w:space="0" w:color="000000"/>
            </w:tcBorders>
          </w:tcPr>
          <w:p>
            <w:pPr>
              <w:pStyle w:val="TableParagraph"/>
              <w:rPr>
                <w:rFonts w:ascii="Times New Roman"/>
                <w:sz w:val="28"/>
              </w:rPr>
            </w:pPr>
          </w:p>
        </w:tc>
      </w:tr>
      <w:tr>
        <w:tblPrEx>
          <w:tblW w:w="0" w:type="auto"/>
          <w:jc w:val="left"/>
          <w:tblInd w:w="167" w:type="dxa"/>
          <w:tblLayout w:type="fixed"/>
          <w:tblCellMar>
            <w:top w:w="0" w:type="dxa"/>
            <w:left w:w="0" w:type="dxa"/>
            <w:bottom w:w="0" w:type="dxa"/>
            <w:right w:w="0" w:type="dxa"/>
          </w:tblCellMar>
          <w:tblLook w:val="01E0"/>
        </w:tblPrEx>
        <w:trPr>
          <w:trHeight w:val="602"/>
          <w:jc w:val="left"/>
        </w:trPr>
        <w:tc>
          <w:tcPr>
            <w:tcW w:w="1398" w:type="dxa"/>
            <w:vMerge/>
            <w:tcBorders>
              <w:top w:val="nil"/>
              <w:bottom w:val="single" w:sz="6" w:space="0" w:color="000000"/>
              <w:right w:val="single" w:sz="6" w:space="0" w:color="000000"/>
            </w:tcBorders>
          </w:tcPr>
          <w:p>
            <w:pPr>
              <w:rPr>
                <w:sz w:val="2"/>
                <w:szCs w:val="2"/>
              </w:rPr>
            </w:pPr>
          </w:p>
        </w:tc>
        <w:tc>
          <w:tcPr>
            <w:tcW w:w="3153" w:type="dxa"/>
            <w:tcBorders>
              <w:top w:val="single" w:sz="6" w:space="0" w:color="000000"/>
              <w:left w:val="single" w:sz="6" w:space="0" w:color="000000"/>
              <w:bottom w:val="single" w:sz="6" w:space="0" w:color="000000"/>
              <w:right w:val="single" w:sz="6" w:space="0" w:color="000000"/>
            </w:tcBorders>
          </w:tcPr>
          <w:p>
            <w:pPr>
              <w:pStyle w:val="TableParagraph"/>
              <w:spacing w:before="171"/>
              <w:ind w:left="115"/>
              <w:rPr>
                <w:sz w:val="28"/>
              </w:rPr>
            </w:pPr>
            <w:r>
              <w:rPr>
                <w:spacing w:val="-2"/>
                <w:sz w:val="28"/>
              </w:rPr>
              <w:t>计划竣工日期</w:t>
            </w:r>
          </w:p>
        </w:tc>
        <w:tc>
          <w:tcPr>
            <w:tcW w:w="3971" w:type="dxa"/>
            <w:tcBorders>
              <w:top w:val="single" w:sz="6" w:space="0" w:color="000000"/>
              <w:left w:val="single" w:sz="6" w:space="0" w:color="000000"/>
              <w:bottom w:val="single" w:sz="6" w:space="0" w:color="000000"/>
            </w:tcBorders>
          </w:tcPr>
          <w:p>
            <w:pPr>
              <w:pStyle w:val="TableParagraph"/>
              <w:rPr>
                <w:rFonts w:ascii="Times New Roman"/>
                <w:sz w:val="28"/>
              </w:rPr>
            </w:pPr>
          </w:p>
        </w:tc>
      </w:tr>
      <w:tr>
        <w:tblPrEx>
          <w:tblW w:w="0" w:type="auto"/>
          <w:jc w:val="left"/>
          <w:tblInd w:w="167" w:type="dxa"/>
          <w:tblLayout w:type="fixed"/>
          <w:tblCellMar>
            <w:top w:w="0" w:type="dxa"/>
            <w:left w:w="0" w:type="dxa"/>
            <w:bottom w:w="0" w:type="dxa"/>
            <w:right w:w="0" w:type="dxa"/>
          </w:tblCellMar>
          <w:tblLook w:val="01E0"/>
        </w:tblPrEx>
        <w:trPr>
          <w:trHeight w:val="624"/>
          <w:jc w:val="left"/>
        </w:trPr>
        <w:tc>
          <w:tcPr>
            <w:tcW w:w="1398" w:type="dxa"/>
            <w:tcBorders>
              <w:top w:val="single" w:sz="6" w:space="0" w:color="000000"/>
              <w:bottom w:val="single" w:sz="6" w:space="0" w:color="000000"/>
              <w:right w:val="single" w:sz="6" w:space="0" w:color="000000"/>
            </w:tcBorders>
          </w:tcPr>
          <w:p>
            <w:pPr>
              <w:pStyle w:val="TableParagraph"/>
              <w:spacing w:before="182"/>
              <w:ind w:left="98" w:right="129"/>
              <w:jc w:val="center"/>
              <w:rPr>
                <w:sz w:val="28"/>
              </w:rPr>
            </w:pPr>
            <w:r>
              <w:rPr>
                <w:spacing w:val="-3"/>
                <w:sz w:val="28"/>
              </w:rPr>
              <w:t>承诺工期</w:t>
            </w:r>
          </w:p>
        </w:tc>
        <w:tc>
          <w:tcPr>
            <w:tcW w:w="7124" w:type="dxa"/>
            <w:gridSpan w:val="2"/>
            <w:tcBorders>
              <w:top w:val="single" w:sz="6" w:space="0" w:color="000000"/>
              <w:left w:val="single" w:sz="6" w:space="0" w:color="000000"/>
              <w:bottom w:val="single" w:sz="6" w:space="0" w:color="000000"/>
            </w:tcBorders>
          </w:tcPr>
          <w:p>
            <w:pPr>
              <w:pStyle w:val="TableParagraph"/>
              <w:spacing w:before="182"/>
              <w:ind w:left="108"/>
              <w:rPr>
                <w:sz w:val="28"/>
              </w:rPr>
            </w:pPr>
            <w:r>
              <w:rPr>
                <w:sz w:val="28"/>
              </w:rPr>
              <w:t>275</w:t>
            </w:r>
            <w:r>
              <w:rPr>
                <w:spacing w:val="-21"/>
                <w:sz w:val="28"/>
              </w:rPr>
              <w:t xml:space="preserve"> 日历天</w:t>
            </w:r>
          </w:p>
        </w:tc>
      </w:tr>
      <w:tr>
        <w:tblPrEx>
          <w:tblW w:w="0" w:type="auto"/>
          <w:jc w:val="left"/>
          <w:tblInd w:w="167" w:type="dxa"/>
          <w:tblLayout w:type="fixed"/>
          <w:tblCellMar>
            <w:top w:w="0" w:type="dxa"/>
            <w:left w:w="0" w:type="dxa"/>
            <w:bottom w:w="0" w:type="dxa"/>
            <w:right w:w="0" w:type="dxa"/>
          </w:tblCellMar>
          <w:tblLook w:val="01E0"/>
        </w:tblPrEx>
        <w:trPr>
          <w:trHeight w:val="624"/>
          <w:jc w:val="left"/>
        </w:trPr>
        <w:tc>
          <w:tcPr>
            <w:tcW w:w="1398" w:type="dxa"/>
            <w:tcBorders>
              <w:top w:val="single" w:sz="6" w:space="0" w:color="000000"/>
              <w:right w:val="single" w:sz="6" w:space="0" w:color="000000"/>
            </w:tcBorders>
          </w:tcPr>
          <w:p>
            <w:pPr>
              <w:pStyle w:val="TableParagraph"/>
              <w:spacing w:before="182"/>
              <w:ind w:left="98" w:right="129"/>
              <w:jc w:val="center"/>
              <w:rPr>
                <w:sz w:val="28"/>
              </w:rPr>
            </w:pPr>
            <w:r>
              <w:rPr>
                <w:spacing w:val="-3"/>
                <w:sz w:val="28"/>
              </w:rPr>
              <w:t>质量标准</w:t>
            </w:r>
          </w:p>
        </w:tc>
        <w:tc>
          <w:tcPr>
            <w:tcW w:w="7124" w:type="dxa"/>
            <w:gridSpan w:val="2"/>
            <w:tcBorders>
              <w:top w:val="single" w:sz="6" w:space="0" w:color="000000"/>
              <w:left w:val="single" w:sz="6" w:space="0" w:color="000000"/>
            </w:tcBorders>
          </w:tcPr>
          <w:p>
            <w:pPr>
              <w:pStyle w:val="TableParagraph"/>
              <w:spacing w:before="182"/>
              <w:ind w:left="108"/>
              <w:rPr>
                <w:sz w:val="28"/>
              </w:rPr>
            </w:pPr>
            <w:r>
              <w:rPr>
                <w:spacing w:val="-5"/>
                <w:sz w:val="28"/>
              </w:rPr>
              <w:t>合格</w:t>
            </w:r>
          </w:p>
        </w:tc>
      </w:tr>
    </w:tbl>
    <w:p>
      <w:pPr>
        <w:pStyle w:val="BodyText"/>
        <w:spacing w:before="5"/>
        <w:rPr>
          <w:sz w:val="6"/>
        </w:rPr>
      </w:pPr>
    </w:p>
    <w:p>
      <w:pPr>
        <w:pStyle w:val="BodyText"/>
        <w:spacing w:before="61" w:after="21"/>
        <w:ind w:left="256"/>
      </w:pPr>
      <w:r>
        <w:rPr>
          <w:spacing w:val="-4"/>
        </w:rPr>
        <w:t>其中：</w:t>
      </w:r>
    </w:p>
    <w:tbl>
      <w:tblPr>
        <w:tblStyle w:val="TableNormal0"/>
        <w:tblW w:w="0" w:type="auto"/>
        <w:jc w:val="left"/>
        <w:tblInd w:w="1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19"/>
        <w:gridCol w:w="1550"/>
        <w:gridCol w:w="963"/>
        <w:gridCol w:w="1663"/>
        <w:gridCol w:w="1417"/>
        <w:gridCol w:w="2275"/>
      </w:tblGrid>
      <w:tr>
        <w:tblPrEx>
          <w:tblW w:w="0" w:type="auto"/>
          <w:jc w:val="left"/>
          <w:tblInd w:w="1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1000"/>
          <w:jc w:val="left"/>
        </w:trPr>
        <w:tc>
          <w:tcPr>
            <w:tcW w:w="719" w:type="dxa"/>
            <w:tcBorders>
              <w:bottom w:val="single" w:sz="6" w:space="0" w:color="000000"/>
              <w:right w:val="single" w:sz="6" w:space="0" w:color="000000"/>
            </w:tcBorders>
          </w:tcPr>
          <w:p>
            <w:pPr>
              <w:pStyle w:val="TableParagraph"/>
              <w:spacing w:line="500" w:lineRule="exact"/>
              <w:ind w:left="108" w:right="300"/>
              <w:rPr>
                <w:sz w:val="28"/>
              </w:rPr>
            </w:pPr>
            <w:r>
              <w:rPr>
                <w:spacing w:val="-10"/>
                <w:sz w:val="28"/>
              </w:rPr>
              <w:t>序</w:t>
            </w:r>
            <w:r>
              <w:rPr>
                <w:spacing w:val="-10"/>
                <w:sz w:val="28"/>
              </w:rPr>
              <w:t>号</w:t>
            </w:r>
          </w:p>
        </w:tc>
        <w:tc>
          <w:tcPr>
            <w:tcW w:w="1550" w:type="dxa"/>
            <w:tcBorders>
              <w:left w:val="single" w:sz="6" w:space="0" w:color="000000"/>
              <w:bottom w:val="single" w:sz="6" w:space="0" w:color="000000"/>
              <w:right w:val="single" w:sz="6" w:space="0" w:color="000000"/>
            </w:tcBorders>
          </w:tcPr>
          <w:p>
            <w:pPr>
              <w:pStyle w:val="TableParagraph"/>
              <w:spacing w:before="11"/>
              <w:rPr>
                <w:sz w:val="28"/>
              </w:rPr>
            </w:pPr>
          </w:p>
          <w:p>
            <w:pPr>
              <w:pStyle w:val="TableParagraph"/>
              <w:ind w:left="115"/>
              <w:rPr>
                <w:sz w:val="28"/>
              </w:rPr>
            </w:pPr>
            <w:r>
              <w:rPr>
                <w:spacing w:val="-5"/>
                <w:sz w:val="28"/>
              </w:rPr>
              <w:t>楼号</w:t>
            </w:r>
          </w:p>
        </w:tc>
        <w:tc>
          <w:tcPr>
            <w:tcW w:w="963" w:type="dxa"/>
            <w:tcBorders>
              <w:left w:val="single" w:sz="6" w:space="0" w:color="000000"/>
              <w:bottom w:val="single" w:sz="6" w:space="0" w:color="000000"/>
              <w:right w:val="single" w:sz="6" w:space="0" w:color="000000"/>
            </w:tcBorders>
          </w:tcPr>
          <w:p>
            <w:pPr>
              <w:pStyle w:val="TableParagraph"/>
              <w:spacing w:before="11"/>
              <w:rPr>
                <w:sz w:val="28"/>
              </w:rPr>
            </w:pPr>
          </w:p>
          <w:p>
            <w:pPr>
              <w:pStyle w:val="TableParagraph"/>
              <w:ind w:left="115"/>
              <w:rPr>
                <w:sz w:val="28"/>
              </w:rPr>
            </w:pPr>
            <w:r>
              <w:rPr>
                <w:spacing w:val="23"/>
                <w:sz w:val="28"/>
              </w:rPr>
              <w:t>层高</w:t>
            </w:r>
            <w:r>
              <w:rPr>
                <w:spacing w:val="-10"/>
                <w:sz w:val="28"/>
              </w:rPr>
              <w:t>m</w:t>
            </w:r>
          </w:p>
        </w:tc>
        <w:tc>
          <w:tcPr>
            <w:tcW w:w="1663" w:type="dxa"/>
            <w:tcBorders>
              <w:left w:val="single" w:sz="6" w:space="0" w:color="000000"/>
              <w:bottom w:val="single" w:sz="6" w:space="0" w:color="000000"/>
              <w:right w:val="single" w:sz="6" w:space="0" w:color="000000"/>
            </w:tcBorders>
          </w:tcPr>
          <w:p>
            <w:pPr>
              <w:pStyle w:val="TableParagraph"/>
              <w:spacing w:before="11"/>
              <w:rPr>
                <w:sz w:val="28"/>
              </w:rPr>
            </w:pPr>
          </w:p>
          <w:p>
            <w:pPr>
              <w:pStyle w:val="TableParagraph"/>
              <w:ind w:left="115"/>
              <w:rPr>
                <w:sz w:val="28"/>
              </w:rPr>
            </w:pPr>
            <w:r>
              <w:rPr>
                <w:spacing w:val="-5"/>
                <w:sz w:val="28"/>
              </w:rPr>
              <w:t>层数</w:t>
            </w:r>
          </w:p>
        </w:tc>
        <w:tc>
          <w:tcPr>
            <w:tcW w:w="1417" w:type="dxa"/>
            <w:tcBorders>
              <w:left w:val="single" w:sz="6" w:space="0" w:color="000000"/>
              <w:bottom w:val="single" w:sz="6" w:space="0" w:color="000000"/>
              <w:right w:val="single" w:sz="6" w:space="0" w:color="000000"/>
            </w:tcBorders>
          </w:tcPr>
          <w:p>
            <w:pPr>
              <w:pStyle w:val="TableParagraph"/>
              <w:spacing w:before="11"/>
              <w:rPr>
                <w:sz w:val="28"/>
              </w:rPr>
            </w:pPr>
          </w:p>
          <w:p>
            <w:pPr>
              <w:pStyle w:val="TableParagraph"/>
              <w:ind w:left="115"/>
              <w:rPr>
                <w:sz w:val="28"/>
              </w:rPr>
            </w:pPr>
            <w:r>
              <w:rPr>
                <w:spacing w:val="-3"/>
                <w:sz w:val="28"/>
              </w:rPr>
              <w:t>建筑高度</w:t>
            </w:r>
          </w:p>
        </w:tc>
        <w:tc>
          <w:tcPr>
            <w:tcW w:w="2275" w:type="dxa"/>
            <w:tcBorders>
              <w:left w:val="single" w:sz="6" w:space="0" w:color="000000"/>
              <w:bottom w:val="single" w:sz="6" w:space="0" w:color="000000"/>
            </w:tcBorders>
          </w:tcPr>
          <w:p>
            <w:pPr>
              <w:pStyle w:val="TableParagraph"/>
              <w:spacing w:before="11"/>
              <w:rPr>
                <w:sz w:val="28"/>
              </w:rPr>
            </w:pPr>
          </w:p>
          <w:p>
            <w:pPr>
              <w:pStyle w:val="TableParagraph"/>
              <w:ind w:left="108"/>
              <w:rPr>
                <w:sz w:val="28"/>
              </w:rPr>
            </w:pPr>
            <w:r>
              <w:rPr>
                <w:sz w:val="28"/>
              </w:rPr>
              <w:t>建筑面积（㎡</w:t>
            </w:r>
            <w:r>
              <w:rPr>
                <w:spacing w:val="-10"/>
                <w:sz w:val="28"/>
              </w:rPr>
              <w:t>）</w:t>
            </w:r>
          </w:p>
        </w:tc>
      </w:tr>
      <w:tr>
        <w:tblPrEx>
          <w:tblW w:w="0" w:type="auto"/>
          <w:jc w:val="left"/>
          <w:tblInd w:w="134" w:type="dxa"/>
          <w:tblLayout w:type="fixed"/>
          <w:tblCellMar>
            <w:top w:w="0" w:type="dxa"/>
            <w:left w:w="0" w:type="dxa"/>
            <w:bottom w:w="0" w:type="dxa"/>
            <w:right w:w="0" w:type="dxa"/>
          </w:tblCellMar>
          <w:tblLook w:val="01E0"/>
        </w:tblPrEx>
        <w:trPr>
          <w:trHeight w:val="500"/>
          <w:jc w:val="left"/>
        </w:trPr>
        <w:tc>
          <w:tcPr>
            <w:tcW w:w="719" w:type="dxa"/>
            <w:tcBorders>
              <w:top w:val="single" w:sz="6" w:space="0" w:color="000000"/>
              <w:bottom w:val="single" w:sz="6" w:space="0" w:color="000000"/>
              <w:right w:val="single" w:sz="6" w:space="0" w:color="000000"/>
            </w:tcBorders>
          </w:tcPr>
          <w:p>
            <w:pPr>
              <w:pStyle w:val="TableParagraph"/>
              <w:spacing w:before="120"/>
              <w:ind w:left="108"/>
              <w:rPr>
                <w:sz w:val="28"/>
              </w:rPr>
            </w:pPr>
            <w:r>
              <w:rPr>
                <w:sz w:val="28"/>
              </w:rPr>
              <w:t>1</w:t>
            </w:r>
          </w:p>
        </w:tc>
        <w:tc>
          <w:tcPr>
            <w:tcW w:w="1550" w:type="dxa"/>
            <w:tcBorders>
              <w:top w:val="single" w:sz="6" w:space="0" w:color="000000"/>
              <w:left w:val="single" w:sz="6" w:space="0" w:color="000000"/>
              <w:bottom w:val="single" w:sz="6" w:space="0" w:color="000000"/>
              <w:right w:val="single" w:sz="6" w:space="0" w:color="000000"/>
            </w:tcBorders>
          </w:tcPr>
          <w:p>
            <w:pPr>
              <w:pStyle w:val="TableParagraph"/>
              <w:spacing w:before="120"/>
              <w:ind w:left="115"/>
              <w:rPr>
                <w:sz w:val="28"/>
              </w:rPr>
            </w:pPr>
            <w:r>
              <w:rPr>
                <w:spacing w:val="-3"/>
                <w:sz w:val="28"/>
              </w:rPr>
              <w:t>多层住宅</w:t>
            </w:r>
          </w:p>
        </w:tc>
        <w:tc>
          <w:tcPr>
            <w:tcW w:w="963" w:type="dxa"/>
            <w:tcBorders>
              <w:top w:val="single" w:sz="6" w:space="0" w:color="000000"/>
              <w:left w:val="single" w:sz="6" w:space="0" w:color="000000"/>
              <w:bottom w:val="single" w:sz="6" w:space="0" w:color="000000"/>
              <w:right w:val="single" w:sz="6" w:space="0" w:color="000000"/>
            </w:tcBorders>
          </w:tcPr>
          <w:p>
            <w:pPr>
              <w:pStyle w:val="TableParagraph"/>
              <w:spacing w:before="120"/>
              <w:ind w:left="115"/>
              <w:rPr>
                <w:sz w:val="28"/>
              </w:rPr>
            </w:pPr>
            <w:r>
              <w:rPr>
                <w:sz w:val="28"/>
              </w:rPr>
              <w:t>3</w:t>
            </w:r>
          </w:p>
        </w:tc>
        <w:tc>
          <w:tcPr>
            <w:tcW w:w="1663" w:type="dxa"/>
            <w:tcBorders>
              <w:top w:val="single" w:sz="6" w:space="0" w:color="000000"/>
              <w:left w:val="single" w:sz="6" w:space="0" w:color="000000"/>
              <w:bottom w:val="single" w:sz="6" w:space="0" w:color="000000"/>
              <w:right w:val="single" w:sz="6" w:space="0" w:color="000000"/>
            </w:tcBorders>
          </w:tcPr>
          <w:p>
            <w:pPr>
              <w:pStyle w:val="TableParagraph"/>
              <w:spacing w:before="120"/>
              <w:ind w:left="115"/>
              <w:rPr>
                <w:sz w:val="28"/>
              </w:rPr>
            </w:pPr>
            <w:r>
              <w:rPr>
                <w:spacing w:val="-24"/>
                <w:sz w:val="28"/>
              </w:rPr>
              <w:t xml:space="preserve">地上 </w:t>
            </w:r>
            <w:r>
              <w:rPr>
                <w:sz w:val="28"/>
              </w:rPr>
              <w:t>6</w:t>
            </w:r>
            <w:r>
              <w:rPr>
                <w:spacing w:val="-40"/>
                <w:sz w:val="28"/>
              </w:rPr>
              <w:t xml:space="preserve"> 层</w:t>
            </w:r>
          </w:p>
        </w:tc>
        <w:tc>
          <w:tcPr>
            <w:tcW w:w="1417" w:type="dxa"/>
            <w:tcBorders>
              <w:top w:val="single" w:sz="6" w:space="0" w:color="000000"/>
              <w:left w:val="single" w:sz="6" w:space="0" w:color="000000"/>
              <w:bottom w:val="single" w:sz="6" w:space="0" w:color="000000"/>
              <w:right w:val="single" w:sz="6" w:space="0" w:color="000000"/>
            </w:tcBorders>
          </w:tcPr>
          <w:p>
            <w:pPr>
              <w:pStyle w:val="TableParagraph"/>
              <w:spacing w:before="120"/>
              <w:ind w:left="115"/>
              <w:rPr>
                <w:sz w:val="28"/>
              </w:rPr>
            </w:pPr>
            <w:r>
              <w:rPr>
                <w:spacing w:val="-2"/>
                <w:sz w:val="28"/>
              </w:rPr>
              <w:t>18.75</w:t>
            </w:r>
          </w:p>
        </w:tc>
        <w:tc>
          <w:tcPr>
            <w:tcW w:w="2275" w:type="dxa"/>
            <w:tcBorders>
              <w:top w:val="single" w:sz="6" w:space="0" w:color="000000"/>
              <w:left w:val="single" w:sz="6" w:space="0" w:color="000000"/>
              <w:bottom w:val="single" w:sz="6" w:space="0" w:color="000000"/>
            </w:tcBorders>
          </w:tcPr>
          <w:p>
            <w:pPr>
              <w:pStyle w:val="TableParagraph"/>
              <w:spacing w:before="120"/>
              <w:ind w:left="108"/>
              <w:rPr>
                <w:sz w:val="28"/>
              </w:rPr>
            </w:pPr>
            <w:r>
              <w:rPr>
                <w:spacing w:val="-4"/>
                <w:sz w:val="28"/>
              </w:rPr>
              <w:t>5917</w:t>
            </w:r>
          </w:p>
        </w:tc>
      </w:tr>
      <w:tr>
        <w:tblPrEx>
          <w:tblW w:w="0" w:type="auto"/>
          <w:jc w:val="left"/>
          <w:tblInd w:w="134" w:type="dxa"/>
          <w:tblLayout w:type="fixed"/>
          <w:tblCellMar>
            <w:top w:w="0" w:type="dxa"/>
            <w:left w:w="0" w:type="dxa"/>
            <w:bottom w:w="0" w:type="dxa"/>
            <w:right w:w="0" w:type="dxa"/>
          </w:tblCellMar>
          <w:tblLook w:val="01E0"/>
        </w:tblPrEx>
        <w:trPr>
          <w:trHeight w:val="1000"/>
          <w:jc w:val="left"/>
        </w:trPr>
        <w:tc>
          <w:tcPr>
            <w:tcW w:w="719" w:type="dxa"/>
            <w:tcBorders>
              <w:top w:val="single" w:sz="6" w:space="0" w:color="000000"/>
              <w:bottom w:val="single" w:sz="6" w:space="0" w:color="000000"/>
              <w:right w:val="single" w:sz="6" w:space="0" w:color="000000"/>
            </w:tcBorders>
          </w:tcPr>
          <w:p>
            <w:pPr>
              <w:pStyle w:val="TableParagraph"/>
              <w:spacing w:before="11"/>
              <w:rPr>
                <w:sz w:val="28"/>
              </w:rPr>
            </w:pPr>
          </w:p>
          <w:p>
            <w:pPr>
              <w:pStyle w:val="TableParagraph"/>
              <w:ind w:left="108"/>
              <w:rPr>
                <w:sz w:val="28"/>
              </w:rPr>
            </w:pPr>
            <w:r>
              <w:rPr>
                <w:sz w:val="28"/>
              </w:rPr>
              <w:t>2</w:t>
            </w:r>
          </w:p>
        </w:tc>
        <w:tc>
          <w:tcPr>
            <w:tcW w:w="1550" w:type="dxa"/>
            <w:tcBorders>
              <w:top w:val="single" w:sz="6" w:space="0" w:color="000000"/>
              <w:left w:val="single" w:sz="6" w:space="0" w:color="000000"/>
              <w:bottom w:val="single" w:sz="6" w:space="0" w:color="000000"/>
              <w:right w:val="single" w:sz="6" w:space="0" w:color="000000"/>
            </w:tcBorders>
          </w:tcPr>
          <w:p>
            <w:pPr>
              <w:pStyle w:val="TableParagraph"/>
              <w:spacing w:before="11"/>
              <w:rPr>
                <w:sz w:val="28"/>
              </w:rPr>
            </w:pPr>
          </w:p>
          <w:p>
            <w:pPr>
              <w:pStyle w:val="TableParagraph"/>
              <w:ind w:left="115"/>
              <w:rPr>
                <w:sz w:val="28"/>
              </w:rPr>
            </w:pPr>
            <w:r>
              <w:rPr>
                <w:spacing w:val="-3"/>
                <w:sz w:val="28"/>
              </w:rPr>
              <w:t>辅助用房</w:t>
            </w:r>
          </w:p>
        </w:tc>
        <w:tc>
          <w:tcPr>
            <w:tcW w:w="963" w:type="dxa"/>
            <w:tcBorders>
              <w:top w:val="single" w:sz="6" w:space="0" w:color="000000"/>
              <w:left w:val="single" w:sz="6" w:space="0" w:color="000000"/>
              <w:bottom w:val="single" w:sz="6" w:space="0" w:color="000000"/>
              <w:right w:val="single" w:sz="6" w:space="0" w:color="000000"/>
            </w:tcBorders>
          </w:tcPr>
          <w:p>
            <w:pPr>
              <w:pStyle w:val="TableParagraph"/>
              <w:spacing w:before="120"/>
              <w:ind w:left="115" w:right="-15"/>
              <w:rPr>
                <w:sz w:val="28"/>
              </w:rPr>
            </w:pPr>
            <w:r>
              <w:rPr>
                <w:spacing w:val="-2"/>
                <w:sz w:val="28"/>
              </w:rPr>
              <w:t>2.95，</w:t>
            </w:r>
          </w:p>
          <w:p>
            <w:pPr>
              <w:pStyle w:val="TableParagraph"/>
              <w:spacing w:before="141"/>
              <w:ind w:left="115"/>
              <w:rPr>
                <w:sz w:val="28"/>
              </w:rPr>
            </w:pPr>
            <w:r>
              <w:rPr>
                <w:spacing w:val="-4"/>
                <w:sz w:val="28"/>
              </w:rPr>
              <w:t>3.08</w:t>
            </w:r>
          </w:p>
        </w:tc>
        <w:tc>
          <w:tcPr>
            <w:tcW w:w="1663" w:type="dxa"/>
            <w:tcBorders>
              <w:top w:val="single" w:sz="6" w:space="0" w:color="000000"/>
              <w:left w:val="single" w:sz="6" w:space="0" w:color="000000"/>
              <w:bottom w:val="single" w:sz="6" w:space="0" w:color="000000"/>
              <w:right w:val="single" w:sz="6" w:space="0" w:color="000000"/>
            </w:tcBorders>
          </w:tcPr>
          <w:p>
            <w:pPr>
              <w:pStyle w:val="TableParagraph"/>
              <w:spacing w:before="11"/>
              <w:rPr>
                <w:sz w:val="28"/>
              </w:rPr>
            </w:pPr>
          </w:p>
          <w:p>
            <w:pPr>
              <w:pStyle w:val="TableParagraph"/>
              <w:ind w:left="115"/>
              <w:rPr>
                <w:sz w:val="28"/>
              </w:rPr>
            </w:pPr>
            <w:r>
              <w:rPr>
                <w:sz w:val="28"/>
              </w:rPr>
              <w:t>2</w:t>
            </w:r>
          </w:p>
        </w:tc>
        <w:tc>
          <w:tcPr>
            <w:tcW w:w="1417" w:type="dxa"/>
            <w:tcBorders>
              <w:top w:val="single" w:sz="6" w:space="0" w:color="000000"/>
              <w:left w:val="single" w:sz="6" w:space="0" w:color="000000"/>
              <w:bottom w:val="single" w:sz="6" w:space="0" w:color="000000"/>
              <w:right w:val="single" w:sz="6" w:space="0" w:color="000000"/>
            </w:tcBorders>
          </w:tcPr>
          <w:p>
            <w:pPr>
              <w:pStyle w:val="TableParagraph"/>
              <w:spacing w:before="11"/>
              <w:rPr>
                <w:sz w:val="28"/>
              </w:rPr>
            </w:pPr>
          </w:p>
          <w:p>
            <w:pPr>
              <w:pStyle w:val="TableParagraph"/>
              <w:ind w:left="115"/>
              <w:rPr>
                <w:sz w:val="28"/>
              </w:rPr>
            </w:pPr>
            <w:r>
              <w:rPr>
                <w:spacing w:val="-4"/>
                <w:sz w:val="28"/>
              </w:rPr>
              <w:t>6.33</w:t>
            </w:r>
          </w:p>
        </w:tc>
        <w:tc>
          <w:tcPr>
            <w:tcW w:w="2275" w:type="dxa"/>
            <w:tcBorders>
              <w:top w:val="single" w:sz="6" w:space="0" w:color="000000"/>
              <w:left w:val="single" w:sz="6" w:space="0" w:color="000000"/>
              <w:bottom w:val="single" w:sz="6" w:space="0" w:color="000000"/>
            </w:tcBorders>
          </w:tcPr>
          <w:p>
            <w:pPr>
              <w:pStyle w:val="TableParagraph"/>
              <w:spacing w:before="11"/>
              <w:rPr>
                <w:sz w:val="28"/>
              </w:rPr>
            </w:pPr>
          </w:p>
          <w:p>
            <w:pPr>
              <w:pStyle w:val="TableParagraph"/>
              <w:ind w:left="108"/>
              <w:rPr>
                <w:sz w:val="28"/>
              </w:rPr>
            </w:pPr>
            <w:r>
              <w:rPr>
                <w:spacing w:val="-5"/>
                <w:sz w:val="28"/>
              </w:rPr>
              <w:t>402</w:t>
            </w:r>
          </w:p>
        </w:tc>
      </w:tr>
      <w:tr>
        <w:tblPrEx>
          <w:tblW w:w="0" w:type="auto"/>
          <w:jc w:val="left"/>
          <w:tblInd w:w="134" w:type="dxa"/>
          <w:tblLayout w:type="fixed"/>
          <w:tblCellMar>
            <w:top w:w="0" w:type="dxa"/>
            <w:left w:w="0" w:type="dxa"/>
            <w:bottom w:w="0" w:type="dxa"/>
            <w:right w:w="0" w:type="dxa"/>
          </w:tblCellMar>
          <w:tblLook w:val="01E0"/>
        </w:tblPrEx>
        <w:trPr>
          <w:trHeight w:val="500"/>
          <w:jc w:val="left"/>
        </w:trPr>
        <w:tc>
          <w:tcPr>
            <w:tcW w:w="719" w:type="dxa"/>
            <w:tcBorders>
              <w:top w:val="single" w:sz="6" w:space="0" w:color="000000"/>
              <w:bottom w:val="single" w:sz="6" w:space="0" w:color="000000"/>
              <w:right w:val="single" w:sz="6" w:space="0" w:color="000000"/>
            </w:tcBorders>
          </w:tcPr>
          <w:p>
            <w:pPr>
              <w:pStyle w:val="TableParagraph"/>
              <w:spacing w:before="120"/>
              <w:ind w:left="108"/>
              <w:rPr>
                <w:sz w:val="28"/>
              </w:rPr>
            </w:pPr>
            <w:r>
              <w:rPr>
                <w:sz w:val="28"/>
              </w:rPr>
              <w:t>3</w:t>
            </w:r>
          </w:p>
        </w:tc>
        <w:tc>
          <w:tcPr>
            <w:tcW w:w="1550" w:type="dxa"/>
            <w:tcBorders>
              <w:top w:val="single" w:sz="6" w:space="0" w:color="000000"/>
              <w:left w:val="single" w:sz="6" w:space="0" w:color="000000"/>
              <w:bottom w:val="single" w:sz="6" w:space="0" w:color="000000"/>
              <w:right w:val="single" w:sz="6" w:space="0" w:color="000000"/>
            </w:tcBorders>
          </w:tcPr>
          <w:p>
            <w:pPr>
              <w:pStyle w:val="TableParagraph"/>
              <w:spacing w:before="120"/>
              <w:ind w:left="115"/>
              <w:rPr>
                <w:sz w:val="28"/>
              </w:rPr>
            </w:pPr>
            <w:r>
              <w:rPr>
                <w:spacing w:val="-4"/>
                <w:sz w:val="28"/>
              </w:rPr>
              <w:t>调压站</w:t>
            </w:r>
          </w:p>
        </w:tc>
        <w:tc>
          <w:tcPr>
            <w:tcW w:w="96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8"/>
              </w:rPr>
            </w:pPr>
          </w:p>
        </w:tc>
        <w:tc>
          <w:tcPr>
            <w:tcW w:w="1663" w:type="dxa"/>
            <w:tcBorders>
              <w:top w:val="single" w:sz="6" w:space="0" w:color="000000"/>
              <w:left w:val="single" w:sz="6" w:space="0" w:color="000000"/>
              <w:bottom w:val="single" w:sz="6" w:space="0" w:color="000000"/>
              <w:right w:val="single" w:sz="6" w:space="0" w:color="000000"/>
            </w:tcBorders>
          </w:tcPr>
          <w:p>
            <w:pPr>
              <w:pStyle w:val="TableParagraph"/>
              <w:spacing w:before="120"/>
              <w:ind w:left="115"/>
              <w:rPr>
                <w:sz w:val="28"/>
              </w:rPr>
            </w:pPr>
            <w:r>
              <w:rPr>
                <w:sz w:val="28"/>
              </w:rPr>
              <w:t>1</w:t>
            </w:r>
          </w:p>
        </w:tc>
        <w:tc>
          <w:tcPr>
            <w:tcW w:w="1417" w:type="dxa"/>
            <w:tcBorders>
              <w:top w:val="single" w:sz="6" w:space="0" w:color="000000"/>
              <w:left w:val="single" w:sz="6" w:space="0" w:color="000000"/>
              <w:bottom w:val="single" w:sz="6" w:space="0" w:color="000000"/>
              <w:right w:val="single" w:sz="6" w:space="0" w:color="000000"/>
            </w:tcBorders>
          </w:tcPr>
          <w:p>
            <w:pPr>
              <w:pStyle w:val="TableParagraph"/>
              <w:spacing w:before="120"/>
              <w:ind w:left="115"/>
              <w:rPr>
                <w:sz w:val="28"/>
              </w:rPr>
            </w:pPr>
            <w:r>
              <w:rPr>
                <w:spacing w:val="-5"/>
                <w:sz w:val="28"/>
              </w:rPr>
              <w:t>4.5</w:t>
            </w:r>
          </w:p>
        </w:tc>
        <w:tc>
          <w:tcPr>
            <w:tcW w:w="2275" w:type="dxa"/>
            <w:tcBorders>
              <w:top w:val="single" w:sz="6" w:space="0" w:color="000000"/>
              <w:left w:val="single" w:sz="6" w:space="0" w:color="000000"/>
              <w:bottom w:val="single" w:sz="6" w:space="0" w:color="000000"/>
            </w:tcBorders>
          </w:tcPr>
          <w:p>
            <w:pPr>
              <w:pStyle w:val="TableParagraph"/>
              <w:spacing w:before="120"/>
              <w:ind w:left="108"/>
              <w:rPr>
                <w:sz w:val="28"/>
              </w:rPr>
            </w:pPr>
            <w:r>
              <w:rPr>
                <w:spacing w:val="-5"/>
                <w:sz w:val="28"/>
              </w:rPr>
              <w:t>43</w:t>
            </w:r>
          </w:p>
        </w:tc>
      </w:tr>
      <w:tr>
        <w:tblPrEx>
          <w:tblW w:w="0" w:type="auto"/>
          <w:jc w:val="left"/>
          <w:tblInd w:w="134" w:type="dxa"/>
          <w:tblLayout w:type="fixed"/>
          <w:tblCellMar>
            <w:top w:w="0" w:type="dxa"/>
            <w:left w:w="0" w:type="dxa"/>
            <w:bottom w:w="0" w:type="dxa"/>
            <w:right w:w="0" w:type="dxa"/>
          </w:tblCellMar>
          <w:tblLook w:val="01E0"/>
        </w:tblPrEx>
        <w:trPr>
          <w:trHeight w:val="500"/>
          <w:jc w:val="left"/>
        </w:trPr>
        <w:tc>
          <w:tcPr>
            <w:tcW w:w="719" w:type="dxa"/>
            <w:tcBorders>
              <w:top w:val="single" w:sz="6" w:space="0" w:color="000000"/>
              <w:right w:val="single" w:sz="6" w:space="0" w:color="000000"/>
            </w:tcBorders>
          </w:tcPr>
          <w:p>
            <w:pPr>
              <w:pStyle w:val="TableParagraph"/>
              <w:spacing w:before="120"/>
              <w:ind w:left="108"/>
              <w:rPr>
                <w:sz w:val="28"/>
              </w:rPr>
            </w:pPr>
            <w:r>
              <w:rPr>
                <w:sz w:val="28"/>
              </w:rPr>
              <w:t>4</w:t>
            </w:r>
          </w:p>
        </w:tc>
        <w:tc>
          <w:tcPr>
            <w:tcW w:w="1550" w:type="dxa"/>
            <w:tcBorders>
              <w:top w:val="single" w:sz="6" w:space="0" w:color="000000"/>
              <w:left w:val="single" w:sz="6" w:space="0" w:color="000000"/>
              <w:right w:val="single" w:sz="6" w:space="0" w:color="000000"/>
            </w:tcBorders>
          </w:tcPr>
          <w:p>
            <w:pPr>
              <w:pStyle w:val="TableParagraph"/>
              <w:spacing w:before="120"/>
              <w:ind w:left="115"/>
              <w:rPr>
                <w:sz w:val="28"/>
              </w:rPr>
            </w:pPr>
            <w:r>
              <w:rPr>
                <w:spacing w:val="-4"/>
                <w:sz w:val="28"/>
              </w:rPr>
              <w:t>管理室</w:t>
            </w:r>
          </w:p>
        </w:tc>
        <w:tc>
          <w:tcPr>
            <w:tcW w:w="963" w:type="dxa"/>
            <w:tcBorders>
              <w:top w:val="single" w:sz="6" w:space="0" w:color="000000"/>
              <w:left w:val="single" w:sz="6" w:space="0" w:color="000000"/>
              <w:right w:val="single" w:sz="6" w:space="0" w:color="000000"/>
            </w:tcBorders>
          </w:tcPr>
          <w:p>
            <w:pPr>
              <w:pStyle w:val="TableParagraph"/>
              <w:rPr>
                <w:rFonts w:ascii="Times New Roman"/>
                <w:sz w:val="28"/>
              </w:rPr>
            </w:pPr>
          </w:p>
        </w:tc>
        <w:tc>
          <w:tcPr>
            <w:tcW w:w="1663" w:type="dxa"/>
            <w:tcBorders>
              <w:top w:val="single" w:sz="6" w:space="0" w:color="000000"/>
              <w:left w:val="single" w:sz="6" w:space="0" w:color="000000"/>
              <w:right w:val="single" w:sz="6" w:space="0" w:color="000000"/>
            </w:tcBorders>
          </w:tcPr>
          <w:p>
            <w:pPr>
              <w:pStyle w:val="TableParagraph"/>
              <w:spacing w:before="120"/>
              <w:ind w:left="115"/>
              <w:rPr>
                <w:sz w:val="28"/>
              </w:rPr>
            </w:pPr>
            <w:r>
              <w:rPr>
                <w:sz w:val="28"/>
              </w:rPr>
              <w:t>1</w:t>
            </w:r>
          </w:p>
        </w:tc>
        <w:tc>
          <w:tcPr>
            <w:tcW w:w="1417" w:type="dxa"/>
            <w:tcBorders>
              <w:top w:val="single" w:sz="6" w:space="0" w:color="000000"/>
              <w:left w:val="single" w:sz="6" w:space="0" w:color="000000"/>
              <w:right w:val="single" w:sz="6" w:space="0" w:color="000000"/>
            </w:tcBorders>
          </w:tcPr>
          <w:p>
            <w:pPr>
              <w:pStyle w:val="TableParagraph"/>
              <w:spacing w:before="120"/>
              <w:ind w:left="115"/>
              <w:rPr>
                <w:sz w:val="28"/>
              </w:rPr>
            </w:pPr>
            <w:r>
              <w:rPr>
                <w:spacing w:val="-5"/>
                <w:sz w:val="28"/>
              </w:rPr>
              <w:t>3.6</w:t>
            </w:r>
          </w:p>
        </w:tc>
        <w:tc>
          <w:tcPr>
            <w:tcW w:w="2275" w:type="dxa"/>
            <w:tcBorders>
              <w:top w:val="single" w:sz="6" w:space="0" w:color="000000"/>
              <w:left w:val="single" w:sz="6" w:space="0" w:color="000000"/>
            </w:tcBorders>
          </w:tcPr>
          <w:p>
            <w:pPr>
              <w:pStyle w:val="TableParagraph"/>
              <w:spacing w:before="120"/>
              <w:ind w:left="108"/>
              <w:rPr>
                <w:sz w:val="28"/>
              </w:rPr>
            </w:pPr>
            <w:r>
              <w:rPr>
                <w:spacing w:val="-5"/>
                <w:sz w:val="28"/>
              </w:rPr>
              <w:t>38</w:t>
            </w:r>
          </w:p>
        </w:tc>
      </w:tr>
    </w:tbl>
    <w:p>
      <w:pPr>
        <w:pStyle w:val="BodyText"/>
      </w:pPr>
    </w:p>
    <w:p>
      <w:pPr>
        <w:pStyle w:val="BodyText"/>
        <w:spacing w:before="5"/>
        <w:rPr>
          <w:sz w:val="20"/>
        </w:rPr>
      </w:pPr>
    </w:p>
    <w:p>
      <w:pPr>
        <w:pStyle w:val="BodyText"/>
        <w:ind w:left="256"/>
      </w:pPr>
      <w:r>
        <w:rPr>
          <w:spacing w:val="-11"/>
        </w:rPr>
        <w:t xml:space="preserve">由于施工场地狭小等诸多原因，温家街 </w:t>
      </w:r>
      <w:r>
        <w:t>2</w:t>
      </w:r>
      <w:r>
        <w:rPr>
          <w:spacing w:val="-10"/>
        </w:rPr>
        <w:t xml:space="preserve"> 号院综合整治项目抗震加固</w:t>
      </w:r>
    </w:p>
    <w:p>
      <w:pPr>
        <w:spacing w:after="0"/>
        <w:sectPr>
          <w:pgSz w:w="11910" w:h="16160"/>
          <w:pgMar w:top="1420" w:right="1460" w:bottom="280" w:left="1540" w:header="708" w:footer="708"/>
          <w:pgNumType w:start="6"/>
          <w:cols w:space="708"/>
        </w:sectPr>
      </w:pPr>
    </w:p>
    <w:p>
      <w:pPr>
        <w:pStyle w:val="BodyText"/>
        <w:spacing w:before="40" w:line="333" w:lineRule="auto"/>
        <w:ind w:left="256" w:right="1719"/>
      </w:pPr>
      <w:r>
        <w:rPr>
          <w:spacing w:val="-2"/>
        </w:rPr>
        <w:t>节能综合改造工程首先从多层住宅（5</w:t>
      </w:r>
      <w:r>
        <w:rPr>
          <w:spacing w:val="-20"/>
        </w:rPr>
        <w:t xml:space="preserve"> 号楼</w:t>
      </w:r>
      <w:r>
        <w:rPr>
          <w:spacing w:val="-2"/>
        </w:rPr>
        <w:t>）开始施工。</w:t>
      </w:r>
      <w:r>
        <w:rPr>
          <w:spacing w:val="-2"/>
        </w:rPr>
        <w:t>辅助用房、调压站、管理室后续展开。</w:t>
      </w:r>
    </w:p>
    <w:p>
      <w:pPr>
        <w:spacing w:before="5"/>
        <w:ind w:left="256" w:right="0" w:firstLine="0"/>
        <w:jc w:val="left"/>
        <w:rPr>
          <w:rFonts w:ascii="Microsoft JhengHei" w:eastAsia="Microsoft JhengHei"/>
          <w:b/>
          <w:sz w:val="32"/>
        </w:rPr>
      </w:pPr>
      <w:r>
        <w:rPr>
          <w:rFonts w:ascii="Calibri Light" w:eastAsia="Calibri Light"/>
          <w:b w:val="0"/>
          <w:sz w:val="32"/>
        </w:rPr>
        <w:t>1</w:t>
      </w:r>
      <w:r>
        <w:rPr>
          <w:sz w:val="32"/>
        </w:rPr>
        <w:t>、</w:t>
      </w:r>
      <w:r>
        <w:rPr>
          <w:rFonts w:ascii="Microsoft JhengHei" w:eastAsia="Microsoft JhengHei"/>
          <w:b/>
          <w:sz w:val="32"/>
        </w:rPr>
        <w:t>多层住宅（</w:t>
      </w:r>
      <w:r>
        <w:rPr>
          <w:rFonts w:ascii="Calibri Light" w:eastAsia="Calibri Light"/>
          <w:b w:val="0"/>
          <w:sz w:val="32"/>
        </w:rPr>
        <w:t>5</w:t>
      </w:r>
      <w:r>
        <w:rPr>
          <w:rFonts w:ascii="Calibri Light" w:eastAsia="Calibri Light"/>
          <w:b w:val="0"/>
          <w:spacing w:val="7"/>
          <w:sz w:val="32"/>
        </w:rPr>
        <w:t xml:space="preserve"> </w:t>
      </w:r>
      <w:r>
        <w:rPr>
          <w:sz w:val="32"/>
        </w:rPr>
        <w:t>号楼</w:t>
      </w:r>
      <w:r>
        <w:rPr>
          <w:rFonts w:ascii="Microsoft JhengHei" w:eastAsia="Microsoft JhengHei"/>
          <w:b/>
          <w:sz w:val="32"/>
        </w:rPr>
        <w:t>）</w:t>
      </w:r>
      <w:r>
        <w:rPr>
          <w:rFonts w:ascii="Microsoft JhengHei" w:eastAsia="Microsoft JhengHei"/>
          <w:b/>
          <w:spacing w:val="-2"/>
          <w:sz w:val="32"/>
        </w:rPr>
        <w:t>综合整治工程特点</w:t>
      </w:r>
    </w:p>
    <w:p>
      <w:pPr>
        <w:pStyle w:val="BodyText"/>
        <w:spacing w:before="6"/>
        <w:rPr>
          <w:rFonts w:ascii="Microsoft JhengHei"/>
          <w:b/>
          <w:sz w:val="35"/>
        </w:rPr>
      </w:pPr>
    </w:p>
    <w:p>
      <w:pPr>
        <w:pStyle w:val="ListParagraph"/>
        <w:numPr>
          <w:ilvl w:val="1"/>
          <w:numId w:val="36"/>
        </w:numPr>
        <w:tabs>
          <w:tab w:val="left" w:pos="1239"/>
        </w:tabs>
        <w:spacing w:before="0" w:after="0" w:line="333" w:lineRule="auto"/>
        <w:ind w:left="256" w:right="335" w:firstLine="560"/>
        <w:jc w:val="both"/>
        <w:rPr>
          <w:sz w:val="28"/>
        </w:rPr>
      </w:pPr>
      <w:r>
        <w:rPr>
          <w:spacing w:val="-2"/>
          <w:sz w:val="28"/>
        </w:rPr>
        <w:t>屋面改造工程：本工程屋面（含阳台顶部）节能改造：现状</w:t>
      </w:r>
      <w:r>
        <w:rPr>
          <w:spacing w:val="-8"/>
          <w:sz w:val="28"/>
        </w:rPr>
        <w:t>建筑屋顶保温材料无法满足节能要求，本次改造剔除原有屋面做法至</w:t>
      </w:r>
      <w:r>
        <w:rPr>
          <w:spacing w:val="-2"/>
          <w:sz w:val="28"/>
        </w:rPr>
        <w:t xml:space="preserve">结构层，新做保温防水，做法选用 </w:t>
      </w:r>
      <w:r>
        <w:rPr>
          <w:sz w:val="28"/>
        </w:rPr>
        <w:t>12BJ1-1</w:t>
      </w:r>
      <w:r>
        <w:rPr>
          <w:spacing w:val="-14"/>
          <w:sz w:val="28"/>
        </w:rPr>
        <w:t xml:space="preserve"> 平屋修 </w:t>
      </w:r>
      <w:r>
        <w:rPr>
          <w:sz w:val="28"/>
        </w:rPr>
        <w:t>8</w:t>
      </w:r>
      <w:r>
        <w:rPr>
          <w:spacing w:val="-9"/>
          <w:sz w:val="28"/>
        </w:rPr>
        <w:t xml:space="preserve"> 做法：</w:t>
      </w:r>
    </w:p>
    <w:p>
      <w:pPr>
        <w:pStyle w:val="ListParagraph"/>
        <w:numPr>
          <w:ilvl w:val="0"/>
          <w:numId w:val="33"/>
        </w:numPr>
        <w:tabs>
          <w:tab w:val="left" w:pos="1518"/>
        </w:tabs>
        <w:spacing w:before="4" w:after="0" w:line="240" w:lineRule="auto"/>
        <w:ind w:left="1518" w:right="0" w:hanging="702"/>
        <w:jc w:val="left"/>
        <w:rPr>
          <w:sz w:val="28"/>
        </w:rPr>
      </w:pPr>
      <w:r>
        <w:rPr>
          <w:spacing w:val="-1"/>
          <w:sz w:val="28"/>
        </w:rPr>
        <w:t>紫外线涂料，刷两到三遍。</w:t>
      </w:r>
    </w:p>
    <w:p>
      <w:pPr>
        <w:pStyle w:val="ListParagraph"/>
        <w:numPr>
          <w:ilvl w:val="0"/>
          <w:numId w:val="33"/>
        </w:numPr>
        <w:tabs>
          <w:tab w:val="left" w:pos="1518"/>
        </w:tabs>
        <w:spacing w:before="142" w:after="0" w:line="240" w:lineRule="auto"/>
        <w:ind w:left="1518" w:right="0" w:hanging="702"/>
        <w:jc w:val="left"/>
        <w:rPr>
          <w:sz w:val="28"/>
        </w:rPr>
      </w:pPr>
      <w:r>
        <w:pict>
          <v:group id="_x0000_s1031" style="width:355.55pt;height:234.95pt;margin-top:10.09pt;margin-left:103.02pt;mso-position-horizontal-relative:page;position:absolute;z-index:-251657216" coordorigin="2060,202" coordsize="7111,4699">
            <v:shape id="_x0000_s1032" style="width:2;height:2;left:8779;position:absolute;top:1083" coordorigin="8779,1083" coordsize="1,1" path="m8779,1083xe" filled="t" fillcolor="gray" stroked="f">
              <v:fill type="solid"/>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width:3668;height:2339;left:5128;position:absolute;top:787" stroked="f">
              <v:imagedata r:id="rId4" o:title=""/>
            </v:shape>
            <v:line id="_x0000_s1034" style="position:absolute" from="6967,202" to="6967,4676" stroked="t" strokecolor="red" strokeweight="0.03pt">
              <v:stroke dashstyle="solid"/>
            </v:line>
            <v:shape id="_x0000_s1035" style="width:473;height:1219;left:6494;position:absolute;top:1714" coordorigin="6495,1715" coordsize="473,1219" path="m6495,1959l6730,1715m6495,2202l6966,1715m6495,2446l6652,2283m6808,2122l6967,1957m6495,2690l6652,2527m6495,2933l6652,2771e" filled="f" stroked="t" strokecolor="gray" strokeweight="0.03pt">
              <v:stroke dashstyle="solid"/>
              <v:path arrowok="t"/>
            </v:shape>
            <v:shape id="_x0000_s1036" style="width:3617;height:2199;left:5178;position:absolute;top:981" coordorigin="5179,981" coordsize="3617,2199" path="m6967,1715l6495,1715,6495,2963,6652,2963,6652,2122,6967,2122,6967,1715xm6652,2122l7282,2122,7282,3126,6232,3126,6232,2963,6652,2963,6652,2122xm6967,1715l8198,1715,8198,2122,6967,2122,6967,1715xm8795,981l7282,981m5179,1769l6285,1769,6285,2897,6179,2909,6179,3180,7308,3180,7308,2122m8795,1661l5179,1661,5179,1009,5336,1009,5336,1498,6186,1498,6652,1055,6652,981e" filled="f" stroked="t" strokecolor="silver" strokeweight="0.03pt">
              <v:stroke dashstyle="solid"/>
              <v:path arrowok="t"/>
            </v:shape>
            <v:shape id="_x0000_s1037" style="width:526;height:623;left:6723;position:absolute;top:340" coordorigin="6723,340" coordsize="526,623" path="m6723,752l6723,752,6723,752,6723,752,6723,752xm6725,839l6725,839,6725,839,6725,839,6725,839xm6745,429l6745,429,6745,429,6745,429,6745,429xm6822,726l6822,726,6822,726,6822,726,6822,726xm6849,871l6849,871,6849,871,6849,871,6849,871xm6856,821l6856,821,6856,821,6856,821,6856,821xm6863,624l6863,624,6863,624,6863,624,6863,624xm6895,701l6895,701,6895,701,6895,701,6895,701xm6908,340l6908,340,6908,340,6908,340,6908,340xm7051,374l7051,374,7051,374,7051,374,7051,374xm7102,738l7102,738,7102,738,7102,738,7102,738xm7168,661l7168,661,7168,661,7168,661,7168,661xm7206,462l7206,462,7206,462,7206,462,7206,462xm7248,963l7248,963,7248,963,7248,963,7248,963xe" filled="t" fillcolor="gray" stroked="f">
              <v:fill type="solid"/>
              <v:path arrowok="t"/>
            </v:shape>
            <v:shape id="_x0000_s1038" style="width:630;height:652;left:6652;position:absolute;top:330" coordorigin="6652,330" coordsize="630,652" path="m6652,502l6819,330m6652,695l7004,330m6652,886l7190,330m6745,981l7282,427m6931,981l7282,619m7116,981l7282,811m6776,713l6801,683m7079,340l7087,330m7152,748l7177,716m7079,340l7111,342m6776,713l6807,716m7152,748l7183,751m6807,719l6801,686m7183,754l7177,719m7111,345l7108,330m6770,609l6811,565m6816,619l6811,567m6770,609l6817,617m6842,486l6879,471m6715,879l6752,865m7156,704l7193,689m6842,486l6869,504m7156,704l7182,722m6715,879l6741,897m6741,900l6751,868m6869,507l6879,474m7182,725l7193,692e" filled="f" stroked="t" strokecolor="gray" strokeweight="0.03pt">
              <v:stroke dashstyle="solid"/>
              <v:path arrowok="t"/>
            </v:shape>
            <v:rect id="_x0000_s1039" style="width:630;height:652;left:6652;position:absolute;top:330" filled="f" stroked="t" strokecolor="silver" strokeweight="0.03pt">
              <v:stroke dashstyle="solid"/>
            </v:rect>
            <v:shape id="_x0000_s1040" style="width:241;height:28;left:5136;position:absolute;top:952" coordorigin="5136,953" coordsize="241,28" path="m5136,953l5151,953m5181,953l5196,953m5226,953l5241,953m5271,953l5286,953m5316,953l5331,953m5361,953l5376,953m5136,980l5151,980m5181,980l5196,980m5226,980l5241,980m5271,980l5286,980m5316,980l5331,980m5361,980l5376,980e" filled="f" stroked="t" strokecolor="gray" strokeweight="0.03pt">
              <v:stroke dashstyle="solid"/>
              <v:path arrowok="t"/>
            </v:shape>
            <v:shape id="_x0000_s1041" type="#_x0000_t75" style="width:256;height:434;left:5128;position:absolute;top:948" stroked="f">
              <v:imagedata r:id="rId5" o:title=""/>
            </v:shape>
            <v:shape id="_x0000_s1042" style="width:2304;height:2736;left:5077;position:absolute;top:227" coordorigin="5077,228" coordsize="2304,2736" path="m6495,1715l6495,2877m5179,1688l6469,1688,6469,2963m7380,788l7380,228,6553,228,6553,1010,6147,1396,5394,1396,5394,949,5126,949,5126,1769,6285,1769,6285,2963m5407,1057l5415,1060,5415,927,5077,927,5077,1063,5113,1063,5113,1783,5165,1783m5218,1783l6271,1783,6271,2899e" filled="f" stroked="t" strokecolor="silver" strokeweight="0.03pt">
              <v:stroke dashstyle="solid"/>
              <v:path arrowok="t"/>
            </v:shape>
            <v:shape id="_x0000_s1043" style="width:1129;height:1140;left:6179;position:absolute;top:3180" coordorigin="6179,3180" coordsize="1129,1140" path="m6179,3180l6179,4320m7308,3180l7308,4320e" filled="f" stroked="t" strokecolor="gray" strokeweight="0.03pt">
              <v:stroke dashstyle="solid"/>
              <v:path arrowok="t"/>
            </v:shape>
            <v:shape id="_x0000_s1044" style="width:3460;height:1555;left:5335;position:absolute;top:214" coordorigin="5336,215" coordsize="3460,1555" path="m5336,1498l6186,1498,6652,1055,6652,330,7282,330,7282,981m6183,1482l6639,1049,6639,317,7295,317,7295,981m5407,1057l5407,1382,6143,1382,6540,1004,6540,215,7394,215,7394,775,8795,775m6285,1769l6285,1688e" filled="f" stroked="t" strokecolor="silver" strokeweight="0.03pt">
              <v:stroke dashstyle="solid"/>
              <v:path arrowok="t"/>
            </v:shape>
            <v:shape id="_x0000_s1045" type="#_x0000_t75" style="width:7111;height:4699;left:2060;position:absolute;top:201" stroked="f">
              <v:imagedata r:id="rId6" o:title=""/>
            </v:shape>
          </v:group>
        </w:pict>
      </w:r>
      <w:r>
        <w:rPr>
          <w:spacing w:val="-35"/>
          <w:sz w:val="28"/>
        </w:rPr>
        <w:t xml:space="preserve">喷 </w:t>
      </w:r>
      <w:r>
        <w:rPr>
          <w:sz w:val="28"/>
        </w:rPr>
        <w:t>60</w:t>
      </w:r>
      <w:r>
        <w:rPr>
          <w:spacing w:val="-1"/>
          <w:sz w:val="28"/>
        </w:rPr>
        <w:t xml:space="preserve"> 厚Ⅱ型，硬泡聚氨酯。</w:t>
      </w:r>
    </w:p>
    <w:p>
      <w:pPr>
        <w:pStyle w:val="BodyText"/>
        <w:spacing w:before="141"/>
        <w:ind w:left="816"/>
      </w:pPr>
      <w:r>
        <w:t>（3）0.7</w:t>
      </w:r>
      <w:r>
        <w:rPr>
          <w:spacing w:val="-10"/>
        </w:rPr>
        <w:t xml:space="preserve"> 厚聚乙烯丙纶防水卷材。</w:t>
      </w:r>
    </w:p>
    <w:p>
      <w:pPr>
        <w:pStyle w:val="BodyText"/>
        <w:spacing w:before="141"/>
        <w:ind w:left="816"/>
      </w:pPr>
      <w:r>
        <w:t>（4）1.3</w:t>
      </w:r>
      <w:r>
        <w:rPr>
          <w:spacing w:val="-12"/>
        </w:rPr>
        <w:t xml:space="preserve"> 厚胶粘剂粘贴。</w:t>
      </w:r>
    </w:p>
    <w:p>
      <w:pPr>
        <w:pStyle w:val="ListParagraph"/>
        <w:numPr>
          <w:ilvl w:val="0"/>
          <w:numId w:val="32"/>
        </w:numPr>
        <w:tabs>
          <w:tab w:val="left" w:pos="1518"/>
        </w:tabs>
        <w:spacing w:before="141" w:after="0" w:line="240" w:lineRule="auto"/>
        <w:ind w:left="1518" w:right="0" w:hanging="702"/>
        <w:jc w:val="left"/>
        <w:rPr>
          <w:sz w:val="28"/>
        </w:rPr>
      </w:pPr>
      <w:r>
        <w:rPr>
          <w:sz w:val="28"/>
        </w:rPr>
        <w:t>配套，GFZ-C</w:t>
      </w:r>
      <w:r>
        <w:rPr>
          <w:spacing w:val="-10"/>
          <w:sz w:val="28"/>
        </w:rPr>
        <w:t xml:space="preserve"> 聚合物水泥砂浆刷两遍。</w:t>
      </w:r>
    </w:p>
    <w:p>
      <w:pPr>
        <w:pStyle w:val="ListParagraph"/>
        <w:numPr>
          <w:ilvl w:val="0"/>
          <w:numId w:val="32"/>
        </w:numPr>
        <w:tabs>
          <w:tab w:val="left" w:pos="1518"/>
        </w:tabs>
        <w:spacing w:before="142" w:after="0" w:line="240" w:lineRule="auto"/>
        <w:ind w:left="1518" w:right="0" w:hanging="702"/>
        <w:jc w:val="left"/>
        <w:rPr>
          <w:sz w:val="28"/>
        </w:rPr>
      </w:pPr>
      <w:r>
        <w:rPr>
          <w:spacing w:val="-1"/>
          <w:sz w:val="28"/>
        </w:rPr>
        <w:t>原屋面表面清理干净，</w:t>
      </w:r>
    </w:p>
    <w:p>
      <w:pPr>
        <w:pStyle w:val="BodyText"/>
        <w:spacing w:before="141" w:line="333" w:lineRule="auto"/>
        <w:ind w:left="256" w:right="335"/>
        <w:jc w:val="both"/>
      </w:pPr>
      <w:r>
        <w:rPr>
          <w:spacing w:val="-4"/>
        </w:rPr>
        <w:t xml:space="preserve">增设坡屋面采用钢屋架合成树脂瓦屋面，做法参见 </w:t>
      </w:r>
      <w:r>
        <w:rPr>
          <w:spacing w:val="-2"/>
        </w:rPr>
        <w:t>03J203，52</w:t>
      </w:r>
      <w:r>
        <w:rPr>
          <w:spacing w:val="-12"/>
        </w:rPr>
        <w:t xml:space="preserve"> 页合</w:t>
      </w:r>
      <w:r>
        <w:rPr>
          <w:spacing w:val="-4"/>
        </w:rPr>
        <w:t>成树脂瓦屋面。屋面平改坡施工。根据图纸要求，钢结构专业分包应</w:t>
      </w:r>
      <w:r>
        <w:rPr>
          <w:spacing w:val="-7"/>
        </w:rPr>
        <w:t>根据现场实际情况及图纸要求进行深化设计，经原设计同意后统一加</w:t>
      </w:r>
      <w:r>
        <w:rPr>
          <w:spacing w:val="-4"/>
        </w:rPr>
        <w:t>工钢结构。先施工钢筋混凝土卧梁，卧梁施工完成后再进行钢结构施</w:t>
      </w:r>
      <w:r>
        <w:rPr>
          <w:spacing w:val="-6"/>
        </w:rPr>
        <w:t>工。</w:t>
      </w:r>
    </w:p>
    <w:p>
      <w:pPr>
        <w:pStyle w:val="BodyText"/>
        <w:rPr>
          <w:sz w:val="20"/>
        </w:rPr>
      </w:pPr>
    </w:p>
    <w:p>
      <w:pPr>
        <w:pStyle w:val="ListParagraph"/>
        <w:numPr>
          <w:ilvl w:val="1"/>
          <w:numId w:val="36"/>
        </w:numPr>
        <w:tabs>
          <w:tab w:val="left" w:pos="1238"/>
        </w:tabs>
        <w:spacing w:before="202" w:after="0" w:line="240" w:lineRule="auto"/>
        <w:ind w:left="1238" w:right="0" w:hanging="422"/>
        <w:jc w:val="left"/>
        <w:rPr>
          <w:sz w:val="28"/>
        </w:rPr>
      </w:pPr>
      <w:r>
        <w:rPr>
          <w:spacing w:val="-2"/>
          <w:sz w:val="28"/>
        </w:rPr>
        <w:t>平改坡屋面特点</w:t>
      </w:r>
    </w:p>
    <w:p>
      <w:pPr>
        <w:pStyle w:val="BodyText"/>
        <w:spacing w:before="14"/>
        <w:ind w:left="736"/>
        <w:rPr>
          <w:rFonts w:ascii="仿宋" w:eastAsia="仿宋"/>
        </w:rPr>
      </w:pPr>
      <w:r>
        <w:rPr>
          <w:rFonts w:ascii="仿宋" w:eastAsia="仿宋"/>
          <w:spacing w:val="-1"/>
        </w:rPr>
        <w:t>这次构造增设坡屋面，采用钢屋架合成树脂瓦屋面，做法参见</w:t>
      </w:r>
    </w:p>
    <w:p>
      <w:pPr>
        <w:pStyle w:val="BodyText"/>
        <w:spacing w:before="4"/>
        <w:ind w:left="256"/>
        <w:rPr>
          <w:rFonts w:ascii="仿宋" w:eastAsia="仿宋"/>
        </w:rPr>
      </w:pPr>
      <w:r>
        <w:rPr>
          <w:rFonts w:ascii="仿宋" w:eastAsia="仿宋"/>
        </w:rPr>
        <w:t>03J203，52</w:t>
      </w:r>
      <w:r>
        <w:rPr>
          <w:rFonts w:ascii="仿宋" w:eastAsia="仿宋"/>
          <w:spacing w:val="-10"/>
        </w:rPr>
        <w:t xml:space="preserve"> 页合成树脂瓦屋面。屋面平改坡施工。</w:t>
      </w:r>
    </w:p>
    <w:p>
      <w:pPr>
        <w:pStyle w:val="BodyText"/>
        <w:spacing w:before="125" w:line="242" w:lineRule="auto"/>
        <w:ind w:left="256" w:right="336" w:firstLine="480"/>
        <w:jc w:val="both"/>
        <w:rPr>
          <w:sz w:val="21"/>
        </w:rPr>
      </w:pPr>
      <w:r>
        <w:rPr>
          <w:rFonts w:ascii="仿宋" w:eastAsia="仿宋"/>
          <w:spacing w:val="-2"/>
        </w:rPr>
        <w:t>根据图纸要求，钢结构专业分包应根据现场实际情况及图纸要求</w:t>
      </w:r>
      <w:r>
        <w:rPr>
          <w:rFonts w:ascii="仿宋" w:eastAsia="仿宋"/>
          <w:spacing w:val="-4"/>
        </w:rPr>
        <w:t>进行深化设计，经原设计同意后统一加工钢结构。先施工钢筋混凝土</w:t>
      </w:r>
      <w:r>
        <w:rPr>
          <w:rFonts w:ascii="仿宋" w:eastAsia="仿宋"/>
          <w:spacing w:val="-2"/>
        </w:rPr>
        <w:t>卧梁，卧梁施工完成后再进行钢结构施工</w:t>
      </w:r>
      <w:r>
        <w:rPr>
          <w:spacing w:val="-2"/>
          <w:sz w:val="21"/>
        </w:rPr>
        <w:t>。</w:t>
      </w:r>
    </w:p>
    <w:p>
      <w:pPr>
        <w:spacing w:after="0" w:line="242" w:lineRule="auto"/>
        <w:jc w:val="both"/>
        <w:rPr>
          <w:sz w:val="21"/>
        </w:rPr>
        <w:sectPr>
          <w:pgSz w:w="11910" w:h="16160"/>
          <w:pgMar w:top="1520" w:right="1460" w:bottom="280" w:left="1540" w:header="708" w:footer="708"/>
          <w:pgNumType w:start="7"/>
          <w:cols w:space="708"/>
        </w:sectPr>
      </w:pPr>
    </w:p>
    <w:p>
      <w:pPr>
        <w:spacing w:line="240" w:lineRule="auto"/>
        <w:ind w:left="781" w:right="0" w:firstLine="0"/>
        <w:rPr>
          <w:sz w:val="20"/>
        </w:rPr>
      </w:pPr>
      <w:r>
        <w:rPr>
          <w:sz w:val="20"/>
        </w:rPr>
        <w:pict>
          <v:group id="_x0000_i1046" style="width:375.65pt;height:183.3pt;mso-position-horizontal-relative:char;mso-position-vertical-relative:line" coordorigin="0,0" coordsize="7513,3666">
            <v:shape id="_x0000_s1047" type="#_x0000_t75" style="width:4935;height:1642;left:1263;position:absolute;top:1423" stroked="f">
              <v:imagedata r:id="rId7" o:title=""/>
            </v:shape>
            <v:shape id="_x0000_s1048" style="width:4694;height:200;left:1587;position:absolute;top:2005" coordorigin="1587,2006" coordsize="4694,200" path="m1587,2134l6280,2134,6280,2205,1587,2205,1587,2134xm6142,2006l1642,2006e" filled="f" stroked="t" strokecolor="silver" strokeweight="0.05pt">
              <v:stroke dashstyle="solid"/>
              <v:path arrowok="t"/>
            </v:shape>
            <v:shape id="_x0000_s1049" type="#_x0000_t75" style="width:375;height:249;left:1272;position:absolute;top:2142" stroked="f">
              <v:imagedata r:id="rId8" o:title=""/>
            </v:shape>
            <v:shape id="_x0000_s1050" style="width:5239;height:120;left:1272;position:absolute;top:2005" coordorigin="1273,2006" coordsize="5239,120" path="m6512,2125l1273,2125,1273,2010,1300,2010,1300,2095,1450,2095,1532,2018,1532,2006e" filled="f" stroked="t" strokecolor="silver" strokeweight="0.05pt">
              <v:stroke dashstyle="solid"/>
              <v:path arrowok="t"/>
            </v:shape>
            <v:shape id="_x0000_s1051" type="#_x0000_t75" style="width:112;height:115;left:1531;position:absolute;top:1891" stroked="f">
              <v:imagedata r:id="rId9" o:title=""/>
            </v:shape>
            <v:shape id="_x0000_s1052" style="width:46;height:76;left:1263;position:absolute;top:2000" coordorigin="1264,2000" coordsize="46,76" path="m1266,2000l1268,2000m1274,2000l1276,2000m1282,2000l1284,2000m1289,2000l1291,2000m1297,2000l1299,2000m1305,2000l1307,2000m1266,2005l1268,2005m1274,2005l1276,2005m1282,2005l1284,2005m1289,2005l1291,2005m1297,2005l1299,2005m1305,2005l1307,2005m1305,2010l1307,2010m1305,2015l1307,2015m1305,2019l1307,2019m1305,2024l1307,2024m1305,2029l1307,2029m1305,2033l1307,2033m1305,2038l1307,2038m1305,2043l1307,2043m1305,2048l1307,2048m1305,2052l1307,2052m1305,2057l1307,2057m1305,2062l1307,2062m1305,2066l1307,2066m1305,2071l1307,2071m1305,2075l1307,2075m1305,2075l1304,2073m1266,2005l1264,2003m1309,2073l1307,2071m1305,2066l1304,2064m1273,2009l1272,2007m1269,2003l1268,2000m1309,2064l1307,2062m1305,2057l1304,2054m1277,2007l1276,2005m1274,2000l1273,2000m1309,2054l1307,2052m1305,2048l1304,2045m1282,2005l1280,2003m1309,2045l1307,2043m1305,2038l1304,2036m1289,2009l1288,2007m1285,2003l1284,2000m1309,2036l1307,2033m1305,2029l1304,2027m1293,2007l1291,2005m1309,2027l1307,2024m1305,2019l1304,2017m1297,2005l1296,2003m1309,2017l1307,2015m1305,2010l1304,2007m1301,2003l1299,2000m1309,2007l1307,2005m1264,2003l1266,2000m1268,2005l1269,2003m1272,2007l1274,2005m1276,2009l1277,2007m1280,2003l1282,2000m1284,2005l1285,2003m1288,2007l1289,2005m1291,2000l1292,2000m1292,2009l1293,2007m1296,2003l1297,2000m1299,2005l1301,2003m1304,2007l1305,2005m1304,2017l1305,2015m1307,2010l1309,2007m1304,2027l1305,2024m1307,2019l1309,2017m1304,2036l1305,2033m1307,2029l1309,2027m1304,2045l1305,2043m1307,2038l1309,2036m1304,2054l1305,2052m1307,2048l1309,2045m1304,2064l1305,2062m1307,2057l1309,2054m1304,2073l1305,2071m1307,2066l1309,2064m1307,2075l1309,2073e" filled="f" stroked="t" strokecolor="gray" strokeweight="0.05pt">
              <v:stroke dashstyle="solid"/>
              <v:path arrowok="t"/>
            </v:shape>
            <v:shape id="_x0000_s1053" style="width:406;height:479;left:1254;position:absolute;top:1873" coordorigin="1255,1874" coordsize="406,479" path="m1504,2134l1504,2337m1273,2129l1500,2129,1500,2352m1660,1972l1660,1874,1514,1874,1514,2010,1443,2078,1311,2078,1311,2000,1264,2000,1264,2143,1467,2143,1467,2352m1313,2018l1315,2019,1315,1996,1255,1996,1255,2019,1261,2019,1261,2146,1271,2146m1280,2146l1465,2146,1465,2341e" filled="f" stroked="t" strokecolor="silver" strokeweight="0.05pt">
              <v:stroke dashstyle="solid"/>
              <v:path arrowok="t"/>
            </v:shape>
            <v:shape id="_x0000_s1054" style="width:198;height:284;left:1449;position:absolute;top:2390" coordorigin="1449,2391" coordsize="198,284" path="m1449,2391l1449,2674m1647,2391l1647,2674e" filled="f" stroked="t" strokecolor="gray" strokeweight="0.05pt">
              <v:stroke dashstyle="solid"/>
              <v:path arrowok="t"/>
            </v:shape>
            <v:shape id="_x0000_s1055" style="width:4839;height:225;left:1300;position:absolute;top:1870" coordorigin="1300,1871" coordsize="4839,225" path="m1300,2095l1450,2095,1532,2018,1532,1892,1642,1892,1642,2006m1449,2094l1529,2018,1529,1889,1645,1889,1645,2006m1313,2018l1313,2075,1442,2075,1512,2009,1512,1871,1662,1871,1662,1969,6123,1969m6124,1969l6139,1969e" filled="f" stroked="t" strokecolor="silver" strokeweight="0.05pt">
              <v:stroke dashstyle="solid"/>
              <v:path arrowok="t"/>
            </v:shape>
            <v:shape id="_x0000_s1056" type="#_x0000_t75" style="width:389;height:221;left:1272;position:absolute;top:1873" stroked="f">
              <v:imagedata r:id="rId10" o:title=""/>
            </v:shape>
            <v:shape id="_x0000_s1057" style="width:4872;height:175;left:1271;position:absolute;top:1971" coordorigin="1271,1972" coordsize="4872,175" path="m1660,2005l6142,2005m1646,1972l6139,1972m1467,2143l1467,2129m1273,2129l1273,2125m1273,2009l1273,2010m1271,2146l1271,2143m1280,2146l1280,2143e" filled="f" stroked="t" strokecolor="silver" strokeweight="0.05pt">
              <v:stroke dashstyle="solid"/>
              <v:path arrowok="t"/>
            </v:shape>
            <v:line id="_x0000_s1058" style="position:absolute" from="1449,2391" to="1449,2671" stroked="t" strokecolor="gray" strokeweight="0.04pt">
              <v:stroke dashstyle="solid"/>
            </v:line>
            <v:line id="_x0000_s1059" style="position:absolute" from="1647,2205" to="1647,2391" stroked="t" strokecolor="silver" strokeweight="0.04pt">
              <v:stroke dashstyle="solid"/>
            </v:line>
            <v:shape id="_x0000_s1060" type="#_x0000_t75" style="width:408;height:1642;left:6122;position:absolute;top:1423" stroked="f">
              <v:imagedata r:id="rId11" o:title=""/>
            </v:shape>
            <v:shape id="_x0000_s1061" style="width:4996;height:1387;left:1486;position:absolute;top:708" coordorigin="1486,709" coordsize="4996,1387" path="m6298,1847l3892,709,1486,1847,1492,1860,3892,724,6292,1860,6298,1847xm1523,1871l3892,750,6261,1871m1523,1871l1513,1850m6271,1850l6261,1871m1662,1871l6123,1871m6482,2092l6482,2095e" filled="f" stroked="t" strokecolor="silver" strokeweight="0.05pt">
              <v:stroke dashstyle="solid"/>
              <v:path arrowok="t"/>
            </v:shape>
            <v:shape id="_x0000_s1062" style="width:1154;height:594;left:6359;position:absolute;top:600" coordorigin="6359,601" coordsize="1154,594" path="m6359,601l7512,601,7512,1195,6359,601xe" filled="f" stroked="t" strokecolor="lime" strokeweight="0.05pt">
              <v:stroke dashstyle="solid"/>
              <v:path arrowok="t"/>
            </v:shape>
            <v:shape id="_x0000_s1063" style="width:2997;height:469;left:1845;position:absolute;top:2205" coordorigin="1845,2205" coordsize="2997,469" path="m4842,2205l4842,2674m4786,2205l4786,2674m4842,2205l4786,2205m4842,2674l4786,2674m4169,2205l4169,2674m4113,2205l4113,2674m4169,2205l4113,2205m4169,2674l4113,2674m1845,2674l1845,2205m2011,2674l2011,2205m1845,2674l2011,2674m1845,2205l2011,2205e" filled="f" stroked="t" strokecolor="silver" strokeweight="0.05pt">
              <v:stroke dashstyle="solid"/>
              <v:path arrowok="t"/>
            </v:shape>
            <v:shape id="_x0000_s1064" type="#_x0000_t75" style="width:6936;height:2067;position:absolute;top:998" stroked="f">
              <v:imagedata r:id="rId12" o:title=""/>
            </v:shape>
            <v:shape id="_x0000_s1065" style="width:1698;height:768;left:3845;position:absolute" coordorigin="3845,0" coordsize="1698,768" path="m3939,719l3936,701,3925,685,3910,674,3892,670,3874,674,3859,685,3849,701,3845,719,3849,737,3859,754,3874,764,3892,768,3910,764,3925,754,3936,737,3939,719xm5542,239l5538,192,5525,147,5504,107,5475,70,5440,41,5400,19,5357,5,5312,,5267,5,5223,19,5184,41,5149,70,5120,107,5099,147,5086,192,5082,239,5086,285,5099,329,5120,371,5149,406,5184,436,5223,458,5267,472,5312,476,5357,472,5400,458,5440,436,5475,406,5504,371,5525,329,5538,285,5542,239xm5542,239l5082,239e" filled="f" stroked="t" strokecolor="lime" strokeweight="0.05pt">
              <v:stroke dashstyle="solid"/>
              <v:path arrowok="t"/>
            </v:shape>
            <v:shape id="_x0000_s1066" style="width:128;height:115;left:5248;position:absolute;top:78" coordorigin="5248,78" coordsize="128,115" path="m5248,100l5259,95,5275,78,5275,193m5270,84l5270,193m5248,193l5296,193m5327,100l5338,95,5354,78,5354,193m5349,84l5349,193m5327,193l5376,193e" filled="f" stroked="t" strokecolor="#212830" strokeweight="0.05pt">
              <v:stroke dashstyle="solid"/>
              <v:path arrowok="t"/>
            </v:shape>
            <v:shape id="_x0000_s1067" type="#_x0000_t75" style="width:171;height:104;left:5226;position:absolute;top:285" stroked="f">
              <v:imagedata r:id="rId13" o:title=""/>
            </v:shape>
            <v:line id="_x0000_s1068" style="position:absolute" from="3892,239" to="5082,239" stroked="t" strokecolor="lime" strokeweight="0.05pt">
              <v:stroke dashstyle="solid"/>
            </v:line>
            <v:shape id="_x0000_s1069" style="width:937;height:163;left:4096;position:absolute;top:26" coordorigin="4096,26" coordsize="937,163" path="m4147,125l4147,175m4109,178l4182,171m4123,148l4169,143m4147,88l4128,125m4125,127l4169,118m4161,104l4178,129m4123,89l4180,84m4171,34l4120,40m4169,63l4173,31m4118,68l4173,63m4120,30l4118,74,4111,127,4096,178m4217,38l4235,49m4239,61l4215,77m4269,61l4287,74m4285,34l4255,55m4252,28l4247,65,4231,93,4202,121m4248,59l4289,112,4304,110m4231,97l4231,185m4231,104l4272,100m4272,97l4272,185,4257,165m4231,125l4263,121m4263,143l4231,146m4365,26l4341,70m4337,72l4385,59m4372,44l4393,68m4320,95l4408,84m4374,88l4401,132,4415,131m4372,107l4337,141m4381,125l4345,160m4365,70l4357,89,4315,139m4393,143l4361,171,4331,188m4458,31l4458,127m4501,127l4506,30m4504,36l4458,42m4485,112l4485,169,4492,175,4526,173,4525,137m4482,70l4472,129,4458,152,4427,183m4563,34l4549,42,4540,62,4535,96,4535,116,4540,149,4549,169,4563,176,4572,176,4586,169,4595,149,4600,116,4600,96,4595,62,4586,42,4572,34,4563,34,4554,42,4549,48,4544,62,4540,96,4540,116,4544,149,4549,163,4554,169,4563,176m4572,176l4581,169,4586,163,4590,149,4595,116,4595,96,4590,62,4586,48,4581,42m4632,62l4637,68,4632,76,4628,68,4628,62,4632,48,4637,42,4651,34,4669,34,4683,42,4687,55,4687,76,4683,88,4669,96,4655,96m4669,34l4678,42,4683,55,4683,76,4678,88,4669,96,4678,102,4687,116,4692,129,4692,149,4687,163,4683,169,4669,176,4651,176,4637,169,4632,163,4628,149,4628,143,4632,136,4637,143,4632,149m4683,109l4687,129,4687,149,4683,163,4678,169m4751,34l4751,149,4747,169,4738,176,4729,176,4719,169,4715,156,4715,143,4719,136,4724,143,4719,149m4747,34l4747,149,4743,169,4738,176m4734,34l4766,34m4789,62l4793,68,4789,76,4784,68,4784,62,4789,48,4793,42,4807,34,4825,34,4840,42,4844,48,4848,62,4848,76,4844,88,4830,102,4807,116,4798,122,4789,136,4784,156,4784,176m4825,34l4835,42,4840,48,4844,62,4844,76,4840,88,4825,102,4807,116m4784,163l4789,156,4798,156,4821,169,4835,169,4844,163,4848,156m4798,156l4821,176,4840,176,4844,169,4848,156m4904,34l4890,42,4881,62,4876,96,4876,116,4881,149,4890,169,4904,176,4913,176,4927,169,4937,149,4941,116,4941,96,4937,62,4927,42,4913,34,4904,34,4895,42,4890,48,4886,62,4881,96,4881,116,4886,149,4890,163,4895,169,4904,176m4913,176l4922,169,4927,163,4931,149,4937,116,4937,96,4931,62,4927,48,4922,42m4973,62l4978,68,4973,76,4969,68,4969,62,4973,48,4978,42,4992,34,5010,34,5024,42,5028,55,5028,76,5024,88,5010,96,4996,96m5010,34l5019,42,5024,55,5024,76,5019,88,5010,96,5019,102,5028,116,5033,129,5033,149,5028,163,5024,169,5010,176,4992,176,4978,169,4973,163,4969,149,4969,143,4973,136,4978,143,4973,149m5024,109l5028,129,5028,149,5024,163,5019,169e" filled="f" stroked="t" strokecolor="#212830" strokeweight="0.05pt">
              <v:stroke dashstyle="solid"/>
              <v:path arrowok="t"/>
            </v:shape>
            <v:shape id="_x0000_s1070" style="width:6814;height:2535;left:386;position:absolute;top:238" coordorigin="387,239" coordsize="6814,2535" path="m3892,670l3892,239m387,2674l3742,2674,3776,2574,3811,2774,3845,2674,7200,2674e" filled="f" stroked="t" strokecolor="lime" strokeweight="0.05pt">
              <v:stroke dashstyle="solid"/>
              <v:path arrowok="t"/>
            </v:shape>
            <v:shape id="_x0000_s1071" style="width:55;height:125;left:6939;position:absolute;top:370" coordorigin="6939,371" coordsize="55,125" path="m6966,371l6949,376,6939,391m6989,413l6993,399,6990,384,6980,374,6966,371m6989,413l6939,495,6993,495e" filled="f" stroked="t" strokecolor="#212830" strokeweight="0.05pt">
              <v:stroke dashstyle="solid"/>
              <v:path arrowok="t"/>
            </v:shape>
            <v:shape id="_x0000_s1072" type="#_x0000_t75" style="width:397;height:161;left:3913;position:absolute;top:1277" stroked="f">
              <v:imagedata r:id="rId14" o:title=""/>
            </v:shape>
            <v:shape id="_x0000_s1073" style="width:2745;height:1826;left:1587;position:absolute;top:1460" coordorigin="1587,1460" coordsize="2745,1826" path="m4331,1460l3892,1460,3892,1969m1587,2810l1587,3286e" filled="f" stroked="t" strokecolor="lime" strokeweight="0.05pt">
              <v:stroke dashstyle="solid"/>
              <v:path arrowok="t"/>
            </v:shape>
            <v:shape id="_x0000_s1074" type="#_x0000_t75" style="width:370;height:381;left:1402;position:absolute;top:3285" stroked="f">
              <v:imagedata r:id="rId15" o:title=""/>
            </v:shape>
            <v:line id="_x0000_s1075" style="position:absolute" from="6197,2810" to="6197,3286" stroked="t" strokecolor="lime" strokeweight="0.04pt">
              <v:stroke dashstyle="solid"/>
            </v:line>
            <v:shape id="_x0000_s1076" type="#_x0000_t75" style="width:370;height:381;left:6012;position:absolute;top:3285" stroked="f">
              <v:imagedata r:id="rId16" o:title=""/>
            </v:shape>
            <w10:wrap type="none"/>
          </v:group>
        </w:pict>
      </w:r>
      <w:r>
        <w:rPr>
          <w:rFonts w:ascii="Times New Roman"/>
          <w:spacing w:val="81"/>
          <w:sz w:val="12"/>
        </w:rPr>
        <w:t xml:space="preserve"> </w:t>
      </w:r>
      <w:r>
        <w:rPr>
          <w:spacing w:val="81"/>
          <w:position w:val="271"/>
          <w:sz w:val="20"/>
        </w:rPr>
        <w:pict>
          <v:group id="_x0000_i1077" style="width:1.4pt;height:6.3pt;mso-position-horizontal-relative:char;mso-position-vertical-relative:line" coordorigin="0,0" coordsize="28,126">
            <v:shape id="_x0000_s1078" style="width:27;height:125;position:absolute" coordorigin="0,0" coordsize="27,125" path="m27,125l27,,,28e" filled="f" stroked="t" strokecolor="#212830" strokeweight="0.04pt">
              <v:stroke dashstyle="solid"/>
              <v:path arrowok="t"/>
            </v:shape>
            <w10:wrap type="none"/>
          </v:group>
        </w:pict>
      </w:r>
    </w:p>
    <w:p>
      <w:pPr>
        <w:pStyle w:val="BodyText"/>
        <w:rPr>
          <w:sz w:val="20"/>
        </w:rPr>
      </w:pPr>
    </w:p>
    <w:p>
      <w:pPr>
        <w:pStyle w:val="BodyText"/>
        <w:spacing w:before="1"/>
        <w:rPr>
          <w:sz w:val="26"/>
        </w:rPr>
      </w:pPr>
      <w:r>
        <w:pict>
          <v:group id="_x0000_s1079" style="width:270.75pt;height:209.25pt;margin-top:17.93pt;margin-left:125.43pt;mso-position-horizontal-relative:page;mso-wrap-distance-left:0;mso-wrap-distance-right:0;position:absolute;z-index:-251656192" coordorigin="2509,359" coordsize="5415,4185">
            <v:shape id="_x0000_s1080" type="#_x0000_t75" style="width:2635;height:1691;left:4712;position:absolute;top:1570" stroked="f">
              <v:imagedata r:id="rId17" o:title=""/>
            </v:shape>
            <v:line id="_x0000_s1081" style="position:absolute" from="6033,638" to="6033,4380" stroked="t" strokecolor="red" strokeweight="0.03pt">
              <v:stroke dashstyle="solid"/>
            </v:line>
            <v:shape id="_x0000_s1082" type="#_x0000_t75" style="width:5415;height:4185;left:2508;position:absolute;top:358" stroked="f">
              <v:imagedata r:id="rId18" o:title=""/>
            </v:shape>
            <w10:wrap type="topAndBottom"/>
          </v:group>
        </w:pict>
      </w:r>
    </w:p>
    <w:p>
      <w:pPr>
        <w:pStyle w:val="BodyText"/>
        <w:spacing w:before="7"/>
        <w:rPr>
          <w:sz w:val="25"/>
        </w:rPr>
      </w:pPr>
    </w:p>
    <w:p>
      <w:pPr>
        <w:pStyle w:val="ListParagraph"/>
        <w:numPr>
          <w:ilvl w:val="1"/>
          <w:numId w:val="37"/>
        </w:numPr>
        <w:tabs>
          <w:tab w:val="left" w:pos="1238"/>
        </w:tabs>
        <w:spacing w:before="61" w:after="0" w:line="240" w:lineRule="auto"/>
        <w:ind w:left="1238" w:right="0" w:hanging="422"/>
        <w:jc w:val="left"/>
        <w:rPr>
          <w:sz w:val="28"/>
        </w:rPr>
      </w:pPr>
      <w:r>
        <w:rPr>
          <w:spacing w:val="-2"/>
          <w:sz w:val="28"/>
        </w:rPr>
        <w:t>外墙节能改造。</w:t>
      </w:r>
    </w:p>
    <w:p>
      <w:pPr>
        <w:pStyle w:val="BodyText"/>
        <w:spacing w:before="81" w:line="295" w:lineRule="auto"/>
        <w:ind w:left="256" w:right="195" w:firstLine="560"/>
      </w:pPr>
      <w:r>
        <w:rPr>
          <w:spacing w:val="-2"/>
        </w:rPr>
        <w:t>现状建筑外墙保温。本次改造增加外保温系统。原有外墙不平处</w:t>
      </w:r>
      <w:r>
        <w:rPr>
          <w:spacing w:val="-12"/>
        </w:rPr>
        <w:t>用砂浆抹平。墙体开裂和孔洞,应采用聚合物砂浆,填补密实并于开裂</w:t>
      </w:r>
      <w:r>
        <w:rPr>
          <w:spacing w:val="-34"/>
        </w:rPr>
        <w:t xml:space="preserve">处 </w:t>
      </w:r>
      <w:r>
        <w:rPr>
          <w:spacing w:val="-2"/>
        </w:rPr>
        <w:t>300mm</w:t>
      </w:r>
      <w:r>
        <w:rPr>
          <w:spacing w:val="-21"/>
        </w:rPr>
        <w:t xml:space="preserve"> 范围内做防水处理。新贴 </w:t>
      </w:r>
      <w:r>
        <w:rPr>
          <w:spacing w:val="-2"/>
        </w:rPr>
        <w:t>50mm</w:t>
      </w:r>
      <w:r>
        <w:rPr>
          <w:spacing w:val="-35"/>
        </w:rPr>
        <w:t xml:space="preserve"> 复合 </w:t>
      </w:r>
      <w:r>
        <w:rPr>
          <w:spacing w:val="-2"/>
        </w:rPr>
        <w:t>A</w:t>
      </w:r>
      <w:r>
        <w:rPr>
          <w:spacing w:val="-11"/>
        </w:rPr>
        <w:t xml:space="preserve"> 级硬泡聚氨酯保温板。</w:t>
      </w:r>
      <w:r>
        <w:rPr>
          <w:spacing w:val="-2"/>
        </w:rPr>
        <w:t>外墙挑出构件及附墙部件，如入口雨棚坂下面、入口两侧短墙两侧及</w:t>
      </w:r>
      <w:r>
        <w:rPr>
          <w:spacing w:val="-2"/>
        </w:rPr>
        <w:t>女儿墙等。均应采取隔热断桥和保温措施。本工程外檐施工中墙体上</w:t>
      </w:r>
      <w:r>
        <w:rPr>
          <w:spacing w:val="-18"/>
        </w:rPr>
        <w:t>的废弃构件应拆除。影响施工的防护篮网，活动遮阳罩，空调室外机，</w:t>
      </w:r>
      <w:r>
        <w:rPr>
          <w:spacing w:val="-2"/>
        </w:rPr>
        <w:t>雨水管等构件应拆除。待施工完成后，在原位置安装。建筑首层存在</w:t>
      </w:r>
      <w:r>
        <w:rPr>
          <w:spacing w:val="-2"/>
        </w:rPr>
        <w:t>居民自建房，部分影响墙体施工及建筑美观，存在安全隐患，建议与</w:t>
      </w:r>
    </w:p>
    <w:p>
      <w:pPr>
        <w:spacing w:after="0" w:line="295" w:lineRule="auto"/>
        <w:sectPr>
          <w:pgSz w:w="11910" w:h="16160"/>
          <w:pgMar w:top="1560" w:right="1460" w:bottom="280" w:left="1540" w:header="708" w:footer="708"/>
          <w:pgNumType w:start="8"/>
          <w:cols w:space="708"/>
        </w:sectPr>
      </w:pPr>
    </w:p>
    <w:p>
      <w:pPr>
        <w:pStyle w:val="BodyText"/>
        <w:spacing w:before="32" w:line="295" w:lineRule="auto"/>
        <w:ind w:left="256" w:right="335"/>
      </w:pPr>
      <w:r>
        <w:rPr>
          <w:spacing w:val="-4"/>
        </w:rPr>
        <w:t>居民协商后拆除。如无法拆除需业主提请设计单位，更改设计后在做</w:t>
      </w:r>
      <w:r>
        <w:rPr>
          <w:spacing w:val="-4"/>
        </w:rPr>
        <w:t>施工。</w:t>
      </w:r>
    </w:p>
    <w:p>
      <w:pPr>
        <w:pStyle w:val="BodyText"/>
        <w:spacing w:line="295" w:lineRule="auto"/>
        <w:ind w:left="256" w:right="194" w:firstLine="560"/>
      </w:pPr>
      <w:r>
        <w:rPr>
          <w:spacing w:val="-2"/>
        </w:rPr>
        <w:t>4)</w:t>
      </w:r>
      <w:r>
        <w:rPr>
          <w:spacing w:val="-8"/>
        </w:rPr>
        <w:t xml:space="preserve"> 外门窗系统节能改造：更换现状无法满足节能要求的外门窗，</w:t>
      </w:r>
      <w:r>
        <w:rPr>
          <w:spacing w:val="-6"/>
        </w:rPr>
        <w:t>统一更新更换现状封闭阳台用窗未封闭阳台统一封闭处理，原有阳台</w:t>
      </w:r>
      <w:r>
        <w:rPr>
          <w:spacing w:val="-11"/>
        </w:rPr>
        <w:t>门联窗视为室内窗，不再进行更换更换数量及洞口尺寸详参门窗表新</w:t>
      </w:r>
      <w:r>
        <w:rPr>
          <w:spacing w:val="-3"/>
        </w:rPr>
        <w:t xml:space="preserve">更换外窗采用 </w:t>
      </w:r>
      <w:r>
        <w:t>5+12A+5Low-E</w:t>
      </w:r>
      <w:r>
        <w:rPr>
          <w:spacing w:val="-5"/>
        </w:rPr>
        <w:t xml:space="preserve"> 节能塑钢推拉窗，内装隐形纱扇做法参</w:t>
      </w:r>
      <w:r>
        <w:rPr>
          <w:spacing w:val="-11"/>
        </w:rPr>
        <w:t xml:space="preserve">图集 </w:t>
      </w:r>
      <w:r>
        <w:t>14BJ13-5。新更换单元门为电控不锈钢防盗门，样式由业主自</w:t>
      </w:r>
      <w:r>
        <w:rPr>
          <w:spacing w:val="-3"/>
        </w:rPr>
        <w:t xml:space="preserve">行选定。外门窗气密性不低于 </w:t>
      </w:r>
      <w:r>
        <w:t>7</w:t>
      </w:r>
      <w:r>
        <w:rPr>
          <w:spacing w:val="-11"/>
        </w:rPr>
        <w:t xml:space="preserve"> 级，传热系数为 </w:t>
      </w:r>
      <w:r>
        <w:t>1.80(N/M2.K；抗风</w:t>
      </w:r>
      <w:r>
        <w:rPr>
          <w:spacing w:val="-11"/>
        </w:rPr>
        <w:t xml:space="preserve">压性能 </w:t>
      </w:r>
      <w:r>
        <w:t>5</w:t>
      </w:r>
      <w:r>
        <w:rPr>
          <w:spacing w:val="-11"/>
        </w:rPr>
        <w:t xml:space="preserve"> 级；水密性能不低于 </w:t>
      </w:r>
      <w:r>
        <w:t>3</w:t>
      </w:r>
      <w:r>
        <w:rPr>
          <w:spacing w:val="-13"/>
        </w:rPr>
        <w:t xml:space="preserve"> 级；隔声性能 </w:t>
      </w:r>
      <w:r>
        <w:t>3</w:t>
      </w:r>
      <w:r>
        <w:rPr>
          <w:spacing w:val="-15"/>
        </w:rPr>
        <w:t xml:space="preserve"> 级。</w:t>
      </w:r>
    </w:p>
    <w:p>
      <w:pPr>
        <w:pStyle w:val="BodyText"/>
        <w:spacing w:line="295" w:lineRule="auto"/>
        <w:ind w:left="256" w:right="249" w:firstLine="560"/>
        <w:jc w:val="both"/>
      </w:pPr>
      <w:r>
        <w:rPr>
          <w:spacing w:val="-8"/>
        </w:rPr>
        <w:t>所有外门窗立口应与原窗的内侧平齐，框料与墙体之间缝隙填堵</w:t>
      </w:r>
      <w:r>
        <w:rPr>
          <w:spacing w:val="-2"/>
        </w:rPr>
        <w:t>和密封材料做法参各楼外墙详图图纸，不得采用水泥砂浆填堵缝隙。</w:t>
      </w:r>
      <w:r>
        <w:rPr>
          <w:spacing w:val="-7"/>
        </w:rPr>
        <w:t>建筑玻璃及其安装材料的应用设计及安装，应符合国家及地方行业标</w:t>
      </w:r>
      <w:r>
        <w:rPr>
          <w:spacing w:val="-13"/>
        </w:rPr>
        <w:t>准《建筑玻璃应用技术规程》；立面形式详见门窗详图，门窗构造做</w:t>
      </w:r>
      <w:r>
        <w:rPr>
          <w:spacing w:val="-6"/>
        </w:rPr>
        <w:t xml:space="preserve">法及质量保证由厂家负责。单块大于 </w:t>
      </w:r>
      <w:r>
        <w:rPr>
          <w:spacing w:val="-4"/>
        </w:rPr>
        <w:t>1.5</w:t>
      </w:r>
      <w:r>
        <w:rPr>
          <w:spacing w:val="-9"/>
        </w:rPr>
        <w:t xml:space="preserve"> 平方米的玻璃和落地门、窗</w:t>
      </w:r>
      <w:r>
        <w:rPr>
          <w:spacing w:val="-2"/>
        </w:rPr>
        <w:t>均采用安全玻璃。除热工性能外，其它外门窗及幕墙设计参见图纸及</w:t>
      </w:r>
      <w:r>
        <w:rPr>
          <w:spacing w:val="-2"/>
        </w:rPr>
        <w:t>设计说明。</w:t>
      </w:r>
    </w:p>
    <w:p>
      <w:pPr>
        <w:pStyle w:val="BodyText"/>
        <w:spacing w:line="295" w:lineRule="auto"/>
        <w:ind w:left="256" w:right="335" w:firstLine="560"/>
        <w:jc w:val="both"/>
      </w:pPr>
      <w:r>
        <w:rPr>
          <w:spacing w:val="-4"/>
        </w:rPr>
        <w:t>增设内保温系统节能改造，非采暖公共区域（公共楼梯间）增设</w:t>
      </w:r>
      <w:r>
        <w:rPr>
          <w:spacing w:val="-6"/>
        </w:rPr>
        <w:t xml:space="preserve">内保温。做法：抹 </w:t>
      </w:r>
      <w:r>
        <w:rPr>
          <w:spacing w:val="-2"/>
        </w:rPr>
        <w:t>20</w:t>
      </w:r>
      <w:r>
        <w:rPr>
          <w:spacing w:val="-8"/>
        </w:rPr>
        <w:t xml:space="preserve"> 厚玻化微珠无机保温砂浆。原有做法剔除至结</w:t>
      </w:r>
      <w:r>
        <w:rPr>
          <w:spacing w:val="-4"/>
        </w:rPr>
        <w:t xml:space="preserve">构层，新增内保温做法参 </w:t>
      </w:r>
      <w:r>
        <w:t>12BJ1-1</w:t>
      </w:r>
      <w:r>
        <w:rPr>
          <w:spacing w:val="-27"/>
        </w:rPr>
        <w:t xml:space="preserve"> 总 </w:t>
      </w:r>
      <w:r>
        <w:t>9</w:t>
      </w:r>
      <w:r>
        <w:rPr>
          <w:spacing w:val="-14"/>
        </w:rPr>
        <w:t xml:space="preserve"> 页内墙温 </w:t>
      </w:r>
      <w:r>
        <w:t>4C。</w:t>
      </w:r>
    </w:p>
    <w:p>
      <w:pPr>
        <w:pStyle w:val="BodyText"/>
        <w:spacing w:line="355" w:lineRule="exact"/>
        <w:ind w:left="816"/>
      </w:pPr>
      <w:r>
        <w:t>5）</w:t>
      </w:r>
      <w:r>
        <w:rPr>
          <w:spacing w:val="-2"/>
        </w:rPr>
        <w:t>室内综合改造特点：</w:t>
      </w:r>
    </w:p>
    <w:p>
      <w:pPr>
        <w:pStyle w:val="BodyText"/>
        <w:spacing w:before="61"/>
        <w:ind w:left="816"/>
      </w:pPr>
      <w:r>
        <w:rPr>
          <w:spacing w:val="-1"/>
        </w:rPr>
        <w:t>①公用区域装修翻新改造：</w:t>
      </w:r>
    </w:p>
    <w:p>
      <w:pPr>
        <w:pStyle w:val="BodyText"/>
        <w:spacing w:before="81" w:line="295" w:lineRule="auto"/>
        <w:ind w:left="256" w:right="195" w:firstLine="560"/>
      </w:pPr>
      <w:r>
        <w:rPr>
          <w:spacing w:val="-2"/>
        </w:rPr>
        <w:t>公共区域地面,墙面,顶棚重新粉刷修复。地砖踢脚。白色耐擦洗</w:t>
      </w:r>
      <w:r>
        <w:rPr>
          <w:spacing w:val="-7"/>
        </w:rPr>
        <w:t xml:space="preserve">涂料墙面，做法参见 </w:t>
      </w:r>
      <w:r>
        <w:t>12BJ1-1(</w:t>
      </w:r>
      <w:r>
        <w:rPr>
          <w:spacing w:val="-33"/>
        </w:rPr>
        <w:t xml:space="preserve">踢 </w:t>
      </w:r>
      <w:r>
        <w:t>3C,</w:t>
      </w:r>
      <w:r>
        <w:rPr>
          <w:spacing w:val="-22"/>
        </w:rPr>
        <w:t xml:space="preserve">内墙 </w:t>
      </w:r>
      <w:r>
        <w:t>3C,</w:t>
      </w:r>
      <w:r>
        <w:rPr>
          <w:spacing w:val="-33"/>
        </w:rPr>
        <w:t xml:space="preserve">棚 </w:t>
      </w:r>
      <w:r>
        <w:t>2C)。地面清除残渣,</w:t>
      </w:r>
      <w:r>
        <w:rPr>
          <w:spacing w:val="23"/>
        </w:rPr>
        <w:t>找平后,涂抹混凝土， 致密剂， 详细参见渗透型液体硬化剂</w:t>
      </w:r>
      <w:r>
        <w:t xml:space="preserve"> </w:t>
      </w:r>
      <w:r>
        <w:rPr>
          <w:spacing w:val="-2"/>
        </w:rPr>
        <w:t>JC/T2158-2012(行业标准</w:t>
      </w:r>
      <w:r>
        <w:rPr>
          <w:spacing w:val="-138"/>
        </w:rPr>
        <w:t>）</w:t>
      </w:r>
      <w:r>
        <w:rPr>
          <w:spacing w:val="-2"/>
        </w:rPr>
        <w:t>；由于在楼梯那，内部公共空间，大量使</w:t>
      </w:r>
      <w:r>
        <w:rPr>
          <w:spacing w:val="-2"/>
        </w:rPr>
        <w:t>用混凝土致密剂，为方便施工，且不影响居民正常生活，该产品的物</w:t>
      </w:r>
      <w:r>
        <w:rPr>
          <w:spacing w:val="-2"/>
        </w:rPr>
        <w:t>理特性，进行相关控制。一，24</w:t>
      </w:r>
      <w:r>
        <w:rPr>
          <w:spacing w:val="-10"/>
        </w:rPr>
        <w:t xml:space="preserve"> 小时，表面吸水量小于一毫米，二，</w:t>
      </w:r>
      <w:r>
        <w:rPr>
          <w:spacing w:val="-5"/>
        </w:rPr>
        <w:t xml:space="preserve">耐磨度比大于等于 </w:t>
      </w:r>
      <w:r>
        <w:t>350%模式强度大于等于七。</w:t>
      </w:r>
    </w:p>
    <w:p>
      <w:pPr>
        <w:pStyle w:val="BodyText"/>
        <w:spacing w:line="295" w:lineRule="auto"/>
        <w:ind w:left="256" w:right="335" w:firstLine="560"/>
      </w:pPr>
      <w:r>
        <w:rPr>
          <w:spacing w:val="-4"/>
        </w:rPr>
        <w:t>②楼梯间翻新改造，现场调研发现，部分楼梯，的损坏脱落，存</w:t>
      </w:r>
      <w:r>
        <w:rPr>
          <w:spacing w:val="-5"/>
        </w:rPr>
        <w:t>在着一定的安全隐患，本次改造将，住宅楼内，楼梯踏步，即与楼体</w:t>
      </w:r>
    </w:p>
    <w:p>
      <w:pPr>
        <w:spacing w:after="0" w:line="295" w:lineRule="auto"/>
        <w:sectPr>
          <w:pgSz w:w="11910" w:h="16160"/>
          <w:pgMar w:top="1480" w:right="1460" w:bottom="280" w:left="1540" w:header="708" w:footer="708"/>
          <w:pgNumType w:start="9"/>
          <w:cols w:space="708"/>
        </w:sectPr>
      </w:pPr>
    </w:p>
    <w:p>
      <w:pPr>
        <w:pStyle w:val="BodyText"/>
        <w:spacing w:before="32" w:line="295" w:lineRule="auto"/>
        <w:ind w:left="256" w:right="335"/>
        <w:jc w:val="both"/>
      </w:pPr>
      <w:r>
        <w:rPr>
          <w:spacing w:val="-4"/>
        </w:rPr>
        <w:t>相连通的走廊，打磨平后，涂抹混凝土，治密集，栏杆扶手部分，炼</w:t>
      </w:r>
      <w:r>
        <w:rPr>
          <w:spacing w:val="-4"/>
        </w:rPr>
        <w:t>成脱落，有安全隐患，扶手全部更换为复合素树脂扶手。立杆儿锈蚀</w:t>
      </w:r>
      <w:r>
        <w:rPr>
          <w:spacing w:val="-7"/>
        </w:rPr>
        <w:t xml:space="preserve">部分。刷漆处理。做法详见零八 </w:t>
      </w:r>
      <w:r>
        <w:rPr>
          <w:spacing w:val="-6"/>
        </w:rPr>
        <w:t>08BJ1-1</w:t>
      </w:r>
      <w:r>
        <w:rPr>
          <w:spacing w:val="-12"/>
        </w:rPr>
        <w:t xml:space="preserve"> 图集钢涂 </w:t>
      </w:r>
      <w:r>
        <w:rPr>
          <w:spacing w:val="-6"/>
        </w:rPr>
        <w:t>2-1。楼梯踏步踢</w:t>
      </w:r>
      <w:r>
        <w:rPr>
          <w:spacing w:val="-11"/>
        </w:rPr>
        <w:t xml:space="preserve">脚 </w:t>
      </w:r>
      <w:r>
        <w:t>100</w:t>
      </w:r>
      <w:r>
        <w:rPr>
          <w:spacing w:val="-5"/>
        </w:rPr>
        <w:t xml:space="preserve"> 高。图集：</w:t>
      </w:r>
    </w:p>
    <w:p>
      <w:pPr>
        <w:pStyle w:val="BodyText"/>
        <w:spacing w:line="295" w:lineRule="auto"/>
        <w:ind w:left="256" w:right="195" w:firstLine="560"/>
        <w:jc w:val="both"/>
      </w:pPr>
      <w:r>
        <w:rPr>
          <w:spacing w:val="-2"/>
        </w:rPr>
        <w:t>③室外空调机架，统一部置：空调外机,严重影响外立面效果,本</w:t>
      </w:r>
      <w:r>
        <w:rPr>
          <w:spacing w:val="-2"/>
        </w:rPr>
        <w:t>次改造,统一设置室外空调机护栏。达到立面整齐，画一的效果，空</w:t>
      </w:r>
      <w:r>
        <w:rPr>
          <w:spacing w:val="-2"/>
        </w:rPr>
        <w:t>调冷凝水，排水管。空调支架选用成品支架强度均需满足国家有关规</w:t>
      </w:r>
      <w:r>
        <w:rPr>
          <w:spacing w:val="-2"/>
        </w:rPr>
        <w:t>范要求，外加不锈钢防护围栏材料不锈钢穿孔板，具体实施方法，参</w:t>
      </w:r>
      <w:r>
        <w:rPr>
          <w:spacing w:val="-12"/>
        </w:rPr>
        <w:t>见建筑图纸。空调支架与墙体的锚固力,其承载能力,经结构专业计算</w:t>
      </w:r>
      <w:r>
        <w:rPr>
          <w:spacing w:val="-4"/>
        </w:rPr>
        <w:t xml:space="preserve">核实,不能低于空调器机,自重的 </w:t>
      </w:r>
      <w:r>
        <w:rPr>
          <w:spacing w:val="-2"/>
        </w:rPr>
        <w:t>4</w:t>
      </w:r>
      <w:r>
        <w:rPr>
          <w:spacing w:val="-8"/>
        </w:rPr>
        <w:t xml:space="preserve"> 倍。使用寿命，不低于空调，本身</w:t>
      </w:r>
      <w:r>
        <w:rPr>
          <w:spacing w:val="-2"/>
        </w:rPr>
        <w:t>的使用寿命支架表面外涂防锈漆。变电器维护，防止锈蚀，保证空调</w:t>
      </w:r>
      <w:r>
        <w:rPr>
          <w:spacing w:val="-2"/>
        </w:rPr>
        <w:t>支架施工完毕，方可进行外墙。保温部分施工。空调支架一保温材料</w:t>
      </w:r>
      <w:r>
        <w:rPr>
          <w:spacing w:val="-2"/>
        </w:rPr>
        <w:t>接触部位，采用，切密封膏，防水和耐候性措施。设置空调室外机冷</w:t>
      </w:r>
      <w:r>
        <w:rPr>
          <w:spacing w:val="-11"/>
        </w:rPr>
        <w:t xml:space="preserve">凝水管立管为 </w:t>
      </w:r>
      <w:r>
        <w:t>upvcde50</w:t>
      </w:r>
      <w:r>
        <w:rPr>
          <w:spacing w:val="-33"/>
        </w:rPr>
        <w:t xml:space="preserve"> 管 支管为 </w:t>
      </w:r>
      <w:r>
        <w:t>De32</w:t>
      </w:r>
      <w:r>
        <w:rPr>
          <w:spacing w:val="-10"/>
        </w:rPr>
        <w:t xml:space="preserve"> 安装详见设备安装通用图集。</w:t>
      </w:r>
    </w:p>
    <w:p>
      <w:pPr>
        <w:pStyle w:val="BodyText"/>
        <w:spacing w:line="295" w:lineRule="auto"/>
        <w:ind w:left="256" w:right="195" w:firstLine="560"/>
      </w:pPr>
      <w:r>
        <w:rPr>
          <w:spacing w:val="-16"/>
        </w:rPr>
        <w:t>④外窗护栏更新更换。为了加强防盗措施，参考，住宅设计规范，</w:t>
      </w:r>
      <w:r>
        <w:t xml:space="preserve"> 583</w:t>
      </w:r>
      <w:r>
        <w:rPr>
          <w:spacing w:val="-17"/>
        </w:rPr>
        <w:t xml:space="preserve"> 条要求。本次改造统一更新更换，住宅楼，守城和打位置防护窗。</w:t>
      </w:r>
      <w:r>
        <w:t>外墙保温施工过程中遇到现状，外窗护栏而妨碍施工的情况。嘻嘻，</w:t>
      </w:r>
      <w:r>
        <w:rPr>
          <w:spacing w:val="-9"/>
        </w:rPr>
        <w:t>业主协商，如需拆除，在二次安装，保证护栏有关部分。施工完毕后</w:t>
      </w:r>
      <w:r>
        <w:rPr>
          <w:spacing w:val="5"/>
        </w:rPr>
        <w:t>在进行外墙保温施工保证保温材料满铺外墙保温材料接触部位需采取全密封的防水和耐候性措施改造原则为所有守城护拦儿拆除并更换更新楼层拆除现有护栏待完成外墙保温改造后原样恢复回复工程</w:t>
      </w:r>
      <w:r>
        <w:t>用考虑,新帖,保温板,后墙体变厚。拆除恢复量，根据现场调研，确</w:t>
      </w:r>
      <w:r>
        <w:rPr>
          <w:spacing w:val="-17"/>
        </w:rPr>
        <w:t>定，由于现状护栏儿大小不一。护栏展开面积，按照外创创口面积的，</w:t>
      </w:r>
    </w:p>
    <w:p>
      <w:pPr>
        <w:pStyle w:val="BodyText"/>
        <w:spacing w:line="347" w:lineRule="exact"/>
        <w:ind w:left="256"/>
      </w:pPr>
      <w:r>
        <w:t>1.5</w:t>
      </w:r>
      <w:r>
        <w:rPr>
          <w:spacing w:val="-17"/>
        </w:rPr>
        <w:t xml:space="preserve"> 倍计算。</w:t>
      </w:r>
    </w:p>
    <w:p>
      <w:pPr>
        <w:pStyle w:val="BodyText"/>
        <w:spacing w:before="63" w:line="295" w:lineRule="auto"/>
        <w:ind w:left="256" w:right="249" w:firstLine="560"/>
      </w:pPr>
      <w:r>
        <w:rPr>
          <w:spacing w:val="-7"/>
        </w:rPr>
        <w:t xml:space="preserve">⑤原有雨水管拆除，新做 </w:t>
      </w:r>
      <w:r>
        <w:rPr>
          <w:spacing w:val="-2"/>
        </w:rPr>
        <w:t>UPVC</w:t>
      </w:r>
      <w:r>
        <w:rPr>
          <w:spacing w:val="-10"/>
        </w:rPr>
        <w:t xml:space="preserve"> 雨水管。随路面翻新,新做散水。</w:t>
      </w:r>
      <w:r>
        <w:t>做法参见。12BJ1-1</w:t>
      </w:r>
      <w:r>
        <w:rPr>
          <w:spacing w:val="-15"/>
        </w:rPr>
        <w:t xml:space="preserve"> 散 </w:t>
      </w:r>
      <w:r>
        <w:t>1。</w:t>
      </w:r>
    </w:p>
    <w:p>
      <w:pPr>
        <w:pStyle w:val="BodyText"/>
        <w:spacing w:line="295" w:lineRule="auto"/>
        <w:ind w:left="256" w:right="335" w:firstLine="560"/>
      </w:pPr>
      <w:r>
        <w:rPr>
          <w:spacing w:val="-4"/>
        </w:rPr>
        <w:t>⑥阳台栏板加固，栏板双侧钢筋网片加固，底部与结构加固圈量</w:t>
      </w:r>
      <w:r>
        <w:rPr>
          <w:spacing w:val="-4"/>
        </w:rPr>
        <w:t>固定。</w:t>
      </w:r>
    </w:p>
    <w:p>
      <w:pPr>
        <w:pStyle w:val="BodyText"/>
        <w:spacing w:line="295" w:lineRule="auto"/>
        <w:ind w:left="256" w:right="335" w:firstLine="560"/>
      </w:pPr>
      <w:r>
        <w:rPr>
          <w:spacing w:val="-2"/>
        </w:rPr>
        <w:t>⑦卫生间，厨房恢复工程，在住户允许的情况下,对更换给排水</w:t>
      </w:r>
      <w:r>
        <w:rPr>
          <w:spacing w:val="-1"/>
        </w:rPr>
        <w:t>管线过程中所造成的卫生间厨房等房间的顶棚墙体及地面等部位的</w:t>
      </w:r>
    </w:p>
    <w:p>
      <w:pPr>
        <w:spacing w:after="0" w:line="295" w:lineRule="auto"/>
        <w:sectPr>
          <w:pgSz w:w="11910" w:h="16160"/>
          <w:pgMar w:top="1480" w:right="1460" w:bottom="280" w:left="1540" w:header="708" w:footer="708"/>
          <w:pgNumType w:start="10"/>
          <w:cols w:space="708"/>
        </w:sectPr>
      </w:pPr>
    </w:p>
    <w:p>
      <w:pPr>
        <w:pStyle w:val="BodyText"/>
        <w:spacing w:before="32" w:line="295" w:lineRule="auto"/>
        <w:ind w:left="256" w:right="195"/>
      </w:pPr>
      <w:r>
        <w:rPr>
          <w:spacing w:val="-2"/>
        </w:rPr>
        <w:t>破损进行修复，原则按照原样和近视原样回复。厨房卫生间，地面修</w:t>
      </w:r>
      <w:r>
        <w:rPr>
          <w:spacing w:val="-1"/>
        </w:rPr>
        <w:t xml:space="preserve">复采用地砖楼面，做法 </w:t>
      </w:r>
      <w:r>
        <w:t>12BJ1-1</w:t>
      </w:r>
      <w:r>
        <w:rPr>
          <w:spacing w:val="-6"/>
        </w:rPr>
        <w:t xml:space="preserve"> 楼 </w:t>
      </w:r>
      <w:r>
        <w:t>12F-1,档次为国产中高档品牌。</w:t>
      </w:r>
      <w:r>
        <w:rPr>
          <w:spacing w:val="-1"/>
        </w:rPr>
        <w:t xml:space="preserve">对破损的吊顶翻新处理。做法参见 </w:t>
      </w:r>
      <w:r>
        <w:t>12BJ1-1</w:t>
      </w:r>
      <w:r>
        <w:rPr>
          <w:spacing w:val="-6"/>
        </w:rPr>
        <w:t xml:space="preserve"> 棚 </w:t>
      </w:r>
      <w:r>
        <w:t>8A，档次为国产中高</w:t>
      </w:r>
      <w:r>
        <w:rPr>
          <w:spacing w:val="-5"/>
        </w:rPr>
        <w:t xml:space="preserve">档品牌。墙体修复采用薄型面砖墙面，做法参 </w:t>
      </w:r>
      <w:r>
        <w:rPr>
          <w:spacing w:val="-2"/>
        </w:rPr>
        <w:t>12BJ1-1</w:t>
      </w:r>
      <w:r>
        <w:rPr>
          <w:spacing w:val="-34"/>
        </w:rPr>
        <w:t xml:space="preserve"> 内墙 </w:t>
      </w:r>
      <w:r>
        <w:rPr>
          <w:spacing w:val="-2"/>
        </w:rPr>
        <w:t>10A-F1，</w:t>
      </w:r>
      <w:r>
        <w:rPr>
          <w:spacing w:val="-2"/>
        </w:rPr>
        <w:t>档次为国产中高档品牌。此外应考虑由于装修改造及墙、顶、地修复</w:t>
      </w:r>
      <w:r>
        <w:rPr>
          <w:spacing w:val="-6"/>
        </w:rPr>
        <w:t>过程中带来的洁具拆除及损坏等不可预见的费用补偿。最终恢复方式</w:t>
      </w:r>
      <w:r>
        <w:rPr>
          <w:spacing w:val="-2"/>
        </w:rPr>
        <w:t>应由业主方、设计方、施工方结合现场情况共同商定。</w:t>
      </w:r>
    </w:p>
    <w:p>
      <w:pPr>
        <w:pStyle w:val="BodyText"/>
        <w:spacing w:before="7"/>
        <w:rPr>
          <w:sz w:val="37"/>
        </w:rPr>
      </w:pPr>
    </w:p>
    <w:p>
      <w:pPr>
        <w:pStyle w:val="Heading2"/>
        <w:spacing w:before="1"/>
        <w:ind w:left="256"/>
      </w:pPr>
      <w:bookmarkStart w:id="1" w:name="_TOC_250034"/>
      <w:r>
        <w:rPr>
          <w:rFonts w:ascii="Calibri Light" w:eastAsia="Calibri Light"/>
        </w:rPr>
        <w:t>2</w:t>
      </w:r>
      <w:bookmarkEnd w:id="1"/>
      <w:r>
        <w:rPr>
          <w:spacing w:val="-1"/>
        </w:rPr>
        <w:t>、辅助用房综合整治工程特点</w:t>
      </w:r>
    </w:p>
    <w:p>
      <w:pPr>
        <w:pStyle w:val="BodyText"/>
        <w:spacing w:before="13"/>
        <w:rPr>
          <w:rFonts w:ascii="Microsoft JhengHei"/>
          <w:b/>
          <w:sz w:val="32"/>
        </w:rPr>
      </w:pPr>
    </w:p>
    <w:p>
      <w:pPr>
        <w:pStyle w:val="ListParagraph"/>
        <w:numPr>
          <w:ilvl w:val="0"/>
          <w:numId w:val="38"/>
        </w:numPr>
        <w:tabs>
          <w:tab w:val="left" w:pos="1377"/>
        </w:tabs>
        <w:spacing w:before="0" w:after="0" w:line="295" w:lineRule="auto"/>
        <w:ind w:left="256" w:right="249" w:firstLine="560"/>
        <w:jc w:val="both"/>
        <w:rPr>
          <w:sz w:val="28"/>
        </w:rPr>
      </w:pPr>
      <w:r>
        <w:rPr>
          <w:spacing w:val="-2"/>
          <w:sz w:val="28"/>
        </w:rPr>
        <w:t>辅助用房节能改造：外墙及外门窗节能改造与多层住宅楼处</w:t>
      </w:r>
      <w:r>
        <w:rPr>
          <w:spacing w:val="-8"/>
          <w:sz w:val="28"/>
        </w:rPr>
        <w:t>理方法相同（</w:t>
      </w:r>
      <w:r>
        <w:rPr>
          <w:spacing w:val="-10"/>
          <w:sz w:val="28"/>
        </w:rPr>
        <w:t xml:space="preserve">保温板厚度为 </w:t>
      </w:r>
      <w:r>
        <w:rPr>
          <w:spacing w:val="15"/>
          <w:sz w:val="28"/>
        </w:rPr>
        <w:t>100mm</w:t>
      </w:r>
      <w:r>
        <w:rPr>
          <w:spacing w:val="-125"/>
          <w:sz w:val="28"/>
        </w:rPr>
        <w:t>）</w:t>
      </w:r>
      <w:r>
        <w:rPr>
          <w:spacing w:val="-8"/>
          <w:sz w:val="28"/>
        </w:rPr>
        <w:t>。屋面节能（</w:t>
      </w:r>
      <w:r>
        <w:rPr>
          <w:spacing w:val="-10"/>
          <w:sz w:val="28"/>
        </w:rPr>
        <w:t xml:space="preserve">保温板厚度 </w:t>
      </w:r>
      <w:r>
        <w:rPr>
          <w:spacing w:val="-8"/>
          <w:sz w:val="28"/>
        </w:rPr>
        <w:t>150mm）</w:t>
      </w:r>
      <w:r>
        <w:rPr>
          <w:spacing w:val="-2"/>
          <w:sz w:val="28"/>
        </w:rPr>
        <w:t>改造，本次改造剔除原有屋面做法至结构层，新作彩色水泥瓦（含保</w:t>
      </w:r>
      <w:r>
        <w:rPr>
          <w:sz w:val="28"/>
        </w:rPr>
        <w:t>温防水）</w:t>
      </w:r>
      <w:r>
        <w:rPr>
          <w:spacing w:val="-5"/>
          <w:sz w:val="28"/>
        </w:rPr>
        <w:t xml:space="preserve">做法参 </w:t>
      </w:r>
      <w:r>
        <w:rPr>
          <w:sz w:val="28"/>
        </w:rPr>
        <w:t>12BJ1-1</w:t>
      </w:r>
      <w:r>
        <w:rPr>
          <w:spacing w:val="-9"/>
          <w:sz w:val="28"/>
        </w:rPr>
        <w:t xml:space="preserve"> 坡屋 </w:t>
      </w:r>
      <w:r>
        <w:rPr>
          <w:sz w:val="28"/>
        </w:rPr>
        <w:t>1-B1。</w:t>
      </w:r>
    </w:p>
    <w:p>
      <w:pPr>
        <w:pStyle w:val="ListParagraph"/>
        <w:numPr>
          <w:ilvl w:val="0"/>
          <w:numId w:val="38"/>
        </w:numPr>
        <w:tabs>
          <w:tab w:val="left" w:pos="1239"/>
        </w:tabs>
        <w:spacing w:before="0" w:after="0" w:line="295" w:lineRule="auto"/>
        <w:ind w:left="256" w:right="335" w:firstLine="560"/>
        <w:jc w:val="both"/>
        <w:rPr>
          <w:sz w:val="28"/>
        </w:rPr>
      </w:pPr>
      <w:r>
        <w:rPr>
          <w:spacing w:val="-2"/>
          <w:sz w:val="28"/>
        </w:rPr>
        <w:t>辅助用房单体综合改造，办公楼公共区域。楼梯间翻新做法</w:t>
      </w:r>
      <w:r>
        <w:rPr>
          <w:spacing w:val="-4"/>
          <w:sz w:val="28"/>
        </w:rPr>
        <w:t>及散水与多层住宅楼处理方法相同。由于室外空调机位交少，本次不</w:t>
      </w:r>
      <w:r>
        <w:rPr>
          <w:spacing w:val="-4"/>
          <w:sz w:val="28"/>
        </w:rPr>
        <w:t>考虑，对办公楼室外空调机架统一布置。但应考虑，粘贴保温板后原</w:t>
      </w:r>
      <w:r>
        <w:rPr>
          <w:spacing w:val="-6"/>
          <w:sz w:val="28"/>
        </w:rPr>
        <w:t>有空调支架锚固深度变化的情况适当考虑部分新做指支架。为安全考</w:t>
      </w:r>
      <w:r>
        <w:rPr>
          <w:spacing w:val="-11"/>
          <w:sz w:val="28"/>
        </w:rPr>
        <w:t>虑，统一更换办公楼首层外窗护栏，</w:t>
      </w:r>
      <w:r>
        <w:rPr>
          <w:sz w:val="28"/>
        </w:rPr>
        <w:t>（</w:t>
      </w:r>
      <w:r>
        <w:rPr>
          <w:spacing w:val="-2"/>
          <w:sz w:val="28"/>
        </w:rPr>
        <w:t>高窗除外</w:t>
      </w:r>
      <w:r>
        <w:rPr>
          <w:spacing w:val="-140"/>
          <w:sz w:val="28"/>
        </w:rPr>
        <w:t>）</w:t>
      </w:r>
      <w:r>
        <w:rPr>
          <w:spacing w:val="-2"/>
          <w:sz w:val="28"/>
        </w:rPr>
        <w:t>。</w:t>
      </w:r>
    </w:p>
    <w:p>
      <w:pPr>
        <w:pStyle w:val="BodyText"/>
        <w:spacing w:before="5"/>
        <w:rPr>
          <w:sz w:val="37"/>
        </w:rPr>
      </w:pPr>
    </w:p>
    <w:p>
      <w:pPr>
        <w:pStyle w:val="Heading2"/>
        <w:ind w:left="256"/>
      </w:pPr>
      <w:bookmarkStart w:id="2" w:name="_TOC_250033"/>
      <w:r>
        <w:rPr>
          <w:rFonts w:ascii="Calibri Light" w:eastAsia="Calibri Light"/>
        </w:rPr>
        <w:t>3</w:t>
      </w:r>
      <w:bookmarkEnd w:id="2"/>
      <w:r>
        <w:rPr>
          <w:spacing w:val="-1"/>
        </w:rPr>
        <w:t>、调压站综合整治工程特点</w:t>
      </w:r>
    </w:p>
    <w:p>
      <w:pPr>
        <w:pStyle w:val="BodyText"/>
        <w:spacing w:before="13"/>
        <w:rPr>
          <w:rFonts w:ascii="Microsoft JhengHei"/>
          <w:b/>
          <w:sz w:val="32"/>
        </w:rPr>
      </w:pPr>
    </w:p>
    <w:p>
      <w:pPr>
        <w:pStyle w:val="ListParagraph"/>
        <w:numPr>
          <w:ilvl w:val="0"/>
          <w:numId w:val="31"/>
        </w:numPr>
        <w:tabs>
          <w:tab w:val="left" w:pos="1238"/>
        </w:tabs>
        <w:spacing w:before="1" w:after="0" w:line="240" w:lineRule="auto"/>
        <w:ind w:left="1238" w:right="0" w:hanging="422"/>
        <w:jc w:val="left"/>
        <w:rPr>
          <w:sz w:val="28"/>
        </w:rPr>
      </w:pPr>
      <w:r>
        <w:rPr>
          <w:spacing w:val="-8"/>
          <w:sz w:val="28"/>
        </w:rPr>
        <w:t xml:space="preserve">外墙处理方式与多层住宅方法相同，屋面保温做法参 </w:t>
      </w:r>
      <w:r>
        <w:rPr>
          <w:sz w:val="28"/>
        </w:rPr>
        <w:t>12BJ1-</w:t>
      </w:r>
      <w:r>
        <w:rPr>
          <w:spacing w:val="-10"/>
          <w:sz w:val="28"/>
        </w:rPr>
        <w:t>1</w:t>
      </w:r>
    </w:p>
    <w:p>
      <w:pPr>
        <w:pStyle w:val="BodyText"/>
        <w:spacing w:before="81"/>
        <w:ind w:left="256"/>
      </w:pPr>
      <w:r>
        <w:rPr>
          <w:spacing w:val="-24"/>
        </w:rPr>
        <w:t xml:space="preserve">平屋 </w:t>
      </w:r>
      <w:r>
        <w:t>ZZ-</w:t>
      </w:r>
      <w:r>
        <w:rPr>
          <w:spacing w:val="-10"/>
        </w:rPr>
        <w:t>7</w:t>
      </w:r>
    </w:p>
    <w:p>
      <w:pPr>
        <w:pStyle w:val="ListParagraph"/>
        <w:numPr>
          <w:ilvl w:val="0"/>
          <w:numId w:val="31"/>
        </w:numPr>
        <w:tabs>
          <w:tab w:val="left" w:pos="1239"/>
        </w:tabs>
        <w:spacing w:before="81" w:after="0" w:line="295" w:lineRule="auto"/>
        <w:ind w:left="256" w:right="195" w:firstLine="560"/>
        <w:jc w:val="left"/>
        <w:rPr>
          <w:sz w:val="28"/>
        </w:rPr>
      </w:pPr>
      <w:r>
        <w:rPr>
          <w:spacing w:val="-2"/>
          <w:sz w:val="28"/>
        </w:rPr>
        <w:t>单体综合改造，调压站室内墙面，顶棚，重新粉刷修复，水</w:t>
      </w:r>
      <w:r>
        <w:rPr>
          <w:spacing w:val="-2"/>
          <w:sz w:val="28"/>
        </w:rPr>
        <w:t>泥搅，白色耐擦洗涂料墙面，顶棚做法。参见图集。现状，破水泥地</w:t>
      </w:r>
      <w:r>
        <w:rPr>
          <w:spacing w:val="-19"/>
          <w:sz w:val="28"/>
        </w:rPr>
        <w:t>面修复，做法呈现突击安全考虑，本次统一更换办公楼首层外窗护栏，</w:t>
      </w:r>
      <w:r>
        <w:rPr>
          <w:spacing w:val="-2"/>
          <w:sz w:val="28"/>
        </w:rPr>
        <w:t xml:space="preserve">另外出现状与水管，新做 </w:t>
      </w:r>
      <w:r>
        <w:rPr>
          <w:sz w:val="28"/>
        </w:rPr>
        <w:t>upvc</w:t>
      </w:r>
      <w:r>
        <w:rPr>
          <w:spacing w:val="-8"/>
          <w:sz w:val="28"/>
        </w:rPr>
        <w:t xml:space="preserve"> 管。</w:t>
      </w:r>
    </w:p>
    <w:p>
      <w:pPr>
        <w:spacing w:after="0" w:line="295" w:lineRule="auto"/>
        <w:jc w:val="left"/>
        <w:rPr>
          <w:sz w:val="28"/>
        </w:rPr>
        <w:sectPr>
          <w:pgSz w:w="11910" w:h="16160"/>
          <w:pgMar w:top="1480" w:right="1460" w:bottom="280" w:left="1540" w:header="708" w:footer="708"/>
          <w:pgNumType w:start="11"/>
          <w:cols w:space="708"/>
        </w:sectPr>
      </w:pPr>
    </w:p>
    <w:p>
      <w:pPr>
        <w:pStyle w:val="Heading2"/>
        <w:spacing w:line="491" w:lineRule="exact"/>
        <w:ind w:left="256"/>
      </w:pPr>
      <w:bookmarkStart w:id="3" w:name="_TOC_250032"/>
      <w:r>
        <w:rPr>
          <w:rFonts w:ascii="Calibri Light" w:eastAsia="Calibri Light"/>
        </w:rPr>
        <w:t>4</w:t>
      </w:r>
      <w:bookmarkEnd w:id="3"/>
      <w:r>
        <w:rPr>
          <w:spacing w:val="-1"/>
        </w:rPr>
        <w:t>、管理室综合整治工程特点</w:t>
      </w:r>
    </w:p>
    <w:p>
      <w:pPr>
        <w:pStyle w:val="BodyText"/>
        <w:spacing w:before="13"/>
        <w:rPr>
          <w:rFonts w:ascii="Microsoft JhengHei"/>
          <w:b/>
          <w:sz w:val="32"/>
        </w:rPr>
      </w:pPr>
    </w:p>
    <w:p>
      <w:pPr>
        <w:pStyle w:val="ListParagraph"/>
        <w:numPr>
          <w:ilvl w:val="0"/>
          <w:numId w:val="39"/>
        </w:numPr>
        <w:tabs>
          <w:tab w:val="left" w:pos="1238"/>
        </w:tabs>
        <w:spacing w:before="0" w:after="0" w:line="240" w:lineRule="auto"/>
        <w:ind w:left="1238" w:right="0" w:hanging="422"/>
        <w:jc w:val="left"/>
        <w:rPr>
          <w:sz w:val="28"/>
        </w:rPr>
      </w:pPr>
      <w:r>
        <w:rPr>
          <w:spacing w:val="-8"/>
          <w:sz w:val="28"/>
        </w:rPr>
        <w:t xml:space="preserve">外墙处理方式与多层住宅方法相同，屋面保温做法参 </w:t>
      </w:r>
      <w:r>
        <w:rPr>
          <w:sz w:val="28"/>
        </w:rPr>
        <w:t>12BJ1-</w:t>
      </w:r>
      <w:r>
        <w:rPr>
          <w:spacing w:val="-10"/>
          <w:sz w:val="28"/>
        </w:rPr>
        <w:t>1</w:t>
      </w:r>
    </w:p>
    <w:p>
      <w:pPr>
        <w:pStyle w:val="BodyText"/>
        <w:spacing w:before="81"/>
        <w:ind w:left="256"/>
      </w:pPr>
      <w:r>
        <w:rPr>
          <w:spacing w:val="-24"/>
        </w:rPr>
        <w:t xml:space="preserve">平屋 </w:t>
      </w:r>
      <w:r>
        <w:t>ZZ-</w:t>
      </w:r>
      <w:r>
        <w:rPr>
          <w:spacing w:val="-10"/>
        </w:rPr>
        <w:t>7</w:t>
      </w:r>
    </w:p>
    <w:p>
      <w:pPr>
        <w:pStyle w:val="BodyText"/>
        <w:spacing w:before="9"/>
        <w:rPr>
          <w:sz w:val="40"/>
        </w:rPr>
      </w:pPr>
    </w:p>
    <w:p>
      <w:pPr>
        <w:pStyle w:val="ListParagraph"/>
        <w:numPr>
          <w:ilvl w:val="0"/>
          <w:numId w:val="39"/>
        </w:numPr>
        <w:tabs>
          <w:tab w:val="left" w:pos="1240"/>
        </w:tabs>
        <w:spacing w:before="0" w:after="0" w:line="295" w:lineRule="auto"/>
        <w:ind w:left="256" w:right="335" w:firstLine="560"/>
        <w:jc w:val="left"/>
        <w:rPr>
          <w:sz w:val="28"/>
        </w:rPr>
      </w:pPr>
      <w:r>
        <w:rPr>
          <w:spacing w:val="-2"/>
          <w:sz w:val="28"/>
        </w:rPr>
        <w:t>管理室,单体综合改造,管理室内墙面重新粉刷修复,水饺,白</w:t>
      </w:r>
      <w:r>
        <w:rPr>
          <w:spacing w:val="-2"/>
          <w:sz w:val="28"/>
        </w:rPr>
        <w:t>色耐擦洗,涂料墙面,做法城建图集。</w:t>
      </w:r>
    </w:p>
    <w:p>
      <w:pPr>
        <w:pStyle w:val="Heading2"/>
        <w:spacing w:before="48"/>
        <w:ind w:left="256"/>
      </w:pPr>
      <w:bookmarkStart w:id="4" w:name="_TOC_250031"/>
      <w:r>
        <w:rPr>
          <w:rFonts w:ascii="Calibri Light" w:eastAsia="Calibri Light"/>
        </w:rPr>
        <w:t>5</w:t>
      </w:r>
      <w:bookmarkEnd w:id="4"/>
      <w:r>
        <w:rPr>
          <w:spacing w:val="-2"/>
        </w:rPr>
        <w:t>、环境治理</w:t>
      </w:r>
    </w:p>
    <w:p>
      <w:pPr>
        <w:pStyle w:val="BodyText"/>
        <w:spacing w:before="13"/>
        <w:rPr>
          <w:rFonts w:ascii="Microsoft JhengHei"/>
          <w:b/>
          <w:sz w:val="32"/>
        </w:rPr>
      </w:pPr>
    </w:p>
    <w:p>
      <w:pPr>
        <w:pStyle w:val="ListParagraph"/>
        <w:numPr>
          <w:ilvl w:val="0"/>
          <w:numId w:val="29"/>
        </w:numPr>
        <w:tabs>
          <w:tab w:val="left" w:pos="1239"/>
        </w:tabs>
        <w:spacing w:before="1" w:after="0" w:line="295" w:lineRule="auto"/>
        <w:ind w:left="256" w:right="335" w:firstLine="560"/>
        <w:jc w:val="both"/>
        <w:rPr>
          <w:sz w:val="28"/>
        </w:rPr>
      </w:pPr>
      <w:r>
        <w:rPr>
          <w:spacing w:val="-2"/>
          <w:sz w:val="28"/>
        </w:rPr>
        <w:t>小区路面翻新，小区院内水泥方砖路面破损，部分室外地下</w:t>
      </w:r>
      <w:r>
        <w:rPr>
          <w:spacing w:val="-4"/>
          <w:sz w:val="28"/>
        </w:rPr>
        <w:t>管线老化需要更换，造成的现状路面破损，根据国家相关规定，小区</w:t>
      </w:r>
      <w:r>
        <w:rPr>
          <w:spacing w:val="-4"/>
          <w:sz w:val="28"/>
        </w:rPr>
        <w:t>路面，一采用透水材料铺装，故本次改造将原有现状路地面全部更换</w:t>
      </w:r>
      <w:r>
        <w:rPr>
          <w:spacing w:val="-6"/>
          <w:sz w:val="28"/>
        </w:rPr>
        <w:t>为，</w:t>
      </w:r>
    </w:p>
    <w:p>
      <w:pPr>
        <w:pStyle w:val="ListParagraph"/>
        <w:numPr>
          <w:ilvl w:val="0"/>
          <w:numId w:val="29"/>
        </w:numPr>
        <w:tabs>
          <w:tab w:val="left" w:pos="1239"/>
        </w:tabs>
        <w:spacing w:before="0" w:after="0" w:line="295" w:lineRule="auto"/>
        <w:ind w:left="256" w:right="335" w:firstLine="560"/>
        <w:jc w:val="both"/>
        <w:rPr>
          <w:sz w:val="28"/>
        </w:rPr>
      </w:pPr>
      <w:r>
        <w:rPr>
          <w:spacing w:val="-2"/>
          <w:sz w:val="28"/>
        </w:rPr>
        <w:t>自行车棚，对现状，自行车棚进行翻新。做法参见，北京市</w:t>
      </w:r>
      <w:r>
        <w:rPr>
          <w:sz w:val="28"/>
        </w:rPr>
        <w:t>老旧小区综合改造工程，指导性图集，32 页，自行车棚详图，具体</w:t>
      </w:r>
      <w:r>
        <w:rPr>
          <w:spacing w:val="-2"/>
          <w:sz w:val="28"/>
        </w:rPr>
        <w:t>实施厂家深化设计。</w:t>
      </w:r>
    </w:p>
    <w:p>
      <w:pPr>
        <w:pStyle w:val="ListParagraph"/>
        <w:numPr>
          <w:ilvl w:val="0"/>
          <w:numId w:val="29"/>
        </w:numPr>
        <w:tabs>
          <w:tab w:val="left" w:pos="1239"/>
        </w:tabs>
        <w:spacing w:before="0" w:after="0" w:line="295" w:lineRule="auto"/>
        <w:ind w:left="256" w:right="335" w:firstLine="560"/>
        <w:jc w:val="left"/>
        <w:rPr>
          <w:sz w:val="28"/>
        </w:rPr>
      </w:pPr>
      <w:r>
        <w:rPr>
          <w:spacing w:val="-2"/>
          <w:sz w:val="28"/>
        </w:rPr>
        <w:t>增设配套服务设施，小区门口，办公楼东侧增设不锈钢宣传</w:t>
      </w:r>
      <w:r>
        <w:rPr>
          <w:spacing w:val="-2"/>
          <w:sz w:val="28"/>
        </w:rPr>
        <w:t>栏儿，两个，增设小区垃圾收集点两个，具体位置按照总图设计。</w:t>
      </w:r>
    </w:p>
    <w:p>
      <w:pPr>
        <w:pStyle w:val="ListParagraph"/>
        <w:numPr>
          <w:ilvl w:val="0"/>
          <w:numId w:val="29"/>
        </w:numPr>
        <w:tabs>
          <w:tab w:val="left" w:pos="1238"/>
        </w:tabs>
        <w:spacing w:before="0" w:after="0" w:line="356" w:lineRule="exact"/>
        <w:ind w:left="1238" w:right="0" w:hanging="422"/>
        <w:jc w:val="left"/>
        <w:rPr>
          <w:sz w:val="28"/>
        </w:rPr>
      </w:pPr>
      <w:r>
        <w:rPr>
          <w:spacing w:val="-1"/>
          <w:sz w:val="28"/>
        </w:rPr>
        <w:t>更换现状，锈损铁艺大门。</w:t>
      </w:r>
    </w:p>
    <w:p>
      <w:pPr>
        <w:pStyle w:val="ListParagraph"/>
        <w:numPr>
          <w:ilvl w:val="0"/>
          <w:numId w:val="29"/>
        </w:numPr>
        <w:tabs>
          <w:tab w:val="left" w:pos="1238"/>
        </w:tabs>
        <w:spacing w:before="72" w:after="0" w:line="240" w:lineRule="auto"/>
        <w:ind w:left="1238" w:right="0" w:hanging="422"/>
        <w:jc w:val="left"/>
        <w:rPr>
          <w:sz w:val="28"/>
        </w:rPr>
      </w:pPr>
      <w:r>
        <w:rPr>
          <w:spacing w:val="-13"/>
          <w:sz w:val="28"/>
        </w:rPr>
        <w:t xml:space="preserve">院墙重新粉刷。对园区内围墙进行粉刷翻新，做法参 </w:t>
      </w:r>
      <w:r>
        <w:rPr>
          <w:sz w:val="28"/>
        </w:rPr>
        <w:t>12BJ1-</w:t>
      </w:r>
      <w:r>
        <w:rPr>
          <w:spacing w:val="-10"/>
          <w:sz w:val="28"/>
        </w:rPr>
        <w:t>1</w:t>
      </w:r>
    </w:p>
    <w:p>
      <w:pPr>
        <w:pStyle w:val="BodyText"/>
        <w:spacing w:before="81"/>
        <w:ind w:left="256"/>
      </w:pPr>
      <w:r>
        <w:rPr>
          <w:spacing w:val="-24"/>
        </w:rPr>
        <w:t xml:space="preserve">外涂 </w:t>
      </w:r>
      <w:r>
        <w:t>1-</w:t>
      </w:r>
      <w:r>
        <w:rPr>
          <w:spacing w:val="-10"/>
        </w:rPr>
        <w:t>1</w:t>
      </w:r>
    </w:p>
    <w:p>
      <w:pPr>
        <w:pStyle w:val="ListParagraph"/>
        <w:numPr>
          <w:ilvl w:val="0"/>
          <w:numId w:val="29"/>
        </w:numPr>
        <w:tabs>
          <w:tab w:val="left" w:pos="1240"/>
        </w:tabs>
        <w:spacing w:before="81" w:after="0" w:line="295" w:lineRule="auto"/>
        <w:ind w:left="256" w:right="109" w:firstLine="560"/>
        <w:jc w:val="left"/>
        <w:rPr>
          <w:sz w:val="28"/>
        </w:rPr>
      </w:pPr>
      <w:r>
        <w:rPr>
          <w:sz w:val="28"/>
        </w:rPr>
        <w:t>依据相关规定的违章建筑,执法部门配合执行拆除,对改变房</w:t>
      </w:r>
      <w:r>
        <w:rPr>
          <w:spacing w:val="-1"/>
          <w:sz w:val="28"/>
        </w:rPr>
        <w:t>屋使用功能,危及房屋安全的,并按照相关法律法规和规定,恢复原状。</w:t>
      </w:r>
    </w:p>
    <w:p>
      <w:pPr>
        <w:pStyle w:val="Heading1"/>
        <w:spacing w:before="128"/>
        <w:ind w:left="256"/>
      </w:pPr>
      <w:bookmarkStart w:id="5" w:name="_TOC_250030"/>
      <w:bookmarkEnd w:id="5"/>
      <w:r>
        <w:rPr>
          <w:spacing w:val="-2"/>
        </w:rPr>
        <w:t>二．监理工作依据</w:t>
      </w:r>
    </w:p>
    <w:p>
      <w:pPr>
        <w:pStyle w:val="BodyText"/>
        <w:spacing w:before="2"/>
        <w:rPr>
          <w:rFonts w:ascii="Microsoft JhengHei"/>
          <w:b/>
          <w:sz w:val="60"/>
        </w:rPr>
      </w:pPr>
    </w:p>
    <w:p>
      <w:pPr>
        <w:pStyle w:val="BodyText"/>
        <w:ind w:left="536"/>
      </w:pPr>
      <w:r>
        <w:rPr>
          <w:spacing w:val="-1"/>
        </w:rPr>
        <w:t>与本专业工程相关的设计文件、技术资料。</w:t>
      </w:r>
    </w:p>
    <w:p>
      <w:pPr>
        <w:spacing w:after="0"/>
        <w:sectPr>
          <w:pgSz w:w="11910" w:h="16160"/>
          <w:pgMar w:top="1400" w:right="1460" w:bottom="280" w:left="1540" w:header="708" w:footer="708"/>
          <w:pgNumType w:start="12"/>
          <w:cols w:space="708"/>
        </w:sectPr>
      </w:pPr>
    </w:p>
    <w:p>
      <w:pPr>
        <w:pStyle w:val="BodyText"/>
        <w:spacing w:before="32"/>
        <w:ind w:left="536"/>
      </w:pPr>
      <w:r>
        <w:rPr>
          <w:spacing w:val="-2"/>
        </w:rPr>
        <w:t>经批准的监理规划。</w:t>
      </w:r>
    </w:p>
    <w:p>
      <w:pPr>
        <w:pStyle w:val="BodyText"/>
        <w:spacing w:before="81" w:line="295" w:lineRule="auto"/>
        <w:ind w:left="536" w:right="2769"/>
      </w:pPr>
      <w:r>
        <w:rPr>
          <w:spacing w:val="-2"/>
        </w:rPr>
        <w:t>经批准的施工组织设计及（专项）施工方案。</w:t>
      </w:r>
      <w:r>
        <w:rPr>
          <w:spacing w:val="-2"/>
        </w:rPr>
        <w:t>北京市工程建设相关的规定、法令、文件。</w:t>
      </w:r>
      <w:r>
        <w:rPr>
          <w:spacing w:val="-2"/>
        </w:rPr>
        <w:t xml:space="preserve"> </w:t>
      </w:r>
      <w:r>
        <w:rPr>
          <w:spacing w:val="-2"/>
        </w:rPr>
        <w:t>与本专业工程有关的规范、标准：</w:t>
      </w:r>
    </w:p>
    <w:p>
      <w:pPr>
        <w:pStyle w:val="BodyText"/>
        <w:spacing w:line="355" w:lineRule="exact"/>
        <w:ind w:left="256"/>
      </w:pPr>
      <w:r>
        <w:rPr>
          <w:spacing w:val="-9"/>
        </w:rPr>
        <w:t>《建筑工程施工质量验收统一标准》</w:t>
      </w:r>
      <w:r>
        <w:t>（GB50300-</w:t>
      </w:r>
      <w:r>
        <w:rPr>
          <w:spacing w:val="-2"/>
        </w:rPr>
        <w:t>2013）</w:t>
      </w:r>
    </w:p>
    <w:p>
      <w:pPr>
        <w:pStyle w:val="BodyText"/>
        <w:spacing w:before="81"/>
        <w:ind w:left="256"/>
      </w:pPr>
      <w:r>
        <w:rPr>
          <w:spacing w:val="-14"/>
        </w:rPr>
        <w:t>《建设工程监理规范》</w:t>
      </w:r>
      <w:r>
        <w:t>（GB/T50319-</w:t>
      </w:r>
      <w:r>
        <w:rPr>
          <w:spacing w:val="-2"/>
        </w:rPr>
        <w:t>2013）</w:t>
      </w:r>
    </w:p>
    <w:p>
      <w:pPr>
        <w:pStyle w:val="BodyText"/>
        <w:spacing w:before="81"/>
        <w:ind w:left="256"/>
      </w:pPr>
      <w:r>
        <w:rPr>
          <w:spacing w:val="-12"/>
        </w:rPr>
        <w:t>《建筑工程冬期施工规程》</w:t>
      </w:r>
      <w:r>
        <w:t>（JGJ/T104-</w:t>
      </w:r>
      <w:r>
        <w:rPr>
          <w:spacing w:val="-2"/>
        </w:rPr>
        <w:t>2011）</w:t>
      </w:r>
    </w:p>
    <w:p>
      <w:pPr>
        <w:pStyle w:val="BodyText"/>
        <w:spacing w:before="82"/>
        <w:ind w:left="256"/>
      </w:pPr>
      <w:r>
        <w:t>《建筑施工现场临时用电安全技术规程》(JGJ46-</w:t>
      </w:r>
      <w:r>
        <w:rPr>
          <w:spacing w:val="-2"/>
        </w:rPr>
        <w:t>2005)</w:t>
      </w:r>
    </w:p>
    <w:p>
      <w:pPr>
        <w:pStyle w:val="BodyText"/>
        <w:spacing w:before="81"/>
        <w:ind w:left="256"/>
      </w:pPr>
      <w:r>
        <w:rPr>
          <w:spacing w:val="-12"/>
        </w:rPr>
        <w:t>《建筑施工安全检查标准》</w:t>
      </w:r>
      <w:r>
        <w:t>（JGJ59-</w:t>
      </w:r>
      <w:r>
        <w:rPr>
          <w:spacing w:val="-2"/>
        </w:rPr>
        <w:t>2011）</w:t>
      </w:r>
    </w:p>
    <w:p>
      <w:pPr>
        <w:pStyle w:val="BodyText"/>
        <w:spacing w:before="81"/>
        <w:ind w:left="256"/>
      </w:pPr>
      <w:r>
        <w:rPr>
          <w:spacing w:val="-7"/>
        </w:rPr>
        <w:t>《建筑施工扣件式钢管脚手架安全技术规程》</w:t>
      </w:r>
      <w:r>
        <w:t>（JGJ130-</w:t>
      </w:r>
      <w:r>
        <w:rPr>
          <w:spacing w:val="-2"/>
        </w:rPr>
        <w:t>2011）</w:t>
      </w:r>
    </w:p>
    <w:p>
      <w:pPr>
        <w:pStyle w:val="BodyText"/>
        <w:spacing w:before="81"/>
        <w:ind w:left="256"/>
      </w:pPr>
      <w:r>
        <w:rPr>
          <w:spacing w:val="-12"/>
        </w:rPr>
        <w:t>《屋面工程质量验收规范》</w:t>
      </w:r>
      <w:r>
        <w:t>（GB50207-</w:t>
      </w:r>
      <w:r>
        <w:rPr>
          <w:spacing w:val="-2"/>
        </w:rPr>
        <w:t>2012）</w:t>
      </w:r>
    </w:p>
    <w:p>
      <w:pPr>
        <w:pStyle w:val="BodyText"/>
        <w:spacing w:before="82"/>
        <w:ind w:left="256"/>
      </w:pPr>
      <w:r>
        <w:rPr>
          <w:spacing w:val="-9"/>
        </w:rPr>
        <w:t>《北京市建筑工程施工安全操作规程》</w:t>
      </w:r>
      <w:r>
        <w:t>（DBJ01-62-</w:t>
      </w:r>
      <w:r>
        <w:rPr>
          <w:spacing w:val="-2"/>
        </w:rPr>
        <w:t>2002）</w:t>
      </w:r>
    </w:p>
    <w:p>
      <w:pPr>
        <w:pStyle w:val="BodyText"/>
        <w:spacing w:before="81"/>
        <w:ind w:left="256"/>
      </w:pPr>
      <w:r>
        <w:rPr>
          <w:spacing w:val="-14"/>
        </w:rPr>
        <w:t>《绿色施工管理规程》</w:t>
      </w:r>
      <w:r>
        <w:t>（DB11/513-</w:t>
      </w:r>
      <w:r>
        <w:rPr>
          <w:spacing w:val="-2"/>
        </w:rPr>
        <w:t>2015）</w:t>
      </w:r>
    </w:p>
    <w:p>
      <w:pPr>
        <w:pStyle w:val="BodyText"/>
        <w:spacing w:before="81"/>
        <w:ind w:left="256"/>
      </w:pPr>
      <w:r>
        <w:rPr>
          <w:spacing w:val="39"/>
        </w:rPr>
        <w:t>《建筑工程施工现场安全防护、场容卫生及消防保卫标准》</w:t>
      </w:r>
    </w:p>
    <w:p>
      <w:pPr>
        <w:pStyle w:val="BodyText"/>
        <w:spacing w:before="81"/>
        <w:ind w:left="256"/>
      </w:pPr>
      <w:r>
        <w:t>DB11/945-</w:t>
      </w:r>
      <w:r>
        <w:rPr>
          <w:spacing w:val="-4"/>
        </w:rPr>
        <w:t>2012</w:t>
      </w:r>
    </w:p>
    <w:p>
      <w:pPr>
        <w:pStyle w:val="BodyText"/>
        <w:spacing w:before="82" w:line="295" w:lineRule="auto"/>
        <w:ind w:left="256" w:right="335"/>
      </w:pPr>
      <w:r>
        <w:rPr>
          <w:spacing w:val="15"/>
        </w:rPr>
        <w:t>《建筑外门窗气密，水密，抗风压性能分级及检测方法》</w:t>
      </w:r>
      <w:r>
        <w:t xml:space="preserve">（GB/T </w:t>
      </w:r>
      <w:r>
        <w:rPr>
          <w:spacing w:val="-2"/>
        </w:rPr>
        <w:t>7106-2008）</w:t>
      </w:r>
    </w:p>
    <w:p>
      <w:pPr>
        <w:pStyle w:val="BodyText"/>
        <w:spacing w:line="356" w:lineRule="exact"/>
        <w:ind w:left="256"/>
      </w:pPr>
      <w:r>
        <w:t>《既有居住建筑节能改造技术规程》JGJ/T</w:t>
      </w:r>
      <w:r>
        <w:rPr>
          <w:spacing w:val="-93"/>
        </w:rPr>
        <w:t xml:space="preserve"> </w:t>
      </w:r>
      <w:r>
        <w:t>129-</w:t>
      </w:r>
      <w:r>
        <w:rPr>
          <w:spacing w:val="-4"/>
        </w:rPr>
        <w:t>2012</w:t>
      </w:r>
    </w:p>
    <w:p>
      <w:pPr>
        <w:pStyle w:val="BodyText"/>
        <w:spacing w:before="81"/>
        <w:ind w:left="256"/>
      </w:pPr>
      <w:r>
        <w:rPr>
          <w:spacing w:val="-1"/>
        </w:rPr>
        <w:t>《建筑玻璃应用技术规程》</w:t>
      </w:r>
    </w:p>
    <w:p>
      <w:pPr>
        <w:pStyle w:val="BodyText"/>
        <w:spacing w:before="81"/>
        <w:ind w:left="256"/>
      </w:pPr>
      <w:r>
        <w:rPr>
          <w:spacing w:val="-1"/>
        </w:rPr>
        <w:t>《北京市老旧小区综合改造工程指导性图集》</w:t>
      </w:r>
    </w:p>
    <w:p>
      <w:pPr>
        <w:pStyle w:val="BodyText"/>
        <w:spacing w:before="81" w:line="295" w:lineRule="auto"/>
        <w:ind w:left="256" w:right="335"/>
      </w:pPr>
      <w:r>
        <w:rPr>
          <w:spacing w:val="-8"/>
        </w:rPr>
        <w:t>《北京市老旧小区综合改造外墙外保温施工技术导则》</w:t>
      </w:r>
      <w:r>
        <w:rPr>
          <w:spacing w:val="-2"/>
        </w:rPr>
        <w:t>（复合硬泡聚</w:t>
      </w:r>
      <w:r>
        <w:rPr>
          <w:spacing w:val="-2"/>
        </w:rPr>
        <w:t>氨酯板做法）</w:t>
      </w:r>
    </w:p>
    <w:p>
      <w:pPr>
        <w:pStyle w:val="BodyText"/>
        <w:spacing w:line="295" w:lineRule="auto"/>
        <w:ind w:left="256" w:right="335"/>
      </w:pPr>
      <w:r>
        <w:rPr>
          <w:spacing w:val="-2"/>
        </w:rPr>
        <w:t>《北京市推广、限制、禁止使用建筑材料目录（2014</w:t>
      </w:r>
      <w:r>
        <w:rPr>
          <w:spacing w:val="-22"/>
        </w:rPr>
        <w:t xml:space="preserve"> 年版</w:t>
      </w:r>
      <w:r>
        <w:rPr>
          <w:spacing w:val="-140"/>
        </w:rPr>
        <w:t>）</w:t>
      </w:r>
      <w:r>
        <w:rPr>
          <w:spacing w:val="-2"/>
        </w:rPr>
        <w:t>》的规定</w:t>
      </w:r>
      <w:r>
        <w:rPr>
          <w:spacing w:val="-2"/>
        </w:rPr>
        <w:t>其他相关专业规范标准。</w:t>
      </w:r>
    </w:p>
    <w:p>
      <w:pPr>
        <w:pStyle w:val="Heading1"/>
        <w:spacing w:before="125"/>
        <w:ind w:left="256"/>
      </w:pPr>
      <w:bookmarkStart w:id="6" w:name="_TOC_250029"/>
      <w:bookmarkEnd w:id="6"/>
      <w:r>
        <w:rPr>
          <w:spacing w:val="-2"/>
        </w:rPr>
        <w:t>三．监理工作流程</w:t>
      </w:r>
    </w:p>
    <w:p>
      <w:pPr>
        <w:spacing w:after="0"/>
        <w:sectPr>
          <w:pgSz w:w="11910" w:h="16160"/>
          <w:pgMar w:top="1480" w:right="1460" w:bottom="280" w:left="1540" w:header="708" w:footer="708"/>
          <w:pgNumType w:start="13"/>
          <w:cols w:space="708"/>
        </w:sectPr>
      </w:pPr>
    </w:p>
    <w:p>
      <w:pPr>
        <w:pStyle w:val="BodyText"/>
        <w:rPr>
          <w:rFonts w:ascii="Microsoft JhengHei"/>
          <w:b/>
          <w:sz w:val="20"/>
        </w:rPr>
      </w:pPr>
      <w:r>
        <w:pict>
          <v:group id="_x0000_s1083" style="width:311.7pt;height:217.7pt;margin-top:549.6pt;margin-left:111.97pt;mso-position-horizontal-relative:page;mso-position-vertical-relative:page;position:absolute;z-index:-251655168" coordorigin="2239,10992" coordsize="6234,4354">
            <v:line id="_x0000_s1084" style="position:absolute" from="3624,11509" to="3624,13401" stroked="t" strokecolor="black" strokeweight="0.75pt">
              <v:stroke dashstyle="solid"/>
            </v:line>
            <v:shape id="_x0000_s1085" style="width:120;height:120;left:3563;position:absolute;top:13303" coordorigin="3564,13304" coordsize="120,120" path="m3624,13424l3564,13304,3684,13304,3624,13424xe" filled="t" fillcolor="black" stroked="f">
              <v:fill type="solid"/>
              <v:path arrowok="t"/>
            </v:shape>
            <v:shape id="_x0000_s1086" style="width:2754;height:737;left:2246;position:absolute;top:13423" coordorigin="2247,13424" coordsize="2754,737" path="m2247,13792l3624,13424,5000,13792,3624,14160,2247,13792xe" filled="f" stroked="t" strokecolor="black" strokeweight="0.75pt">
              <v:stroke dashstyle="solid"/>
              <v:path arrowok="t"/>
            </v:shape>
            <v:line id="_x0000_s1087" style="position:absolute" from="4985,13794" to="5459,13794" stroked="t" strokecolor="black" strokeweight="0.75pt">
              <v:stroke dashstyle="solid"/>
            </v:line>
            <v:line id="_x0000_s1088" style="position:absolute" from="5459,13779" to="5459,11362" stroked="t" strokecolor="black" strokeweight="0.75pt">
              <v:stroke dashstyle="solid"/>
            </v:line>
            <v:line id="_x0000_s1089" style="position:absolute" from="5459,11362" to="4717,11362" stroked="t" strokecolor="black" strokeweight="0.75pt">
              <v:stroke dashstyle="solid"/>
            </v:line>
            <v:line id="_x0000_s1090" style="position:absolute" from="5610,11215" to="4717,11215" stroked="t" strokecolor="black" strokeweight="0.75pt">
              <v:stroke dashstyle="solid"/>
            </v:line>
            <v:shape id="_x0000_s1091" style="width:121;height:268;left:4694;position:absolute;top:11154" coordorigin="4694,11155" coordsize="121,268" path="m4814,11302l4694,11362,4814,11422,4814,11302xm4815,11155l4695,11215,4815,11275,4815,11155xe" filled="t" fillcolor="black" stroked="f">
              <v:fill type="solid"/>
              <v:path arrowok="t"/>
            </v:shape>
            <v:line id="_x0000_s1092" style="position:absolute" from="3624,14160" to="3624,14874" stroked="t" strokecolor="black" strokeweight="0.75pt">
              <v:stroke dashstyle="solid"/>
            </v:line>
            <v:shape id="_x0000_s1093" style="width:120;height:120;left:3563;position:absolute;top:14776" coordorigin="3564,14776" coordsize="120,120" path="m3624,14896l3564,14776,3684,14776,3624,14896xe" filled="t" fillcolor="black" stroked="f">
              <v:fill type="solid"/>
              <v:path arrowok="t"/>
            </v:shape>
            <v:shape id="_x0000_s1094" type="#_x0000_t202" style="width:1102;height:240;left:3079;position:absolute;top:13717" filled="f" stroked="f">
              <v:textbox inset="0,0,0,0">
                <w:txbxContent>
                  <w:p>
                    <w:pPr>
                      <w:spacing w:before="0" w:line="240" w:lineRule="exact"/>
                      <w:ind w:left="0" w:right="0" w:firstLine="0"/>
                      <w:jc w:val="left"/>
                      <w:rPr>
                        <w:sz w:val="24"/>
                      </w:rPr>
                    </w:pPr>
                    <w:r>
                      <w:rPr>
                        <w:spacing w:val="27"/>
                        <w:sz w:val="24"/>
                      </w:rPr>
                      <w:t>监理平行</w:t>
                    </w:r>
                  </w:p>
                </w:txbxContent>
              </v:textbox>
            </v:shape>
            <v:shape id="_x0000_s1095" type="#_x0000_t202" style="width:317;height:461;left:5142;position:absolute;top:13310" filled="f" stroked="t" strokecolor="black" strokeweight="0.75pt">
              <v:stroke dashstyle="dot"/>
              <v:textbox inset="0,0,0,0">
                <w:txbxContent>
                  <w:p>
                    <w:pPr>
                      <w:spacing w:before="71"/>
                      <w:ind w:left="84" w:right="0" w:firstLine="0"/>
                      <w:jc w:val="left"/>
                      <w:rPr>
                        <w:rFonts w:ascii="Calibri"/>
                        <w:sz w:val="21"/>
                      </w:rPr>
                    </w:pPr>
                    <w:r>
                      <w:rPr>
                        <w:rFonts w:ascii="Calibri"/>
                        <w:sz w:val="21"/>
                      </w:rPr>
                      <w:t>N</w:t>
                    </w:r>
                  </w:p>
                </w:txbxContent>
              </v:textbox>
            </v:shape>
            <v:shape id="_x0000_s1096" type="#_x0000_t202" style="width:1989;height:442;left:2705;position:absolute;top:11067" filled="f" stroked="t" strokecolor="black" strokeweight="0.75pt">
              <v:stroke dashstyle="solid"/>
              <v:textbox inset="0,0,0,0">
                <w:txbxContent>
                  <w:p>
                    <w:pPr>
                      <w:spacing w:before="75"/>
                      <w:ind w:left="732" w:right="732" w:firstLine="0"/>
                      <w:jc w:val="center"/>
                      <w:rPr>
                        <w:sz w:val="24"/>
                      </w:rPr>
                    </w:pPr>
                    <w:r>
                      <w:rPr>
                        <w:spacing w:val="-5"/>
                        <w:sz w:val="24"/>
                      </w:rPr>
                      <w:t>施工</w:t>
                    </w:r>
                  </w:p>
                </w:txbxContent>
              </v:textbox>
            </v:shape>
            <v:shape id="_x0000_s1097" type="#_x0000_t202" style="width:1989;height:442;left:2705;position:absolute;top:14896" filled="f" stroked="t" strokecolor="black" strokeweight="0.75pt">
              <v:stroke dashstyle="solid"/>
              <v:textbox inset="0,0,0,0">
                <w:txbxContent>
                  <w:p>
                    <w:pPr>
                      <w:spacing w:before="75"/>
                      <w:ind w:left="266" w:right="0" w:firstLine="0"/>
                      <w:jc w:val="left"/>
                      <w:rPr>
                        <w:sz w:val="24"/>
                      </w:rPr>
                    </w:pPr>
                    <w:r>
                      <w:rPr>
                        <w:spacing w:val="-2"/>
                        <w:sz w:val="24"/>
                      </w:rPr>
                      <w:t>分项工程验评</w:t>
                    </w:r>
                  </w:p>
                </w:txbxContent>
              </v:textbox>
            </v:shape>
            <v:shape id="_x0000_s1098" type="#_x0000_t202" style="width:310;height:438;left:3644;position:absolute;top:14276" filled="f" stroked="t" strokecolor="black" strokeweight="0.75pt">
              <v:stroke dashstyle="dot"/>
              <v:textbox inset="0,0,0,0">
                <w:txbxContent>
                  <w:p>
                    <w:pPr>
                      <w:spacing w:before="71"/>
                      <w:ind w:left="104" w:right="0" w:firstLine="0"/>
                      <w:jc w:val="left"/>
                      <w:rPr>
                        <w:rFonts w:ascii="Calibri"/>
                        <w:sz w:val="21"/>
                      </w:rPr>
                    </w:pPr>
                    <w:r>
                      <w:rPr>
                        <w:rFonts w:ascii="Calibri"/>
                        <w:sz w:val="21"/>
                      </w:rPr>
                      <w:t>Y</w:t>
                    </w:r>
                  </w:p>
                </w:txbxContent>
              </v:textbox>
            </v:shape>
            <v:shape id="_x0000_s1099" type="#_x0000_t202" style="width:2838;height:442;left:5627;position:absolute;top:10999" filled="f" stroked="t" strokecolor="black" strokeweight="0.75pt">
              <v:stroke dashstyle="solid"/>
              <v:textbox inset="0,0,0,0">
                <w:txbxContent>
                  <w:p>
                    <w:pPr>
                      <w:spacing w:before="75"/>
                      <w:ind w:left="571" w:right="0" w:firstLine="0"/>
                      <w:jc w:val="left"/>
                      <w:rPr>
                        <w:sz w:val="24"/>
                      </w:rPr>
                    </w:pPr>
                    <w:r>
                      <w:rPr>
                        <w:spacing w:val="-2"/>
                        <w:sz w:val="24"/>
                      </w:rPr>
                      <w:t>监理巡视、旁站</w:t>
                    </w:r>
                  </w:p>
                </w:txbxContent>
              </v:textbox>
            </v:shape>
          </v:group>
        </w:pict>
      </w: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spacing w:before="17"/>
        <w:rPr>
          <w:rFonts w:ascii="Microsoft JhengHei"/>
          <w:b/>
          <w:sz w:val="11"/>
        </w:rPr>
      </w:pPr>
    </w:p>
    <w:p>
      <w:pPr>
        <w:pStyle w:val="BodyText"/>
        <w:ind w:left="699"/>
        <w:rPr>
          <w:rFonts w:ascii="Microsoft JhengHei"/>
          <w:sz w:val="20"/>
        </w:rPr>
      </w:pPr>
      <w:r>
        <w:rPr>
          <w:rFonts w:ascii="Microsoft JhengHei"/>
          <w:sz w:val="20"/>
        </w:rPr>
        <w:pict>
          <v:group id="_x0000_i1100" style="width:309.9pt;height:302.25pt;mso-position-horizontal-relative:char;mso-position-vertical-relative:line" coordorigin="0,0" coordsize="6198,6045">
            <v:rect id="_x0000_s1101" style="width:1989;height:442;left:466;position:absolute;top:2805" filled="f" stroked="t" strokecolor="black" strokeweight="0.75pt">
              <v:stroke dashstyle="solid"/>
            </v:rect>
            <v:shape id="_x0000_s1102" style="width:1989;height:737;left:389;position:absolute;top:1038" coordorigin="390,1038" coordsize="1989,737" path="m390,1406l1384,1038,2378,1406,1384,1775,390,1406xe" filled="f" stroked="t" strokecolor="black" strokeweight="0.75pt">
              <v:stroke dashstyle="solid"/>
              <v:path arrowok="t"/>
            </v:shape>
            <v:line id="_x0000_s1103" style="position:absolute" from="1384,449" to="1385,1016" stroked="t" strokecolor="black" strokeweight="0.75pt">
              <v:stroke dashstyle="solid"/>
            </v:line>
            <v:shape id="_x0000_s1104" style="width:120;height:121;left:1324;position:absolute;top:918" coordorigin="1325,918" coordsize="120,121" path="m1385,1038l1325,918,1445,918,1385,1038xe" filled="t" fillcolor="black" stroked="f">
              <v:fill type="solid"/>
              <v:path arrowok="t"/>
            </v:shape>
            <v:line id="_x0000_s1105" style="position:absolute" from="1384,1775" to="1384,2783" stroked="t" strokecolor="black" strokeweight="0.75pt">
              <v:stroke dashstyle="solid"/>
            </v:line>
            <v:shape id="_x0000_s1106" style="width:120;height:120;left:1324;position:absolute;top:2685" coordorigin="1324,2685" coordsize="120,120" path="m1384,2805l1324,2685,1444,2685,1384,2805xe" filled="t" fillcolor="black" stroked="f">
              <v:fill type="solid"/>
              <v:path arrowok="t"/>
            </v:shape>
            <v:line id="_x0000_s1107" style="position:absolute" from="2914,223" to="2324,223" stroked="t" strokecolor="black" strokeweight="0.75pt">
              <v:stroke dashstyle="solid"/>
            </v:line>
            <v:shape id="_x0000_s1108" style="width:120;height:120;left:2301;position:absolute;top:162" coordorigin="2302,163" coordsize="120,120" path="m2422,283l2302,223,2422,163,2422,283xe" filled="t" fillcolor="black" stroked="f">
              <v:fill type="solid"/>
              <v:path arrowok="t"/>
            </v:shape>
            <v:line id="_x0000_s1109" style="position:absolute" from="2914,223" to="2914,1401" stroked="t" strokecolor="black" strokeweight="0.75pt">
              <v:stroke dashstyle="solid"/>
            </v:line>
            <v:line id="_x0000_s1110" style="position:absolute" from="2371,1401" to="2914,1401" stroked="t" strokecolor="black" strokeweight="0.75pt">
              <v:stroke dashstyle="solid"/>
            </v:line>
            <v:line id="_x0000_s1111" style="position:absolute" from="5155,3047" to="2477,3047" stroked="t" strokecolor="black" strokeweight="0.75pt">
              <v:stroke dashstyle="solid"/>
            </v:line>
            <v:shape id="_x0000_s1112" style="width:120;height:120;left:2454;position:absolute;top:2987" coordorigin="2455,2987" coordsize="120,120" path="m2575,3107l2455,3047,2575,2987,2575,3107xe" filled="t" fillcolor="black" stroked="f">
              <v:fill type="solid"/>
              <v:path arrowok="t"/>
            </v:shape>
            <v:line id="_x0000_s1113" style="position:absolute" from="5145,823" to="5145,1843" stroked="t" strokecolor="black" strokeweight="0.75pt">
              <v:stroke dashstyle="solid"/>
            </v:line>
            <v:shape id="_x0000_s1114" style="width:120;height:120;left:5084;position:absolute;top:1745" coordorigin="5085,1745" coordsize="120,120" path="m5145,1865l5085,1745,5205,1745,5145,1865xe" filled="t" fillcolor="black" stroked="f">
              <v:fill type="solid"/>
              <v:path arrowok="t"/>
            </v:shape>
            <v:shape id="_x0000_s1115" style="width:1989;height:729;left:4155;position:absolute;top:1853" coordorigin="4155,1854" coordsize="1989,729" path="m4155,2218l5150,1854,6144,2218,5150,2583,4155,2218xe" filled="f" stroked="t" strokecolor="black" strokeweight="0.75pt">
              <v:stroke dashstyle="solid"/>
              <v:path arrowok="t"/>
            </v:shape>
            <v:line id="_x0000_s1116" style="position:absolute" from="5155,3032" to="5155,2590" stroked="t" strokecolor="black" strokeweight="0.75pt">
              <v:stroke dashstyle="solid"/>
            </v:line>
            <v:shape id="_x0000_s1117" style="width:1989;height:737;left:400;position:absolute;top:4278" coordorigin="400,4278" coordsize="1989,737" path="m400,4646l1394,4278,2389,4646,1394,5014,400,4646xe" filled="f" stroked="t" strokecolor="black" strokeweight="0.75pt">
              <v:stroke dashstyle="solid"/>
              <v:path arrowok="t"/>
            </v:shape>
            <v:line id="_x0000_s1118" style="position:absolute" from="1384,3247" to="1384,4255" stroked="t" strokecolor="black" strokeweight="0.75pt">
              <v:stroke dashstyle="solid"/>
            </v:line>
            <v:shape id="_x0000_s1119" style="width:120;height:120;left:1324;position:absolute;top:4158" coordorigin="1324,4158" coordsize="120,120" path="m1384,4278l1324,4158,1444,4158,1384,4278xe" filled="t" fillcolor="black" stroked="f">
              <v:fill type="solid"/>
              <v:path arrowok="t"/>
            </v:shape>
            <v:line id="_x0000_s1120" style="position:absolute" from="7,4652" to="408,4652" stroked="t" strokecolor="black" strokeweight="0.75pt">
              <v:stroke dashstyle="solid"/>
            </v:line>
            <v:line id="_x0000_s1121" style="position:absolute" from="8,4652" to="8,3032" stroked="t" strokecolor="black" strokeweight="0.75pt">
              <v:stroke dashstyle="solid"/>
            </v:line>
            <v:line id="_x0000_s1122" style="position:absolute" from="1384,5014" to="1384,6023" stroked="t" strokecolor="black" strokeweight="0.75pt">
              <v:stroke dashstyle="solid"/>
            </v:line>
            <v:shape id="_x0000_s1123" style="width:120;height:120;left:1324;position:absolute;top:5925" coordorigin="1324,5925" coordsize="120,120" path="m1384,6045l1324,5925,1444,5925,1384,6045xe" filled="t" fillcolor="black" stroked="f">
              <v:fill type="solid"/>
              <v:path arrowok="t"/>
            </v:shape>
            <v:line id="_x0000_s1124" style="position:absolute" from="7,3032" to="444,3032" stroked="t" strokecolor="black" strokeweight="0.75pt">
              <v:stroke dashstyle="solid"/>
            </v:line>
            <v:shape id="_x0000_s1125" style="width:120;height:120;left:346;position:absolute;top:2971" coordorigin="346,2972" coordsize="120,120" path="m346,3092l346,2972,466,3032,346,3092xe" filled="t" fillcolor="black" stroked="f">
              <v:fill type="solid"/>
              <v:path arrowok="t"/>
            </v:shape>
            <v:line id="_x0000_s1126" style="position:absolute" from="2371,4656" to="3317,4656" stroked="t" strokecolor="black" strokeweight="0.75pt">
              <v:stroke dashstyle="solid"/>
            </v:line>
            <v:shape id="_x0000_s1127" type="#_x0000_t202" style="width:720;height:240;left:1031;position:absolute;top:1331" filled="f" stroked="f">
              <v:textbox inset="0,0,0,0">
                <w:txbxContent>
                  <w:p>
                    <w:pPr>
                      <w:spacing w:before="0" w:line="240" w:lineRule="exact"/>
                      <w:ind w:left="0" w:right="0" w:firstLine="0"/>
                      <w:jc w:val="left"/>
                      <w:rPr>
                        <w:sz w:val="24"/>
                      </w:rPr>
                    </w:pPr>
                    <w:r>
                      <w:rPr>
                        <w:sz w:val="24"/>
                      </w:rPr>
                      <w:t>监</w:t>
                    </w:r>
                    <w:r>
                      <w:rPr>
                        <w:spacing w:val="39"/>
                        <w:w w:val="150"/>
                        <w:sz w:val="24"/>
                      </w:rPr>
                      <w:t xml:space="preserve"> </w:t>
                    </w:r>
                    <w:r>
                      <w:rPr>
                        <w:spacing w:val="-10"/>
                        <w:sz w:val="24"/>
                      </w:rPr>
                      <w:t>理</w:t>
                    </w:r>
                  </w:p>
                </w:txbxContent>
              </v:textbox>
            </v:shape>
            <v:shape id="_x0000_s1128" type="#_x0000_t202" style="width:720;height:240;left:4796;position:absolute;top:2145" filled="f" stroked="f">
              <v:textbox inset="0,0,0,0">
                <w:txbxContent>
                  <w:p>
                    <w:pPr>
                      <w:spacing w:before="0" w:line="240" w:lineRule="exact"/>
                      <w:ind w:left="0" w:right="0" w:firstLine="0"/>
                      <w:jc w:val="left"/>
                      <w:rPr>
                        <w:sz w:val="24"/>
                      </w:rPr>
                    </w:pPr>
                    <w:r>
                      <w:rPr>
                        <w:sz w:val="24"/>
                      </w:rPr>
                      <w:t>监</w:t>
                    </w:r>
                    <w:r>
                      <w:rPr>
                        <w:spacing w:val="39"/>
                        <w:w w:val="150"/>
                        <w:sz w:val="24"/>
                      </w:rPr>
                      <w:t xml:space="preserve"> </w:t>
                    </w:r>
                    <w:r>
                      <w:rPr>
                        <w:spacing w:val="-10"/>
                        <w:sz w:val="24"/>
                      </w:rPr>
                      <w:t>理</w:t>
                    </w:r>
                  </w:p>
                </w:txbxContent>
              </v:textbox>
            </v:shape>
            <v:shape id="_x0000_s1129" type="#_x0000_t202" style="width:980;height:240;left:980;position:absolute;top:2921" filled="f" stroked="f">
              <v:textbox inset="0,0,0,0">
                <w:txbxContent>
                  <w:p>
                    <w:pPr>
                      <w:spacing w:before="0" w:line="240" w:lineRule="exact"/>
                      <w:ind w:left="0" w:right="0" w:firstLine="0"/>
                      <w:jc w:val="left"/>
                      <w:rPr>
                        <w:sz w:val="24"/>
                      </w:rPr>
                    </w:pPr>
                    <w:r>
                      <w:rPr>
                        <w:spacing w:val="-6"/>
                        <w:sz w:val="24"/>
                      </w:rPr>
                      <w:t>施工申请</w:t>
                    </w:r>
                  </w:p>
                </w:txbxContent>
              </v:textbox>
            </v:shape>
            <v:shape id="_x0000_s1130" type="#_x0000_t202" style="width:720;height:240;left:1041;position:absolute;top:4571" filled="f" stroked="f">
              <v:textbox inset="0,0,0,0">
                <w:txbxContent>
                  <w:p>
                    <w:pPr>
                      <w:spacing w:before="0" w:line="240" w:lineRule="exact"/>
                      <w:ind w:left="0" w:right="0" w:firstLine="0"/>
                      <w:jc w:val="left"/>
                      <w:rPr>
                        <w:sz w:val="24"/>
                      </w:rPr>
                    </w:pPr>
                    <w:r>
                      <w:rPr>
                        <w:sz w:val="24"/>
                      </w:rPr>
                      <w:t>监</w:t>
                    </w:r>
                    <w:r>
                      <w:rPr>
                        <w:spacing w:val="39"/>
                        <w:w w:val="150"/>
                        <w:sz w:val="24"/>
                      </w:rPr>
                      <w:t xml:space="preserve"> </w:t>
                    </w:r>
                    <w:r>
                      <w:rPr>
                        <w:spacing w:val="-10"/>
                        <w:sz w:val="24"/>
                      </w:rPr>
                      <w:t>理</w:t>
                    </w:r>
                  </w:p>
                </w:txbxContent>
              </v:textbox>
            </v:shape>
            <v:shape id="_x0000_s1131" type="#_x0000_t202" style="width:327;height:438;left:1384;position:absolute;top:5222" filled="f" stroked="t" strokecolor="black" strokeweight="0.75pt">
              <v:stroke dashstyle="dot"/>
              <v:textbox inset="0,0,0,0">
                <w:txbxContent>
                  <w:p>
                    <w:pPr>
                      <w:spacing w:before="71"/>
                      <w:ind w:left="121" w:right="0" w:firstLine="0"/>
                      <w:jc w:val="left"/>
                      <w:rPr>
                        <w:rFonts w:ascii="Calibri"/>
                        <w:sz w:val="21"/>
                      </w:rPr>
                    </w:pPr>
                    <w:r>
                      <w:rPr>
                        <w:rFonts w:ascii="Calibri"/>
                        <w:sz w:val="21"/>
                      </w:rPr>
                      <w:t>Y</w:t>
                    </w:r>
                  </w:p>
                </w:txbxContent>
              </v:textbox>
            </v:shape>
            <v:shape id="_x0000_s1132" type="#_x0000_t202" style="width:2874;height:442;left:3316;position:absolute;top:4417" filled="f" stroked="t" strokecolor="black" strokeweight="0.75pt">
              <v:stroke dashstyle="solid"/>
              <v:textbox inset="0,0,0,0">
                <w:txbxContent>
                  <w:p>
                    <w:pPr>
                      <w:spacing w:before="75"/>
                      <w:ind w:left="229" w:right="0" w:firstLine="0"/>
                      <w:jc w:val="left"/>
                      <w:rPr>
                        <w:sz w:val="24"/>
                      </w:rPr>
                    </w:pPr>
                    <w:r>
                      <w:rPr>
                        <w:spacing w:val="-3"/>
                        <w:sz w:val="24"/>
                      </w:rPr>
                      <w:t>施工专项方案是否审查</w:t>
                    </w:r>
                  </w:p>
                </w:txbxContent>
              </v:textbox>
            </v:shape>
            <v:shape id="_x0000_s1133" type="#_x0000_t202" style="width:315;height:438;left:7;position:absolute;top:3606" filled="f" stroked="t" strokecolor="black" strokeweight="0.75pt">
              <v:stroke dashstyle="dot"/>
              <v:textbox inset="0,0,0,0">
                <w:txbxContent>
                  <w:p>
                    <w:pPr>
                      <w:spacing w:before="71"/>
                      <w:ind w:left="110" w:right="0" w:firstLine="0"/>
                      <w:jc w:val="left"/>
                      <w:rPr>
                        <w:rFonts w:ascii="Calibri"/>
                        <w:sz w:val="21"/>
                      </w:rPr>
                    </w:pPr>
                    <w:r>
                      <w:rPr>
                        <w:rFonts w:ascii="Calibri"/>
                        <w:sz w:val="21"/>
                      </w:rPr>
                      <w:t>N</w:t>
                    </w:r>
                  </w:p>
                </w:txbxContent>
              </v:textbox>
            </v:shape>
            <v:shape id="_x0000_s1134" type="#_x0000_t202" style="width:330;height:438;left:1384;position:absolute;top:2004" filled="f" stroked="t" strokecolor="black" strokeweight="0.75pt">
              <v:stroke dashstyle="dot"/>
              <v:textbox inset="0,0,0,0">
                <w:txbxContent>
                  <w:p>
                    <w:pPr>
                      <w:spacing w:before="71"/>
                      <w:ind w:left="125" w:right="0" w:firstLine="0"/>
                      <w:jc w:val="left"/>
                      <w:rPr>
                        <w:rFonts w:ascii="Calibri"/>
                        <w:sz w:val="21"/>
                      </w:rPr>
                    </w:pPr>
                    <w:r>
                      <w:rPr>
                        <w:rFonts w:ascii="Calibri"/>
                        <w:sz w:val="21"/>
                      </w:rPr>
                      <w:t>Y</w:t>
                    </w:r>
                  </w:p>
                </w:txbxContent>
              </v:textbox>
            </v:shape>
            <v:shape id="_x0000_s1135" type="#_x0000_t202" style="width:333;height:438;left:2581;position:absolute;top:585" filled="f" stroked="t" strokecolor="black" strokeweight="0.75pt">
              <v:stroke dashstyle="dot"/>
              <v:textbox inset="0,0,0,0">
                <w:txbxContent>
                  <w:p>
                    <w:pPr>
                      <w:spacing w:before="71"/>
                      <w:ind w:left="84" w:right="0" w:firstLine="0"/>
                      <w:jc w:val="left"/>
                      <w:rPr>
                        <w:rFonts w:ascii="Calibri"/>
                        <w:sz w:val="21"/>
                      </w:rPr>
                    </w:pPr>
                    <w:r>
                      <w:rPr>
                        <w:rFonts w:ascii="Calibri"/>
                        <w:sz w:val="21"/>
                      </w:rPr>
                      <w:t>N</w:t>
                    </w:r>
                  </w:p>
                </w:txbxContent>
              </v:textbox>
            </v:shape>
            <v:shape id="_x0000_s1136" type="#_x0000_t202" style="width:1836;height:737;left:4226;position:absolute;top:86" filled="f" stroked="t" strokecolor="black" strokeweight="0.75pt">
              <v:stroke dashstyle="solid"/>
              <v:textbox inset="0,0,0,0">
                <w:txbxContent>
                  <w:p>
                    <w:pPr>
                      <w:spacing w:before="75" w:line="242" w:lineRule="auto"/>
                      <w:ind w:left="430" w:right="188" w:hanging="240"/>
                      <w:jc w:val="left"/>
                      <w:rPr>
                        <w:sz w:val="24"/>
                      </w:rPr>
                    </w:pPr>
                    <w:r>
                      <w:rPr>
                        <w:spacing w:val="-2"/>
                        <w:sz w:val="24"/>
                      </w:rPr>
                      <w:t>进场设备报审</w:t>
                    </w:r>
                    <w:r>
                      <w:rPr>
                        <w:spacing w:val="-4"/>
                        <w:sz w:val="24"/>
                      </w:rPr>
                      <w:t>材料报验</w:t>
                    </w:r>
                  </w:p>
                </w:txbxContent>
              </v:textbox>
            </v:shape>
            <v:shape id="_x0000_s1137" type="#_x0000_t202" style="width:1683;height:442;left:619;position:absolute;top:7" filled="f" stroked="t" strokecolor="black" strokeweight="0.75pt">
              <v:stroke dashstyle="solid"/>
              <v:textbox inset="0,0,0,0">
                <w:txbxContent>
                  <w:p>
                    <w:pPr>
                      <w:spacing w:before="75"/>
                      <w:ind w:left="233" w:right="0" w:firstLine="0"/>
                      <w:jc w:val="left"/>
                      <w:rPr>
                        <w:sz w:val="24"/>
                      </w:rPr>
                    </w:pPr>
                    <w:r>
                      <w:rPr>
                        <w:spacing w:val="-4"/>
                        <w:sz w:val="24"/>
                      </w:rPr>
                      <w:t>控制基线测</w:t>
                    </w:r>
                  </w:p>
                </w:txbxContent>
              </v:textbox>
            </v:shape>
            <w10:wrap type="none"/>
          </v:group>
        </w:pict>
      </w:r>
    </w:p>
    <w:p>
      <w:pPr>
        <w:spacing w:after="0"/>
        <w:rPr>
          <w:rFonts w:ascii="Microsoft JhengHei"/>
          <w:sz w:val="20"/>
        </w:rPr>
        <w:sectPr>
          <w:pgSz w:w="11910" w:h="16160"/>
          <w:pgMar w:top="1860" w:right="1460" w:bottom="280" w:left="1540" w:header="708" w:footer="708"/>
          <w:pgNumType w:start="14"/>
          <w:cols w:space="708"/>
        </w:sectPr>
      </w:pPr>
    </w:p>
    <w:p>
      <w:pPr>
        <w:pStyle w:val="BodyText"/>
        <w:spacing w:before="16"/>
        <w:rPr>
          <w:rFonts w:ascii="Microsoft JhengHei"/>
          <w:b/>
          <w:sz w:val="10"/>
        </w:rPr>
      </w:pPr>
    </w:p>
    <w:p>
      <w:pPr>
        <w:spacing w:after="0"/>
        <w:rPr>
          <w:rFonts w:ascii="Microsoft JhengHei"/>
          <w:sz w:val="10"/>
        </w:rPr>
        <w:sectPr>
          <w:pgSz w:w="11910" w:h="16160"/>
          <w:pgMar w:top="1860" w:right="1460" w:bottom="280" w:left="1540" w:header="708" w:footer="708"/>
          <w:pgNumType w:start="15"/>
          <w:cols w:space="708"/>
        </w:sectPr>
      </w:pPr>
    </w:p>
    <w:p>
      <w:pPr>
        <w:pStyle w:val="Heading2"/>
        <w:spacing w:line="514" w:lineRule="exact"/>
      </w:pPr>
      <w:bookmarkStart w:id="7" w:name="_TOC_250028"/>
      <w:r>
        <w:rPr>
          <w:rFonts w:ascii="Calibri Light" w:eastAsia="Calibri Light"/>
        </w:rPr>
        <w:t>1</w:t>
      </w:r>
      <w:bookmarkEnd w:id="7"/>
      <w:r>
        <w:rPr>
          <w:spacing w:val="-1"/>
        </w:rPr>
        <w:t>、施工质量控制流程：</w:t>
      </w:r>
    </w:p>
    <w:p>
      <w:pPr>
        <w:pStyle w:val="BodyText"/>
        <w:spacing w:before="14"/>
        <w:rPr>
          <w:rFonts w:ascii="Microsoft JhengHei"/>
          <w:b/>
          <w:sz w:val="19"/>
        </w:rPr>
      </w:pPr>
    </w:p>
    <w:p>
      <w:pPr>
        <w:pStyle w:val="BodyText"/>
        <w:spacing w:line="295" w:lineRule="auto"/>
        <w:ind w:left="280" w:right="418"/>
        <w:jc w:val="both"/>
      </w:pPr>
      <w:r>
        <w:rPr>
          <w:spacing w:val="-11"/>
        </w:rPr>
        <w:t>施工单位根据设计文件、相关规范和已经报批准的施工方案进行各道</w:t>
      </w:r>
      <w:r>
        <w:rPr>
          <w:spacing w:val="-2"/>
        </w:rPr>
        <w:t>工序施工→每个施工段上的每一道工序完成都要经施工单位三检→</w:t>
      </w:r>
      <w:r>
        <w:rPr>
          <w:spacing w:val="-2"/>
        </w:rPr>
        <w:t>报专业监理验收合格签字→转入下道工序施工。</w:t>
      </w:r>
    </w:p>
    <w:p>
      <w:pPr>
        <w:pStyle w:val="Heading2"/>
        <w:spacing w:before="188"/>
      </w:pPr>
      <w:bookmarkStart w:id="8" w:name="_TOC_250027"/>
      <w:r>
        <w:rPr>
          <w:rFonts w:ascii="Calibri Light" w:eastAsia="Calibri Light"/>
        </w:rPr>
        <w:t>2</w:t>
      </w:r>
      <w:bookmarkEnd w:id="8"/>
      <w:r>
        <w:rPr>
          <w:spacing w:val="-1"/>
        </w:rPr>
        <w:t>、施工进度控制流程：</w:t>
      </w:r>
    </w:p>
    <w:p>
      <w:pPr>
        <w:pStyle w:val="BodyText"/>
        <w:spacing w:before="14"/>
        <w:rPr>
          <w:rFonts w:ascii="Microsoft JhengHei"/>
          <w:b/>
          <w:sz w:val="19"/>
        </w:rPr>
      </w:pPr>
    </w:p>
    <w:p>
      <w:pPr>
        <w:pStyle w:val="BodyText"/>
        <w:spacing w:line="295" w:lineRule="auto"/>
        <w:ind w:left="280" w:right="325"/>
      </w:pPr>
      <w:r>
        <w:rPr>
          <w:spacing w:val="-2"/>
        </w:rPr>
        <w:t>施工单位编制年进度计划、月进度计划和周进度计划（进度有偏差的</w:t>
      </w:r>
      <w:r>
        <w:t>要一并报上纠偏措施）→</w:t>
      </w:r>
      <w:r>
        <w:rPr>
          <w:spacing w:val="-1"/>
        </w:rPr>
        <w:t>报监理单位审核签字→返回施工单位执行。</w:t>
      </w:r>
    </w:p>
    <w:p>
      <w:pPr>
        <w:pStyle w:val="Heading2"/>
        <w:spacing w:before="190"/>
      </w:pPr>
      <w:bookmarkStart w:id="9" w:name="_TOC_250026"/>
      <w:r>
        <w:rPr>
          <w:rFonts w:ascii="Calibri Light" w:eastAsia="Calibri Light"/>
        </w:rPr>
        <w:t>3</w:t>
      </w:r>
      <w:bookmarkEnd w:id="9"/>
      <w:r>
        <w:rPr>
          <w:spacing w:val="-2"/>
        </w:rPr>
        <w:t>、造价控制流程：</w:t>
      </w:r>
    </w:p>
    <w:p>
      <w:pPr>
        <w:pStyle w:val="BodyText"/>
        <w:spacing w:before="14"/>
        <w:rPr>
          <w:rFonts w:ascii="Microsoft JhengHei"/>
          <w:b/>
          <w:sz w:val="19"/>
        </w:rPr>
      </w:pPr>
    </w:p>
    <w:p>
      <w:pPr>
        <w:pStyle w:val="BodyText"/>
        <w:ind w:left="280"/>
      </w:pPr>
      <w:r>
        <w:rPr>
          <w:spacing w:val="-1"/>
        </w:rPr>
        <w:t>施工单位编制月进度款报审表→报监理单位现场核实签字。</w:t>
      </w:r>
    </w:p>
    <w:p>
      <w:pPr>
        <w:pStyle w:val="BodyText"/>
        <w:spacing w:before="4"/>
        <w:rPr>
          <w:sz w:val="21"/>
        </w:rPr>
      </w:pPr>
    </w:p>
    <w:p>
      <w:pPr>
        <w:pStyle w:val="Heading2"/>
      </w:pPr>
      <w:bookmarkStart w:id="10" w:name="_TOC_250025"/>
      <w:r>
        <w:rPr>
          <w:rFonts w:ascii="Calibri Light" w:eastAsia="Calibri Light"/>
        </w:rPr>
        <w:t>4</w:t>
      </w:r>
      <w:bookmarkEnd w:id="10"/>
      <w:r>
        <w:rPr>
          <w:spacing w:val="-1"/>
        </w:rPr>
        <w:t>、现场安全生产文明施工监理流程：</w:t>
      </w:r>
    </w:p>
    <w:p>
      <w:pPr>
        <w:pStyle w:val="BodyText"/>
        <w:spacing w:before="14"/>
        <w:rPr>
          <w:rFonts w:ascii="Microsoft JhengHei"/>
          <w:b/>
          <w:sz w:val="19"/>
        </w:rPr>
      </w:pPr>
    </w:p>
    <w:p>
      <w:pPr>
        <w:pStyle w:val="BodyText"/>
        <w:spacing w:line="295" w:lineRule="auto"/>
        <w:ind w:left="280" w:right="325"/>
      </w:pPr>
      <w:r>
        <w:rPr>
          <w:spacing w:val="-2"/>
        </w:rPr>
        <w:t>施工单位依据安全文明施工方案（含安全防范预案）施工并按照施工</w:t>
      </w:r>
      <w:r>
        <w:rPr>
          <w:spacing w:val="-2"/>
        </w:rPr>
        <w:t>段、工序向安全监理工程师报验→安全监理工程师通过巡视、旁站、</w:t>
      </w:r>
      <w:r>
        <w:rPr>
          <w:spacing w:val="-2"/>
        </w:rPr>
        <w:t>验收审核签字→进入下道工序施工。</w:t>
      </w:r>
    </w:p>
    <w:p>
      <w:pPr>
        <w:pStyle w:val="Heading2"/>
        <w:spacing w:before="188"/>
      </w:pPr>
      <w:bookmarkStart w:id="11" w:name="_TOC_250024"/>
      <w:r>
        <w:rPr>
          <w:rFonts w:ascii="Calibri Light" w:eastAsia="Calibri Light"/>
        </w:rPr>
        <w:t>5</w:t>
      </w:r>
      <w:bookmarkEnd w:id="11"/>
      <w:r>
        <w:rPr>
          <w:spacing w:val="-1"/>
        </w:rPr>
        <w:t>、分包单位资格审核流程：</w:t>
      </w:r>
    </w:p>
    <w:p>
      <w:pPr>
        <w:pStyle w:val="BodyText"/>
        <w:spacing w:before="15"/>
        <w:rPr>
          <w:rFonts w:ascii="Microsoft JhengHei"/>
          <w:b/>
          <w:sz w:val="19"/>
        </w:rPr>
      </w:pPr>
    </w:p>
    <w:p>
      <w:pPr>
        <w:pStyle w:val="BodyText"/>
        <w:spacing w:line="295" w:lineRule="auto"/>
        <w:ind w:left="280" w:right="418"/>
      </w:pPr>
      <w:r>
        <w:rPr>
          <w:spacing w:val="-2"/>
        </w:rPr>
        <w:t>施工单位寻找不少于三家分包单位资质→报监理单位考察审核→监</w:t>
      </w:r>
      <w:r>
        <w:rPr>
          <w:spacing w:val="-2"/>
        </w:rPr>
        <w:t>理单位写出考察报告。</w:t>
      </w:r>
    </w:p>
    <w:p>
      <w:pPr>
        <w:pStyle w:val="Heading2"/>
        <w:spacing w:before="189"/>
      </w:pPr>
      <w:bookmarkStart w:id="12" w:name="_TOC_250023"/>
      <w:r>
        <w:rPr>
          <w:rFonts w:ascii="Calibri Light" w:eastAsia="Calibri Light"/>
        </w:rPr>
        <w:t>6</w:t>
      </w:r>
      <w:bookmarkEnd w:id="12"/>
      <w:r>
        <w:rPr>
          <w:spacing w:val="-1"/>
        </w:rPr>
        <w:t>、旁站检查工作流程：</w:t>
      </w:r>
    </w:p>
    <w:p>
      <w:pPr>
        <w:pStyle w:val="BodyText"/>
        <w:spacing w:before="14"/>
        <w:rPr>
          <w:rFonts w:ascii="Microsoft JhengHei"/>
          <w:b/>
          <w:sz w:val="19"/>
        </w:rPr>
      </w:pPr>
    </w:p>
    <w:p>
      <w:pPr>
        <w:pStyle w:val="BodyText"/>
        <w:spacing w:line="295" w:lineRule="auto"/>
        <w:ind w:left="280" w:right="418"/>
        <w:jc w:val="both"/>
      </w:pPr>
      <w:r>
        <w:rPr>
          <w:spacing w:val="-4"/>
        </w:rPr>
        <w:t xml:space="preserve">施工单位依据监理单位旁站计划提前 </w:t>
      </w:r>
      <w:r>
        <w:rPr>
          <w:spacing w:val="-2"/>
        </w:rPr>
        <w:t>24</w:t>
      </w:r>
      <w:r>
        <w:rPr>
          <w:spacing w:val="-8"/>
        </w:rPr>
        <w:t xml:space="preserve"> 小时写出旁站申请→专业监</w:t>
      </w:r>
      <w:r>
        <w:rPr>
          <w:spacing w:val="-4"/>
        </w:rPr>
        <w:t>理实施旁站→发现问题采取口头说服、书面通知、停工整改等手段→</w:t>
      </w:r>
      <w:r>
        <w:rPr>
          <w:spacing w:val="-2"/>
        </w:rPr>
        <w:t>最终达到合格标准予以签字验收。</w:t>
      </w:r>
    </w:p>
    <w:p>
      <w:pPr>
        <w:spacing w:after="0" w:line="295" w:lineRule="auto"/>
        <w:jc w:val="both"/>
        <w:sectPr>
          <w:pgSz w:w="11910" w:h="16840"/>
          <w:pgMar w:top="1760" w:right="1380" w:bottom="280" w:left="1520" w:header="708" w:footer="708"/>
          <w:pgNumType w:start="16"/>
          <w:cols w:space="708"/>
        </w:sectPr>
      </w:pPr>
    </w:p>
    <w:p>
      <w:pPr>
        <w:pStyle w:val="Heading2"/>
        <w:spacing w:line="514" w:lineRule="exact"/>
      </w:pPr>
      <w:bookmarkStart w:id="13" w:name="_TOC_250022"/>
      <w:r>
        <w:rPr>
          <w:rFonts w:ascii="Calibri Light" w:eastAsia="Calibri Light"/>
        </w:rPr>
        <w:t>7</w:t>
      </w:r>
      <w:bookmarkEnd w:id="13"/>
      <w:r>
        <w:rPr>
          <w:spacing w:val="-1"/>
        </w:rPr>
        <w:t>、隐蔽工程验收流程：</w:t>
      </w:r>
    </w:p>
    <w:p>
      <w:pPr>
        <w:pStyle w:val="BodyText"/>
        <w:spacing w:before="14"/>
        <w:rPr>
          <w:rFonts w:ascii="Microsoft JhengHei"/>
          <w:b/>
          <w:sz w:val="19"/>
        </w:rPr>
      </w:pPr>
    </w:p>
    <w:p>
      <w:pPr>
        <w:pStyle w:val="BodyText"/>
        <w:spacing w:line="295" w:lineRule="auto"/>
        <w:ind w:left="280" w:right="418"/>
      </w:pPr>
      <w:r>
        <w:rPr>
          <w:spacing w:val="-4"/>
        </w:rPr>
        <w:t>隐蔽工序经过施工单位“三检”→报专业监理验收合格签字→转入下</w:t>
      </w:r>
      <w:r>
        <w:rPr>
          <w:spacing w:val="-2"/>
        </w:rPr>
        <w:t>道工序施工。</w:t>
      </w:r>
    </w:p>
    <w:p>
      <w:pPr>
        <w:pStyle w:val="Heading2"/>
        <w:spacing w:before="189"/>
      </w:pPr>
      <w:bookmarkStart w:id="14" w:name="_TOC_250021"/>
      <w:r>
        <w:rPr>
          <w:rFonts w:ascii="Calibri Light" w:eastAsia="Calibri Light"/>
        </w:rPr>
        <w:t>8</w:t>
      </w:r>
      <w:bookmarkEnd w:id="14"/>
      <w:r>
        <w:rPr>
          <w:spacing w:val="-1"/>
        </w:rPr>
        <w:t>、工程变更处理流程：</w:t>
      </w:r>
    </w:p>
    <w:p>
      <w:pPr>
        <w:pStyle w:val="BodyText"/>
        <w:spacing w:before="14"/>
        <w:rPr>
          <w:rFonts w:ascii="Microsoft JhengHei"/>
          <w:b/>
          <w:sz w:val="19"/>
        </w:rPr>
      </w:pPr>
    </w:p>
    <w:p>
      <w:pPr>
        <w:pStyle w:val="ListParagraph"/>
        <w:numPr>
          <w:ilvl w:val="0"/>
          <w:numId w:val="28"/>
        </w:numPr>
        <w:tabs>
          <w:tab w:val="left" w:pos="701"/>
        </w:tabs>
        <w:spacing w:before="1" w:after="0" w:line="295" w:lineRule="auto"/>
        <w:ind w:left="280" w:right="418" w:firstLine="0"/>
        <w:jc w:val="left"/>
        <w:rPr>
          <w:sz w:val="28"/>
        </w:rPr>
      </w:pPr>
      <w:r>
        <w:rPr>
          <w:spacing w:val="-13"/>
          <w:sz w:val="28"/>
        </w:rPr>
        <w:t>、工程变更签字齐全由建设单位下发→施工单位按照变更施工→</w:t>
      </w:r>
      <w:r>
        <w:rPr>
          <w:spacing w:val="-2"/>
          <w:sz w:val="28"/>
        </w:rPr>
        <w:t>监理单位按照程序实施监理；</w:t>
      </w:r>
    </w:p>
    <w:p>
      <w:pPr>
        <w:pStyle w:val="ListParagraph"/>
        <w:numPr>
          <w:ilvl w:val="0"/>
          <w:numId w:val="28"/>
        </w:numPr>
        <w:tabs>
          <w:tab w:val="left" w:pos="701"/>
        </w:tabs>
        <w:spacing w:before="0" w:after="0" w:line="295" w:lineRule="auto"/>
        <w:ind w:left="280" w:right="418" w:firstLine="0"/>
        <w:jc w:val="both"/>
        <w:rPr>
          <w:sz w:val="28"/>
        </w:rPr>
      </w:pPr>
      <w:r>
        <w:rPr>
          <w:spacing w:val="-13"/>
          <w:sz w:val="28"/>
        </w:rPr>
        <w:t>、工程变更签字齐全由建设单位下发→如果需要拆改并增加费用</w:t>
      </w:r>
      <w:r>
        <w:rPr>
          <w:spacing w:val="-2"/>
          <w:sz w:val="28"/>
        </w:rPr>
        <w:t>的施工单位上报发生费用及拆改方案→监理单位审核签字→报建设单位审定→施工单位按照方案施工→监理单位按照程序实施监理</w:t>
      </w:r>
    </w:p>
    <w:p>
      <w:pPr>
        <w:pStyle w:val="Heading2"/>
        <w:spacing w:before="185"/>
      </w:pPr>
      <w:bookmarkStart w:id="15" w:name="_TOC_250020"/>
      <w:r>
        <w:rPr>
          <w:rFonts w:ascii="Calibri Light" w:eastAsia="Calibri Light"/>
        </w:rPr>
        <w:t>9</w:t>
      </w:r>
      <w:bookmarkEnd w:id="15"/>
      <w:r>
        <w:rPr>
          <w:spacing w:val="-1"/>
        </w:rPr>
        <w:t>、信息资料管理流程：</w:t>
      </w:r>
    </w:p>
    <w:p>
      <w:pPr>
        <w:pStyle w:val="BodyText"/>
        <w:spacing w:before="14"/>
        <w:rPr>
          <w:rFonts w:ascii="Microsoft JhengHei"/>
          <w:b/>
          <w:sz w:val="19"/>
        </w:rPr>
      </w:pPr>
    </w:p>
    <w:p>
      <w:pPr>
        <w:pStyle w:val="ListParagraph"/>
        <w:numPr>
          <w:ilvl w:val="0"/>
          <w:numId w:val="27"/>
        </w:numPr>
        <w:tabs>
          <w:tab w:val="left" w:pos="701"/>
        </w:tabs>
        <w:spacing w:before="1" w:after="0" w:line="295" w:lineRule="auto"/>
        <w:ind w:left="280" w:right="418" w:firstLine="0"/>
        <w:jc w:val="left"/>
        <w:rPr>
          <w:sz w:val="28"/>
        </w:rPr>
      </w:pPr>
      <w:r>
        <w:rPr>
          <w:spacing w:val="-2"/>
          <w:sz w:val="28"/>
        </w:rPr>
        <w:t>、由建设单位、政府相关部门及其他部门下发的文件资料监理部</w:t>
      </w:r>
      <w:r>
        <w:rPr>
          <w:spacing w:val="-2"/>
          <w:sz w:val="28"/>
        </w:rPr>
        <w:t>资料员签收→整理供各专业监理查阅；</w:t>
      </w:r>
    </w:p>
    <w:p>
      <w:pPr>
        <w:pStyle w:val="ListParagraph"/>
        <w:numPr>
          <w:ilvl w:val="0"/>
          <w:numId w:val="27"/>
        </w:numPr>
        <w:tabs>
          <w:tab w:val="left" w:pos="701"/>
        </w:tabs>
        <w:spacing w:before="0" w:after="0" w:line="356" w:lineRule="exact"/>
        <w:ind w:left="701" w:right="0" w:hanging="421"/>
        <w:jc w:val="left"/>
        <w:rPr>
          <w:sz w:val="28"/>
        </w:rPr>
      </w:pPr>
      <w:r>
        <w:rPr>
          <w:spacing w:val="-1"/>
          <w:sz w:val="28"/>
        </w:rPr>
        <w:t>、施工过程形成的资料→施工单位整理→报监理单位。</w:t>
      </w:r>
    </w:p>
    <w:p>
      <w:pPr>
        <w:pStyle w:val="BodyText"/>
        <w:spacing w:before="3"/>
        <w:rPr>
          <w:sz w:val="21"/>
        </w:rPr>
      </w:pPr>
    </w:p>
    <w:p>
      <w:pPr>
        <w:pStyle w:val="Heading2"/>
        <w:spacing w:before="1"/>
      </w:pPr>
      <w:bookmarkStart w:id="16" w:name="_TOC_250019"/>
      <w:r>
        <w:rPr>
          <w:rFonts w:ascii="Calibri Light" w:eastAsia="Calibri Light"/>
        </w:rPr>
        <w:t>10</w:t>
      </w:r>
      <w:bookmarkEnd w:id="16"/>
      <w:r>
        <w:rPr>
          <w:spacing w:val="-1"/>
        </w:rPr>
        <w:t>、质量问题处理流程：</w:t>
      </w:r>
    </w:p>
    <w:p>
      <w:pPr>
        <w:pStyle w:val="BodyText"/>
        <w:spacing w:before="14"/>
        <w:rPr>
          <w:rFonts w:ascii="Microsoft JhengHei"/>
          <w:b/>
          <w:sz w:val="19"/>
        </w:rPr>
      </w:pPr>
    </w:p>
    <w:p>
      <w:pPr>
        <w:pStyle w:val="BodyText"/>
        <w:ind w:left="280"/>
      </w:pPr>
      <w:r>
        <w:rPr>
          <w:spacing w:val="-1"/>
        </w:rPr>
        <w:t>施工单位报验或者监理巡视发现质量问题→施工单位写出整改方案</w:t>
      </w:r>
    </w:p>
    <w:p>
      <w:pPr>
        <w:pStyle w:val="BodyText"/>
        <w:spacing w:before="81" w:line="295" w:lineRule="auto"/>
        <w:ind w:left="280" w:right="418"/>
        <w:jc w:val="both"/>
      </w:pPr>
      <w:r>
        <w:rPr>
          <w:spacing w:val="-4"/>
        </w:rPr>
        <w:t>→报监理单位审核（较为严重问题要报设计，牵涉费用的还要报建设</w:t>
      </w:r>
      <w:r>
        <w:rPr>
          <w:spacing w:val="-2"/>
        </w:rPr>
        <w:t>单位</w:t>
      </w:r>
      <w:r>
        <w:rPr>
          <w:spacing w:val="-95"/>
        </w:rPr>
        <w:t>）</w:t>
      </w:r>
      <w:r>
        <w:rPr>
          <w:spacing w:val="-2"/>
        </w:rPr>
        <w:t>签字→施工单位依据方案实施整改→施工单位三检→报专业监</w:t>
      </w:r>
      <w:r>
        <w:rPr>
          <w:spacing w:val="-2"/>
        </w:rPr>
        <w:t>理验收合格签字→转入下道工序施工。</w:t>
      </w:r>
    </w:p>
    <w:p>
      <w:pPr>
        <w:pStyle w:val="Heading2"/>
        <w:spacing w:before="188"/>
      </w:pPr>
      <w:bookmarkStart w:id="17" w:name="_TOC_250018"/>
      <w:r>
        <w:rPr>
          <w:rFonts w:ascii="Calibri Light" w:eastAsia="Calibri Light"/>
        </w:rPr>
        <w:t>11</w:t>
      </w:r>
      <w:bookmarkEnd w:id="17"/>
      <w:r>
        <w:rPr>
          <w:spacing w:val="-2"/>
        </w:rPr>
        <w:t>、技术管理流程：</w:t>
      </w:r>
    </w:p>
    <w:p>
      <w:pPr>
        <w:pStyle w:val="BodyText"/>
        <w:spacing w:before="14"/>
        <w:rPr>
          <w:rFonts w:ascii="Microsoft JhengHei"/>
          <w:b/>
          <w:sz w:val="19"/>
        </w:rPr>
      </w:pPr>
    </w:p>
    <w:p>
      <w:pPr>
        <w:pStyle w:val="BodyText"/>
        <w:spacing w:before="1" w:line="295" w:lineRule="auto"/>
        <w:ind w:left="280" w:right="325"/>
      </w:pPr>
      <w:r>
        <w:rPr>
          <w:spacing w:val="-2"/>
        </w:rPr>
        <w:t>检查施工单位技术管理组织机构和人员资格→熟悉图纸及相关规范、</w:t>
      </w:r>
      <w:r>
        <w:rPr>
          <w:spacing w:val="-2"/>
        </w:rPr>
        <w:t>图集、法律→参与合同交底和设计交底、图纸会审及专项方案论证会</w:t>
      </w:r>
    </w:p>
    <w:p>
      <w:pPr>
        <w:pStyle w:val="BodyText"/>
        <w:spacing w:line="295" w:lineRule="auto"/>
        <w:ind w:left="280" w:right="418"/>
        <w:jc w:val="both"/>
      </w:pPr>
      <w:r>
        <w:rPr>
          <w:spacing w:val="-6"/>
        </w:rPr>
        <w:t>→主审本专业施工方案→批准使用符合设计及规范要求的原材料、构</w:t>
      </w:r>
      <w:r>
        <w:rPr>
          <w:spacing w:val="-13"/>
        </w:rPr>
        <w:t>配件、设备以及配合比→检查施工单位技术交底→在验收合格的检验</w:t>
      </w:r>
      <w:r>
        <w:rPr>
          <w:spacing w:val="-5"/>
        </w:rPr>
        <w:t>批、分部、分项等相关资料上签字→编制本专业监理实施细则并付诸</w:t>
      </w:r>
    </w:p>
    <w:p>
      <w:pPr>
        <w:spacing w:after="0" w:line="295" w:lineRule="auto"/>
        <w:jc w:val="both"/>
        <w:sectPr>
          <w:pgSz w:w="11910" w:h="16840"/>
          <w:pgMar w:top="1500" w:right="1380" w:bottom="280" w:left="1520" w:header="708" w:footer="708"/>
          <w:pgNumType w:start="17"/>
          <w:cols w:space="708"/>
        </w:sectPr>
      </w:pPr>
    </w:p>
    <w:p>
      <w:pPr>
        <w:pStyle w:val="BodyText"/>
        <w:spacing w:before="34"/>
        <w:ind w:left="280"/>
      </w:pPr>
      <w:r>
        <w:rPr>
          <w:spacing w:val="-1"/>
        </w:rPr>
        <w:t>实施→配合总监工作。</w:t>
      </w:r>
    </w:p>
    <w:p>
      <w:pPr>
        <w:pStyle w:val="BodyText"/>
        <w:spacing w:before="4"/>
        <w:rPr>
          <w:sz w:val="21"/>
        </w:rPr>
      </w:pPr>
    </w:p>
    <w:p>
      <w:pPr>
        <w:pStyle w:val="Heading2"/>
      </w:pPr>
      <w:bookmarkStart w:id="18" w:name="_TOC_250017"/>
      <w:r>
        <w:rPr>
          <w:rFonts w:ascii="Calibri Light" w:eastAsia="Calibri Light"/>
        </w:rPr>
        <w:t>12</w:t>
      </w:r>
      <w:bookmarkEnd w:id="18"/>
      <w:r>
        <w:rPr>
          <w:spacing w:val="-1"/>
        </w:rPr>
        <w:t>、见证取样管理流程：</w:t>
      </w:r>
    </w:p>
    <w:p>
      <w:pPr>
        <w:pStyle w:val="BodyText"/>
        <w:spacing w:before="14"/>
        <w:rPr>
          <w:rFonts w:ascii="Microsoft JhengHei"/>
          <w:b/>
          <w:sz w:val="19"/>
        </w:rPr>
      </w:pPr>
    </w:p>
    <w:p>
      <w:pPr>
        <w:pStyle w:val="BodyText"/>
        <w:spacing w:line="295" w:lineRule="auto"/>
        <w:ind w:left="280" w:right="418"/>
        <w:jc w:val="both"/>
      </w:pPr>
      <w:r>
        <w:rPr>
          <w:spacing w:val="-2"/>
        </w:rPr>
        <w:t>施工单位编制试验计划报监理单位审批→专业监理编制见证计划→</w:t>
      </w:r>
      <w:r>
        <w:rPr>
          <w:spacing w:val="-2"/>
        </w:rPr>
        <w:t>对于工程使用的材料设备及构配件经考察认可进场→施工单位备齐</w:t>
      </w:r>
      <w:r>
        <w:rPr>
          <w:spacing w:val="-2"/>
        </w:rPr>
        <w:t>相关合格证明文件报专业监理工程师进行实物检查→经现场检验或</w:t>
      </w:r>
      <w:r>
        <w:rPr>
          <w:spacing w:val="-2"/>
        </w:rPr>
        <w:t>拆箱检查认可→专业监理工程师依据见证计划对进场物资进行现场</w:t>
      </w:r>
      <w:r>
        <w:rPr>
          <w:spacing w:val="-2"/>
        </w:rPr>
        <w:t>见证取样→见证送样到考察认可的实验室进行试验→试验合格报告</w:t>
      </w:r>
      <w:r>
        <w:rPr>
          <w:spacing w:val="-2"/>
        </w:rPr>
        <w:t>取回现场报监理批准使用。</w:t>
      </w:r>
    </w:p>
    <w:p>
      <w:pPr>
        <w:pStyle w:val="Heading2"/>
        <w:spacing w:before="184"/>
      </w:pPr>
      <w:bookmarkStart w:id="19" w:name="_TOC_250016"/>
      <w:r>
        <w:rPr>
          <w:rFonts w:ascii="Calibri Light" w:eastAsia="Calibri Light"/>
        </w:rPr>
        <w:t>13</w:t>
      </w:r>
      <w:bookmarkEnd w:id="19"/>
      <w:r>
        <w:rPr>
          <w:spacing w:val="-2"/>
        </w:rPr>
        <w:t>、巡视工作流程：</w:t>
      </w:r>
    </w:p>
    <w:p>
      <w:pPr>
        <w:pStyle w:val="BodyText"/>
        <w:spacing w:before="14"/>
        <w:rPr>
          <w:rFonts w:ascii="Microsoft JhengHei"/>
          <w:b/>
          <w:sz w:val="19"/>
        </w:rPr>
      </w:pPr>
    </w:p>
    <w:p>
      <w:pPr>
        <w:pStyle w:val="BodyText"/>
        <w:spacing w:before="1" w:line="295" w:lineRule="auto"/>
        <w:ind w:left="280" w:right="418"/>
      </w:pPr>
      <w:r>
        <w:rPr>
          <w:spacing w:val="-2"/>
        </w:rPr>
        <w:t>施工单位编制施工进度计划→专业监理依据进度计划和现场实际情</w:t>
      </w:r>
      <w:r>
        <w:rPr>
          <w:spacing w:val="-2"/>
        </w:rPr>
        <w:t>况进行定期或不定期的巡视。</w:t>
      </w:r>
    </w:p>
    <w:p>
      <w:pPr>
        <w:pStyle w:val="Heading2"/>
        <w:spacing w:before="189"/>
      </w:pPr>
      <w:bookmarkStart w:id="20" w:name="_TOC_250015"/>
      <w:r>
        <w:rPr>
          <w:rFonts w:ascii="Calibri Light" w:eastAsia="Calibri Light"/>
        </w:rPr>
        <w:t>14</w:t>
      </w:r>
      <w:bookmarkEnd w:id="20"/>
      <w:r>
        <w:rPr>
          <w:spacing w:val="-1"/>
        </w:rPr>
        <w:t>、旁站工作管理流程：</w:t>
      </w:r>
    </w:p>
    <w:p>
      <w:pPr>
        <w:pStyle w:val="BodyText"/>
        <w:spacing w:before="14"/>
        <w:rPr>
          <w:rFonts w:ascii="Microsoft JhengHei"/>
          <w:b/>
          <w:sz w:val="19"/>
        </w:rPr>
      </w:pPr>
    </w:p>
    <w:p>
      <w:pPr>
        <w:pStyle w:val="BodyText"/>
        <w:ind w:left="280"/>
      </w:pPr>
      <w:r>
        <w:rPr>
          <w:spacing w:val="-1"/>
        </w:rPr>
        <w:t>施工单位编制工程质量控制点→专业监理编制列出监理旁站计划点</w:t>
      </w:r>
    </w:p>
    <w:p>
      <w:pPr>
        <w:pStyle w:val="BodyText"/>
        <w:spacing w:before="82" w:line="295" w:lineRule="auto"/>
        <w:ind w:left="280" w:right="418"/>
        <w:jc w:val="both"/>
      </w:pPr>
      <w:r>
        <w:rPr>
          <w:spacing w:val="-4"/>
        </w:rPr>
        <w:t xml:space="preserve">→施工单位根据监理旁站计划提前 </w:t>
      </w:r>
      <w:r>
        <w:rPr>
          <w:spacing w:val="-2"/>
        </w:rPr>
        <w:t>24</w:t>
      </w:r>
      <w:r>
        <w:rPr>
          <w:spacing w:val="-8"/>
        </w:rPr>
        <w:t xml:space="preserve"> 小时以书面形式申请旁站→专</w:t>
      </w:r>
      <w:r>
        <w:rPr>
          <w:spacing w:val="-4"/>
        </w:rPr>
        <w:t>业监理实施旁站→发现问题采取口头说服、书面通知、停工整改等手</w:t>
      </w:r>
      <w:r>
        <w:rPr>
          <w:spacing w:val="-2"/>
        </w:rPr>
        <w:t>段→最终达到合格标准予以签字验收。</w:t>
      </w:r>
    </w:p>
    <w:p>
      <w:pPr>
        <w:pStyle w:val="Heading2"/>
        <w:spacing w:before="188"/>
      </w:pPr>
      <w:bookmarkStart w:id="21" w:name="_TOC_250014"/>
      <w:r>
        <w:rPr>
          <w:rFonts w:ascii="Calibri Light" w:eastAsia="Calibri Light"/>
        </w:rPr>
        <w:t>15</w:t>
      </w:r>
      <w:bookmarkEnd w:id="21"/>
      <w:r>
        <w:rPr>
          <w:spacing w:val="-2"/>
        </w:rPr>
        <w:t>、平行检验：</w:t>
      </w:r>
    </w:p>
    <w:p>
      <w:pPr>
        <w:pStyle w:val="BodyText"/>
        <w:spacing w:before="14"/>
        <w:rPr>
          <w:rFonts w:ascii="Microsoft JhengHei"/>
          <w:b/>
          <w:sz w:val="19"/>
        </w:rPr>
      </w:pPr>
    </w:p>
    <w:p>
      <w:pPr>
        <w:pStyle w:val="BodyText"/>
        <w:spacing w:line="295" w:lineRule="auto"/>
        <w:ind w:left="280" w:right="418"/>
      </w:pPr>
      <w:r>
        <w:rPr>
          <w:spacing w:val="-2"/>
        </w:rPr>
        <w:t>平行检验方案报建设单位批准→在施工单位自检→监理单位独立对</w:t>
      </w:r>
      <w:r>
        <w:rPr>
          <w:spacing w:val="-2"/>
        </w:rPr>
        <w:t>于实体工程、进场材料等进行二次检验、剥离检查或送检。</w:t>
      </w:r>
    </w:p>
    <w:p>
      <w:pPr>
        <w:pStyle w:val="Heading1"/>
        <w:spacing w:before="217"/>
      </w:pPr>
      <w:bookmarkStart w:id="22" w:name="_TOC_250013"/>
      <w:bookmarkEnd w:id="22"/>
      <w:r>
        <w:rPr>
          <w:spacing w:val="-1"/>
        </w:rPr>
        <w:t>四．质量控制要点及验收标准</w:t>
      </w:r>
    </w:p>
    <w:p>
      <w:pPr>
        <w:pStyle w:val="Heading2"/>
        <w:spacing w:before="288"/>
      </w:pPr>
      <w:bookmarkStart w:id="23" w:name="_TOC_250012"/>
      <w:r>
        <w:rPr>
          <w:rFonts w:ascii="Calibri Light" w:eastAsia="Calibri Light"/>
        </w:rPr>
        <w:t>1</w:t>
      </w:r>
      <w:bookmarkEnd w:id="23"/>
      <w:r>
        <w:rPr>
          <w:spacing w:val="-2"/>
        </w:rPr>
        <w:t>、屋面工程</w:t>
      </w:r>
    </w:p>
    <w:p>
      <w:pPr>
        <w:pStyle w:val="BodyText"/>
        <w:spacing w:before="14"/>
        <w:rPr>
          <w:rFonts w:ascii="Microsoft JhengHei"/>
          <w:b/>
          <w:sz w:val="21"/>
        </w:rPr>
      </w:pPr>
    </w:p>
    <w:p>
      <w:pPr>
        <w:pStyle w:val="BodyText"/>
        <w:ind w:left="1120"/>
      </w:pPr>
      <w:r>
        <w:t>1）</w:t>
      </w:r>
      <w:r>
        <w:rPr>
          <w:spacing w:val="-2"/>
        </w:rPr>
        <w:t>丙纶防水层施工：</w:t>
      </w:r>
    </w:p>
    <w:p>
      <w:pPr>
        <w:spacing w:after="0"/>
        <w:sectPr>
          <w:pgSz w:w="11910" w:h="16840"/>
          <w:pgMar w:top="1460" w:right="1380" w:bottom="280" w:left="1520" w:header="708" w:footer="708"/>
          <w:pgNumType w:start="18"/>
          <w:cols w:space="708"/>
        </w:sectPr>
      </w:pPr>
    </w:p>
    <w:p>
      <w:pPr>
        <w:pStyle w:val="ListParagraph"/>
        <w:numPr>
          <w:ilvl w:val="1"/>
          <w:numId w:val="27"/>
        </w:numPr>
        <w:tabs>
          <w:tab w:val="left" w:pos="1544"/>
        </w:tabs>
        <w:spacing w:before="34" w:after="0" w:line="295" w:lineRule="auto"/>
        <w:ind w:left="280" w:right="418" w:firstLine="560"/>
        <w:jc w:val="both"/>
        <w:rPr>
          <w:sz w:val="28"/>
        </w:rPr>
      </w:pPr>
      <w:r>
        <w:rPr>
          <w:sz w:val="28"/>
        </w:rPr>
        <w:t>工艺流程</w:t>
      </w:r>
      <w:r>
        <w:rPr>
          <w:spacing w:val="71"/>
          <w:w w:val="150"/>
          <w:sz w:val="28"/>
        </w:rPr>
        <w:t xml:space="preserve">    </w:t>
      </w:r>
      <w:r>
        <w:rPr>
          <w:sz w:val="28"/>
        </w:rPr>
        <w:t>材料检验→检查管道预埋情况→验收基</w:t>
      </w:r>
      <w:r>
        <w:rPr>
          <w:spacing w:val="-94"/>
          <w:sz w:val="28"/>
        </w:rPr>
        <w:t>层</w:t>
      </w:r>
      <w:r>
        <w:rPr>
          <w:spacing w:val="-4"/>
          <w:sz w:val="28"/>
        </w:rPr>
        <w:t>（找平层）</w:t>
      </w:r>
      <w:r>
        <w:rPr>
          <w:spacing w:val="-10"/>
          <w:sz w:val="28"/>
        </w:rPr>
        <w:t>→清理基层→制备粘接胶→处理复杂部位</w:t>
      </w:r>
      <w:r>
        <w:rPr>
          <w:spacing w:val="-4"/>
          <w:sz w:val="28"/>
        </w:rPr>
        <w:t>（或附加层</w:t>
      </w:r>
      <w:r>
        <w:rPr>
          <w:spacing w:val="-55"/>
          <w:sz w:val="28"/>
        </w:rPr>
        <w:t>）→</w:t>
      </w:r>
      <w:r>
        <w:rPr>
          <w:spacing w:val="-2"/>
          <w:sz w:val="28"/>
        </w:rPr>
        <w:t>铺贴复合卷材→蓄水试验→保护层施工→竣工验收</w:t>
      </w:r>
    </w:p>
    <w:p>
      <w:pPr>
        <w:pStyle w:val="ListParagraph"/>
        <w:numPr>
          <w:ilvl w:val="1"/>
          <w:numId w:val="27"/>
        </w:numPr>
        <w:tabs>
          <w:tab w:val="left" w:pos="1541"/>
        </w:tabs>
        <w:spacing w:before="0" w:after="0" w:line="355" w:lineRule="exact"/>
        <w:ind w:left="1541" w:right="0" w:hanging="701"/>
        <w:jc w:val="left"/>
        <w:rPr>
          <w:sz w:val="28"/>
        </w:rPr>
      </w:pPr>
      <w:r>
        <w:rPr>
          <w:spacing w:val="-2"/>
          <w:sz w:val="28"/>
        </w:rPr>
        <w:t>施工方法：</w:t>
      </w:r>
    </w:p>
    <w:p>
      <w:pPr>
        <w:pStyle w:val="BodyText"/>
        <w:tabs>
          <w:tab w:val="left" w:pos="3639"/>
        </w:tabs>
        <w:spacing w:before="81"/>
        <w:ind w:left="280"/>
      </w:pPr>
      <w:r>
        <w:t>①找平层技术要</w:t>
      </w:r>
      <w:r>
        <w:rPr>
          <w:spacing w:val="-10"/>
        </w:rPr>
        <w:t>求</w:t>
      </w:r>
      <w:r>
        <w:tab/>
        <w:t>⑴屋面找平层应符</w:t>
      </w:r>
      <w:r>
        <w:rPr>
          <w:spacing w:val="-95"/>
        </w:rPr>
        <w:t>合</w:t>
      </w:r>
      <w:r>
        <w:t>《屋面工程技术规范</w:t>
      </w:r>
      <w:r>
        <w:rPr>
          <w:spacing w:val="-10"/>
        </w:rPr>
        <w:t>》</w:t>
      </w:r>
    </w:p>
    <w:p>
      <w:pPr>
        <w:pStyle w:val="BodyText"/>
        <w:tabs>
          <w:tab w:val="left" w:pos="5599"/>
        </w:tabs>
        <w:spacing w:before="81" w:line="295" w:lineRule="auto"/>
        <w:ind w:left="280" w:right="325"/>
      </w:pPr>
      <w:r>
        <w:rPr>
          <w:spacing w:val="-2"/>
        </w:rPr>
        <w:t>（GB50207—2002）规定，地</w:t>
      </w:r>
      <w:r>
        <w:rPr>
          <w:spacing w:val="-2"/>
        </w:rPr>
        <w:t>下</w:t>
      </w:r>
      <w:r>
        <w:rPr>
          <w:spacing w:val="-2"/>
        </w:rPr>
        <w:t>防</w:t>
      </w:r>
      <w:r>
        <w:rPr>
          <w:spacing w:val="-2"/>
        </w:rPr>
        <w:t>水找平层应</w:t>
      </w:r>
      <w:r>
        <w:rPr>
          <w:spacing w:val="-2"/>
        </w:rPr>
        <w:t>符</w:t>
      </w:r>
      <w:r>
        <w:rPr>
          <w:spacing w:val="-2"/>
        </w:rPr>
        <w:t>合</w:t>
      </w:r>
      <w:r>
        <w:rPr>
          <w:spacing w:val="-2"/>
        </w:rPr>
        <w:t>《地下工程</w:t>
      </w:r>
      <w:r>
        <w:rPr>
          <w:spacing w:val="-2"/>
        </w:rPr>
        <w:t>防</w:t>
      </w:r>
      <w:r>
        <w:rPr>
          <w:spacing w:val="-2"/>
        </w:rPr>
        <w:t>水</w:t>
      </w:r>
      <w:r>
        <w:rPr>
          <w:spacing w:val="-2"/>
        </w:rPr>
        <w:t>技</w:t>
      </w:r>
      <w:r>
        <w:rPr>
          <w:spacing w:val="-2"/>
        </w:rPr>
        <w:t>术</w:t>
      </w:r>
      <w:r>
        <w:rPr>
          <w:spacing w:val="-2"/>
        </w:rPr>
        <w:t>规</w:t>
      </w:r>
      <w:r>
        <w:rPr>
          <w:spacing w:val="-2"/>
        </w:rPr>
        <w:t>范</w:t>
      </w:r>
      <w:r>
        <w:rPr>
          <w:spacing w:val="-140"/>
        </w:rPr>
        <w:t>》</w:t>
      </w:r>
      <w:r>
        <w:rPr>
          <w:spacing w:val="-2"/>
        </w:rPr>
        <w:t>（GB50208—2002）</w:t>
      </w:r>
      <w:r>
        <w:rPr>
          <w:spacing w:val="-2"/>
        </w:rPr>
        <w:t>规</w:t>
      </w:r>
      <w:r>
        <w:rPr>
          <w:spacing w:val="-2"/>
        </w:rPr>
        <w:t>定</w:t>
      </w:r>
      <w:r>
        <w:rPr>
          <w:spacing w:val="-2"/>
        </w:rPr>
        <w:t>。</w:t>
      </w:r>
      <w:r>
        <w:tab/>
      </w:r>
      <w:r>
        <w:rPr>
          <w:spacing w:val="-2"/>
        </w:rPr>
        <w:t>⑵</w:t>
      </w:r>
      <w:r>
        <w:rPr>
          <w:spacing w:val="-2"/>
        </w:rPr>
        <w:t>找</w:t>
      </w:r>
      <w:r>
        <w:rPr>
          <w:spacing w:val="-2"/>
        </w:rPr>
        <w:t>平</w:t>
      </w:r>
      <w:r>
        <w:rPr>
          <w:spacing w:val="-2"/>
        </w:rPr>
        <w:t>屋</w:t>
      </w:r>
      <w:r>
        <w:rPr>
          <w:spacing w:val="-2"/>
        </w:rPr>
        <w:t>拐</w:t>
      </w:r>
      <w:r>
        <w:rPr>
          <w:spacing w:val="-2"/>
        </w:rPr>
        <w:t>角</w:t>
      </w:r>
      <w:r>
        <w:rPr>
          <w:spacing w:val="-2"/>
        </w:rPr>
        <w:t>处</w:t>
      </w:r>
      <w:r>
        <w:rPr>
          <w:spacing w:val="-2"/>
        </w:rPr>
        <w:t>（</w:t>
      </w:r>
      <w:r>
        <w:rPr>
          <w:spacing w:val="-2"/>
        </w:rPr>
        <w:t>如</w:t>
      </w:r>
      <w:r>
        <w:rPr>
          <w:spacing w:val="-2"/>
        </w:rPr>
        <w:t>墙</w:t>
      </w:r>
      <w:r>
        <w:rPr>
          <w:spacing w:val="-2"/>
        </w:rPr>
        <w:t>、</w:t>
      </w:r>
      <w:r>
        <w:t>烟道、墙角、管道周围）均应做成</w:t>
      </w:r>
      <w:r>
        <w:rPr>
          <w:spacing w:val="-21"/>
        </w:rPr>
        <w:t xml:space="preserve"> </w:t>
      </w:r>
      <w:r>
        <w:t>R=20mm</w:t>
      </w:r>
      <w:r>
        <w:rPr>
          <w:spacing w:val="-21"/>
        </w:rPr>
        <w:t xml:space="preserve"> </w:t>
      </w:r>
      <w:r>
        <w:t>圆角。</w:t>
      </w:r>
    </w:p>
    <w:p>
      <w:pPr>
        <w:pStyle w:val="BodyText"/>
        <w:spacing w:line="295" w:lineRule="auto"/>
        <w:ind w:left="280" w:right="395"/>
        <w:jc w:val="both"/>
      </w:pPr>
      <w:r>
        <w:t>②水泥胶的配制</w:t>
      </w:r>
      <w:r>
        <w:rPr>
          <w:spacing w:val="80"/>
          <w:w w:val="150"/>
        </w:rPr>
        <w:t xml:space="preserve">    </w:t>
      </w:r>
      <w:r>
        <w:t>⑴粘贴防水层时，SBC120</w:t>
      </w:r>
      <w:r>
        <w:rPr>
          <w:spacing w:val="-6"/>
        </w:rPr>
        <w:t xml:space="preserve"> 胶粘剂含量为水</w:t>
      </w:r>
      <w:r>
        <w:rPr>
          <w:spacing w:val="-9"/>
        </w:rPr>
        <w:t xml:space="preserve">泥重量的 </w:t>
      </w:r>
      <w:r>
        <w:rPr>
          <w:spacing w:val="-6"/>
        </w:rPr>
        <w:t>2.5%，即为一袋水泥（50kg）配用一袋胶粘剂</w:t>
      </w:r>
      <w:r>
        <w:rPr>
          <w:spacing w:val="11"/>
        </w:rPr>
        <w:t>（1.25kg</w:t>
      </w:r>
      <w:r>
        <w:rPr>
          <w:spacing w:val="-129"/>
        </w:rPr>
        <w:t>）</w:t>
      </w:r>
      <w:r>
        <w:rPr>
          <w:spacing w:val="-6"/>
        </w:rPr>
        <w:t>。</w:t>
      </w:r>
      <w:r>
        <w:rPr>
          <w:spacing w:val="-5"/>
        </w:rPr>
        <w:t xml:space="preserve">配制时将一袋胶粘剂与 </w:t>
      </w:r>
      <w:r>
        <w:rPr>
          <w:spacing w:val="-2"/>
        </w:rPr>
        <w:t>6kg～10kg</w:t>
      </w:r>
      <w:r>
        <w:rPr>
          <w:spacing w:val="-14"/>
        </w:rPr>
        <w:t xml:space="preserve"> 的水泥干混均匀，然后边搅拌边将</w:t>
      </w:r>
      <w:r>
        <w:rPr>
          <w:spacing w:val="-10"/>
        </w:rPr>
        <w:t xml:space="preserve">其加入到 </w:t>
      </w:r>
      <w:r>
        <w:rPr>
          <w:spacing w:val="-4"/>
        </w:rPr>
        <w:t>27.5kg～32.5kg</w:t>
      </w:r>
      <w:r>
        <w:rPr>
          <w:spacing w:val="-12"/>
        </w:rPr>
        <w:t xml:space="preserve"> 的水中</w:t>
      </w:r>
      <w:r>
        <w:rPr>
          <w:spacing w:val="-4"/>
        </w:rPr>
        <w:t>（</w:t>
      </w:r>
      <w:r>
        <w:rPr>
          <w:spacing w:val="-7"/>
        </w:rPr>
        <w:t xml:space="preserve">相当于水泥重量的 </w:t>
      </w:r>
      <w:r>
        <w:rPr>
          <w:spacing w:val="10"/>
        </w:rPr>
        <w:t>55%</w:t>
      </w:r>
      <w:r>
        <w:rPr>
          <w:spacing w:val="16"/>
        </w:rPr>
        <w:t>～</w:t>
      </w:r>
      <w:r>
        <w:rPr>
          <w:spacing w:val="10"/>
        </w:rPr>
        <w:t>65%</w:t>
      </w:r>
      <w:r>
        <w:rPr>
          <w:spacing w:val="-124"/>
        </w:rPr>
        <w:t>）</w:t>
      </w:r>
      <w:r>
        <w:rPr>
          <w:spacing w:val="10"/>
        </w:rPr>
        <w:t>，</w:t>
      </w:r>
      <w:r>
        <w:rPr>
          <w:spacing w:val="-4"/>
        </w:rPr>
        <w:t>搅拌均匀后逐渐加入剩余的水泥，边加入边搅拌，搅拌至无凝块、无</w:t>
      </w:r>
      <w:r>
        <w:t>沉淀、无气泡即可使用。⑵粘结隔汽层时，SBC120 胶粘剂含量为水</w:t>
      </w:r>
      <w:r>
        <w:rPr>
          <w:spacing w:val="-9"/>
        </w:rPr>
        <w:t xml:space="preserve">泥重量的 </w:t>
      </w:r>
      <w:r>
        <w:t>1.5%，即一袋水泥（50kg）配用一袋胶</w:t>
      </w:r>
    </w:p>
    <w:p>
      <w:pPr>
        <w:pStyle w:val="BodyText"/>
        <w:spacing w:line="295" w:lineRule="auto"/>
        <w:ind w:left="280" w:right="325"/>
      </w:pPr>
      <w:r>
        <w:rPr>
          <w:spacing w:val="-4"/>
        </w:rPr>
        <w:t>粘剂</w:t>
      </w:r>
      <w:r>
        <w:rPr>
          <w:spacing w:val="13"/>
        </w:rPr>
        <w:t>（0.75kg</w:t>
      </w:r>
      <w:r>
        <w:rPr>
          <w:spacing w:val="-127"/>
        </w:rPr>
        <w:t>）</w:t>
      </w:r>
      <w:r>
        <w:rPr>
          <w:spacing w:val="-10"/>
        </w:rPr>
        <w:t xml:space="preserve">。配制时将一袋胶粘剂与 </w:t>
      </w:r>
      <w:r>
        <w:rPr>
          <w:spacing w:val="-4"/>
        </w:rPr>
        <w:t>4kg～8kg</w:t>
      </w:r>
      <w:r>
        <w:rPr>
          <w:spacing w:val="-13"/>
        </w:rPr>
        <w:t xml:space="preserve"> 的水泥干混均匀，</w:t>
      </w:r>
      <w:r>
        <w:rPr>
          <w:spacing w:val="-2"/>
        </w:rPr>
        <w:t xml:space="preserve">然后边搅拌边将其加入到 </w:t>
      </w:r>
      <w:r>
        <w:t>27.5kg～32.5kg</w:t>
      </w:r>
      <w:r>
        <w:rPr>
          <w:spacing w:val="-6"/>
        </w:rPr>
        <w:t xml:space="preserve"> 的水中</w:t>
      </w:r>
      <w:r>
        <w:t>（相当于水泥重量</w:t>
      </w:r>
      <w:r>
        <w:rPr>
          <w:spacing w:val="-23"/>
        </w:rPr>
        <w:t xml:space="preserve">的 </w:t>
      </w:r>
      <w:r>
        <w:rPr>
          <w:spacing w:val="12"/>
        </w:rPr>
        <w:t>55%～65%</w:t>
      </w:r>
      <w:r>
        <w:rPr>
          <w:spacing w:val="-128"/>
        </w:rPr>
        <w:t>）</w:t>
      </w:r>
      <w:r>
        <w:rPr>
          <w:spacing w:val="-4"/>
        </w:rPr>
        <w:t>，搅拌均匀后逐渐加入剩余的水泥，边加水边搅拌，搅</w:t>
      </w:r>
      <w:r>
        <w:rPr>
          <w:spacing w:val="-2"/>
        </w:rPr>
        <w:t>拌至无凝块、无汽泡可使用。</w:t>
      </w:r>
    </w:p>
    <w:p>
      <w:pPr>
        <w:pStyle w:val="BodyText"/>
        <w:spacing w:line="295" w:lineRule="auto"/>
        <w:ind w:left="280" w:right="278"/>
        <w:jc w:val="both"/>
      </w:pPr>
      <w:r>
        <w:t>③丙纶卷材施工 ⑴施工前必须对找平层进行验收，验收合格后方可</w:t>
      </w:r>
      <w:r>
        <w:rPr>
          <w:spacing w:val="-11"/>
        </w:rPr>
        <w:t>进行。⑵施工前，用小铲铲掉落地灰等杂物，用扫帚清扫干净基层表</w:t>
      </w:r>
      <w:r>
        <w:rPr>
          <w:spacing w:val="4"/>
        </w:rPr>
        <w:t xml:space="preserve">面的垃圾和灰尘。⑶屋面复合防水卷材粘贴方向按 </w:t>
      </w:r>
      <w:r>
        <w:t>GB50207—2002</w:t>
      </w:r>
      <w:r>
        <w:rPr>
          <w:spacing w:val="-35"/>
        </w:rPr>
        <w:t xml:space="preserve">第 </w:t>
      </w:r>
      <w:r>
        <w:t>4.3.5</w:t>
      </w:r>
      <w:r>
        <w:rPr>
          <w:spacing w:val="-15"/>
        </w:rPr>
        <w:t xml:space="preserve"> 条规定确定。⑷复合卷材铺贴时，先在铺贴部位将复合卷材</w:t>
      </w:r>
      <w:r>
        <w:rPr>
          <w:spacing w:val="-34"/>
        </w:rPr>
        <w:t xml:space="preserve">预放 </w:t>
      </w:r>
      <w:r>
        <w:t>3mm～12mm</w:t>
      </w:r>
      <w:r>
        <w:rPr>
          <w:spacing w:val="-5"/>
        </w:rPr>
        <w:t>，找正方向后，在中间固定，将卷材一端卷至固定处</w:t>
      </w:r>
      <w:r>
        <w:rPr>
          <w:spacing w:val="-11"/>
        </w:rPr>
        <w:t>粘贴，这端粘贴完毕后，再将预防的卷材另一端卷回至已粘贴好的位</w:t>
      </w:r>
      <w:r>
        <w:rPr>
          <w:spacing w:val="-16"/>
        </w:rPr>
        <w:t>置，连续铺贴直至整幅完成。⑸铺贴方法：将水泥胶用毛刷涂到基层</w:t>
      </w:r>
      <w:r>
        <w:rPr>
          <w:spacing w:val="-3"/>
        </w:rPr>
        <w:t xml:space="preserve">和卷材对应的表面上厚约 </w:t>
      </w:r>
      <w:r>
        <w:t>10mm</w:t>
      </w:r>
      <w:r>
        <w:rPr>
          <w:spacing w:val="3"/>
        </w:rPr>
        <w:t>，然后粘贴卷材，同时在卷材上表面</w:t>
      </w:r>
      <w:r>
        <w:rPr>
          <w:spacing w:val="-5"/>
        </w:rPr>
        <w:t>刮板将粘接面排气压实，排出多余部分粘接胶。⑹垂直面复合卷材粘</w:t>
      </w:r>
      <w:r>
        <w:rPr>
          <w:spacing w:val="-11"/>
        </w:rPr>
        <w:t>贴必须纵向粘贴，自上而下对正，自下向上排气压实，要求基层与卷</w:t>
      </w:r>
      <w:r>
        <w:rPr>
          <w:spacing w:val="-6"/>
        </w:rPr>
        <w:t xml:space="preserve">材同时毛刷涂胶，厚度均约 </w:t>
      </w:r>
      <w:r>
        <w:t>10mm。⑺接缝施工 ：A</w:t>
      </w:r>
      <w:r>
        <w:rPr>
          <w:spacing w:val="-10"/>
        </w:rPr>
        <w:t xml:space="preserve"> 接缝涂胶部位要</w:t>
      </w:r>
      <w:r>
        <w:rPr>
          <w:spacing w:val="-19"/>
        </w:rPr>
        <w:t>求基层干净、干燥。</w:t>
      </w:r>
      <w:r>
        <w:t>B</w:t>
      </w:r>
      <w:r>
        <w:rPr>
          <w:spacing w:val="-13"/>
        </w:rPr>
        <w:t xml:space="preserve"> 用水泥胶接缝时，接缝与卷材粘贴可同时进行，</w:t>
      </w:r>
    </w:p>
    <w:p>
      <w:pPr>
        <w:spacing w:after="0" w:line="295" w:lineRule="auto"/>
        <w:jc w:val="both"/>
        <w:sectPr>
          <w:pgSz w:w="11910" w:h="16840"/>
          <w:pgMar w:top="1460" w:right="1380" w:bottom="280" w:left="1520" w:header="708" w:footer="708"/>
          <w:pgNumType w:start="19"/>
          <w:cols w:space="708"/>
        </w:sectPr>
      </w:pPr>
    </w:p>
    <w:p>
      <w:pPr>
        <w:pStyle w:val="BodyText"/>
        <w:tabs>
          <w:tab w:val="left" w:pos="6335"/>
        </w:tabs>
        <w:spacing w:before="34" w:line="295" w:lineRule="auto"/>
        <w:ind w:left="280" w:right="278"/>
      </w:pPr>
      <w:r>
        <w:t>两</w:t>
      </w:r>
      <w:r>
        <w:t>个</w:t>
      </w:r>
      <w:r>
        <w:t>粘</w:t>
      </w:r>
      <w:r>
        <w:t>贴</w:t>
      </w:r>
      <w:r>
        <w:t>面</w:t>
      </w:r>
      <w:r>
        <w:t>可</w:t>
      </w:r>
      <w:r>
        <w:t>同</w:t>
      </w:r>
      <w:r>
        <w:t>时</w:t>
      </w:r>
      <w:r>
        <w:t>涂</w:t>
      </w:r>
      <w:r>
        <w:t>胶</w:t>
      </w:r>
      <w:r>
        <w:t>，</w:t>
      </w:r>
      <w:r>
        <w:t>接</w:t>
      </w:r>
      <w:r>
        <w:t>缝</w:t>
      </w:r>
      <w:r>
        <w:t>满</w:t>
      </w:r>
      <w:r>
        <w:t>贴</w:t>
      </w:r>
      <w:r>
        <w:t>，</w:t>
      </w:r>
      <w:r>
        <w:t>胶</w:t>
      </w:r>
      <w:r>
        <w:t>层</w:t>
      </w:r>
      <w:r>
        <w:t>厚</w:t>
      </w:r>
      <w:r>
        <w:t>度</w:t>
      </w:r>
      <w:r>
        <w:t>为</w:t>
      </w:r>
      <w:r>
        <w:rPr>
          <w:spacing w:val="-31"/>
        </w:rPr>
        <w:t xml:space="preserve"> </w:t>
      </w:r>
      <w:r>
        <w:t>1.0mm～1.6mm，接缝</w:t>
      </w:r>
      <w:r>
        <w:t>压</w:t>
      </w:r>
      <w:r>
        <w:t>实</w:t>
      </w:r>
      <w:r>
        <w:t>后</w:t>
      </w:r>
      <w:r>
        <w:t>在</w:t>
      </w:r>
      <w:r>
        <w:t>接</w:t>
      </w:r>
      <w:r>
        <w:t>缝</w:t>
      </w:r>
      <w:r>
        <w:t>边</w:t>
      </w:r>
      <w:r>
        <w:t>缘</w:t>
      </w:r>
      <w:r>
        <w:t>再</w:t>
      </w:r>
      <w:r>
        <w:t>涂</w:t>
      </w:r>
      <w:r>
        <w:t>刷</w:t>
      </w:r>
      <w:r>
        <w:t>一</w:t>
      </w:r>
      <w:r>
        <w:t>层</w:t>
      </w:r>
      <w:r>
        <w:t>水</w:t>
      </w:r>
      <w:r>
        <w:t>泥</w:t>
      </w:r>
      <w:r>
        <w:t>胶</w:t>
      </w:r>
      <w:r>
        <w:t>，</w:t>
      </w:r>
      <w:r>
        <w:t>厚</w:t>
      </w:r>
      <w:r>
        <w:t>度</w:t>
      </w:r>
      <w:r>
        <w:t>为</w:t>
      </w:r>
      <w:r>
        <w:rPr>
          <w:spacing w:val="-31"/>
        </w:rPr>
        <w:t xml:space="preserve"> </w:t>
      </w:r>
      <w:r>
        <w:t>0.8mm～1.0mm，涂刷</w:t>
      </w:r>
      <w:r>
        <w:t>宽</w:t>
      </w:r>
      <w:r>
        <w:t>度</w:t>
      </w:r>
      <w:r>
        <w:t>从</w:t>
      </w:r>
      <w:r>
        <w:t>接</w:t>
      </w:r>
      <w:r>
        <w:t>缝</w:t>
      </w:r>
      <w:r>
        <w:t>边</w:t>
      </w:r>
      <w:r>
        <w:t>缘</w:t>
      </w:r>
      <w:r>
        <w:t>向</w:t>
      </w:r>
      <w:r>
        <w:t>两</w:t>
      </w:r>
      <w:r>
        <w:t>边</w:t>
      </w:r>
      <w:r>
        <w:t>延</w:t>
      </w:r>
      <w:r>
        <w:t>伸</w:t>
      </w:r>
      <w:r>
        <w:rPr>
          <w:spacing w:val="-33"/>
        </w:rPr>
        <w:t xml:space="preserve"> </w:t>
      </w:r>
      <w:r>
        <w:t>30mm，</w:t>
      </w:r>
      <w:r>
        <w:t>接</w:t>
      </w:r>
      <w:r>
        <w:t>缝</w:t>
      </w:r>
      <w:r>
        <w:t>不</w:t>
      </w:r>
      <w:r>
        <w:t>允</w:t>
      </w:r>
      <w:r>
        <w:t>许</w:t>
      </w:r>
      <w:r>
        <w:t>有</w:t>
      </w:r>
      <w:r>
        <w:t>露</w:t>
      </w:r>
      <w:r>
        <w:t>底</w:t>
      </w:r>
      <w:r>
        <w:t>、</w:t>
      </w:r>
      <w:r>
        <w:t>打</w:t>
      </w:r>
      <w:r>
        <w:t>皱</w:t>
      </w:r>
      <w:r>
        <w:t>、</w:t>
      </w:r>
      <w:r>
        <w:t>翘曲、</w:t>
      </w:r>
      <w:r>
        <w:t>起空现象。⑻屋面隔汽层施工</w:t>
      </w:r>
      <w:r>
        <w:rPr>
          <w:spacing w:val="-65"/>
        </w:rPr>
        <w:t xml:space="preserve"> </w:t>
      </w:r>
      <w:r>
        <w:t>A</w:t>
      </w:r>
      <w:r>
        <w:rPr>
          <w:spacing w:val="-65"/>
        </w:rPr>
        <w:t xml:space="preserve"> </w:t>
      </w:r>
      <w:r>
        <w:t>隔汽层施工前，</w:t>
      </w:r>
      <w:r>
        <w:t>对基层、</w:t>
      </w:r>
      <w:r>
        <w:t>施工环</w:t>
      </w:r>
      <w:r>
        <w:rPr>
          <w:spacing w:val="-2"/>
        </w:rPr>
        <w:t>境</w:t>
      </w:r>
      <w:r>
        <w:rPr>
          <w:spacing w:val="-2"/>
        </w:rPr>
        <w:t>等</w:t>
      </w:r>
      <w:r>
        <w:rPr>
          <w:spacing w:val="-2"/>
        </w:rPr>
        <w:t>要</w:t>
      </w:r>
      <w:r>
        <w:rPr>
          <w:spacing w:val="-2"/>
        </w:rPr>
        <w:t>求</w:t>
      </w:r>
      <w:r>
        <w:rPr>
          <w:spacing w:val="-2"/>
        </w:rPr>
        <w:t>与</w:t>
      </w:r>
      <w:r>
        <w:rPr>
          <w:spacing w:val="-2"/>
        </w:rPr>
        <w:t>防</w:t>
      </w:r>
      <w:r>
        <w:rPr>
          <w:spacing w:val="-2"/>
        </w:rPr>
        <w:t>水</w:t>
      </w:r>
      <w:r>
        <w:rPr>
          <w:spacing w:val="-2"/>
        </w:rPr>
        <w:t>层</w:t>
      </w:r>
      <w:r>
        <w:rPr>
          <w:spacing w:val="-2"/>
        </w:rPr>
        <w:t>施</w:t>
      </w:r>
      <w:r>
        <w:rPr>
          <w:spacing w:val="-2"/>
        </w:rPr>
        <w:t>工</w:t>
      </w:r>
      <w:r>
        <w:rPr>
          <w:spacing w:val="-2"/>
        </w:rPr>
        <w:t>前</w:t>
      </w:r>
      <w:r>
        <w:rPr>
          <w:spacing w:val="-2"/>
        </w:rPr>
        <w:t>要</w:t>
      </w:r>
      <w:r>
        <w:rPr>
          <w:spacing w:val="-2"/>
        </w:rPr>
        <w:t>求</w:t>
      </w:r>
      <w:r>
        <w:rPr>
          <w:spacing w:val="-2"/>
        </w:rPr>
        <w:t>相</w:t>
      </w:r>
      <w:r>
        <w:rPr>
          <w:spacing w:val="-2"/>
        </w:rPr>
        <w:t>同</w:t>
      </w:r>
      <w:r>
        <w:rPr>
          <w:spacing w:val="-95"/>
        </w:rPr>
        <w:t>。</w:t>
      </w:r>
      <w:r>
        <w:rPr>
          <w:spacing w:val="-2"/>
        </w:rPr>
        <w:t>复</w:t>
      </w:r>
      <w:r>
        <w:rPr>
          <w:spacing w:val="-2"/>
        </w:rPr>
        <w:t>杂</w:t>
      </w:r>
      <w:r>
        <w:rPr>
          <w:spacing w:val="-2"/>
        </w:rPr>
        <w:t>部</w:t>
      </w:r>
      <w:r>
        <w:rPr>
          <w:spacing w:val="-2"/>
        </w:rPr>
        <w:t>位</w:t>
      </w:r>
      <w:r>
        <w:rPr>
          <w:spacing w:val="-2"/>
        </w:rPr>
        <w:t>处</w:t>
      </w:r>
      <w:r>
        <w:rPr>
          <w:spacing w:val="-2"/>
        </w:rPr>
        <w:t>理</w:t>
      </w:r>
      <w:r>
        <w:rPr>
          <w:spacing w:val="-2"/>
        </w:rPr>
        <w:t>与</w:t>
      </w:r>
      <w:r>
        <w:rPr>
          <w:spacing w:val="-2"/>
        </w:rPr>
        <w:t>屋</w:t>
      </w:r>
      <w:r>
        <w:rPr>
          <w:spacing w:val="-2"/>
        </w:rPr>
        <w:t>面</w:t>
      </w:r>
      <w:r>
        <w:rPr>
          <w:spacing w:val="-2"/>
        </w:rPr>
        <w:t>防</w:t>
      </w:r>
      <w:r>
        <w:rPr>
          <w:spacing w:val="-2"/>
        </w:rPr>
        <w:t>水</w:t>
      </w:r>
      <w:r>
        <w:rPr>
          <w:spacing w:val="-2"/>
        </w:rPr>
        <w:t>层</w:t>
      </w:r>
      <w:r>
        <w:rPr>
          <w:spacing w:val="-2"/>
        </w:rPr>
        <w:t>复</w:t>
      </w:r>
      <w:r>
        <w:rPr>
          <w:spacing w:val="-2"/>
        </w:rPr>
        <w:t>杂</w:t>
      </w:r>
      <w:r>
        <w:t>部位处理相同。</w:t>
      </w:r>
      <w:r>
        <w:rPr>
          <w:spacing w:val="80"/>
        </w:rPr>
        <w:t xml:space="preserve"> </w:t>
      </w:r>
      <w:r>
        <w:t>B</w:t>
      </w:r>
      <w:r>
        <w:rPr>
          <w:spacing w:val="-57"/>
        </w:rPr>
        <w:t xml:space="preserve"> </w:t>
      </w:r>
      <w:r>
        <w:t>接缝采用垫条对接方式，用</w:t>
      </w:r>
      <w:r>
        <w:rPr>
          <w:spacing w:val="-57"/>
        </w:rPr>
        <w:t xml:space="preserve"> </w:t>
      </w:r>
      <w:r>
        <w:t>300g/m2</w:t>
      </w:r>
      <w:r>
        <w:rPr>
          <w:spacing w:val="-57"/>
        </w:rPr>
        <w:t xml:space="preserve"> </w:t>
      </w:r>
      <w:r>
        <w:t>双面复合卷材作垫层，</w:t>
      </w:r>
      <w:r>
        <w:t>先将大于</w:t>
      </w:r>
      <w:r>
        <w:rPr>
          <w:spacing w:val="-65"/>
        </w:rPr>
        <w:t xml:space="preserve"> </w:t>
      </w:r>
      <w:r>
        <w:t>200mm</w:t>
      </w:r>
      <w:r>
        <w:rPr>
          <w:spacing w:val="-65"/>
        </w:rPr>
        <w:t xml:space="preserve"> </w:t>
      </w:r>
      <w:r>
        <w:t>宽的垫条用水泥胶铺贴在接缝位置上，然后</w:t>
      </w:r>
      <w:r>
        <w:t>铺</w:t>
      </w:r>
      <w:r>
        <w:t>贴</w:t>
      </w:r>
      <w:r>
        <w:t>单</w:t>
      </w:r>
      <w:r>
        <w:t>面</w:t>
      </w:r>
      <w:r>
        <w:t>复</w:t>
      </w:r>
      <w:r>
        <w:t>合</w:t>
      </w:r>
      <w:r>
        <w:t>卷</w:t>
      </w:r>
      <w:r>
        <w:t>材</w:t>
      </w:r>
      <w:r>
        <w:t>。 ⑼</w:t>
      </w:r>
      <w:r>
        <w:t>复</w:t>
      </w:r>
      <w:r>
        <w:t>杂</w:t>
      </w:r>
      <w:r>
        <w:t>部</w:t>
      </w:r>
      <w:r>
        <w:t>位</w:t>
      </w:r>
      <w:r>
        <w:t>处</w:t>
      </w:r>
      <w:r>
        <w:t>理</w:t>
        <w:tab/>
      </w:r>
      <w:r>
        <w:rPr>
          <w:spacing w:val="-2"/>
        </w:rPr>
        <w:t>防</w:t>
      </w:r>
      <w:r>
        <w:rPr>
          <w:spacing w:val="-2"/>
        </w:rPr>
        <w:t>水</w:t>
      </w:r>
      <w:r>
        <w:rPr>
          <w:spacing w:val="-2"/>
        </w:rPr>
        <w:t>层</w:t>
      </w:r>
      <w:r>
        <w:rPr>
          <w:spacing w:val="-2"/>
        </w:rPr>
        <w:t>施</w:t>
      </w:r>
      <w:r>
        <w:rPr>
          <w:spacing w:val="-2"/>
        </w:rPr>
        <w:t>工</w:t>
      </w:r>
      <w:r>
        <w:rPr>
          <w:spacing w:val="-2"/>
        </w:rPr>
        <w:t>前</w:t>
      </w:r>
      <w:r>
        <w:rPr>
          <w:spacing w:val="-2"/>
        </w:rPr>
        <w:t>，</w:t>
      </w:r>
      <w:r>
        <w:rPr>
          <w:spacing w:val="-2"/>
        </w:rPr>
        <w:t>应</w:t>
      </w:r>
      <w:r>
        <w:rPr>
          <w:spacing w:val="-2"/>
        </w:rPr>
        <w:t>按</w:t>
      </w:r>
      <w:r>
        <w:rPr>
          <w:spacing w:val="-2"/>
        </w:rPr>
        <w:t>图</w:t>
      </w:r>
      <w:r>
        <w:rPr>
          <w:spacing w:val="-2"/>
        </w:rPr>
        <w:t>纸</w:t>
      </w:r>
      <w:r>
        <w:rPr>
          <w:spacing w:val="-2"/>
        </w:rPr>
        <w:t>要</w:t>
      </w:r>
      <w:r>
        <w:rPr>
          <w:spacing w:val="-2"/>
        </w:rPr>
        <w:t>求</w:t>
      </w:r>
      <w:r>
        <w:rPr>
          <w:spacing w:val="-2"/>
        </w:rPr>
        <w:t>先</w:t>
      </w:r>
      <w:r>
        <w:rPr>
          <w:spacing w:val="-2"/>
        </w:rPr>
        <w:t>做</w:t>
      </w:r>
      <w:r>
        <w:rPr>
          <w:spacing w:val="-2"/>
        </w:rPr>
        <w:t>好</w:t>
      </w:r>
      <w:r>
        <w:rPr>
          <w:spacing w:val="-2"/>
        </w:rPr>
        <w:t>复</w:t>
      </w:r>
      <w:r>
        <w:rPr>
          <w:spacing w:val="-2"/>
        </w:rPr>
        <w:t>杂</w:t>
      </w:r>
      <w:r>
        <w:rPr>
          <w:spacing w:val="-2"/>
        </w:rPr>
        <w:t>部</w:t>
      </w:r>
      <w:r>
        <w:rPr>
          <w:spacing w:val="-59"/>
        </w:rPr>
        <w:t>位</w:t>
      </w:r>
      <w:r>
        <w:rPr>
          <w:spacing w:val="-2"/>
        </w:rPr>
        <w:t>（</w:t>
      </w:r>
      <w:r>
        <w:rPr>
          <w:spacing w:val="-2"/>
        </w:rPr>
        <w:t>屋</w:t>
      </w:r>
      <w:r>
        <w:rPr>
          <w:spacing w:val="-2"/>
        </w:rPr>
        <w:t>面</w:t>
      </w:r>
      <w:r>
        <w:rPr>
          <w:spacing w:val="-2"/>
        </w:rPr>
        <w:t>的</w:t>
      </w:r>
      <w:r>
        <w:rPr>
          <w:spacing w:val="-2"/>
        </w:rPr>
        <w:t>凸</w:t>
      </w:r>
      <w:r>
        <w:rPr>
          <w:spacing w:val="-2"/>
        </w:rPr>
        <w:t>出</w:t>
      </w:r>
      <w:r>
        <w:rPr>
          <w:spacing w:val="-2"/>
        </w:rPr>
        <w:t>部</w:t>
      </w:r>
      <w:r>
        <w:rPr>
          <w:spacing w:val="-2"/>
        </w:rPr>
        <w:t>位</w:t>
      </w:r>
      <w:r>
        <w:rPr>
          <w:spacing w:val="-59"/>
        </w:rPr>
        <w:t>、</w:t>
      </w:r>
      <w:r>
        <w:rPr>
          <w:spacing w:val="-2"/>
        </w:rPr>
        <w:t>雨</w:t>
      </w:r>
      <w:r>
        <w:rPr>
          <w:spacing w:val="-2"/>
        </w:rPr>
        <w:t>水</w:t>
      </w:r>
      <w:r>
        <w:rPr>
          <w:spacing w:val="-2"/>
        </w:rPr>
        <w:t>口</w:t>
      </w:r>
      <w:r>
        <w:rPr>
          <w:spacing w:val="-59"/>
        </w:rPr>
        <w:t>、</w:t>
      </w:r>
      <w:r>
        <w:rPr>
          <w:spacing w:val="-2"/>
        </w:rPr>
        <w:t>天</w:t>
      </w:r>
      <w:r>
        <w:rPr>
          <w:spacing w:val="-2"/>
        </w:rPr>
        <w:t>沟</w:t>
      </w:r>
      <w:r>
        <w:rPr>
          <w:spacing w:val="-59"/>
        </w:rPr>
        <w:t>、</w:t>
      </w:r>
      <w:r>
        <w:rPr>
          <w:spacing w:val="-2"/>
        </w:rPr>
        <w:t>檐</w:t>
      </w:r>
      <w:r>
        <w:rPr>
          <w:spacing w:val="-2"/>
        </w:rPr>
        <w:t>口</w:t>
      </w:r>
      <w:r>
        <w:rPr>
          <w:spacing w:val="-2"/>
        </w:rPr>
        <w:t>、</w:t>
      </w:r>
      <w:r>
        <w:rPr>
          <w:spacing w:val="17"/>
        </w:rPr>
        <w:t>地</w:t>
      </w:r>
      <w:r>
        <w:rPr>
          <w:spacing w:val="17"/>
        </w:rPr>
        <w:t>下</w:t>
      </w:r>
      <w:r>
        <w:rPr>
          <w:spacing w:val="17"/>
        </w:rPr>
        <w:t>防</w:t>
      </w:r>
      <w:r>
        <w:rPr>
          <w:spacing w:val="17"/>
        </w:rPr>
        <w:t>水</w:t>
      </w:r>
      <w:r>
        <w:rPr>
          <w:spacing w:val="17"/>
        </w:rPr>
        <w:t>阴</w:t>
      </w:r>
      <w:r>
        <w:rPr>
          <w:spacing w:val="17"/>
        </w:rPr>
        <w:t>阳</w:t>
      </w:r>
      <w:r>
        <w:rPr>
          <w:spacing w:val="17"/>
        </w:rPr>
        <w:t>角</w:t>
      </w:r>
      <w:r>
        <w:rPr>
          <w:spacing w:val="17"/>
        </w:rPr>
        <w:t>、</w:t>
      </w:r>
      <w:r>
        <w:rPr>
          <w:spacing w:val="17"/>
        </w:rPr>
        <w:t>穿</w:t>
      </w:r>
      <w:r>
        <w:rPr>
          <w:spacing w:val="17"/>
        </w:rPr>
        <w:t>墙</w:t>
      </w:r>
      <w:r>
        <w:rPr>
          <w:spacing w:val="17"/>
        </w:rPr>
        <w:t>管</w:t>
      </w:r>
      <w:r>
        <w:rPr>
          <w:spacing w:val="17"/>
        </w:rPr>
        <w:t>等</w:t>
      </w:r>
      <w:r>
        <w:rPr>
          <w:spacing w:val="-121"/>
        </w:rPr>
        <w:t>）</w:t>
      </w:r>
      <w:r>
        <w:rPr>
          <w:spacing w:val="19"/>
        </w:rPr>
        <w:t>，</w:t>
      </w:r>
      <w:r>
        <w:rPr>
          <w:spacing w:val="17"/>
        </w:rPr>
        <w:t>的</w:t>
      </w:r>
      <w:r>
        <w:rPr>
          <w:spacing w:val="17"/>
        </w:rPr>
        <w:t>附</w:t>
      </w:r>
      <w:r>
        <w:rPr>
          <w:spacing w:val="17"/>
        </w:rPr>
        <w:t>加</w:t>
      </w:r>
      <w:r>
        <w:rPr>
          <w:spacing w:val="17"/>
        </w:rPr>
        <w:t>层</w:t>
      </w:r>
      <w:r>
        <w:rPr>
          <w:spacing w:val="17"/>
        </w:rPr>
        <w:t>，</w:t>
      </w:r>
      <w:r>
        <w:rPr>
          <w:spacing w:val="17"/>
        </w:rPr>
        <w:t>复</w:t>
      </w:r>
      <w:r>
        <w:rPr>
          <w:spacing w:val="17"/>
        </w:rPr>
        <w:t>杂</w:t>
      </w:r>
      <w:r>
        <w:rPr>
          <w:spacing w:val="17"/>
        </w:rPr>
        <w:t>部</w:t>
      </w:r>
      <w:r>
        <w:rPr>
          <w:spacing w:val="17"/>
        </w:rPr>
        <w:t>位</w:t>
      </w:r>
      <w:r>
        <w:rPr>
          <w:spacing w:val="17"/>
        </w:rPr>
        <w:t>的</w:t>
      </w:r>
      <w:r>
        <w:rPr>
          <w:spacing w:val="17"/>
        </w:rPr>
        <w:t>附</w:t>
      </w:r>
      <w:r>
        <w:rPr>
          <w:spacing w:val="17"/>
        </w:rPr>
        <w:t>加</w:t>
      </w:r>
      <w:r>
        <w:rPr>
          <w:spacing w:val="17"/>
        </w:rPr>
        <w:t>层</w:t>
      </w:r>
      <w:r>
        <w:t>用 250g/m2～300g/m2</w:t>
      </w:r>
      <w:r>
        <w:rPr>
          <w:spacing w:val="-41"/>
        </w:rPr>
        <w:t xml:space="preserve"> </w:t>
      </w:r>
      <w:r>
        <w:t>复</w:t>
      </w:r>
      <w:r>
        <w:t>合</w:t>
      </w:r>
      <w:r>
        <w:t>卷</w:t>
      </w:r>
      <w:r>
        <w:t>材</w:t>
      </w:r>
      <w:r>
        <w:t>，</w:t>
      </w:r>
      <w:r>
        <w:t>水</w:t>
      </w:r>
      <w:r>
        <w:t>泥</w:t>
      </w:r>
      <w:r>
        <w:t>胶</w:t>
      </w:r>
      <w:r>
        <w:t>处</w:t>
      </w:r>
      <w:r>
        <w:t>理</w:t>
      </w:r>
      <w:r>
        <w:t>粘</w:t>
      </w:r>
      <w:r>
        <w:t>接</w:t>
      </w:r>
      <w:r>
        <w:t>。</w:t>
      </w:r>
      <w:r>
        <w:t>复</w:t>
      </w:r>
      <w:r>
        <w:t>杂</w:t>
      </w:r>
      <w:r>
        <w:t>部</w:t>
      </w:r>
      <w:r>
        <w:t>位</w:t>
      </w:r>
      <w:r>
        <w:t>处</w:t>
      </w:r>
      <w:r>
        <w:t>理</w:t>
      </w:r>
      <w:r>
        <w:t>与</w:t>
      </w:r>
      <w:r>
        <w:t>其</w:t>
      </w:r>
      <w:r>
        <w:rPr>
          <w:spacing w:val="-2"/>
        </w:rPr>
        <w:t>他</w:t>
      </w:r>
      <w:r>
        <w:rPr>
          <w:spacing w:val="-2"/>
        </w:rPr>
        <w:t>卷</w:t>
      </w:r>
      <w:r>
        <w:rPr>
          <w:spacing w:val="-2"/>
        </w:rPr>
        <w:t>材</w:t>
      </w:r>
      <w:r>
        <w:rPr>
          <w:spacing w:val="-2"/>
        </w:rPr>
        <w:t>施</w:t>
      </w:r>
      <w:r>
        <w:rPr>
          <w:spacing w:val="-2"/>
        </w:rPr>
        <w:t>工</w:t>
      </w:r>
      <w:r>
        <w:rPr>
          <w:spacing w:val="-2"/>
        </w:rPr>
        <w:t>类</w:t>
      </w:r>
      <w:r>
        <w:rPr>
          <w:spacing w:val="-2"/>
        </w:rPr>
        <w:t>同</w:t>
      </w:r>
      <w:r>
        <w:rPr>
          <w:spacing w:val="-2"/>
        </w:rPr>
        <w:t>。</w:t>
      </w:r>
    </w:p>
    <w:p>
      <w:pPr>
        <w:pStyle w:val="BodyText"/>
        <w:spacing w:before="2"/>
        <w:rPr>
          <w:sz w:val="33"/>
        </w:rPr>
      </w:pPr>
    </w:p>
    <w:p>
      <w:pPr>
        <w:pStyle w:val="ListParagraph"/>
        <w:numPr>
          <w:ilvl w:val="0"/>
          <w:numId w:val="40"/>
        </w:numPr>
        <w:tabs>
          <w:tab w:val="left" w:pos="1121"/>
        </w:tabs>
        <w:spacing w:before="0" w:after="0" w:line="295" w:lineRule="auto"/>
        <w:ind w:left="840" w:right="6065" w:firstLine="0"/>
        <w:jc w:val="left"/>
        <w:rPr>
          <w:sz w:val="28"/>
        </w:rPr>
      </w:pPr>
      <w:r>
        <w:rPr>
          <w:spacing w:val="-2"/>
          <w:sz w:val="28"/>
        </w:rPr>
        <w:t>保温层施工： (1)施工工艺流程</w:t>
      </w:r>
    </w:p>
    <w:p>
      <w:pPr>
        <w:pStyle w:val="BodyText"/>
        <w:spacing w:line="295" w:lineRule="auto"/>
        <w:ind w:left="280" w:right="418"/>
        <w:jc w:val="both"/>
      </w:pPr>
      <w:r>
        <w:t>基层墙体清理 → 喷刷聚氨酯防潮底漆 → 喷涂第一遍聚氨酯保温</w:t>
      </w:r>
      <w:r>
        <w:rPr>
          <w:spacing w:val="-4"/>
        </w:rPr>
        <w:t>材料（</w:t>
      </w:r>
      <w:r>
        <w:rPr>
          <w:spacing w:val="-9"/>
        </w:rPr>
        <w:t xml:space="preserve">厚度控制在 </w:t>
      </w:r>
      <w:r>
        <w:rPr>
          <w:spacing w:val="-4"/>
        </w:rPr>
        <w:t>1cm</w:t>
      </w:r>
      <w:r>
        <w:rPr>
          <w:spacing w:val="-14"/>
        </w:rPr>
        <w:t xml:space="preserve"> 左右</w:t>
      </w:r>
      <w:r>
        <w:rPr>
          <w:spacing w:val="-4"/>
        </w:rPr>
        <w:t>）</w:t>
      </w:r>
      <w:r>
        <w:rPr>
          <w:spacing w:val="-12"/>
        </w:rPr>
        <w:t xml:space="preserve"> → 继续分层喷施聚氨酯保温直至符合</w:t>
      </w:r>
      <w:r>
        <w:t>要求 → 检查聚氨酯保温层厚度→ 修整聚氨酯保温层厚度 → 刷</w:t>
      </w:r>
      <w:r>
        <w:rPr>
          <w:spacing w:val="-10"/>
        </w:rPr>
        <w:t>界面剂 → 抹聚苯颗粒找平层 → 刮抹抗裂砂浆复合耐碱玻纤网格布</w:t>
      </w:r>
    </w:p>
    <w:p>
      <w:pPr>
        <w:pStyle w:val="BodyText"/>
        <w:spacing w:line="354" w:lineRule="exact"/>
        <w:ind w:left="280"/>
        <w:jc w:val="both"/>
      </w:pPr>
      <w:r>
        <w:rPr>
          <w:spacing w:val="-2"/>
        </w:rPr>
        <w:t>→ 分部工程验收。</w:t>
      </w:r>
    </w:p>
    <w:p>
      <w:pPr>
        <w:pStyle w:val="BodyText"/>
        <w:spacing w:before="78"/>
        <w:ind w:left="840"/>
      </w:pPr>
      <w:r>
        <w:t>(2)</w:t>
      </w:r>
      <w:r>
        <w:rPr>
          <w:spacing w:val="-1"/>
        </w:rPr>
        <w:t>各主要施工工序的施工方法</w:t>
      </w:r>
    </w:p>
    <w:p>
      <w:pPr>
        <w:pStyle w:val="BodyText"/>
        <w:spacing w:before="82"/>
        <w:ind w:left="840"/>
      </w:pPr>
      <w:r>
        <w:rPr>
          <w:spacing w:val="-2"/>
        </w:rPr>
        <w:t>①基本要求</w:t>
      </w:r>
    </w:p>
    <w:p>
      <w:pPr>
        <w:pStyle w:val="BodyText"/>
        <w:spacing w:before="81" w:line="295" w:lineRule="auto"/>
        <w:ind w:left="280" w:right="418" w:firstLine="560"/>
        <w:jc w:val="both"/>
      </w:pPr>
      <w:r>
        <w:t>A</w:t>
      </w:r>
      <w:r>
        <w:rPr>
          <w:spacing w:val="-9"/>
        </w:rPr>
        <w:t xml:space="preserve"> 喷涂施工时的环境温度宜为 </w:t>
      </w:r>
      <w:r>
        <w:t>10~40</w:t>
      </w:r>
      <w:r>
        <w:rPr>
          <w:spacing w:val="-4"/>
        </w:rPr>
        <w:t xml:space="preserve">℃，风速应不大于 </w:t>
      </w:r>
      <w:r>
        <w:t>5m/s（3级风</w:t>
      </w:r>
      <w:r>
        <w:rPr>
          <w:spacing w:val="-136"/>
        </w:rPr>
        <w:t>）</w:t>
      </w:r>
      <w:r>
        <w:t>，相对湿度应小于 85%，雨天不得施工，如需施工须采取防护</w:t>
      </w:r>
      <w:r>
        <w:rPr>
          <w:spacing w:val="-4"/>
        </w:rPr>
        <w:t>措施。</w:t>
      </w:r>
    </w:p>
    <w:p>
      <w:pPr>
        <w:pStyle w:val="BodyText"/>
        <w:spacing w:line="355" w:lineRule="exact"/>
        <w:ind w:left="840"/>
      </w:pPr>
      <w:r>
        <w:t>B</w:t>
      </w:r>
      <w:r>
        <w:rPr>
          <w:spacing w:val="-10"/>
        </w:rPr>
        <w:t xml:space="preserve"> 施工基面检查、清理、验收合格后方可喷涂施工。</w:t>
      </w:r>
    </w:p>
    <w:p>
      <w:pPr>
        <w:pStyle w:val="BodyText"/>
        <w:spacing w:before="81" w:line="295" w:lineRule="auto"/>
        <w:ind w:left="280" w:right="418" w:firstLine="560"/>
        <w:jc w:val="both"/>
      </w:pPr>
      <w:r>
        <w:rPr>
          <w:spacing w:val="-4"/>
        </w:rPr>
        <w:t>C</w:t>
      </w:r>
      <w:r>
        <w:rPr>
          <w:spacing w:val="-8"/>
        </w:rPr>
        <w:t xml:space="preserve"> 硬质聚氨酯必须在喷涂施工前配制好，双组分液体原料必须按</w:t>
      </w:r>
      <w:r>
        <w:rPr>
          <w:spacing w:val="-10"/>
        </w:rPr>
        <w:t xml:space="preserve">工艺设计配比 </w:t>
      </w:r>
      <w:r>
        <w:rPr>
          <w:spacing w:val="-6"/>
        </w:rPr>
        <w:t>1:1</w:t>
      </w:r>
      <w:r>
        <w:rPr>
          <w:spacing w:val="-11"/>
        </w:rPr>
        <w:t xml:space="preserve"> 准确计量，混合应均匀，热反应充分，输送管路不</w:t>
      </w:r>
      <w:r>
        <w:rPr>
          <w:spacing w:val="-4"/>
        </w:rPr>
        <w:t>得渗漏。</w:t>
      </w:r>
    </w:p>
    <w:p>
      <w:pPr>
        <w:pStyle w:val="BodyText"/>
        <w:spacing w:line="295" w:lineRule="auto"/>
        <w:ind w:left="280" w:right="418" w:firstLine="560"/>
      </w:pPr>
      <w:r>
        <w:rPr>
          <w:spacing w:val="-2"/>
        </w:rPr>
        <w:t>D</w:t>
      </w:r>
      <w:r>
        <w:rPr>
          <w:spacing w:val="-11"/>
        </w:rPr>
        <w:t xml:space="preserve"> 应按照使用说明书操作设备，喷涂时应启动空压机，并打开压</w:t>
      </w:r>
      <w:r>
        <w:rPr>
          <w:spacing w:val="-5"/>
        </w:rPr>
        <w:t>缩空气开关，再启动发泡机料泵，开始时的料液应放弃。在正式作业</w:t>
      </w:r>
    </w:p>
    <w:p>
      <w:pPr>
        <w:spacing w:after="0" w:line="295" w:lineRule="auto"/>
        <w:sectPr>
          <w:pgSz w:w="11910" w:h="16840"/>
          <w:pgMar w:top="1460" w:right="1380" w:bottom="280" w:left="1520" w:header="708" w:footer="708"/>
          <w:pgNumType w:start="20"/>
          <w:cols w:space="708"/>
        </w:sectPr>
      </w:pPr>
    </w:p>
    <w:p>
      <w:pPr>
        <w:pStyle w:val="BodyText"/>
        <w:spacing w:before="34"/>
        <w:ind w:left="280"/>
      </w:pPr>
      <w:r>
        <w:rPr>
          <w:spacing w:val="-1"/>
        </w:rPr>
        <w:t>前先进行试喷，待料液的比例正常后方可正式进行喷涂或浇注作业。</w:t>
      </w:r>
    </w:p>
    <w:p>
      <w:pPr>
        <w:pStyle w:val="BodyText"/>
        <w:spacing w:before="81" w:line="295" w:lineRule="auto"/>
        <w:ind w:left="280" w:right="418" w:firstLine="560"/>
        <w:jc w:val="both"/>
      </w:pPr>
      <w:r>
        <w:rPr>
          <w:spacing w:val="-4"/>
        </w:rPr>
        <w:t>E</w:t>
      </w:r>
      <w:r>
        <w:rPr>
          <w:spacing w:val="-8"/>
        </w:rPr>
        <w:t xml:space="preserve"> 在聚氨酯喷涂前，应预先在基层上安装好主龙骨及管线、附件</w:t>
      </w:r>
      <w:r>
        <w:rPr>
          <w:spacing w:val="-4"/>
        </w:rPr>
        <w:t>等。聚氨酯喷涂后，严禁在墙面或屋面上开孔、开洞，安装管线及附</w:t>
      </w:r>
      <w:r>
        <w:rPr>
          <w:spacing w:val="-2"/>
        </w:rPr>
        <w:t>件，以免影响保温效果及留下安全隐患。</w:t>
      </w:r>
    </w:p>
    <w:p>
      <w:pPr>
        <w:pStyle w:val="BodyText"/>
        <w:spacing w:line="295" w:lineRule="auto"/>
        <w:ind w:left="280" w:right="418" w:firstLine="560"/>
        <w:jc w:val="both"/>
      </w:pPr>
      <w:r>
        <w:rPr>
          <w:spacing w:val="-2"/>
        </w:rPr>
        <w:t>F</w:t>
      </w:r>
      <w:r>
        <w:rPr>
          <w:spacing w:val="-10"/>
        </w:rPr>
        <w:t xml:space="preserve"> 施工时喷枪与基层面的距离为 </w:t>
      </w:r>
      <w:r>
        <w:rPr>
          <w:spacing w:val="-2"/>
        </w:rPr>
        <w:t>0.6m,移动速度要均匀。喷涂顺</w:t>
      </w:r>
      <w:r>
        <w:rPr>
          <w:spacing w:val="-2"/>
        </w:rPr>
        <w:t>序由下风口逐渐向上风口移动，施工人员面向下风口倒退行进。</w:t>
      </w:r>
    </w:p>
    <w:p>
      <w:pPr>
        <w:pStyle w:val="BodyText"/>
        <w:spacing w:line="295" w:lineRule="auto"/>
        <w:ind w:left="280" w:right="418" w:firstLine="560"/>
      </w:pPr>
      <w:r>
        <w:rPr>
          <w:spacing w:val="-2"/>
        </w:rPr>
        <w:t>G</w:t>
      </w:r>
      <w:r>
        <w:rPr>
          <w:spacing w:val="-11"/>
        </w:rPr>
        <w:t xml:space="preserve"> 喷涂作业时，上一层喷涂的聚氨酯硬泡表面不粘手后，才能喷</w:t>
      </w:r>
      <w:r>
        <w:rPr>
          <w:spacing w:val="-2"/>
        </w:rPr>
        <w:t>涂下一层。</w:t>
      </w:r>
    </w:p>
    <w:p>
      <w:pPr>
        <w:pStyle w:val="BodyText"/>
        <w:spacing w:line="295" w:lineRule="auto"/>
        <w:ind w:left="280" w:right="278" w:firstLine="560"/>
      </w:pPr>
      <w:r>
        <w:t>H</w:t>
      </w:r>
      <w:r>
        <w:rPr>
          <w:spacing w:val="-7"/>
        </w:rPr>
        <w:t xml:space="preserve"> 一个施工作业面可分遍喷涂完成，一是为了能够及时控制调整</w:t>
      </w:r>
      <w:r>
        <w:rPr>
          <w:spacing w:val="-19"/>
        </w:rPr>
        <w:t>喷涂层的厚度，减少收缩影响。二是可以增加结皮层，提高防水效果。</w:t>
      </w:r>
      <w:r>
        <w:rPr>
          <w:spacing w:val="3"/>
        </w:rPr>
        <w:t>每遍喷涂厚度应小于等于</w:t>
      </w:r>
      <w:r>
        <w:t>15mm.当天的施工作业必须当日连续喷涂施</w:t>
      </w:r>
      <w:r>
        <w:rPr>
          <w:spacing w:val="-4"/>
        </w:rPr>
        <w:t>工完毕。</w:t>
      </w:r>
    </w:p>
    <w:p>
      <w:pPr>
        <w:pStyle w:val="BodyText"/>
        <w:spacing w:line="295" w:lineRule="auto"/>
        <w:ind w:left="280" w:right="418" w:firstLine="560"/>
        <w:jc w:val="both"/>
      </w:pPr>
      <w:r>
        <w:t>J</w:t>
      </w:r>
      <w:r>
        <w:rPr>
          <w:spacing w:val="-6"/>
        </w:rPr>
        <w:t xml:space="preserve"> 聚氨酯喷涂施工后，</w:t>
      </w:r>
      <w:r>
        <w:t>24</w:t>
      </w:r>
      <w:r>
        <w:rPr>
          <w:spacing w:val="-6"/>
        </w:rPr>
        <w:t xml:space="preserve"> 小时后可修整，</w:t>
      </w:r>
      <w:r>
        <w:t>72</w:t>
      </w:r>
      <w:r>
        <w:rPr>
          <w:spacing w:val="-6"/>
        </w:rPr>
        <w:t xml:space="preserve"> 小时后进入下道工</w:t>
      </w:r>
      <w:r>
        <w:rPr>
          <w:spacing w:val="-4"/>
        </w:rPr>
        <w:t>序施工。下道工序施工时必须注意禁止对聚氨酯造成破坏，尤其是屋</w:t>
      </w:r>
      <w:r>
        <w:rPr>
          <w:spacing w:val="-4"/>
        </w:rPr>
        <w:t>面细石混凝土施工时，如果破坏及时与聚氨酯施工单位联系，及时修</w:t>
      </w:r>
      <w:r>
        <w:rPr>
          <w:spacing w:val="-6"/>
        </w:rPr>
        <w:t>补。</w:t>
      </w:r>
    </w:p>
    <w:p>
      <w:pPr>
        <w:pStyle w:val="BodyText"/>
        <w:spacing w:line="295" w:lineRule="auto"/>
        <w:ind w:left="280" w:right="418" w:firstLine="560"/>
        <w:jc w:val="both"/>
      </w:pPr>
      <w:r>
        <w:rPr>
          <w:spacing w:val="-4"/>
        </w:rPr>
        <w:t>K</w:t>
      </w:r>
      <w:r>
        <w:rPr>
          <w:spacing w:val="-8"/>
        </w:rPr>
        <w:t xml:space="preserve"> 喷涂或浇注作业中，应随时检查发泡质量，发现问题后立即停</w:t>
      </w:r>
      <w:r>
        <w:rPr>
          <w:spacing w:val="-4"/>
        </w:rPr>
        <w:t>机，查明原因后方能重新作业。当暂停喷涂或浇注作业时，应先停物</w:t>
      </w:r>
      <w:r>
        <w:rPr>
          <w:spacing w:val="-4"/>
        </w:rPr>
        <w:t>料泵，待枪头中物料吹净后才能停压缩空气。喷涂作业完毕把喷枪零</w:t>
      </w:r>
      <w:r>
        <w:rPr>
          <w:spacing w:val="-4"/>
        </w:rPr>
        <w:t xml:space="preserve">件卸下泡在丙酮溶剂中，并彻底清洗干净。正常情况下使用 </w:t>
      </w:r>
      <w:r>
        <w:rPr>
          <w:spacing w:val="-2"/>
        </w:rPr>
        <w:t>3~5d</w:t>
      </w:r>
      <w:r>
        <w:rPr>
          <w:spacing w:val="-18"/>
        </w:rPr>
        <w:t xml:space="preserve"> 要</w:t>
      </w:r>
      <w:r>
        <w:rPr>
          <w:spacing w:val="-2"/>
        </w:rPr>
        <w:t>彻底清洗一次物料泵。</w:t>
      </w:r>
    </w:p>
    <w:p>
      <w:pPr>
        <w:pStyle w:val="BodyText"/>
        <w:spacing w:line="352" w:lineRule="exact"/>
        <w:ind w:left="840"/>
      </w:pPr>
      <w:r>
        <w:t>L</w:t>
      </w:r>
      <w:r>
        <w:rPr>
          <w:spacing w:val="-10"/>
        </w:rPr>
        <w:t xml:space="preserve"> 大面积喷涂时可分段分片进行，接槎处必须接合良好。</w:t>
      </w:r>
    </w:p>
    <w:p>
      <w:pPr>
        <w:pStyle w:val="BodyText"/>
        <w:spacing w:before="62" w:line="295" w:lineRule="auto"/>
        <w:ind w:left="280" w:right="418" w:firstLine="560"/>
        <w:jc w:val="both"/>
      </w:pPr>
      <w:r>
        <w:rPr>
          <w:spacing w:val="-4"/>
        </w:rPr>
        <w:t>Z</w:t>
      </w:r>
      <w:r>
        <w:rPr>
          <w:spacing w:val="-8"/>
        </w:rPr>
        <w:t xml:space="preserve"> 在用抹面胶浆等找平材料找平喷涂聚氨酯硬泡保温层时，应立</w:t>
      </w:r>
      <w:r>
        <w:rPr>
          <w:spacing w:val="-7"/>
        </w:rPr>
        <w:t>即将截好的玻纤网布用铁抹子压入面胶浆内，相邻网布搭接宽度不小</w:t>
      </w:r>
      <w:r>
        <w:rPr>
          <w:spacing w:val="-31"/>
        </w:rPr>
        <w:t xml:space="preserve">于 </w:t>
      </w:r>
      <w:r>
        <w:rPr>
          <w:spacing w:val="-4"/>
        </w:rPr>
        <w:t>100</w:t>
      </w:r>
      <w:r>
        <w:rPr>
          <w:spacing w:val="-56"/>
        </w:rPr>
        <w:t xml:space="preserve"> </w:t>
      </w:r>
      <w:r>
        <w:rPr>
          <w:spacing w:val="-4"/>
        </w:rPr>
        <w:t>mm</w:t>
      </w:r>
      <w:r>
        <w:rPr>
          <w:spacing w:val="-5"/>
        </w:rPr>
        <w:t>；网布应铺贴平整，不得有皱褶、空鼓和翘边。本工程饰面</w:t>
      </w:r>
    </w:p>
    <w:p>
      <w:pPr>
        <w:pStyle w:val="BodyText"/>
        <w:spacing w:line="295" w:lineRule="auto"/>
        <w:ind w:left="280" w:right="418"/>
        <w:jc w:val="both"/>
      </w:pPr>
      <w:r>
        <w:rPr>
          <w:spacing w:val="5"/>
        </w:rPr>
        <w:t xml:space="preserve">为瓷砖的部位，采用热镀锌钢丝网代替玻纤网布，直径为 </w:t>
      </w:r>
      <w:r>
        <w:t>0.8-1.2 mm</w:t>
      </w:r>
      <w:r>
        <w:rPr>
          <w:spacing w:val="-6"/>
        </w:rPr>
        <w:t xml:space="preserve">，网孔遍长 </w:t>
      </w:r>
      <w:r>
        <w:t>20*20</w:t>
      </w:r>
      <w:r>
        <w:rPr>
          <w:spacing w:val="-35"/>
        </w:rPr>
        <w:t xml:space="preserve"> </w:t>
      </w:r>
      <w:r>
        <w:t>mm</w:t>
      </w:r>
      <w:r>
        <w:rPr>
          <w:spacing w:val="-6"/>
        </w:rPr>
        <w:t xml:space="preserve"> 左右，阳角钢丝网双向绕角互相搭接，搭接</w:t>
      </w:r>
      <w:r>
        <w:rPr>
          <w:spacing w:val="-3"/>
        </w:rPr>
        <w:t xml:space="preserve">宽度不得小于 </w:t>
      </w:r>
      <w:r>
        <w:t>200 mm。</w:t>
      </w:r>
    </w:p>
    <w:p>
      <w:pPr>
        <w:pStyle w:val="BodyText"/>
        <w:spacing w:line="355" w:lineRule="exact"/>
        <w:ind w:left="840"/>
      </w:pPr>
      <w:r>
        <w:rPr>
          <w:spacing w:val="-2"/>
        </w:rPr>
        <w:t>②喷涂硬泡聚氨酯</w:t>
      </w:r>
    </w:p>
    <w:p>
      <w:pPr>
        <w:pStyle w:val="BodyText"/>
        <w:spacing w:before="78"/>
        <w:ind w:left="840"/>
      </w:pPr>
      <w:r>
        <w:t>A</w:t>
      </w:r>
      <w:r>
        <w:rPr>
          <w:spacing w:val="-10"/>
        </w:rPr>
        <w:t xml:space="preserve"> 喷涂第一遍硬泡聚氨酯</w:t>
      </w:r>
    </w:p>
    <w:p>
      <w:pPr>
        <w:pStyle w:val="BodyText"/>
        <w:spacing w:before="81"/>
        <w:ind w:left="280"/>
      </w:pPr>
      <w:r>
        <w:rPr>
          <w:spacing w:val="-15"/>
        </w:rPr>
        <w:t>喷涂应从角模坡口处开始，单层喷涂的泡沫厚度第一遍</w:t>
      </w:r>
      <w:r>
        <w:t>（</w:t>
      </w:r>
      <w:r>
        <w:rPr>
          <w:spacing w:val="-2"/>
        </w:rPr>
        <w:t>俗称打底层，</w:t>
      </w:r>
    </w:p>
    <w:p>
      <w:pPr>
        <w:spacing w:after="0"/>
        <w:sectPr>
          <w:pgSz w:w="11910" w:h="16840"/>
          <w:pgMar w:top="1460" w:right="1380" w:bottom="280" w:left="1520" w:header="708" w:footer="708"/>
          <w:pgNumType w:start="21"/>
          <w:cols w:space="708"/>
        </w:sectPr>
      </w:pPr>
    </w:p>
    <w:p>
      <w:pPr>
        <w:pStyle w:val="BodyText"/>
        <w:spacing w:before="34" w:line="295" w:lineRule="auto"/>
        <w:ind w:left="280" w:right="418"/>
      </w:pPr>
      <w:r>
        <w:rPr>
          <w:spacing w:val="-4"/>
        </w:rPr>
        <w:t>主要提高泡沫与基层的粘结力）</w:t>
      </w:r>
      <w:r>
        <w:rPr>
          <w:spacing w:val="-21"/>
        </w:rPr>
        <w:t xml:space="preserve">一般在 </w:t>
      </w:r>
      <w:r>
        <w:rPr>
          <w:spacing w:val="-4"/>
        </w:rPr>
        <w:t>5mm</w:t>
      </w:r>
      <w:r>
        <w:rPr>
          <w:spacing w:val="-13"/>
        </w:rPr>
        <w:t xml:space="preserve"> 左右，喷枪在实物的间距</w:t>
      </w:r>
      <w:r>
        <w:rPr>
          <w:spacing w:val="-9"/>
        </w:rPr>
        <w:t xml:space="preserve">为 </w:t>
      </w:r>
      <w:r>
        <w:t>800-1200 mm。</w:t>
      </w:r>
    </w:p>
    <w:p>
      <w:pPr>
        <w:pStyle w:val="BodyText"/>
        <w:spacing w:line="356" w:lineRule="exact"/>
        <w:ind w:left="840"/>
      </w:pPr>
      <w:r>
        <w:t>B</w:t>
      </w:r>
      <w:r>
        <w:rPr>
          <w:spacing w:val="-10"/>
        </w:rPr>
        <w:t xml:space="preserve"> 多遍喷涂硬泡聚氨酯至既定厚度</w:t>
      </w:r>
    </w:p>
    <w:p>
      <w:pPr>
        <w:pStyle w:val="BodyText"/>
        <w:spacing w:before="81" w:line="295" w:lineRule="auto"/>
        <w:ind w:left="280" w:right="418"/>
      </w:pPr>
      <w:r>
        <w:rPr>
          <w:spacing w:val="-7"/>
        </w:rPr>
        <w:t xml:space="preserve">根据实际情况进行多遍喷涂。每遍喷涂厚度控制在 </w:t>
      </w:r>
      <w:r>
        <w:rPr>
          <w:spacing w:val="-4"/>
        </w:rPr>
        <w:t>10-15</w:t>
      </w:r>
      <w:r>
        <w:rPr>
          <w:spacing w:val="-69"/>
        </w:rPr>
        <w:t xml:space="preserve"> </w:t>
      </w:r>
      <w:r>
        <w:rPr>
          <w:spacing w:val="-4"/>
        </w:rPr>
        <w:t>mm。用定厚</w:t>
      </w:r>
      <w:r>
        <w:rPr>
          <w:spacing w:val="-2"/>
        </w:rPr>
        <w:t>标钉控制最终的聚氨酯泡沫保温层的厚度。</w:t>
      </w:r>
    </w:p>
    <w:p>
      <w:pPr>
        <w:pStyle w:val="BodyText"/>
        <w:spacing w:line="356" w:lineRule="exact"/>
        <w:ind w:left="840"/>
      </w:pPr>
      <w:r>
        <w:rPr>
          <w:spacing w:val="-2"/>
        </w:rPr>
        <w:t>③喷刷界面剂</w:t>
      </w:r>
    </w:p>
    <w:p>
      <w:pPr>
        <w:pStyle w:val="BodyText"/>
        <w:spacing w:before="81" w:line="295" w:lineRule="auto"/>
        <w:ind w:left="280" w:right="418"/>
      </w:pPr>
      <w:r>
        <w:rPr>
          <w:spacing w:val="-23"/>
        </w:rPr>
        <w:t xml:space="preserve">喷涂 </w:t>
      </w:r>
      <w:r>
        <w:t>20 min</w:t>
      </w:r>
      <w:r>
        <w:rPr>
          <w:spacing w:val="-9"/>
        </w:rPr>
        <w:t xml:space="preserve"> 后用裁纸刀、手锯等工具清洗、修整遮挡部位以及超过</w:t>
      </w:r>
      <w:r>
        <w:rPr>
          <w:spacing w:val="-2"/>
        </w:rPr>
        <w:t>保温层总厚度的突出部分。</w:t>
      </w:r>
    </w:p>
    <w:p>
      <w:pPr>
        <w:pStyle w:val="BodyText"/>
        <w:spacing w:line="295" w:lineRule="auto"/>
        <w:ind w:left="280" w:right="418"/>
      </w:pPr>
      <w:r>
        <w:rPr>
          <w:spacing w:val="-5"/>
        </w:rPr>
        <w:t xml:space="preserve">聚氨酯保温层修整完毕并且在喷涂 </w:t>
      </w:r>
      <w:r>
        <w:t>4</w:t>
      </w:r>
      <w:r>
        <w:rPr>
          <w:spacing w:val="-34"/>
        </w:rPr>
        <w:t xml:space="preserve"> </w:t>
      </w:r>
      <w:r>
        <w:t>h</w:t>
      </w:r>
      <w:r>
        <w:rPr>
          <w:spacing w:val="-14"/>
        </w:rPr>
        <w:t xml:space="preserve"> 之后，用喷斗或滚刷均匀地将</w:t>
      </w:r>
      <w:r>
        <w:rPr>
          <w:spacing w:val="-2"/>
        </w:rPr>
        <w:t>聚氨酯界面砂浆刷于硬泡聚氨酯保温层表面。</w:t>
      </w:r>
    </w:p>
    <w:p>
      <w:pPr>
        <w:pStyle w:val="BodyText"/>
        <w:spacing w:before="7"/>
        <w:rPr>
          <w:sz w:val="26"/>
        </w:rPr>
      </w:pPr>
      <w:r>
        <w:drawing>
          <wp:anchor distT="0" distB="0" distL="0" distR="0" simplePos="0" relativeHeight="251662336" behindDoc="0" locked="0" layoutInCell="1" allowOverlap="1">
            <wp:simplePos x="0" y="0"/>
            <wp:positionH relativeFrom="page">
              <wp:posOffset>1322800</wp:posOffset>
            </wp:positionH>
            <wp:positionV relativeFrom="paragraph">
              <wp:posOffset>231349</wp:posOffset>
            </wp:positionV>
            <wp:extent cx="5162659" cy="3182969"/>
            <wp:effectExtent l="0" t="0" r="0" b="0"/>
            <wp:wrapTopAndBottom/>
            <wp:docPr id="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6.png"/>
                    <pic:cNvPicPr/>
                  </pic:nvPicPr>
                  <pic:blipFill>
                    <a:blip xmlns:r="http://schemas.openxmlformats.org/officeDocument/2006/relationships" r:embed="rId19" cstate="print"/>
                    <a:stretch>
                      <a:fillRect/>
                    </a:stretch>
                  </pic:blipFill>
                  <pic:spPr>
                    <a:xfrm>
                      <a:off x="0" y="0"/>
                      <a:ext cx="5162659" cy="3182969"/>
                    </a:xfrm>
                    <a:prstGeom prst="rect">
                      <a:avLst/>
                    </a:prstGeom>
                  </pic:spPr>
                </pic:pic>
              </a:graphicData>
            </a:graphic>
          </wp:anchor>
        </w:drawing>
      </w:r>
    </w:p>
    <w:p>
      <w:pPr>
        <w:pStyle w:val="ListParagraph"/>
        <w:numPr>
          <w:ilvl w:val="0"/>
          <w:numId w:val="41"/>
        </w:numPr>
        <w:tabs>
          <w:tab w:val="left" w:pos="1121"/>
        </w:tabs>
        <w:spacing w:before="58" w:after="0" w:line="240" w:lineRule="auto"/>
        <w:ind w:left="1121" w:right="0" w:hanging="281"/>
        <w:jc w:val="left"/>
        <w:rPr>
          <w:sz w:val="28"/>
        </w:rPr>
      </w:pPr>
      <w:r>
        <w:rPr>
          <w:spacing w:val="-1"/>
          <w:sz w:val="28"/>
        </w:rPr>
        <w:t>平改坡屋面钢结构施工</w:t>
      </w:r>
    </w:p>
    <w:p>
      <w:pPr>
        <w:pStyle w:val="BodyText"/>
        <w:spacing w:before="82" w:line="295" w:lineRule="auto"/>
        <w:ind w:left="280" w:right="418" w:firstLine="560"/>
        <w:jc w:val="both"/>
      </w:pPr>
      <w:r>
        <w:rPr>
          <w:spacing w:val="-2"/>
        </w:rPr>
        <w:t>(1)施工工艺：材料进场、复试、放大样→下料、组对→焊接、</w:t>
      </w:r>
      <w:r>
        <w:rPr>
          <w:spacing w:val="-4"/>
        </w:rPr>
        <w:t>制孔→预拼装→涂装、编号→钢构件运输→复测轴线、标高→钢结构</w:t>
      </w:r>
      <w:r>
        <w:rPr>
          <w:spacing w:val="-2"/>
        </w:rPr>
        <w:t>安装→喷刷防火涂料→屋面板安装→交工验收</w:t>
      </w:r>
    </w:p>
    <w:p>
      <w:pPr>
        <w:pStyle w:val="BodyText"/>
        <w:spacing w:line="295" w:lineRule="auto"/>
        <w:ind w:left="280" w:right="278" w:firstLine="560"/>
      </w:pPr>
      <w:r>
        <w:rPr>
          <w:spacing w:val="-19"/>
        </w:rPr>
        <w:t>①放大样：放样从熟悉图纸开始，首先仔细阅读技术要求及说明，</w:t>
      </w:r>
      <w:r>
        <w:rPr>
          <w:spacing w:val="-2"/>
        </w:rPr>
        <w:t>并逐个核对图纸之间尺寸和方向等。特别注意各部件之间的连接点、</w:t>
      </w:r>
      <w:r>
        <w:rPr>
          <w:spacing w:val="-2"/>
        </w:rPr>
        <w:t>连接方式和尺寸是否一一对应。发现有疑问之处，应与工长及技术部</w:t>
      </w:r>
      <w:r>
        <w:rPr>
          <w:spacing w:val="-2"/>
        </w:rPr>
        <w:t xml:space="preserve">门联系解决。根据施工图纸按 </w:t>
      </w:r>
      <w:r>
        <w:t>1∶1</w:t>
      </w:r>
      <w:r>
        <w:rPr>
          <w:spacing w:val="-5"/>
        </w:rPr>
        <w:t xml:space="preserve"> 比例放大样，经工长及有关技术</w:t>
      </w:r>
      <w:r>
        <w:rPr>
          <w:spacing w:val="-2"/>
        </w:rPr>
        <w:t>人员检查、核对无误后再进行下料。</w:t>
      </w:r>
    </w:p>
    <w:p>
      <w:pPr>
        <w:spacing w:after="0" w:line="295" w:lineRule="auto"/>
        <w:sectPr>
          <w:pgSz w:w="11910" w:h="16840"/>
          <w:pgMar w:top="1460" w:right="1380" w:bottom="280" w:left="1520" w:header="708" w:footer="708"/>
          <w:pgNumType w:start="22"/>
          <w:cols w:space="708"/>
        </w:sectPr>
      </w:pPr>
    </w:p>
    <w:p>
      <w:pPr>
        <w:pStyle w:val="BodyText"/>
        <w:spacing w:before="34" w:line="295" w:lineRule="auto"/>
        <w:ind w:left="280" w:right="418" w:firstLine="560"/>
      </w:pPr>
      <w:r>
        <w:rPr>
          <w:spacing w:val="-10"/>
        </w:rPr>
        <w:t>②制作样板和放样号料时，根据工艺要求预留切割的加工余量和</w:t>
      </w:r>
      <w:r>
        <w:rPr>
          <w:spacing w:val="-2"/>
        </w:rPr>
        <w:t>焊接收缩量。</w:t>
      </w:r>
    </w:p>
    <w:p>
      <w:pPr>
        <w:pStyle w:val="BodyText"/>
        <w:spacing w:line="295" w:lineRule="auto"/>
        <w:ind w:left="280" w:right="418" w:firstLine="560"/>
        <w:jc w:val="both"/>
      </w:pPr>
      <w:r>
        <w:rPr>
          <w:spacing w:val="-4"/>
        </w:rPr>
        <w:t>③样板必须经质量部门鉴定后方可投入使用。使用过程。经常校对，如需修整，应经放样人同意。修整后的样板必须经过质检部门的</w:t>
      </w:r>
      <w:r>
        <w:rPr>
          <w:spacing w:val="-4"/>
        </w:rPr>
        <w:t>验收。</w:t>
      </w:r>
    </w:p>
    <w:p>
      <w:pPr>
        <w:pStyle w:val="BodyText"/>
        <w:spacing w:line="295" w:lineRule="auto"/>
        <w:ind w:left="280" w:right="418" w:firstLine="560"/>
      </w:pPr>
      <w:r>
        <w:rPr>
          <w:spacing w:val="-4"/>
        </w:rPr>
        <w:t>④放样、号料前，对影响放样、号料的钢材进行初步矫正，矫正</w:t>
      </w:r>
      <w:r>
        <w:rPr>
          <w:spacing w:val="-2"/>
        </w:rPr>
        <w:t>后的尺寸应符合下表现定偏差要求。</w:t>
      </w:r>
    </w:p>
    <w:p>
      <w:pPr>
        <w:pStyle w:val="BodyText"/>
        <w:spacing w:line="356" w:lineRule="exact"/>
        <w:ind w:left="560"/>
      </w:pPr>
      <w:r>
        <w:t>（2）</w:t>
      </w:r>
      <w:r>
        <w:rPr>
          <w:spacing w:val="-2"/>
        </w:rPr>
        <w:t>放样允许偏差</w:t>
      </w:r>
    </w:p>
    <w:p>
      <w:pPr>
        <w:pStyle w:val="BodyText"/>
        <w:tabs>
          <w:tab w:val="left" w:pos="1119"/>
          <w:tab w:val="left" w:pos="1959"/>
        </w:tabs>
        <w:spacing w:before="75"/>
        <w:ind w:left="280"/>
      </w:pPr>
      <w:r>
        <w:t>序</w:t>
      </w:r>
      <w:r>
        <w:rPr>
          <w:spacing w:val="-10"/>
        </w:rPr>
        <w:t>号</w:t>
      </w:r>
      <w:r>
        <w:tab/>
      </w:r>
      <w:r>
        <w:rPr>
          <w:spacing w:val="-10"/>
        </w:rPr>
        <w:t>项</w:t>
      </w:r>
      <w:r>
        <w:tab/>
        <w:t>目</w:t>
      </w:r>
      <w:r>
        <w:rPr>
          <w:spacing w:val="-2"/>
        </w:rPr>
        <w:t xml:space="preserve"> </w:t>
      </w:r>
      <w:r>
        <w:t>允许偏</w:t>
      </w:r>
      <w:r>
        <w:rPr>
          <w:spacing w:val="-10"/>
        </w:rPr>
        <w:t>差</w:t>
      </w:r>
    </w:p>
    <w:p>
      <w:pPr>
        <w:pStyle w:val="ListParagraph"/>
        <w:numPr>
          <w:ilvl w:val="0"/>
          <w:numId w:val="25"/>
        </w:numPr>
        <w:tabs>
          <w:tab w:val="left" w:pos="699"/>
          <w:tab w:val="left" w:pos="700"/>
          <w:tab w:val="left" w:pos="3639"/>
        </w:tabs>
        <w:spacing w:before="81" w:after="0" w:line="240" w:lineRule="auto"/>
        <w:ind w:left="700" w:right="0" w:hanging="420"/>
        <w:jc w:val="left"/>
        <w:rPr>
          <w:sz w:val="28"/>
        </w:rPr>
      </w:pPr>
      <w:r>
        <w:rPr>
          <w:sz w:val="28"/>
        </w:rPr>
        <w:t>平行线距离和分段</w:t>
      </w:r>
      <w:r>
        <w:rPr>
          <w:spacing w:val="-10"/>
          <w:sz w:val="28"/>
        </w:rPr>
        <w:t>寸</w:t>
      </w:r>
      <w:r>
        <w:rPr>
          <w:sz w:val="28"/>
        </w:rPr>
        <w:tab/>
      </w:r>
      <w:r>
        <w:rPr>
          <w:spacing w:val="-4"/>
          <w:sz w:val="28"/>
        </w:rPr>
        <w:t>+1mm</w:t>
      </w:r>
    </w:p>
    <w:p>
      <w:pPr>
        <w:pStyle w:val="ListParagraph"/>
        <w:numPr>
          <w:ilvl w:val="0"/>
          <w:numId w:val="25"/>
        </w:numPr>
        <w:tabs>
          <w:tab w:val="left" w:pos="699"/>
          <w:tab w:val="left" w:pos="700"/>
        </w:tabs>
        <w:spacing w:before="81" w:after="0" w:line="240" w:lineRule="auto"/>
        <w:ind w:left="700" w:right="0" w:hanging="420"/>
        <w:jc w:val="left"/>
        <w:rPr>
          <w:sz w:val="28"/>
        </w:rPr>
      </w:pPr>
      <w:r>
        <w:rPr>
          <w:sz w:val="28"/>
        </w:rPr>
        <w:t xml:space="preserve">对角线差 </w:t>
      </w:r>
      <w:r>
        <w:rPr>
          <w:spacing w:val="-5"/>
          <w:sz w:val="28"/>
        </w:rPr>
        <w:t>1mm</w:t>
      </w:r>
    </w:p>
    <w:p>
      <w:pPr>
        <w:pStyle w:val="ListParagraph"/>
        <w:numPr>
          <w:ilvl w:val="0"/>
          <w:numId w:val="25"/>
        </w:numPr>
        <w:tabs>
          <w:tab w:val="left" w:pos="699"/>
          <w:tab w:val="left" w:pos="700"/>
          <w:tab w:val="left" w:pos="2379"/>
        </w:tabs>
        <w:spacing w:before="81" w:after="0" w:line="240" w:lineRule="auto"/>
        <w:ind w:left="700" w:right="0" w:hanging="420"/>
        <w:jc w:val="left"/>
        <w:rPr>
          <w:sz w:val="28"/>
        </w:rPr>
      </w:pPr>
      <w:r>
        <w:rPr>
          <w:sz w:val="28"/>
        </w:rPr>
        <w:t>宽度、长</w:t>
      </w:r>
      <w:r>
        <w:rPr>
          <w:spacing w:val="-10"/>
          <w:sz w:val="28"/>
        </w:rPr>
        <w:t>度</w:t>
      </w:r>
      <w:r>
        <w:rPr>
          <w:sz w:val="28"/>
        </w:rPr>
        <w:tab/>
      </w:r>
      <w:r>
        <w:rPr>
          <w:spacing w:val="-4"/>
          <w:sz w:val="28"/>
        </w:rPr>
        <w:t>+1mm</w:t>
      </w:r>
    </w:p>
    <w:p>
      <w:pPr>
        <w:pStyle w:val="ListParagraph"/>
        <w:numPr>
          <w:ilvl w:val="0"/>
          <w:numId w:val="25"/>
        </w:numPr>
        <w:tabs>
          <w:tab w:val="left" w:pos="699"/>
          <w:tab w:val="left" w:pos="700"/>
          <w:tab w:val="left" w:pos="2799"/>
        </w:tabs>
        <w:spacing w:before="82" w:after="0" w:line="295" w:lineRule="auto"/>
        <w:ind w:left="280" w:right="5505" w:firstLine="0"/>
        <w:jc w:val="left"/>
        <w:rPr>
          <w:sz w:val="28"/>
        </w:rPr>
      </w:pPr>
      <w:r>
        <w:rPr>
          <w:spacing w:val="-2"/>
          <w:sz w:val="28"/>
        </w:rPr>
        <w:t>加</w:t>
      </w:r>
      <w:r>
        <w:rPr>
          <w:spacing w:val="-2"/>
          <w:sz w:val="28"/>
        </w:rPr>
        <w:t>工</w:t>
      </w:r>
      <w:r>
        <w:rPr>
          <w:spacing w:val="-2"/>
          <w:sz w:val="28"/>
        </w:rPr>
        <w:t>样</w:t>
      </w:r>
      <w:r>
        <w:rPr>
          <w:spacing w:val="-2"/>
          <w:sz w:val="28"/>
        </w:rPr>
        <w:t>板</w:t>
      </w:r>
      <w:r>
        <w:rPr>
          <w:spacing w:val="-2"/>
          <w:sz w:val="28"/>
        </w:rPr>
        <w:t>角</w:t>
      </w:r>
      <w:r>
        <w:rPr>
          <w:spacing w:val="-2"/>
          <w:sz w:val="28"/>
        </w:rPr>
        <w:t>度</w:t>
      </w:r>
      <w:r>
        <w:rPr>
          <w:sz w:val="28"/>
        </w:rPr>
        <w:tab/>
      </w:r>
      <w:r>
        <w:rPr>
          <w:spacing w:val="-4"/>
          <w:sz w:val="28"/>
        </w:rPr>
        <w:t>+20′</w:t>
      </w:r>
      <w:r>
        <w:rPr>
          <w:spacing w:val="-2"/>
          <w:sz w:val="28"/>
        </w:rPr>
        <w:t>下</w:t>
      </w:r>
      <w:r>
        <w:rPr>
          <w:spacing w:val="-2"/>
          <w:sz w:val="28"/>
        </w:rPr>
        <w:t>料</w:t>
      </w:r>
      <w:r>
        <w:rPr>
          <w:spacing w:val="-2"/>
          <w:sz w:val="28"/>
        </w:rPr>
        <w:t>允</w:t>
      </w:r>
      <w:r>
        <w:rPr>
          <w:spacing w:val="-2"/>
          <w:sz w:val="28"/>
        </w:rPr>
        <w:t>许</w:t>
      </w:r>
      <w:r>
        <w:rPr>
          <w:spacing w:val="-2"/>
          <w:sz w:val="28"/>
        </w:rPr>
        <w:t>偏</w:t>
      </w:r>
      <w:r>
        <w:rPr>
          <w:spacing w:val="-2"/>
          <w:sz w:val="28"/>
        </w:rPr>
        <w:t>差</w:t>
      </w:r>
    </w:p>
    <w:p>
      <w:pPr>
        <w:pStyle w:val="BodyText"/>
        <w:tabs>
          <w:tab w:val="left" w:pos="1539"/>
        </w:tabs>
        <w:spacing w:line="356" w:lineRule="exact"/>
        <w:ind w:left="700"/>
      </w:pPr>
      <w:r>
        <w:rPr>
          <w:spacing w:val="-10"/>
        </w:rPr>
        <w:t>项</w:t>
      </w:r>
      <w:r>
        <w:tab/>
        <w:t>目 允许偏</w:t>
      </w:r>
      <w:r>
        <w:rPr>
          <w:spacing w:val="-10"/>
        </w:rPr>
        <w:t>差</w:t>
      </w:r>
    </w:p>
    <w:p>
      <w:pPr>
        <w:pStyle w:val="BodyText"/>
        <w:tabs>
          <w:tab w:val="left" w:pos="1119"/>
          <w:tab w:val="left" w:pos="3219"/>
        </w:tabs>
        <w:spacing w:before="81"/>
        <w:ind w:left="280"/>
      </w:pPr>
      <w:r>
        <w:t>号</w:t>
      </w:r>
      <w:r>
        <w:rPr>
          <w:spacing w:val="-10"/>
        </w:rPr>
        <w:t>料</w:t>
      </w:r>
      <w:r>
        <w:tab/>
        <w:t>零件外形尺</w:t>
      </w:r>
      <w:r>
        <w:rPr>
          <w:spacing w:val="-10"/>
        </w:rPr>
        <w:t>寸</w:t>
      </w:r>
      <w:r>
        <w:tab/>
      </w:r>
      <w:r>
        <w:rPr>
          <w:spacing w:val="-2"/>
        </w:rPr>
        <w:t>1.0mm</w:t>
      </w:r>
    </w:p>
    <w:p>
      <w:pPr>
        <w:pStyle w:val="BodyText"/>
        <w:tabs>
          <w:tab w:val="left" w:pos="1119"/>
        </w:tabs>
        <w:spacing w:before="81"/>
        <w:ind w:left="280"/>
      </w:pPr>
      <w:r>
        <w:t>气</w:t>
      </w:r>
      <w:r>
        <w:rPr>
          <w:spacing w:val="-10"/>
        </w:rPr>
        <w:t>割</w:t>
      </w:r>
      <w:r>
        <w:tab/>
        <w:t xml:space="preserve">零件宽度、长度 </w:t>
      </w:r>
      <w:r>
        <w:rPr>
          <w:spacing w:val="-2"/>
        </w:rPr>
        <w:t>3.0mm</w:t>
      </w:r>
    </w:p>
    <w:p>
      <w:pPr>
        <w:pStyle w:val="BodyText"/>
        <w:tabs>
          <w:tab w:val="left" w:pos="2799"/>
        </w:tabs>
        <w:spacing w:before="81"/>
        <w:ind w:left="700"/>
      </w:pPr>
      <w:r>
        <w:t>切割面平整</w:t>
      </w:r>
      <w:r>
        <w:rPr>
          <w:spacing w:val="-10"/>
        </w:rPr>
        <w:t>度</w:t>
      </w:r>
      <w:r>
        <w:tab/>
        <w:t>0.05T</w:t>
      </w:r>
      <w:r>
        <w:rPr>
          <w:spacing w:val="-70"/>
        </w:rPr>
        <w:t xml:space="preserve"> </w:t>
      </w:r>
      <w:r>
        <w:t>且不大于</w:t>
      </w:r>
      <w:r>
        <w:rPr>
          <w:spacing w:val="-70"/>
        </w:rPr>
        <w:t xml:space="preserve"> </w:t>
      </w:r>
      <w:r>
        <w:rPr>
          <w:spacing w:val="-5"/>
        </w:rPr>
        <w:t>2.0</w:t>
      </w:r>
    </w:p>
    <w:p>
      <w:pPr>
        <w:pStyle w:val="BodyText"/>
        <w:spacing w:before="82"/>
        <w:ind w:left="700"/>
      </w:pPr>
      <w:r>
        <w:t xml:space="preserve">割纹深度 </w:t>
      </w:r>
      <w:r>
        <w:rPr>
          <w:spacing w:val="-2"/>
        </w:rPr>
        <w:t>0.2mm</w:t>
      </w:r>
    </w:p>
    <w:p>
      <w:pPr>
        <w:pStyle w:val="BodyText"/>
        <w:tabs>
          <w:tab w:val="left" w:pos="2799"/>
        </w:tabs>
        <w:spacing w:before="81"/>
        <w:ind w:left="700"/>
      </w:pPr>
      <w:r>
        <w:t>局部缺口深</w:t>
      </w:r>
      <w:r>
        <w:rPr>
          <w:spacing w:val="-10"/>
        </w:rPr>
        <w:t>度</w:t>
      </w:r>
      <w:r>
        <w:tab/>
      </w:r>
      <w:r>
        <w:rPr>
          <w:spacing w:val="-2"/>
        </w:rPr>
        <w:t>1.0mm</w:t>
      </w:r>
    </w:p>
    <w:p>
      <w:pPr>
        <w:pStyle w:val="BodyText"/>
        <w:spacing w:before="81"/>
        <w:ind w:left="280"/>
      </w:pPr>
      <w:r>
        <w:t xml:space="preserve">机械切割 零件宽度、长度 </w:t>
      </w:r>
      <w:r>
        <w:rPr>
          <w:spacing w:val="-2"/>
        </w:rPr>
        <w:t>3.0mm</w:t>
      </w:r>
    </w:p>
    <w:p>
      <w:pPr>
        <w:pStyle w:val="BodyText"/>
        <w:spacing w:before="81"/>
        <w:ind w:left="700"/>
      </w:pPr>
      <w:r>
        <w:t xml:space="preserve">边缘缺棱 </w:t>
      </w:r>
      <w:r>
        <w:rPr>
          <w:spacing w:val="-2"/>
        </w:rPr>
        <w:t>1.0mm</w:t>
      </w:r>
    </w:p>
    <w:p>
      <w:pPr>
        <w:pStyle w:val="BodyText"/>
        <w:spacing w:before="82"/>
        <w:ind w:left="700"/>
      </w:pPr>
      <w:r>
        <w:t xml:space="preserve">型钢端部垂直度 </w:t>
      </w:r>
      <w:r>
        <w:rPr>
          <w:spacing w:val="-2"/>
        </w:rPr>
        <w:t>2.0mm</w:t>
      </w:r>
    </w:p>
    <w:p>
      <w:pPr>
        <w:pStyle w:val="BodyText"/>
        <w:spacing w:before="81"/>
        <w:ind w:left="280"/>
      </w:pPr>
      <w:r>
        <w:t xml:space="preserve">边缘加工 零件宽度、长度 </w:t>
      </w:r>
      <w:r>
        <w:rPr>
          <w:spacing w:val="-2"/>
        </w:rPr>
        <w:t>1.0mm</w:t>
      </w:r>
    </w:p>
    <w:p>
      <w:pPr>
        <w:pStyle w:val="BodyText"/>
        <w:tabs>
          <w:tab w:val="left" w:pos="2799"/>
        </w:tabs>
        <w:spacing w:before="81"/>
        <w:ind w:left="700"/>
      </w:pPr>
      <w:r>
        <w:t>加工边直线</w:t>
      </w:r>
      <w:r>
        <w:rPr>
          <w:spacing w:val="-10"/>
        </w:rPr>
        <w:t>度</w:t>
      </w:r>
      <w:r>
        <w:tab/>
        <w:t>1/3000</w:t>
      </w:r>
      <w:r>
        <w:rPr>
          <w:spacing w:val="-70"/>
        </w:rPr>
        <w:t xml:space="preserve"> </w:t>
      </w:r>
      <w:r>
        <w:t>且不大于</w:t>
      </w:r>
      <w:r>
        <w:rPr>
          <w:spacing w:val="-70"/>
        </w:rPr>
        <w:t xml:space="preserve"> </w:t>
      </w:r>
      <w:r>
        <w:rPr>
          <w:spacing w:val="-5"/>
        </w:rPr>
        <w:t>2.0</w:t>
      </w:r>
    </w:p>
    <w:p>
      <w:pPr>
        <w:pStyle w:val="BodyText"/>
        <w:tabs>
          <w:tab w:val="left" w:pos="2799"/>
        </w:tabs>
        <w:spacing w:before="81"/>
        <w:ind w:left="700"/>
      </w:pPr>
      <w:r>
        <w:t>相邻两边夹</w:t>
      </w:r>
      <w:r>
        <w:rPr>
          <w:spacing w:val="-10"/>
        </w:rPr>
        <w:t>角</w:t>
      </w:r>
      <w:r>
        <w:tab/>
      </w:r>
      <w:r>
        <w:rPr>
          <w:spacing w:val="-5"/>
        </w:rPr>
        <w:t>6′</w:t>
      </w:r>
    </w:p>
    <w:p>
      <w:pPr>
        <w:pStyle w:val="BodyText"/>
        <w:tabs>
          <w:tab w:val="left" w:pos="2799"/>
        </w:tabs>
        <w:spacing w:before="82"/>
        <w:ind w:left="700"/>
      </w:pPr>
      <w:r>
        <w:t>加工面垂直</w:t>
      </w:r>
      <w:r>
        <w:rPr>
          <w:spacing w:val="-10"/>
        </w:rPr>
        <w:t>度</w:t>
      </w:r>
      <w:r>
        <w:tab/>
        <w:t>0.025T</w:t>
      </w:r>
      <w:r>
        <w:rPr>
          <w:spacing w:val="-70"/>
        </w:rPr>
        <w:t xml:space="preserve"> </w:t>
      </w:r>
      <w:r>
        <w:t>且不大于</w:t>
      </w:r>
      <w:r>
        <w:rPr>
          <w:spacing w:val="-70"/>
        </w:rPr>
        <w:t xml:space="preserve"> </w:t>
      </w:r>
      <w:r>
        <w:rPr>
          <w:spacing w:val="-2"/>
        </w:rPr>
        <w:t>0.5mm</w:t>
      </w:r>
    </w:p>
    <w:p>
      <w:pPr>
        <w:pStyle w:val="ListParagraph"/>
        <w:numPr>
          <w:ilvl w:val="1"/>
          <w:numId w:val="27"/>
        </w:numPr>
        <w:tabs>
          <w:tab w:val="left" w:pos="1541"/>
        </w:tabs>
        <w:spacing w:before="81" w:after="0" w:line="240" w:lineRule="auto"/>
        <w:ind w:left="1541" w:right="0" w:hanging="701"/>
        <w:jc w:val="left"/>
        <w:rPr>
          <w:sz w:val="28"/>
        </w:rPr>
      </w:pPr>
      <w:r>
        <w:rPr>
          <w:spacing w:val="-2"/>
          <w:sz w:val="28"/>
        </w:rPr>
        <w:t>下料、组对</w:t>
      </w:r>
    </w:p>
    <w:p>
      <w:pPr>
        <w:pStyle w:val="BodyText"/>
        <w:spacing w:before="81" w:line="295" w:lineRule="auto"/>
        <w:ind w:left="280" w:right="418" w:firstLine="560"/>
      </w:pPr>
      <w:r>
        <w:rPr>
          <w:spacing w:val="-15"/>
        </w:rPr>
        <w:t xml:space="preserve">①火焰切割，切割前钢材表面沿切割线宽度 </w:t>
      </w:r>
      <w:r>
        <w:rPr>
          <w:spacing w:val="-2"/>
        </w:rPr>
        <w:t>50mm-80mm</w:t>
      </w:r>
      <w:r>
        <w:rPr>
          <w:spacing w:val="-14"/>
        </w:rPr>
        <w:t xml:space="preserve"> 范围内的</w:t>
      </w:r>
      <w:r>
        <w:rPr>
          <w:spacing w:val="-2"/>
        </w:rPr>
        <w:t>铁锈、油污应清除。切割后清除切口表面的毛刺、飞溅物等。</w:t>
      </w:r>
    </w:p>
    <w:p>
      <w:pPr>
        <w:pStyle w:val="BodyText"/>
        <w:spacing w:line="356" w:lineRule="exact"/>
        <w:ind w:left="840"/>
      </w:pPr>
      <w:r>
        <w:rPr>
          <w:spacing w:val="-7"/>
        </w:rPr>
        <w:t xml:space="preserve">②机械剪切，剪切后，所有切口边缘不得有裂纹和超过 </w:t>
      </w:r>
      <w:r>
        <w:rPr>
          <w:spacing w:val="-4"/>
        </w:rPr>
        <w:t>1.0mm</w:t>
      </w:r>
      <w:r>
        <w:rPr>
          <w:spacing w:val="-35"/>
        </w:rPr>
        <w:t xml:space="preserve"> 缺</w:t>
      </w:r>
    </w:p>
    <w:p>
      <w:pPr>
        <w:spacing w:after="0" w:line="356" w:lineRule="exact"/>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0" w:history="1">
        <w:r>
          <w:rPr>
            <w:rFonts w:ascii="SimSun" w:eastAsia="SimSun" w:hAnsi="SimSun" w:cs="SimSun"/>
            <w:b/>
            <w:bCs/>
            <w:color w:val="0000EE"/>
            <w:sz w:val="30"/>
            <w:szCs w:val="30"/>
            <w:u w:val="single" w:color="0000EE"/>
          </w:rPr>
          <w:t>https://d.book118.com/375240310332011121</w:t>
        </w:r>
      </w:hyperlink>
    </w:p>
    <w:p>
      <w:pPr>
        <w:spacing w:after="0" w:line="356" w:lineRule="exact"/>
      </w:pPr>
    </w:p>
    <w:sectPr>
      <w:pgSz w:w="11910" w:h="16840"/>
      <w:pgMar w:top="1460" w:right="1380" w:bottom="280" w:left="1520" w:header="708" w:footer="708"/>
      <w:pgNumType w:start="23"/>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Microsoft JhengHei">
    <w:altName w:val="Microsoft JhengHei"/>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Calibri Light">
    <w:altName w:val="Calibri Light"/>
    <w:charset w:val="00"/>
    <w:family w:val="swiss"/>
    <w:pitch w:val="variable"/>
    <w:sig w:usb0="00000000" w:usb1="00000000" w:usb2="00000000" w:usb3="00000000" w:csb0="00000001" w:csb1="00000000"/>
  </w:font>
  <w:font w:name="仿宋">
    <w:altName w:val="仿宋"/>
    <w:charset w:val="86"/>
    <w:family w:val="modern"/>
    <w:pitch w:val="fixed"/>
    <w:sig w:usb0="00000000" w:usb1="00000000" w:usb2="00000000" w:usb3="00000000" w:csb0="00040000" w:csb1="00000000"/>
  </w:font>
  <w:font w:name="Calibri">
    <w:altName w:val="Calibri"/>
    <w:charset w:val="00"/>
    <w:family w:val="swiss"/>
    <w:pitch w:val="variable"/>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 w:name="Microsoft YaHei UI">
    <w:altName w:val="Microsoft YaHei UI"/>
    <w:charset w:val="86"/>
    <w:family w:val="swiss"/>
    <w:pitch w:val="variable"/>
    <w:sig w:usb0="00000000" w:usb1="00000000" w:usb2="00000000" w:usb3="00000000" w:csb0="00040000" w:csb1="00000000"/>
  </w:font>
  <w:font w:name="Malgun Gothic">
    <w:altName w:val="Malgun Gothic"/>
    <w:charset w:val="00"/>
    <w:family w:val="swiss"/>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7CF5A8"/>
    <w:multiLevelType w:val="hybridMultilevel"/>
    <w:tmpl w:val="00000000"/>
    <w:lvl w:ilvl="0">
      <w:start w:val="1"/>
      <w:numFmt w:val="decimal"/>
      <w:lvlText w:val="%1）"/>
      <w:lvlJc w:val="left"/>
      <w:pPr>
        <w:ind w:left="1238" w:hanging="421"/>
        <w:jc w:val="left"/>
      </w:pPr>
      <w:rPr>
        <w:rFonts w:ascii="宋体" w:eastAsia="宋体" w:hAnsi="宋体" w:cs="宋体" w:hint="default"/>
        <w:b w:val="0"/>
        <w:bCs w:val="0"/>
        <w:i w:val="0"/>
        <w:iCs w:val="0"/>
        <w:spacing w:val="-79"/>
        <w:w w:val="100"/>
        <w:sz w:val="26"/>
        <w:szCs w:val="26"/>
        <w:lang w:val="en-US" w:eastAsia="zh-CN" w:bidi="ar-SA"/>
      </w:rPr>
    </w:lvl>
    <w:lvl w:ilvl="1">
      <w:start w:val="0"/>
      <w:numFmt w:val="bullet"/>
      <w:lvlText w:val="•"/>
      <w:lvlJc w:val="left"/>
      <w:pPr>
        <w:ind w:left="2006" w:hanging="421"/>
      </w:pPr>
      <w:rPr>
        <w:rFonts w:hint="default"/>
        <w:lang w:val="en-US" w:eastAsia="zh-CN" w:bidi="ar-SA"/>
      </w:rPr>
    </w:lvl>
    <w:lvl w:ilvl="2">
      <w:start w:val="0"/>
      <w:numFmt w:val="bullet"/>
      <w:lvlText w:val="•"/>
      <w:lvlJc w:val="left"/>
      <w:pPr>
        <w:ind w:left="2773" w:hanging="421"/>
      </w:pPr>
      <w:rPr>
        <w:rFonts w:hint="default"/>
        <w:lang w:val="en-US" w:eastAsia="zh-CN" w:bidi="ar-SA"/>
      </w:rPr>
    </w:lvl>
    <w:lvl w:ilvl="3">
      <w:start w:val="0"/>
      <w:numFmt w:val="bullet"/>
      <w:lvlText w:val="•"/>
      <w:lvlJc w:val="left"/>
      <w:pPr>
        <w:ind w:left="3540" w:hanging="421"/>
      </w:pPr>
      <w:rPr>
        <w:rFonts w:hint="default"/>
        <w:lang w:val="en-US" w:eastAsia="zh-CN" w:bidi="ar-SA"/>
      </w:rPr>
    </w:lvl>
    <w:lvl w:ilvl="4">
      <w:start w:val="0"/>
      <w:numFmt w:val="bullet"/>
      <w:lvlText w:val="•"/>
      <w:lvlJc w:val="left"/>
      <w:pPr>
        <w:ind w:left="4306" w:hanging="421"/>
      </w:pPr>
      <w:rPr>
        <w:rFonts w:hint="default"/>
        <w:lang w:val="en-US" w:eastAsia="zh-CN" w:bidi="ar-SA"/>
      </w:rPr>
    </w:lvl>
    <w:lvl w:ilvl="5">
      <w:start w:val="0"/>
      <w:numFmt w:val="bullet"/>
      <w:lvlText w:val="•"/>
      <w:lvlJc w:val="left"/>
      <w:pPr>
        <w:ind w:left="5073" w:hanging="421"/>
      </w:pPr>
      <w:rPr>
        <w:rFonts w:hint="default"/>
        <w:lang w:val="en-US" w:eastAsia="zh-CN" w:bidi="ar-SA"/>
      </w:rPr>
    </w:lvl>
    <w:lvl w:ilvl="6">
      <w:start w:val="0"/>
      <w:numFmt w:val="bullet"/>
      <w:lvlText w:val="•"/>
      <w:lvlJc w:val="left"/>
      <w:pPr>
        <w:ind w:left="5840" w:hanging="421"/>
      </w:pPr>
      <w:rPr>
        <w:rFonts w:hint="default"/>
        <w:lang w:val="en-US" w:eastAsia="zh-CN" w:bidi="ar-SA"/>
      </w:rPr>
    </w:lvl>
    <w:lvl w:ilvl="7">
      <w:start w:val="0"/>
      <w:numFmt w:val="bullet"/>
      <w:lvlText w:val="•"/>
      <w:lvlJc w:val="left"/>
      <w:pPr>
        <w:ind w:left="6606" w:hanging="421"/>
      </w:pPr>
      <w:rPr>
        <w:rFonts w:hint="default"/>
        <w:lang w:val="en-US" w:eastAsia="zh-CN" w:bidi="ar-SA"/>
      </w:rPr>
    </w:lvl>
    <w:lvl w:ilvl="8">
      <w:start w:val="0"/>
      <w:numFmt w:val="bullet"/>
      <w:lvlText w:val="•"/>
      <w:lvlJc w:val="left"/>
      <w:pPr>
        <w:ind w:left="7373" w:hanging="421"/>
      </w:pPr>
      <w:rPr>
        <w:rFonts w:hint="default"/>
        <w:lang w:val="en-US" w:eastAsia="zh-CN" w:bidi="ar-SA"/>
      </w:rPr>
    </w:lvl>
  </w:abstractNum>
  <w:abstractNum w:abstractNumId="1">
    <w:nsid w:val="07254863"/>
    <w:multiLevelType w:val="hybridMultilevel"/>
    <w:tmpl w:val="00000000"/>
    <w:lvl w:ilvl="0">
      <w:start w:val="1"/>
      <w:numFmt w:val="decimal"/>
      <w:lvlText w:val="%1）"/>
      <w:lvlJc w:val="left"/>
      <w:pPr>
        <w:ind w:left="280" w:hanging="421"/>
        <w:jc w:val="left"/>
      </w:pPr>
      <w:rPr>
        <w:rFonts w:ascii="宋体" w:eastAsia="宋体" w:hAnsi="宋体" w:cs="宋体" w:hint="default"/>
        <w:b w:val="0"/>
        <w:bCs w:val="0"/>
        <w:i w:val="0"/>
        <w:iCs w:val="0"/>
        <w:spacing w:val="-139"/>
        <w:w w:val="100"/>
        <w:sz w:val="26"/>
        <w:szCs w:val="26"/>
        <w:lang w:val="en-US" w:eastAsia="zh-CN" w:bidi="ar-SA"/>
      </w:rPr>
    </w:lvl>
    <w:lvl w:ilvl="1">
      <w:start w:val="0"/>
      <w:numFmt w:val="bullet"/>
      <w:lvlText w:val="•"/>
      <w:lvlJc w:val="left"/>
      <w:pPr>
        <w:ind w:left="1152" w:hanging="421"/>
      </w:pPr>
      <w:rPr>
        <w:rFonts w:hint="default"/>
        <w:lang w:val="en-US" w:eastAsia="zh-CN" w:bidi="ar-SA"/>
      </w:rPr>
    </w:lvl>
    <w:lvl w:ilvl="2">
      <w:start w:val="0"/>
      <w:numFmt w:val="bullet"/>
      <w:lvlText w:val="•"/>
      <w:lvlJc w:val="left"/>
      <w:pPr>
        <w:ind w:left="2025" w:hanging="421"/>
      </w:pPr>
      <w:rPr>
        <w:rFonts w:hint="default"/>
        <w:lang w:val="en-US" w:eastAsia="zh-CN" w:bidi="ar-SA"/>
      </w:rPr>
    </w:lvl>
    <w:lvl w:ilvl="3">
      <w:start w:val="0"/>
      <w:numFmt w:val="bullet"/>
      <w:lvlText w:val="•"/>
      <w:lvlJc w:val="left"/>
      <w:pPr>
        <w:ind w:left="2897" w:hanging="421"/>
      </w:pPr>
      <w:rPr>
        <w:rFonts w:hint="default"/>
        <w:lang w:val="en-US" w:eastAsia="zh-CN" w:bidi="ar-SA"/>
      </w:rPr>
    </w:lvl>
    <w:lvl w:ilvl="4">
      <w:start w:val="0"/>
      <w:numFmt w:val="bullet"/>
      <w:lvlText w:val="•"/>
      <w:lvlJc w:val="left"/>
      <w:pPr>
        <w:ind w:left="3770" w:hanging="421"/>
      </w:pPr>
      <w:rPr>
        <w:rFonts w:hint="default"/>
        <w:lang w:val="en-US" w:eastAsia="zh-CN" w:bidi="ar-SA"/>
      </w:rPr>
    </w:lvl>
    <w:lvl w:ilvl="5">
      <w:start w:val="0"/>
      <w:numFmt w:val="bullet"/>
      <w:lvlText w:val="•"/>
      <w:lvlJc w:val="left"/>
      <w:pPr>
        <w:ind w:left="4643" w:hanging="421"/>
      </w:pPr>
      <w:rPr>
        <w:rFonts w:hint="default"/>
        <w:lang w:val="en-US" w:eastAsia="zh-CN" w:bidi="ar-SA"/>
      </w:rPr>
    </w:lvl>
    <w:lvl w:ilvl="6">
      <w:start w:val="0"/>
      <w:numFmt w:val="bullet"/>
      <w:lvlText w:val="•"/>
      <w:lvlJc w:val="left"/>
      <w:pPr>
        <w:ind w:left="5515" w:hanging="421"/>
      </w:pPr>
      <w:rPr>
        <w:rFonts w:hint="default"/>
        <w:lang w:val="en-US" w:eastAsia="zh-CN" w:bidi="ar-SA"/>
      </w:rPr>
    </w:lvl>
    <w:lvl w:ilvl="7">
      <w:start w:val="0"/>
      <w:numFmt w:val="bullet"/>
      <w:lvlText w:val="•"/>
      <w:lvlJc w:val="left"/>
      <w:pPr>
        <w:ind w:left="6388" w:hanging="421"/>
      </w:pPr>
      <w:rPr>
        <w:rFonts w:hint="default"/>
        <w:lang w:val="en-US" w:eastAsia="zh-CN" w:bidi="ar-SA"/>
      </w:rPr>
    </w:lvl>
    <w:lvl w:ilvl="8">
      <w:start w:val="0"/>
      <w:numFmt w:val="bullet"/>
      <w:lvlText w:val="•"/>
      <w:lvlJc w:val="left"/>
      <w:pPr>
        <w:ind w:left="7260" w:hanging="421"/>
      </w:pPr>
      <w:rPr>
        <w:rFonts w:hint="default"/>
        <w:lang w:val="en-US" w:eastAsia="zh-CN" w:bidi="ar-SA"/>
      </w:rPr>
    </w:lvl>
  </w:abstractNum>
  <w:abstractNum w:abstractNumId="2">
    <w:nsid w:val="09AE2B01"/>
    <w:multiLevelType w:val="hybridMultilevel"/>
    <w:tmpl w:val="00000000"/>
    <w:lvl w:ilvl="0">
      <w:start w:val="1"/>
      <w:numFmt w:val="decimal"/>
      <w:lvlText w:val="%1."/>
      <w:lvlJc w:val="left"/>
      <w:pPr>
        <w:ind w:left="281" w:hanging="318"/>
        <w:jc w:val="right"/>
      </w:pPr>
      <w:rPr>
        <w:rFonts w:ascii="Calibri" w:eastAsia="Calibri" w:hAnsi="Calibri" w:cs="Calibri" w:hint="default"/>
        <w:b w:val="0"/>
        <w:bCs w:val="0"/>
        <w:i w:val="0"/>
        <w:iCs w:val="0"/>
        <w:w w:val="100"/>
        <w:sz w:val="19"/>
        <w:szCs w:val="19"/>
        <w:lang w:val="en-US" w:eastAsia="zh-CN" w:bidi="ar-SA"/>
      </w:rPr>
    </w:lvl>
    <w:lvl w:ilvl="1">
      <w:start w:val="0"/>
      <w:numFmt w:val="bullet"/>
      <w:lvlText w:val="•"/>
      <w:lvlJc w:val="left"/>
      <w:pPr>
        <w:ind w:left="1152" w:hanging="318"/>
      </w:pPr>
      <w:rPr>
        <w:rFonts w:hint="default"/>
        <w:lang w:val="en-US" w:eastAsia="zh-CN" w:bidi="ar-SA"/>
      </w:rPr>
    </w:lvl>
    <w:lvl w:ilvl="2">
      <w:start w:val="0"/>
      <w:numFmt w:val="bullet"/>
      <w:lvlText w:val="•"/>
      <w:lvlJc w:val="left"/>
      <w:pPr>
        <w:ind w:left="2025" w:hanging="318"/>
      </w:pPr>
      <w:rPr>
        <w:rFonts w:hint="default"/>
        <w:lang w:val="en-US" w:eastAsia="zh-CN" w:bidi="ar-SA"/>
      </w:rPr>
    </w:lvl>
    <w:lvl w:ilvl="3">
      <w:start w:val="0"/>
      <w:numFmt w:val="bullet"/>
      <w:lvlText w:val="•"/>
      <w:lvlJc w:val="left"/>
      <w:pPr>
        <w:ind w:left="2897" w:hanging="318"/>
      </w:pPr>
      <w:rPr>
        <w:rFonts w:hint="default"/>
        <w:lang w:val="en-US" w:eastAsia="zh-CN" w:bidi="ar-SA"/>
      </w:rPr>
    </w:lvl>
    <w:lvl w:ilvl="4">
      <w:start w:val="0"/>
      <w:numFmt w:val="bullet"/>
      <w:lvlText w:val="•"/>
      <w:lvlJc w:val="left"/>
      <w:pPr>
        <w:ind w:left="3770" w:hanging="318"/>
      </w:pPr>
      <w:rPr>
        <w:rFonts w:hint="default"/>
        <w:lang w:val="en-US" w:eastAsia="zh-CN" w:bidi="ar-SA"/>
      </w:rPr>
    </w:lvl>
    <w:lvl w:ilvl="5">
      <w:start w:val="0"/>
      <w:numFmt w:val="bullet"/>
      <w:lvlText w:val="•"/>
      <w:lvlJc w:val="left"/>
      <w:pPr>
        <w:ind w:left="4643" w:hanging="318"/>
      </w:pPr>
      <w:rPr>
        <w:rFonts w:hint="default"/>
        <w:lang w:val="en-US" w:eastAsia="zh-CN" w:bidi="ar-SA"/>
      </w:rPr>
    </w:lvl>
    <w:lvl w:ilvl="6">
      <w:start w:val="0"/>
      <w:numFmt w:val="bullet"/>
      <w:lvlText w:val="•"/>
      <w:lvlJc w:val="left"/>
      <w:pPr>
        <w:ind w:left="5515" w:hanging="318"/>
      </w:pPr>
      <w:rPr>
        <w:rFonts w:hint="default"/>
        <w:lang w:val="en-US" w:eastAsia="zh-CN" w:bidi="ar-SA"/>
      </w:rPr>
    </w:lvl>
    <w:lvl w:ilvl="7">
      <w:start w:val="0"/>
      <w:numFmt w:val="bullet"/>
      <w:lvlText w:val="•"/>
      <w:lvlJc w:val="left"/>
      <w:pPr>
        <w:ind w:left="6388" w:hanging="318"/>
      </w:pPr>
      <w:rPr>
        <w:rFonts w:hint="default"/>
        <w:lang w:val="en-US" w:eastAsia="zh-CN" w:bidi="ar-SA"/>
      </w:rPr>
    </w:lvl>
    <w:lvl w:ilvl="8">
      <w:start w:val="0"/>
      <w:numFmt w:val="bullet"/>
      <w:lvlText w:val="•"/>
      <w:lvlJc w:val="left"/>
      <w:pPr>
        <w:ind w:left="7260" w:hanging="318"/>
      </w:pPr>
      <w:rPr>
        <w:rFonts w:hint="default"/>
        <w:lang w:val="en-US" w:eastAsia="zh-CN" w:bidi="ar-SA"/>
      </w:rPr>
    </w:lvl>
  </w:abstractNum>
  <w:abstractNum w:abstractNumId="3">
    <w:nsid w:val="0AE3ADAA"/>
    <w:multiLevelType w:val="hybridMultilevel"/>
    <w:tmpl w:val="00000000"/>
    <w:lvl w:ilvl="0">
      <w:start w:val="2"/>
      <w:numFmt w:val="decimal"/>
      <w:lvlText w:val="%1)"/>
      <w:lvlJc w:val="left"/>
      <w:pPr>
        <w:ind w:left="840" w:hanging="281"/>
        <w:jc w:val="left"/>
      </w:pPr>
      <w:rPr>
        <w:rFonts w:ascii="宋体" w:eastAsia="宋体" w:hAnsi="宋体" w:cs="宋体" w:hint="default"/>
        <w:b w:val="0"/>
        <w:bCs w:val="0"/>
        <w:i w:val="0"/>
        <w:iCs w:val="0"/>
        <w:w w:val="100"/>
        <w:sz w:val="26"/>
        <w:szCs w:val="26"/>
        <w:lang w:val="en-US" w:eastAsia="zh-CN" w:bidi="ar-SA"/>
      </w:rPr>
    </w:lvl>
    <w:lvl w:ilvl="1">
      <w:start w:val="0"/>
      <w:numFmt w:val="bullet"/>
      <w:lvlText w:val="•"/>
      <w:lvlJc w:val="left"/>
      <w:pPr>
        <w:ind w:left="1656" w:hanging="281"/>
      </w:pPr>
      <w:rPr>
        <w:rFonts w:hint="default"/>
        <w:lang w:val="en-US" w:eastAsia="zh-CN" w:bidi="ar-SA"/>
      </w:rPr>
    </w:lvl>
    <w:lvl w:ilvl="2">
      <w:start w:val="0"/>
      <w:numFmt w:val="bullet"/>
      <w:lvlText w:val="•"/>
      <w:lvlJc w:val="left"/>
      <w:pPr>
        <w:ind w:left="2473" w:hanging="281"/>
      </w:pPr>
      <w:rPr>
        <w:rFonts w:hint="default"/>
        <w:lang w:val="en-US" w:eastAsia="zh-CN" w:bidi="ar-SA"/>
      </w:rPr>
    </w:lvl>
    <w:lvl w:ilvl="3">
      <w:start w:val="0"/>
      <w:numFmt w:val="bullet"/>
      <w:lvlText w:val="•"/>
      <w:lvlJc w:val="left"/>
      <w:pPr>
        <w:ind w:left="3289" w:hanging="281"/>
      </w:pPr>
      <w:rPr>
        <w:rFonts w:hint="default"/>
        <w:lang w:val="en-US" w:eastAsia="zh-CN" w:bidi="ar-SA"/>
      </w:rPr>
    </w:lvl>
    <w:lvl w:ilvl="4">
      <w:start w:val="0"/>
      <w:numFmt w:val="bullet"/>
      <w:lvlText w:val="•"/>
      <w:lvlJc w:val="left"/>
      <w:pPr>
        <w:ind w:left="4106" w:hanging="281"/>
      </w:pPr>
      <w:rPr>
        <w:rFonts w:hint="default"/>
        <w:lang w:val="en-US" w:eastAsia="zh-CN" w:bidi="ar-SA"/>
      </w:rPr>
    </w:lvl>
    <w:lvl w:ilvl="5">
      <w:start w:val="0"/>
      <w:numFmt w:val="bullet"/>
      <w:lvlText w:val="•"/>
      <w:lvlJc w:val="left"/>
      <w:pPr>
        <w:ind w:left="4923" w:hanging="281"/>
      </w:pPr>
      <w:rPr>
        <w:rFonts w:hint="default"/>
        <w:lang w:val="en-US" w:eastAsia="zh-CN" w:bidi="ar-SA"/>
      </w:rPr>
    </w:lvl>
    <w:lvl w:ilvl="6">
      <w:start w:val="0"/>
      <w:numFmt w:val="bullet"/>
      <w:lvlText w:val="•"/>
      <w:lvlJc w:val="left"/>
      <w:pPr>
        <w:ind w:left="5739" w:hanging="281"/>
      </w:pPr>
      <w:rPr>
        <w:rFonts w:hint="default"/>
        <w:lang w:val="en-US" w:eastAsia="zh-CN" w:bidi="ar-SA"/>
      </w:rPr>
    </w:lvl>
    <w:lvl w:ilvl="7">
      <w:start w:val="0"/>
      <w:numFmt w:val="bullet"/>
      <w:lvlText w:val="•"/>
      <w:lvlJc w:val="left"/>
      <w:pPr>
        <w:ind w:left="6556" w:hanging="281"/>
      </w:pPr>
      <w:rPr>
        <w:rFonts w:hint="default"/>
        <w:lang w:val="en-US" w:eastAsia="zh-CN" w:bidi="ar-SA"/>
      </w:rPr>
    </w:lvl>
    <w:lvl w:ilvl="8">
      <w:start w:val="0"/>
      <w:numFmt w:val="bullet"/>
      <w:lvlText w:val="•"/>
      <w:lvlJc w:val="left"/>
      <w:pPr>
        <w:ind w:left="7372" w:hanging="281"/>
      </w:pPr>
      <w:rPr>
        <w:rFonts w:hint="default"/>
        <w:lang w:val="en-US" w:eastAsia="zh-CN" w:bidi="ar-SA"/>
      </w:rPr>
    </w:lvl>
  </w:abstractNum>
  <w:abstractNum w:abstractNumId="4">
    <w:nsid w:val="139F5FB9"/>
    <w:multiLevelType w:val="hybridMultilevel"/>
    <w:tmpl w:val="00000000"/>
    <w:lvl w:ilvl="0">
      <w:start w:val="5"/>
      <w:numFmt w:val="decimal"/>
      <w:lvlText w:val="（%1）"/>
      <w:lvlJc w:val="left"/>
      <w:pPr>
        <w:ind w:left="1518" w:hanging="701"/>
        <w:jc w:val="left"/>
      </w:pPr>
      <w:rPr>
        <w:rFonts w:ascii="宋体" w:eastAsia="宋体" w:hAnsi="宋体" w:cs="宋体" w:hint="default"/>
        <w:b w:val="0"/>
        <w:bCs w:val="0"/>
        <w:i w:val="0"/>
        <w:iCs w:val="0"/>
        <w:w w:val="100"/>
        <w:sz w:val="26"/>
        <w:szCs w:val="26"/>
        <w:lang w:val="en-US" w:eastAsia="zh-CN" w:bidi="ar-SA"/>
      </w:rPr>
    </w:lvl>
    <w:lvl w:ilvl="1">
      <w:start w:val="0"/>
      <w:numFmt w:val="bullet"/>
      <w:lvlText w:val="•"/>
      <w:lvlJc w:val="left"/>
      <w:pPr>
        <w:ind w:left="2258" w:hanging="701"/>
      </w:pPr>
      <w:rPr>
        <w:rFonts w:hint="default"/>
        <w:lang w:val="en-US" w:eastAsia="zh-CN" w:bidi="ar-SA"/>
      </w:rPr>
    </w:lvl>
    <w:lvl w:ilvl="2">
      <w:start w:val="0"/>
      <w:numFmt w:val="bullet"/>
      <w:lvlText w:val="•"/>
      <w:lvlJc w:val="left"/>
      <w:pPr>
        <w:ind w:left="2997" w:hanging="701"/>
      </w:pPr>
      <w:rPr>
        <w:rFonts w:hint="default"/>
        <w:lang w:val="en-US" w:eastAsia="zh-CN" w:bidi="ar-SA"/>
      </w:rPr>
    </w:lvl>
    <w:lvl w:ilvl="3">
      <w:start w:val="0"/>
      <w:numFmt w:val="bullet"/>
      <w:lvlText w:val="•"/>
      <w:lvlJc w:val="left"/>
      <w:pPr>
        <w:ind w:left="3736" w:hanging="701"/>
      </w:pPr>
      <w:rPr>
        <w:rFonts w:hint="default"/>
        <w:lang w:val="en-US" w:eastAsia="zh-CN" w:bidi="ar-SA"/>
      </w:rPr>
    </w:lvl>
    <w:lvl w:ilvl="4">
      <w:start w:val="0"/>
      <w:numFmt w:val="bullet"/>
      <w:lvlText w:val="•"/>
      <w:lvlJc w:val="left"/>
      <w:pPr>
        <w:ind w:left="4474" w:hanging="701"/>
      </w:pPr>
      <w:rPr>
        <w:rFonts w:hint="default"/>
        <w:lang w:val="en-US" w:eastAsia="zh-CN" w:bidi="ar-SA"/>
      </w:rPr>
    </w:lvl>
    <w:lvl w:ilvl="5">
      <w:start w:val="0"/>
      <w:numFmt w:val="bullet"/>
      <w:lvlText w:val="•"/>
      <w:lvlJc w:val="left"/>
      <w:pPr>
        <w:ind w:left="5213" w:hanging="701"/>
      </w:pPr>
      <w:rPr>
        <w:rFonts w:hint="default"/>
        <w:lang w:val="en-US" w:eastAsia="zh-CN" w:bidi="ar-SA"/>
      </w:rPr>
    </w:lvl>
    <w:lvl w:ilvl="6">
      <w:start w:val="0"/>
      <w:numFmt w:val="bullet"/>
      <w:lvlText w:val="•"/>
      <w:lvlJc w:val="left"/>
      <w:pPr>
        <w:ind w:left="5952" w:hanging="701"/>
      </w:pPr>
      <w:rPr>
        <w:rFonts w:hint="default"/>
        <w:lang w:val="en-US" w:eastAsia="zh-CN" w:bidi="ar-SA"/>
      </w:rPr>
    </w:lvl>
    <w:lvl w:ilvl="7">
      <w:start w:val="0"/>
      <w:numFmt w:val="bullet"/>
      <w:lvlText w:val="•"/>
      <w:lvlJc w:val="left"/>
      <w:pPr>
        <w:ind w:left="6690" w:hanging="701"/>
      </w:pPr>
      <w:rPr>
        <w:rFonts w:hint="default"/>
        <w:lang w:val="en-US" w:eastAsia="zh-CN" w:bidi="ar-SA"/>
      </w:rPr>
    </w:lvl>
    <w:lvl w:ilvl="8">
      <w:start w:val="0"/>
      <w:numFmt w:val="bullet"/>
      <w:lvlText w:val="•"/>
      <w:lvlJc w:val="left"/>
      <w:pPr>
        <w:ind w:left="7429" w:hanging="701"/>
      </w:pPr>
      <w:rPr>
        <w:rFonts w:hint="default"/>
        <w:lang w:val="en-US" w:eastAsia="zh-CN" w:bidi="ar-SA"/>
      </w:rPr>
    </w:lvl>
  </w:abstractNum>
  <w:abstractNum w:abstractNumId="5">
    <w:nsid w:val="184A5ED3"/>
    <w:multiLevelType w:val="hybridMultilevel"/>
    <w:tmpl w:val="00000000"/>
    <w:lvl w:ilvl="0">
      <w:start w:val="1"/>
      <w:numFmt w:val="decimal"/>
      <w:lvlText w:val="%1）"/>
      <w:lvlJc w:val="left"/>
      <w:pPr>
        <w:ind w:left="280" w:hanging="422"/>
        <w:jc w:val="left"/>
      </w:pPr>
      <w:rPr>
        <w:rFonts w:ascii="宋体" w:eastAsia="宋体" w:hAnsi="宋体" w:cs="宋体" w:hint="default"/>
        <w:b w:val="0"/>
        <w:bCs w:val="0"/>
        <w:i w:val="0"/>
        <w:iCs w:val="0"/>
        <w:w w:val="100"/>
        <w:sz w:val="26"/>
        <w:szCs w:val="26"/>
        <w:lang w:val="en-US" w:eastAsia="zh-CN" w:bidi="ar-SA"/>
      </w:rPr>
    </w:lvl>
    <w:lvl w:ilvl="1">
      <w:start w:val="0"/>
      <w:numFmt w:val="bullet"/>
      <w:lvlText w:val="•"/>
      <w:lvlJc w:val="left"/>
      <w:pPr>
        <w:ind w:left="1152" w:hanging="422"/>
      </w:pPr>
      <w:rPr>
        <w:rFonts w:hint="default"/>
        <w:lang w:val="en-US" w:eastAsia="zh-CN" w:bidi="ar-SA"/>
      </w:rPr>
    </w:lvl>
    <w:lvl w:ilvl="2">
      <w:start w:val="0"/>
      <w:numFmt w:val="bullet"/>
      <w:lvlText w:val="•"/>
      <w:lvlJc w:val="left"/>
      <w:pPr>
        <w:ind w:left="2025" w:hanging="422"/>
      </w:pPr>
      <w:rPr>
        <w:rFonts w:hint="default"/>
        <w:lang w:val="en-US" w:eastAsia="zh-CN" w:bidi="ar-SA"/>
      </w:rPr>
    </w:lvl>
    <w:lvl w:ilvl="3">
      <w:start w:val="0"/>
      <w:numFmt w:val="bullet"/>
      <w:lvlText w:val="•"/>
      <w:lvlJc w:val="left"/>
      <w:pPr>
        <w:ind w:left="2897" w:hanging="422"/>
      </w:pPr>
      <w:rPr>
        <w:rFonts w:hint="default"/>
        <w:lang w:val="en-US" w:eastAsia="zh-CN" w:bidi="ar-SA"/>
      </w:rPr>
    </w:lvl>
    <w:lvl w:ilvl="4">
      <w:start w:val="0"/>
      <w:numFmt w:val="bullet"/>
      <w:lvlText w:val="•"/>
      <w:lvlJc w:val="left"/>
      <w:pPr>
        <w:ind w:left="3770" w:hanging="422"/>
      </w:pPr>
      <w:rPr>
        <w:rFonts w:hint="default"/>
        <w:lang w:val="en-US" w:eastAsia="zh-CN" w:bidi="ar-SA"/>
      </w:rPr>
    </w:lvl>
    <w:lvl w:ilvl="5">
      <w:start w:val="0"/>
      <w:numFmt w:val="bullet"/>
      <w:lvlText w:val="•"/>
      <w:lvlJc w:val="left"/>
      <w:pPr>
        <w:ind w:left="4643" w:hanging="422"/>
      </w:pPr>
      <w:rPr>
        <w:rFonts w:hint="default"/>
        <w:lang w:val="en-US" w:eastAsia="zh-CN" w:bidi="ar-SA"/>
      </w:rPr>
    </w:lvl>
    <w:lvl w:ilvl="6">
      <w:start w:val="0"/>
      <w:numFmt w:val="bullet"/>
      <w:lvlText w:val="•"/>
      <w:lvlJc w:val="left"/>
      <w:pPr>
        <w:ind w:left="5515" w:hanging="422"/>
      </w:pPr>
      <w:rPr>
        <w:rFonts w:hint="default"/>
        <w:lang w:val="en-US" w:eastAsia="zh-CN" w:bidi="ar-SA"/>
      </w:rPr>
    </w:lvl>
    <w:lvl w:ilvl="7">
      <w:start w:val="0"/>
      <w:numFmt w:val="bullet"/>
      <w:lvlText w:val="•"/>
      <w:lvlJc w:val="left"/>
      <w:pPr>
        <w:ind w:left="6388" w:hanging="422"/>
      </w:pPr>
      <w:rPr>
        <w:rFonts w:hint="default"/>
        <w:lang w:val="en-US" w:eastAsia="zh-CN" w:bidi="ar-SA"/>
      </w:rPr>
    </w:lvl>
    <w:lvl w:ilvl="8">
      <w:start w:val="0"/>
      <w:numFmt w:val="bullet"/>
      <w:lvlText w:val="•"/>
      <w:lvlJc w:val="left"/>
      <w:pPr>
        <w:ind w:left="7260" w:hanging="422"/>
      </w:pPr>
      <w:rPr>
        <w:rFonts w:hint="default"/>
        <w:lang w:val="en-US" w:eastAsia="zh-CN" w:bidi="ar-SA"/>
      </w:rPr>
    </w:lvl>
  </w:abstractNum>
  <w:abstractNum w:abstractNumId="6">
    <w:nsid w:val="1CA95EB5"/>
    <w:multiLevelType w:val="hybridMultilevel"/>
    <w:tmpl w:val="00000000"/>
    <w:lvl w:ilvl="0">
      <w:start w:val="1"/>
      <w:numFmt w:val="decimal"/>
      <w:lvlText w:val="%1"/>
      <w:lvlJc w:val="left"/>
      <w:pPr>
        <w:ind w:left="467" w:hanging="210"/>
        <w:jc w:val="left"/>
      </w:pPr>
      <w:rPr>
        <w:rFonts w:hint="default"/>
        <w:w w:val="100"/>
        <w:lang w:val="en-US" w:eastAsia="zh-CN" w:bidi="ar-SA"/>
      </w:rPr>
    </w:lvl>
    <w:lvl w:ilvl="1">
      <w:start w:val="1"/>
      <w:numFmt w:val="decimal"/>
      <w:lvlText w:val="%2）"/>
      <w:lvlJc w:val="left"/>
      <w:pPr>
        <w:ind w:left="257" w:hanging="422"/>
        <w:jc w:val="left"/>
      </w:pPr>
      <w:rPr>
        <w:rFonts w:ascii="宋体" w:eastAsia="宋体" w:hAnsi="宋体" w:cs="宋体" w:hint="default"/>
        <w:b w:val="0"/>
        <w:bCs w:val="0"/>
        <w:i w:val="0"/>
        <w:iCs w:val="0"/>
        <w:w w:val="100"/>
        <w:sz w:val="26"/>
        <w:szCs w:val="26"/>
        <w:lang w:val="en-US" w:eastAsia="zh-CN" w:bidi="ar-SA"/>
      </w:rPr>
    </w:lvl>
    <w:lvl w:ilvl="2">
      <w:start w:val="0"/>
      <w:numFmt w:val="bullet"/>
      <w:lvlText w:val="•"/>
      <w:lvlJc w:val="left"/>
      <w:pPr>
        <w:ind w:left="460" w:hanging="422"/>
      </w:pPr>
      <w:rPr>
        <w:rFonts w:hint="default"/>
        <w:lang w:val="en-US" w:eastAsia="zh-CN" w:bidi="ar-SA"/>
      </w:rPr>
    </w:lvl>
    <w:lvl w:ilvl="3">
      <w:start w:val="0"/>
      <w:numFmt w:val="bullet"/>
      <w:lvlText w:val="•"/>
      <w:lvlJc w:val="left"/>
      <w:pPr>
        <w:ind w:left="1515" w:hanging="422"/>
      </w:pPr>
      <w:rPr>
        <w:rFonts w:hint="default"/>
        <w:lang w:val="en-US" w:eastAsia="zh-CN" w:bidi="ar-SA"/>
      </w:rPr>
    </w:lvl>
    <w:lvl w:ilvl="4">
      <w:start w:val="0"/>
      <w:numFmt w:val="bullet"/>
      <w:lvlText w:val="•"/>
      <w:lvlJc w:val="left"/>
      <w:pPr>
        <w:ind w:left="2571" w:hanging="422"/>
      </w:pPr>
      <w:rPr>
        <w:rFonts w:hint="default"/>
        <w:lang w:val="en-US" w:eastAsia="zh-CN" w:bidi="ar-SA"/>
      </w:rPr>
    </w:lvl>
    <w:lvl w:ilvl="5">
      <w:start w:val="0"/>
      <w:numFmt w:val="bullet"/>
      <w:lvlText w:val="•"/>
      <w:lvlJc w:val="left"/>
      <w:pPr>
        <w:ind w:left="3627" w:hanging="422"/>
      </w:pPr>
      <w:rPr>
        <w:rFonts w:hint="default"/>
        <w:lang w:val="en-US" w:eastAsia="zh-CN" w:bidi="ar-SA"/>
      </w:rPr>
    </w:lvl>
    <w:lvl w:ilvl="6">
      <w:start w:val="0"/>
      <w:numFmt w:val="bullet"/>
      <w:lvlText w:val="•"/>
      <w:lvlJc w:val="left"/>
      <w:pPr>
        <w:ind w:left="4683" w:hanging="422"/>
      </w:pPr>
      <w:rPr>
        <w:rFonts w:hint="default"/>
        <w:lang w:val="en-US" w:eastAsia="zh-CN" w:bidi="ar-SA"/>
      </w:rPr>
    </w:lvl>
    <w:lvl w:ilvl="7">
      <w:start w:val="0"/>
      <w:numFmt w:val="bullet"/>
      <w:lvlText w:val="•"/>
      <w:lvlJc w:val="left"/>
      <w:pPr>
        <w:ind w:left="5739" w:hanging="422"/>
      </w:pPr>
      <w:rPr>
        <w:rFonts w:hint="default"/>
        <w:lang w:val="en-US" w:eastAsia="zh-CN" w:bidi="ar-SA"/>
      </w:rPr>
    </w:lvl>
    <w:lvl w:ilvl="8">
      <w:start w:val="0"/>
      <w:numFmt w:val="bullet"/>
      <w:lvlText w:val="•"/>
      <w:lvlJc w:val="left"/>
      <w:pPr>
        <w:ind w:left="6795" w:hanging="422"/>
      </w:pPr>
      <w:rPr>
        <w:rFonts w:hint="default"/>
        <w:lang w:val="en-US" w:eastAsia="zh-CN" w:bidi="ar-SA"/>
      </w:rPr>
    </w:lvl>
  </w:abstractNum>
  <w:abstractNum w:abstractNumId="7">
    <w:nsid w:val="2063B2CC"/>
    <w:multiLevelType w:val="hybridMultilevel"/>
    <w:tmpl w:val="00000000"/>
    <w:lvl w:ilvl="0">
      <w:start w:val="1"/>
      <w:numFmt w:val="decimal"/>
      <w:lvlText w:val="%1"/>
      <w:lvlJc w:val="left"/>
      <w:pPr>
        <w:ind w:left="491" w:hanging="212"/>
        <w:jc w:val="left"/>
      </w:pPr>
      <w:rPr>
        <w:rFonts w:ascii="Calibri" w:eastAsia="Calibri" w:hAnsi="Calibri" w:cs="Calibri" w:hint="default"/>
        <w:b w:val="0"/>
        <w:bCs w:val="0"/>
        <w:i w:val="0"/>
        <w:iCs w:val="0"/>
        <w:w w:val="100"/>
        <w:sz w:val="21"/>
        <w:szCs w:val="21"/>
        <w:lang w:val="en-US" w:eastAsia="zh-CN" w:bidi="ar-SA"/>
      </w:rPr>
    </w:lvl>
    <w:lvl w:ilvl="1">
      <w:start w:val="0"/>
      <w:numFmt w:val="bullet"/>
      <w:lvlText w:val="•"/>
      <w:lvlJc w:val="left"/>
      <w:pPr>
        <w:ind w:left="1350" w:hanging="212"/>
      </w:pPr>
      <w:rPr>
        <w:rFonts w:hint="default"/>
        <w:lang w:val="en-US" w:eastAsia="zh-CN" w:bidi="ar-SA"/>
      </w:rPr>
    </w:lvl>
    <w:lvl w:ilvl="2">
      <w:start w:val="0"/>
      <w:numFmt w:val="bullet"/>
      <w:lvlText w:val="•"/>
      <w:lvlJc w:val="left"/>
      <w:pPr>
        <w:ind w:left="2201" w:hanging="212"/>
      </w:pPr>
      <w:rPr>
        <w:rFonts w:hint="default"/>
        <w:lang w:val="en-US" w:eastAsia="zh-CN" w:bidi="ar-SA"/>
      </w:rPr>
    </w:lvl>
    <w:lvl w:ilvl="3">
      <w:start w:val="0"/>
      <w:numFmt w:val="bullet"/>
      <w:lvlText w:val="•"/>
      <w:lvlJc w:val="left"/>
      <w:pPr>
        <w:ind w:left="3051" w:hanging="212"/>
      </w:pPr>
      <w:rPr>
        <w:rFonts w:hint="default"/>
        <w:lang w:val="en-US" w:eastAsia="zh-CN" w:bidi="ar-SA"/>
      </w:rPr>
    </w:lvl>
    <w:lvl w:ilvl="4">
      <w:start w:val="0"/>
      <w:numFmt w:val="bullet"/>
      <w:lvlText w:val="•"/>
      <w:lvlJc w:val="left"/>
      <w:pPr>
        <w:ind w:left="3902" w:hanging="212"/>
      </w:pPr>
      <w:rPr>
        <w:rFonts w:hint="default"/>
        <w:lang w:val="en-US" w:eastAsia="zh-CN" w:bidi="ar-SA"/>
      </w:rPr>
    </w:lvl>
    <w:lvl w:ilvl="5">
      <w:start w:val="0"/>
      <w:numFmt w:val="bullet"/>
      <w:lvlText w:val="•"/>
      <w:lvlJc w:val="left"/>
      <w:pPr>
        <w:ind w:left="4753" w:hanging="212"/>
      </w:pPr>
      <w:rPr>
        <w:rFonts w:hint="default"/>
        <w:lang w:val="en-US" w:eastAsia="zh-CN" w:bidi="ar-SA"/>
      </w:rPr>
    </w:lvl>
    <w:lvl w:ilvl="6">
      <w:start w:val="0"/>
      <w:numFmt w:val="bullet"/>
      <w:lvlText w:val="•"/>
      <w:lvlJc w:val="left"/>
      <w:pPr>
        <w:ind w:left="5603" w:hanging="212"/>
      </w:pPr>
      <w:rPr>
        <w:rFonts w:hint="default"/>
        <w:lang w:val="en-US" w:eastAsia="zh-CN" w:bidi="ar-SA"/>
      </w:rPr>
    </w:lvl>
    <w:lvl w:ilvl="7">
      <w:start w:val="0"/>
      <w:numFmt w:val="bullet"/>
      <w:lvlText w:val="•"/>
      <w:lvlJc w:val="left"/>
      <w:pPr>
        <w:ind w:left="6454" w:hanging="212"/>
      </w:pPr>
      <w:rPr>
        <w:rFonts w:hint="default"/>
        <w:lang w:val="en-US" w:eastAsia="zh-CN" w:bidi="ar-SA"/>
      </w:rPr>
    </w:lvl>
    <w:lvl w:ilvl="8">
      <w:start w:val="0"/>
      <w:numFmt w:val="bullet"/>
      <w:lvlText w:val="•"/>
      <w:lvlJc w:val="left"/>
      <w:pPr>
        <w:ind w:left="7304" w:hanging="212"/>
      </w:pPr>
      <w:rPr>
        <w:rFonts w:hint="default"/>
        <w:lang w:val="en-US" w:eastAsia="zh-CN" w:bidi="ar-SA"/>
      </w:rPr>
    </w:lvl>
  </w:abstractNum>
  <w:abstractNum w:abstractNumId="8">
    <w:nsid w:val="260A4609"/>
    <w:multiLevelType w:val="hybridMultilevel"/>
    <w:tmpl w:val="00000000"/>
    <w:lvl w:ilvl="0">
      <w:start w:val="1"/>
      <w:numFmt w:val="decimal"/>
      <w:lvlText w:val="%1）"/>
      <w:lvlJc w:val="left"/>
      <w:pPr>
        <w:ind w:left="280" w:hanging="422"/>
        <w:jc w:val="left"/>
      </w:pPr>
      <w:rPr>
        <w:rFonts w:ascii="宋体" w:eastAsia="宋体" w:hAnsi="宋体" w:cs="宋体" w:hint="default"/>
        <w:b w:val="0"/>
        <w:bCs w:val="0"/>
        <w:i w:val="0"/>
        <w:iCs w:val="0"/>
        <w:w w:val="100"/>
        <w:sz w:val="26"/>
        <w:szCs w:val="26"/>
        <w:lang w:val="en-US" w:eastAsia="zh-CN" w:bidi="ar-SA"/>
      </w:rPr>
    </w:lvl>
    <w:lvl w:ilvl="1">
      <w:start w:val="0"/>
      <w:numFmt w:val="bullet"/>
      <w:lvlText w:val="•"/>
      <w:lvlJc w:val="left"/>
      <w:pPr>
        <w:ind w:left="1152" w:hanging="422"/>
      </w:pPr>
      <w:rPr>
        <w:rFonts w:hint="default"/>
        <w:lang w:val="en-US" w:eastAsia="zh-CN" w:bidi="ar-SA"/>
      </w:rPr>
    </w:lvl>
    <w:lvl w:ilvl="2">
      <w:start w:val="0"/>
      <w:numFmt w:val="bullet"/>
      <w:lvlText w:val="•"/>
      <w:lvlJc w:val="left"/>
      <w:pPr>
        <w:ind w:left="2025" w:hanging="422"/>
      </w:pPr>
      <w:rPr>
        <w:rFonts w:hint="default"/>
        <w:lang w:val="en-US" w:eastAsia="zh-CN" w:bidi="ar-SA"/>
      </w:rPr>
    </w:lvl>
    <w:lvl w:ilvl="3">
      <w:start w:val="0"/>
      <w:numFmt w:val="bullet"/>
      <w:lvlText w:val="•"/>
      <w:lvlJc w:val="left"/>
      <w:pPr>
        <w:ind w:left="2897" w:hanging="422"/>
      </w:pPr>
      <w:rPr>
        <w:rFonts w:hint="default"/>
        <w:lang w:val="en-US" w:eastAsia="zh-CN" w:bidi="ar-SA"/>
      </w:rPr>
    </w:lvl>
    <w:lvl w:ilvl="4">
      <w:start w:val="0"/>
      <w:numFmt w:val="bullet"/>
      <w:lvlText w:val="•"/>
      <w:lvlJc w:val="left"/>
      <w:pPr>
        <w:ind w:left="3770" w:hanging="422"/>
      </w:pPr>
      <w:rPr>
        <w:rFonts w:hint="default"/>
        <w:lang w:val="en-US" w:eastAsia="zh-CN" w:bidi="ar-SA"/>
      </w:rPr>
    </w:lvl>
    <w:lvl w:ilvl="5">
      <w:start w:val="0"/>
      <w:numFmt w:val="bullet"/>
      <w:lvlText w:val="•"/>
      <w:lvlJc w:val="left"/>
      <w:pPr>
        <w:ind w:left="4643" w:hanging="422"/>
      </w:pPr>
      <w:rPr>
        <w:rFonts w:hint="default"/>
        <w:lang w:val="en-US" w:eastAsia="zh-CN" w:bidi="ar-SA"/>
      </w:rPr>
    </w:lvl>
    <w:lvl w:ilvl="6">
      <w:start w:val="0"/>
      <w:numFmt w:val="bullet"/>
      <w:lvlText w:val="•"/>
      <w:lvlJc w:val="left"/>
      <w:pPr>
        <w:ind w:left="5515" w:hanging="422"/>
      </w:pPr>
      <w:rPr>
        <w:rFonts w:hint="default"/>
        <w:lang w:val="en-US" w:eastAsia="zh-CN" w:bidi="ar-SA"/>
      </w:rPr>
    </w:lvl>
    <w:lvl w:ilvl="7">
      <w:start w:val="0"/>
      <w:numFmt w:val="bullet"/>
      <w:lvlText w:val="•"/>
      <w:lvlJc w:val="left"/>
      <w:pPr>
        <w:ind w:left="6388" w:hanging="422"/>
      </w:pPr>
      <w:rPr>
        <w:rFonts w:hint="default"/>
        <w:lang w:val="en-US" w:eastAsia="zh-CN" w:bidi="ar-SA"/>
      </w:rPr>
    </w:lvl>
    <w:lvl w:ilvl="8">
      <w:start w:val="0"/>
      <w:numFmt w:val="bullet"/>
      <w:lvlText w:val="•"/>
      <w:lvlJc w:val="left"/>
      <w:pPr>
        <w:ind w:left="7260" w:hanging="422"/>
      </w:pPr>
      <w:rPr>
        <w:rFonts w:hint="default"/>
        <w:lang w:val="en-US" w:eastAsia="zh-CN" w:bidi="ar-SA"/>
      </w:rPr>
    </w:lvl>
  </w:abstractNum>
  <w:abstractNum w:abstractNumId="9">
    <w:nsid w:val="286BDB40"/>
    <w:multiLevelType w:val="hybridMultilevel"/>
    <w:tmpl w:val="00000000"/>
    <w:lvl w:ilvl="0">
      <w:start w:val="1"/>
      <w:numFmt w:val="decimal"/>
      <w:lvlText w:val="%1."/>
      <w:lvlJc w:val="left"/>
      <w:pPr>
        <w:ind w:left="385" w:hanging="267"/>
        <w:jc w:val="left"/>
      </w:pPr>
      <w:rPr>
        <w:rFonts w:ascii="Calibri" w:eastAsia="Calibri" w:hAnsi="Calibri" w:cs="Calibri" w:hint="default"/>
        <w:b w:val="0"/>
        <w:bCs w:val="0"/>
        <w:i w:val="0"/>
        <w:iCs w:val="0"/>
        <w:w w:val="100"/>
        <w:sz w:val="21"/>
        <w:szCs w:val="21"/>
        <w:lang w:val="en-US" w:eastAsia="zh-CN" w:bidi="ar-SA"/>
      </w:rPr>
    </w:lvl>
    <w:lvl w:ilvl="1">
      <w:start w:val="0"/>
      <w:numFmt w:val="bullet"/>
      <w:lvlText w:val="•"/>
      <w:lvlJc w:val="left"/>
      <w:pPr>
        <w:ind w:left="1242" w:hanging="267"/>
      </w:pPr>
      <w:rPr>
        <w:rFonts w:hint="default"/>
        <w:lang w:val="en-US" w:eastAsia="zh-CN" w:bidi="ar-SA"/>
      </w:rPr>
    </w:lvl>
    <w:lvl w:ilvl="2">
      <w:start w:val="0"/>
      <w:numFmt w:val="bullet"/>
      <w:lvlText w:val="•"/>
      <w:lvlJc w:val="left"/>
      <w:pPr>
        <w:ind w:left="2105" w:hanging="267"/>
      </w:pPr>
      <w:rPr>
        <w:rFonts w:hint="default"/>
        <w:lang w:val="en-US" w:eastAsia="zh-CN" w:bidi="ar-SA"/>
      </w:rPr>
    </w:lvl>
    <w:lvl w:ilvl="3">
      <w:start w:val="0"/>
      <w:numFmt w:val="bullet"/>
      <w:lvlText w:val="•"/>
      <w:lvlJc w:val="left"/>
      <w:pPr>
        <w:ind w:left="2967" w:hanging="267"/>
      </w:pPr>
      <w:rPr>
        <w:rFonts w:hint="default"/>
        <w:lang w:val="en-US" w:eastAsia="zh-CN" w:bidi="ar-SA"/>
      </w:rPr>
    </w:lvl>
    <w:lvl w:ilvl="4">
      <w:start w:val="0"/>
      <w:numFmt w:val="bullet"/>
      <w:lvlText w:val="•"/>
      <w:lvlJc w:val="left"/>
      <w:pPr>
        <w:ind w:left="3830" w:hanging="267"/>
      </w:pPr>
      <w:rPr>
        <w:rFonts w:hint="default"/>
        <w:lang w:val="en-US" w:eastAsia="zh-CN" w:bidi="ar-SA"/>
      </w:rPr>
    </w:lvl>
    <w:lvl w:ilvl="5">
      <w:start w:val="0"/>
      <w:numFmt w:val="bullet"/>
      <w:lvlText w:val="•"/>
      <w:lvlJc w:val="left"/>
      <w:pPr>
        <w:ind w:left="4693" w:hanging="267"/>
      </w:pPr>
      <w:rPr>
        <w:rFonts w:hint="default"/>
        <w:lang w:val="en-US" w:eastAsia="zh-CN" w:bidi="ar-SA"/>
      </w:rPr>
    </w:lvl>
    <w:lvl w:ilvl="6">
      <w:start w:val="0"/>
      <w:numFmt w:val="bullet"/>
      <w:lvlText w:val="•"/>
      <w:lvlJc w:val="left"/>
      <w:pPr>
        <w:ind w:left="5555" w:hanging="267"/>
      </w:pPr>
      <w:rPr>
        <w:rFonts w:hint="default"/>
        <w:lang w:val="en-US" w:eastAsia="zh-CN" w:bidi="ar-SA"/>
      </w:rPr>
    </w:lvl>
    <w:lvl w:ilvl="7">
      <w:start w:val="0"/>
      <w:numFmt w:val="bullet"/>
      <w:lvlText w:val="•"/>
      <w:lvlJc w:val="left"/>
      <w:pPr>
        <w:ind w:left="6418" w:hanging="267"/>
      </w:pPr>
      <w:rPr>
        <w:rFonts w:hint="default"/>
        <w:lang w:val="en-US" w:eastAsia="zh-CN" w:bidi="ar-SA"/>
      </w:rPr>
    </w:lvl>
    <w:lvl w:ilvl="8">
      <w:start w:val="0"/>
      <w:numFmt w:val="bullet"/>
      <w:lvlText w:val="•"/>
      <w:lvlJc w:val="left"/>
      <w:pPr>
        <w:ind w:left="7280" w:hanging="267"/>
      </w:pPr>
      <w:rPr>
        <w:rFonts w:hint="default"/>
        <w:lang w:val="en-US" w:eastAsia="zh-CN" w:bidi="ar-SA"/>
      </w:rPr>
    </w:lvl>
  </w:abstractNum>
  <w:abstractNum w:abstractNumId="10">
    <w:nsid w:val="29771156"/>
    <w:multiLevelType w:val="hybridMultilevel"/>
    <w:tmpl w:val="00000000"/>
    <w:lvl w:ilvl="0">
      <w:start w:val="1"/>
      <w:numFmt w:val="decimal"/>
      <w:lvlText w:val="%1."/>
      <w:lvlJc w:val="left"/>
      <w:pPr>
        <w:ind w:left="639" w:hanging="182"/>
        <w:jc w:val="left"/>
      </w:pPr>
      <w:rPr>
        <w:rFonts w:ascii="Microsoft YaHei UI" w:eastAsia="Microsoft YaHei UI" w:hAnsi="Microsoft YaHei UI" w:cs="Microsoft YaHei UI" w:hint="default"/>
        <w:b w:val="0"/>
        <w:bCs w:val="0"/>
        <w:i w:val="0"/>
        <w:iCs w:val="0"/>
        <w:spacing w:val="-1"/>
        <w:w w:val="100"/>
        <w:sz w:val="19"/>
        <w:szCs w:val="19"/>
        <w:lang w:val="en-US" w:eastAsia="zh-CN" w:bidi="ar-SA"/>
      </w:rPr>
    </w:lvl>
    <w:lvl w:ilvl="1">
      <w:start w:val="1"/>
      <w:numFmt w:val="decimal"/>
      <w:lvlText w:val="%2"/>
      <w:lvlJc w:val="left"/>
      <w:pPr>
        <w:ind w:left="885" w:hanging="186"/>
        <w:jc w:val="left"/>
      </w:pPr>
      <w:rPr>
        <w:rFonts w:ascii="Microsoft YaHei UI" w:eastAsia="Microsoft YaHei UI" w:hAnsi="Microsoft YaHei UI" w:cs="Microsoft YaHei UI" w:hint="default"/>
        <w:b w:val="0"/>
        <w:bCs w:val="0"/>
        <w:i w:val="0"/>
        <w:iCs w:val="0"/>
        <w:w w:val="100"/>
        <w:sz w:val="21"/>
        <w:szCs w:val="21"/>
        <w:lang w:val="en-US" w:eastAsia="zh-CN" w:bidi="ar-SA"/>
      </w:rPr>
    </w:lvl>
    <w:lvl w:ilvl="2">
      <w:start w:val="0"/>
      <w:numFmt w:val="bullet"/>
      <w:lvlText w:val="•"/>
      <w:lvlJc w:val="left"/>
      <w:pPr>
        <w:ind w:left="1782" w:hanging="186"/>
      </w:pPr>
      <w:rPr>
        <w:rFonts w:hint="default"/>
        <w:lang w:val="en-US" w:eastAsia="zh-CN" w:bidi="ar-SA"/>
      </w:rPr>
    </w:lvl>
    <w:lvl w:ilvl="3">
      <w:start w:val="0"/>
      <w:numFmt w:val="bullet"/>
      <w:lvlText w:val="•"/>
      <w:lvlJc w:val="left"/>
      <w:pPr>
        <w:ind w:left="2685" w:hanging="186"/>
      </w:pPr>
      <w:rPr>
        <w:rFonts w:hint="default"/>
        <w:lang w:val="en-US" w:eastAsia="zh-CN" w:bidi="ar-SA"/>
      </w:rPr>
    </w:lvl>
    <w:lvl w:ilvl="4">
      <w:start w:val="0"/>
      <w:numFmt w:val="bullet"/>
      <w:lvlText w:val="•"/>
      <w:lvlJc w:val="left"/>
      <w:pPr>
        <w:ind w:left="3588" w:hanging="186"/>
      </w:pPr>
      <w:rPr>
        <w:rFonts w:hint="default"/>
        <w:lang w:val="en-US" w:eastAsia="zh-CN" w:bidi="ar-SA"/>
      </w:rPr>
    </w:lvl>
    <w:lvl w:ilvl="5">
      <w:start w:val="0"/>
      <w:numFmt w:val="bullet"/>
      <w:lvlText w:val="•"/>
      <w:lvlJc w:val="left"/>
      <w:pPr>
        <w:ind w:left="4491" w:hanging="186"/>
      </w:pPr>
      <w:rPr>
        <w:rFonts w:hint="default"/>
        <w:lang w:val="en-US" w:eastAsia="zh-CN" w:bidi="ar-SA"/>
      </w:rPr>
    </w:lvl>
    <w:lvl w:ilvl="6">
      <w:start w:val="0"/>
      <w:numFmt w:val="bullet"/>
      <w:lvlText w:val="•"/>
      <w:lvlJc w:val="left"/>
      <w:pPr>
        <w:ind w:left="5394" w:hanging="186"/>
      </w:pPr>
      <w:rPr>
        <w:rFonts w:hint="default"/>
        <w:lang w:val="en-US" w:eastAsia="zh-CN" w:bidi="ar-SA"/>
      </w:rPr>
    </w:lvl>
    <w:lvl w:ilvl="7">
      <w:start w:val="0"/>
      <w:numFmt w:val="bullet"/>
      <w:lvlText w:val="•"/>
      <w:lvlJc w:val="left"/>
      <w:pPr>
        <w:ind w:left="6297" w:hanging="186"/>
      </w:pPr>
      <w:rPr>
        <w:rFonts w:hint="default"/>
        <w:lang w:val="en-US" w:eastAsia="zh-CN" w:bidi="ar-SA"/>
      </w:rPr>
    </w:lvl>
    <w:lvl w:ilvl="8">
      <w:start w:val="0"/>
      <w:numFmt w:val="bullet"/>
      <w:lvlText w:val="•"/>
      <w:lvlJc w:val="left"/>
      <w:pPr>
        <w:ind w:left="7200" w:hanging="186"/>
      </w:pPr>
      <w:rPr>
        <w:rFonts w:hint="default"/>
        <w:lang w:val="en-US" w:eastAsia="zh-CN" w:bidi="ar-SA"/>
      </w:rPr>
    </w:lvl>
  </w:abstractNum>
  <w:abstractNum w:abstractNumId="11">
    <w:nsid w:val="3361F60B"/>
    <w:multiLevelType w:val="hybridMultilevel"/>
    <w:tmpl w:val="00000000"/>
    <w:lvl w:ilvl="0">
      <w:start w:val="1"/>
      <w:numFmt w:val="decimal"/>
      <w:lvlText w:val="%1）"/>
      <w:lvlJc w:val="left"/>
      <w:pPr>
        <w:ind w:left="280" w:hanging="422"/>
        <w:jc w:val="left"/>
      </w:pPr>
      <w:rPr>
        <w:rFonts w:ascii="宋体" w:eastAsia="宋体" w:hAnsi="宋体" w:cs="宋体" w:hint="default"/>
        <w:b w:val="0"/>
        <w:bCs w:val="0"/>
        <w:i w:val="0"/>
        <w:iCs w:val="0"/>
        <w:w w:val="100"/>
        <w:sz w:val="26"/>
        <w:szCs w:val="26"/>
        <w:lang w:val="en-US" w:eastAsia="zh-CN" w:bidi="ar-SA"/>
      </w:rPr>
    </w:lvl>
    <w:lvl w:ilvl="1">
      <w:start w:val="0"/>
      <w:numFmt w:val="bullet"/>
      <w:lvlText w:val="•"/>
      <w:lvlJc w:val="left"/>
      <w:pPr>
        <w:ind w:left="1152" w:hanging="422"/>
      </w:pPr>
      <w:rPr>
        <w:rFonts w:hint="default"/>
        <w:lang w:val="en-US" w:eastAsia="zh-CN" w:bidi="ar-SA"/>
      </w:rPr>
    </w:lvl>
    <w:lvl w:ilvl="2">
      <w:start w:val="0"/>
      <w:numFmt w:val="bullet"/>
      <w:lvlText w:val="•"/>
      <w:lvlJc w:val="left"/>
      <w:pPr>
        <w:ind w:left="2025" w:hanging="422"/>
      </w:pPr>
      <w:rPr>
        <w:rFonts w:hint="default"/>
        <w:lang w:val="en-US" w:eastAsia="zh-CN" w:bidi="ar-SA"/>
      </w:rPr>
    </w:lvl>
    <w:lvl w:ilvl="3">
      <w:start w:val="0"/>
      <w:numFmt w:val="bullet"/>
      <w:lvlText w:val="•"/>
      <w:lvlJc w:val="left"/>
      <w:pPr>
        <w:ind w:left="2897" w:hanging="422"/>
      </w:pPr>
      <w:rPr>
        <w:rFonts w:hint="default"/>
        <w:lang w:val="en-US" w:eastAsia="zh-CN" w:bidi="ar-SA"/>
      </w:rPr>
    </w:lvl>
    <w:lvl w:ilvl="4">
      <w:start w:val="0"/>
      <w:numFmt w:val="bullet"/>
      <w:lvlText w:val="•"/>
      <w:lvlJc w:val="left"/>
      <w:pPr>
        <w:ind w:left="3770" w:hanging="422"/>
      </w:pPr>
      <w:rPr>
        <w:rFonts w:hint="default"/>
        <w:lang w:val="en-US" w:eastAsia="zh-CN" w:bidi="ar-SA"/>
      </w:rPr>
    </w:lvl>
    <w:lvl w:ilvl="5">
      <w:start w:val="0"/>
      <w:numFmt w:val="bullet"/>
      <w:lvlText w:val="•"/>
      <w:lvlJc w:val="left"/>
      <w:pPr>
        <w:ind w:left="4643" w:hanging="422"/>
      </w:pPr>
      <w:rPr>
        <w:rFonts w:hint="default"/>
        <w:lang w:val="en-US" w:eastAsia="zh-CN" w:bidi="ar-SA"/>
      </w:rPr>
    </w:lvl>
    <w:lvl w:ilvl="6">
      <w:start w:val="0"/>
      <w:numFmt w:val="bullet"/>
      <w:lvlText w:val="•"/>
      <w:lvlJc w:val="left"/>
      <w:pPr>
        <w:ind w:left="5515" w:hanging="422"/>
      </w:pPr>
      <w:rPr>
        <w:rFonts w:hint="default"/>
        <w:lang w:val="en-US" w:eastAsia="zh-CN" w:bidi="ar-SA"/>
      </w:rPr>
    </w:lvl>
    <w:lvl w:ilvl="7">
      <w:start w:val="0"/>
      <w:numFmt w:val="bullet"/>
      <w:lvlText w:val="•"/>
      <w:lvlJc w:val="left"/>
      <w:pPr>
        <w:ind w:left="6388" w:hanging="422"/>
      </w:pPr>
      <w:rPr>
        <w:rFonts w:hint="default"/>
        <w:lang w:val="en-US" w:eastAsia="zh-CN" w:bidi="ar-SA"/>
      </w:rPr>
    </w:lvl>
    <w:lvl w:ilvl="8">
      <w:start w:val="0"/>
      <w:numFmt w:val="bullet"/>
      <w:lvlText w:val="•"/>
      <w:lvlJc w:val="left"/>
      <w:pPr>
        <w:ind w:left="7260" w:hanging="422"/>
      </w:pPr>
      <w:rPr>
        <w:rFonts w:hint="default"/>
        <w:lang w:val="en-US" w:eastAsia="zh-CN" w:bidi="ar-SA"/>
      </w:rPr>
    </w:lvl>
  </w:abstractNum>
  <w:abstractNum w:abstractNumId="12">
    <w:nsid w:val="36C97662"/>
    <w:multiLevelType w:val="hybridMultilevel"/>
    <w:tmpl w:val="00000000"/>
    <w:lvl w:ilvl="0">
      <w:start w:val="1"/>
      <w:numFmt w:val="decimal"/>
      <w:lvlText w:val="%1"/>
      <w:lvlJc w:val="left"/>
      <w:pPr>
        <w:ind w:left="467" w:hanging="210"/>
        <w:jc w:val="left"/>
      </w:pPr>
      <w:rPr>
        <w:rFonts w:ascii="宋体" w:eastAsia="宋体" w:hAnsi="宋体" w:cs="宋体" w:hint="default"/>
        <w:b w:val="0"/>
        <w:bCs w:val="0"/>
        <w:i w:val="0"/>
        <w:iCs w:val="0"/>
        <w:w w:val="100"/>
        <w:sz w:val="28"/>
        <w:szCs w:val="28"/>
        <w:lang w:val="en-US" w:eastAsia="zh-CN" w:bidi="ar-SA"/>
      </w:rPr>
    </w:lvl>
    <w:lvl w:ilvl="1">
      <w:start w:val="0"/>
      <w:numFmt w:val="bullet"/>
      <w:lvlText w:val="•"/>
      <w:lvlJc w:val="left"/>
      <w:pPr>
        <w:ind w:left="1304" w:hanging="210"/>
      </w:pPr>
      <w:rPr>
        <w:rFonts w:hint="default"/>
        <w:lang w:val="en-US" w:eastAsia="zh-CN" w:bidi="ar-SA"/>
      </w:rPr>
    </w:lvl>
    <w:lvl w:ilvl="2">
      <w:start w:val="0"/>
      <w:numFmt w:val="bullet"/>
      <w:lvlText w:val="•"/>
      <w:lvlJc w:val="left"/>
      <w:pPr>
        <w:ind w:left="2149" w:hanging="210"/>
      </w:pPr>
      <w:rPr>
        <w:rFonts w:hint="default"/>
        <w:lang w:val="en-US" w:eastAsia="zh-CN" w:bidi="ar-SA"/>
      </w:rPr>
    </w:lvl>
    <w:lvl w:ilvl="3">
      <w:start w:val="0"/>
      <w:numFmt w:val="bullet"/>
      <w:lvlText w:val="•"/>
      <w:lvlJc w:val="left"/>
      <w:pPr>
        <w:ind w:left="2994" w:hanging="210"/>
      </w:pPr>
      <w:rPr>
        <w:rFonts w:hint="default"/>
        <w:lang w:val="en-US" w:eastAsia="zh-CN" w:bidi="ar-SA"/>
      </w:rPr>
    </w:lvl>
    <w:lvl w:ilvl="4">
      <w:start w:val="0"/>
      <w:numFmt w:val="bullet"/>
      <w:lvlText w:val="•"/>
      <w:lvlJc w:val="left"/>
      <w:pPr>
        <w:ind w:left="3838" w:hanging="210"/>
      </w:pPr>
      <w:rPr>
        <w:rFonts w:hint="default"/>
        <w:lang w:val="en-US" w:eastAsia="zh-CN" w:bidi="ar-SA"/>
      </w:rPr>
    </w:lvl>
    <w:lvl w:ilvl="5">
      <w:start w:val="0"/>
      <w:numFmt w:val="bullet"/>
      <w:lvlText w:val="•"/>
      <w:lvlJc w:val="left"/>
      <w:pPr>
        <w:ind w:left="4683" w:hanging="210"/>
      </w:pPr>
      <w:rPr>
        <w:rFonts w:hint="default"/>
        <w:lang w:val="en-US" w:eastAsia="zh-CN" w:bidi="ar-SA"/>
      </w:rPr>
    </w:lvl>
    <w:lvl w:ilvl="6">
      <w:start w:val="0"/>
      <w:numFmt w:val="bullet"/>
      <w:lvlText w:val="•"/>
      <w:lvlJc w:val="left"/>
      <w:pPr>
        <w:ind w:left="5528" w:hanging="210"/>
      </w:pPr>
      <w:rPr>
        <w:rFonts w:hint="default"/>
        <w:lang w:val="en-US" w:eastAsia="zh-CN" w:bidi="ar-SA"/>
      </w:rPr>
    </w:lvl>
    <w:lvl w:ilvl="7">
      <w:start w:val="0"/>
      <w:numFmt w:val="bullet"/>
      <w:lvlText w:val="•"/>
      <w:lvlJc w:val="left"/>
      <w:pPr>
        <w:ind w:left="6372" w:hanging="210"/>
      </w:pPr>
      <w:rPr>
        <w:rFonts w:hint="default"/>
        <w:lang w:val="en-US" w:eastAsia="zh-CN" w:bidi="ar-SA"/>
      </w:rPr>
    </w:lvl>
    <w:lvl w:ilvl="8">
      <w:start w:val="0"/>
      <w:numFmt w:val="bullet"/>
      <w:lvlText w:val="•"/>
      <w:lvlJc w:val="left"/>
      <w:pPr>
        <w:ind w:left="7217" w:hanging="210"/>
      </w:pPr>
      <w:rPr>
        <w:rFonts w:hint="default"/>
        <w:lang w:val="en-US" w:eastAsia="zh-CN" w:bidi="ar-SA"/>
      </w:rPr>
    </w:lvl>
  </w:abstractNum>
  <w:abstractNum w:abstractNumId="13">
    <w:nsid w:val="3700DEA3"/>
    <w:multiLevelType w:val="hybridMultilevel"/>
    <w:tmpl w:val="00000000"/>
    <w:lvl w:ilvl="0">
      <w:start w:val="1"/>
      <w:numFmt w:val="decimal"/>
      <w:lvlText w:val="%1）"/>
      <w:lvlJc w:val="left"/>
      <w:pPr>
        <w:ind w:left="1261" w:hanging="421"/>
        <w:jc w:val="left"/>
      </w:pPr>
      <w:rPr>
        <w:rFonts w:ascii="宋体" w:eastAsia="宋体" w:hAnsi="宋体" w:cs="宋体" w:hint="default"/>
        <w:b w:val="0"/>
        <w:bCs w:val="0"/>
        <w:i w:val="0"/>
        <w:iCs w:val="0"/>
        <w:w w:val="100"/>
        <w:sz w:val="26"/>
        <w:szCs w:val="26"/>
        <w:lang w:val="en-US" w:eastAsia="zh-CN" w:bidi="ar-SA"/>
      </w:rPr>
    </w:lvl>
    <w:lvl w:ilvl="1">
      <w:start w:val="0"/>
      <w:numFmt w:val="bullet"/>
      <w:lvlText w:val="•"/>
      <w:lvlJc w:val="left"/>
      <w:pPr>
        <w:ind w:left="2034" w:hanging="421"/>
      </w:pPr>
      <w:rPr>
        <w:rFonts w:hint="default"/>
        <w:lang w:val="en-US" w:eastAsia="zh-CN" w:bidi="ar-SA"/>
      </w:rPr>
    </w:lvl>
    <w:lvl w:ilvl="2">
      <w:start w:val="0"/>
      <w:numFmt w:val="bullet"/>
      <w:lvlText w:val="•"/>
      <w:lvlJc w:val="left"/>
      <w:pPr>
        <w:ind w:left="2809" w:hanging="421"/>
      </w:pPr>
      <w:rPr>
        <w:rFonts w:hint="default"/>
        <w:lang w:val="en-US" w:eastAsia="zh-CN" w:bidi="ar-SA"/>
      </w:rPr>
    </w:lvl>
    <w:lvl w:ilvl="3">
      <w:start w:val="0"/>
      <w:numFmt w:val="bullet"/>
      <w:lvlText w:val="•"/>
      <w:lvlJc w:val="left"/>
      <w:pPr>
        <w:ind w:left="3583" w:hanging="421"/>
      </w:pPr>
      <w:rPr>
        <w:rFonts w:hint="default"/>
        <w:lang w:val="en-US" w:eastAsia="zh-CN" w:bidi="ar-SA"/>
      </w:rPr>
    </w:lvl>
    <w:lvl w:ilvl="4">
      <w:start w:val="0"/>
      <w:numFmt w:val="bullet"/>
      <w:lvlText w:val="•"/>
      <w:lvlJc w:val="left"/>
      <w:pPr>
        <w:ind w:left="4358" w:hanging="421"/>
      </w:pPr>
      <w:rPr>
        <w:rFonts w:hint="default"/>
        <w:lang w:val="en-US" w:eastAsia="zh-CN" w:bidi="ar-SA"/>
      </w:rPr>
    </w:lvl>
    <w:lvl w:ilvl="5">
      <w:start w:val="0"/>
      <w:numFmt w:val="bullet"/>
      <w:lvlText w:val="•"/>
      <w:lvlJc w:val="left"/>
      <w:pPr>
        <w:ind w:left="5133" w:hanging="421"/>
      </w:pPr>
      <w:rPr>
        <w:rFonts w:hint="default"/>
        <w:lang w:val="en-US" w:eastAsia="zh-CN" w:bidi="ar-SA"/>
      </w:rPr>
    </w:lvl>
    <w:lvl w:ilvl="6">
      <w:start w:val="0"/>
      <w:numFmt w:val="bullet"/>
      <w:lvlText w:val="•"/>
      <w:lvlJc w:val="left"/>
      <w:pPr>
        <w:ind w:left="5907" w:hanging="421"/>
      </w:pPr>
      <w:rPr>
        <w:rFonts w:hint="default"/>
        <w:lang w:val="en-US" w:eastAsia="zh-CN" w:bidi="ar-SA"/>
      </w:rPr>
    </w:lvl>
    <w:lvl w:ilvl="7">
      <w:start w:val="0"/>
      <w:numFmt w:val="bullet"/>
      <w:lvlText w:val="•"/>
      <w:lvlJc w:val="left"/>
      <w:pPr>
        <w:ind w:left="6682" w:hanging="421"/>
      </w:pPr>
      <w:rPr>
        <w:rFonts w:hint="default"/>
        <w:lang w:val="en-US" w:eastAsia="zh-CN" w:bidi="ar-SA"/>
      </w:rPr>
    </w:lvl>
    <w:lvl w:ilvl="8">
      <w:start w:val="0"/>
      <w:numFmt w:val="bullet"/>
      <w:lvlText w:val="•"/>
      <w:lvlJc w:val="left"/>
      <w:pPr>
        <w:ind w:left="7456" w:hanging="421"/>
      </w:pPr>
      <w:rPr>
        <w:rFonts w:hint="default"/>
        <w:lang w:val="en-US" w:eastAsia="zh-CN" w:bidi="ar-SA"/>
      </w:rPr>
    </w:lvl>
  </w:abstractNum>
  <w:abstractNum w:abstractNumId="14">
    <w:nsid w:val="3A92CFA5"/>
    <w:multiLevelType w:val="hybridMultilevel"/>
    <w:tmpl w:val="00000000"/>
    <w:lvl w:ilvl="0">
      <w:start w:val="1"/>
      <w:numFmt w:val="decimal"/>
      <w:lvlText w:val="%1）"/>
      <w:lvlJc w:val="left"/>
      <w:pPr>
        <w:ind w:left="257" w:hanging="560"/>
        <w:jc w:val="left"/>
      </w:pPr>
      <w:rPr>
        <w:rFonts w:ascii="宋体" w:eastAsia="宋体" w:hAnsi="宋体" w:cs="宋体" w:hint="default"/>
        <w:b w:val="0"/>
        <w:bCs w:val="0"/>
        <w:i w:val="0"/>
        <w:iCs w:val="0"/>
        <w:w w:val="100"/>
        <w:sz w:val="28"/>
        <w:szCs w:val="28"/>
        <w:lang w:val="en-US" w:eastAsia="zh-CN" w:bidi="ar-SA"/>
      </w:rPr>
    </w:lvl>
    <w:lvl w:ilvl="1">
      <w:start w:val="0"/>
      <w:numFmt w:val="bullet"/>
      <w:lvlText w:val="•"/>
      <w:lvlJc w:val="left"/>
      <w:pPr>
        <w:ind w:left="1124" w:hanging="560"/>
      </w:pPr>
      <w:rPr>
        <w:rFonts w:hint="default"/>
        <w:lang w:val="en-US" w:eastAsia="zh-CN" w:bidi="ar-SA"/>
      </w:rPr>
    </w:lvl>
    <w:lvl w:ilvl="2">
      <w:start w:val="0"/>
      <w:numFmt w:val="bullet"/>
      <w:lvlText w:val="•"/>
      <w:lvlJc w:val="left"/>
      <w:pPr>
        <w:ind w:left="1989" w:hanging="560"/>
      </w:pPr>
      <w:rPr>
        <w:rFonts w:hint="default"/>
        <w:lang w:val="en-US" w:eastAsia="zh-CN" w:bidi="ar-SA"/>
      </w:rPr>
    </w:lvl>
    <w:lvl w:ilvl="3">
      <w:start w:val="0"/>
      <w:numFmt w:val="bullet"/>
      <w:lvlText w:val="•"/>
      <w:lvlJc w:val="left"/>
      <w:pPr>
        <w:ind w:left="2854" w:hanging="560"/>
      </w:pPr>
      <w:rPr>
        <w:rFonts w:hint="default"/>
        <w:lang w:val="en-US" w:eastAsia="zh-CN" w:bidi="ar-SA"/>
      </w:rPr>
    </w:lvl>
    <w:lvl w:ilvl="4">
      <w:start w:val="0"/>
      <w:numFmt w:val="bullet"/>
      <w:lvlText w:val="•"/>
      <w:lvlJc w:val="left"/>
      <w:pPr>
        <w:ind w:left="3718" w:hanging="560"/>
      </w:pPr>
      <w:rPr>
        <w:rFonts w:hint="default"/>
        <w:lang w:val="en-US" w:eastAsia="zh-CN" w:bidi="ar-SA"/>
      </w:rPr>
    </w:lvl>
    <w:lvl w:ilvl="5">
      <w:start w:val="0"/>
      <w:numFmt w:val="bullet"/>
      <w:lvlText w:val="•"/>
      <w:lvlJc w:val="left"/>
      <w:pPr>
        <w:ind w:left="4583" w:hanging="560"/>
      </w:pPr>
      <w:rPr>
        <w:rFonts w:hint="default"/>
        <w:lang w:val="en-US" w:eastAsia="zh-CN" w:bidi="ar-SA"/>
      </w:rPr>
    </w:lvl>
    <w:lvl w:ilvl="6">
      <w:start w:val="0"/>
      <w:numFmt w:val="bullet"/>
      <w:lvlText w:val="•"/>
      <w:lvlJc w:val="left"/>
      <w:pPr>
        <w:ind w:left="5448" w:hanging="560"/>
      </w:pPr>
      <w:rPr>
        <w:rFonts w:hint="default"/>
        <w:lang w:val="en-US" w:eastAsia="zh-CN" w:bidi="ar-SA"/>
      </w:rPr>
    </w:lvl>
    <w:lvl w:ilvl="7">
      <w:start w:val="0"/>
      <w:numFmt w:val="bullet"/>
      <w:lvlText w:val="•"/>
      <w:lvlJc w:val="left"/>
      <w:pPr>
        <w:ind w:left="6312" w:hanging="560"/>
      </w:pPr>
      <w:rPr>
        <w:rFonts w:hint="default"/>
        <w:lang w:val="en-US" w:eastAsia="zh-CN" w:bidi="ar-SA"/>
      </w:rPr>
    </w:lvl>
    <w:lvl w:ilvl="8">
      <w:start w:val="0"/>
      <w:numFmt w:val="bullet"/>
      <w:lvlText w:val="•"/>
      <w:lvlJc w:val="left"/>
      <w:pPr>
        <w:ind w:left="7177" w:hanging="560"/>
      </w:pPr>
      <w:rPr>
        <w:rFonts w:hint="default"/>
        <w:lang w:val="en-US" w:eastAsia="zh-CN" w:bidi="ar-SA"/>
      </w:rPr>
    </w:lvl>
  </w:abstractNum>
  <w:abstractNum w:abstractNumId="15">
    <w:nsid w:val="3C1837CF"/>
    <w:multiLevelType w:val="hybridMultilevel"/>
    <w:tmpl w:val="00000000"/>
    <w:lvl w:ilvl="0">
      <w:start w:val="1"/>
      <w:numFmt w:val="decimal"/>
      <w:lvlText w:val="%1）"/>
      <w:lvlJc w:val="left"/>
      <w:pPr>
        <w:ind w:left="257" w:hanging="560"/>
        <w:jc w:val="left"/>
      </w:pPr>
      <w:rPr>
        <w:rFonts w:ascii="宋体" w:eastAsia="宋体" w:hAnsi="宋体" w:cs="宋体" w:hint="default"/>
        <w:b w:val="0"/>
        <w:bCs w:val="0"/>
        <w:i w:val="0"/>
        <w:iCs w:val="0"/>
        <w:w w:val="100"/>
        <w:sz w:val="28"/>
        <w:szCs w:val="28"/>
        <w:lang w:val="en-US" w:eastAsia="zh-CN" w:bidi="ar-SA"/>
      </w:rPr>
    </w:lvl>
    <w:lvl w:ilvl="1">
      <w:start w:val="0"/>
      <w:numFmt w:val="bullet"/>
      <w:lvlText w:val="•"/>
      <w:lvlJc w:val="left"/>
      <w:pPr>
        <w:ind w:left="1124" w:hanging="560"/>
      </w:pPr>
      <w:rPr>
        <w:rFonts w:hint="default"/>
        <w:lang w:val="en-US" w:eastAsia="zh-CN" w:bidi="ar-SA"/>
      </w:rPr>
    </w:lvl>
    <w:lvl w:ilvl="2">
      <w:start w:val="0"/>
      <w:numFmt w:val="bullet"/>
      <w:lvlText w:val="•"/>
      <w:lvlJc w:val="left"/>
      <w:pPr>
        <w:ind w:left="1989" w:hanging="560"/>
      </w:pPr>
      <w:rPr>
        <w:rFonts w:hint="default"/>
        <w:lang w:val="en-US" w:eastAsia="zh-CN" w:bidi="ar-SA"/>
      </w:rPr>
    </w:lvl>
    <w:lvl w:ilvl="3">
      <w:start w:val="0"/>
      <w:numFmt w:val="bullet"/>
      <w:lvlText w:val="•"/>
      <w:lvlJc w:val="left"/>
      <w:pPr>
        <w:ind w:left="2854" w:hanging="560"/>
      </w:pPr>
      <w:rPr>
        <w:rFonts w:hint="default"/>
        <w:lang w:val="en-US" w:eastAsia="zh-CN" w:bidi="ar-SA"/>
      </w:rPr>
    </w:lvl>
    <w:lvl w:ilvl="4">
      <w:start w:val="0"/>
      <w:numFmt w:val="bullet"/>
      <w:lvlText w:val="•"/>
      <w:lvlJc w:val="left"/>
      <w:pPr>
        <w:ind w:left="3718" w:hanging="560"/>
      </w:pPr>
      <w:rPr>
        <w:rFonts w:hint="default"/>
        <w:lang w:val="en-US" w:eastAsia="zh-CN" w:bidi="ar-SA"/>
      </w:rPr>
    </w:lvl>
    <w:lvl w:ilvl="5">
      <w:start w:val="0"/>
      <w:numFmt w:val="bullet"/>
      <w:lvlText w:val="•"/>
      <w:lvlJc w:val="left"/>
      <w:pPr>
        <w:ind w:left="4583" w:hanging="560"/>
      </w:pPr>
      <w:rPr>
        <w:rFonts w:hint="default"/>
        <w:lang w:val="en-US" w:eastAsia="zh-CN" w:bidi="ar-SA"/>
      </w:rPr>
    </w:lvl>
    <w:lvl w:ilvl="6">
      <w:start w:val="0"/>
      <w:numFmt w:val="bullet"/>
      <w:lvlText w:val="•"/>
      <w:lvlJc w:val="left"/>
      <w:pPr>
        <w:ind w:left="5448" w:hanging="560"/>
      </w:pPr>
      <w:rPr>
        <w:rFonts w:hint="default"/>
        <w:lang w:val="en-US" w:eastAsia="zh-CN" w:bidi="ar-SA"/>
      </w:rPr>
    </w:lvl>
    <w:lvl w:ilvl="7">
      <w:start w:val="0"/>
      <w:numFmt w:val="bullet"/>
      <w:lvlText w:val="•"/>
      <w:lvlJc w:val="left"/>
      <w:pPr>
        <w:ind w:left="6312" w:hanging="560"/>
      </w:pPr>
      <w:rPr>
        <w:rFonts w:hint="default"/>
        <w:lang w:val="en-US" w:eastAsia="zh-CN" w:bidi="ar-SA"/>
      </w:rPr>
    </w:lvl>
    <w:lvl w:ilvl="8">
      <w:start w:val="0"/>
      <w:numFmt w:val="bullet"/>
      <w:lvlText w:val="•"/>
      <w:lvlJc w:val="left"/>
      <w:pPr>
        <w:ind w:left="7177" w:hanging="560"/>
      </w:pPr>
      <w:rPr>
        <w:rFonts w:hint="default"/>
        <w:lang w:val="en-US" w:eastAsia="zh-CN" w:bidi="ar-SA"/>
      </w:rPr>
    </w:lvl>
  </w:abstractNum>
  <w:abstractNum w:abstractNumId="16">
    <w:nsid w:val="4863B862"/>
    <w:multiLevelType w:val="hybridMultilevel"/>
    <w:tmpl w:val="00000000"/>
    <w:lvl w:ilvl="0">
      <w:start w:val="1"/>
      <w:numFmt w:val="decimal"/>
      <w:lvlText w:val="%1"/>
      <w:lvlJc w:val="left"/>
      <w:pPr>
        <w:ind w:left="669" w:hanging="212"/>
        <w:jc w:val="left"/>
      </w:pPr>
      <w:rPr>
        <w:rFonts w:ascii="Calibri" w:eastAsia="Calibri" w:hAnsi="Calibri" w:cs="Calibri" w:hint="default"/>
        <w:b w:val="0"/>
        <w:bCs w:val="0"/>
        <w:i w:val="0"/>
        <w:iCs w:val="0"/>
        <w:w w:val="100"/>
        <w:sz w:val="21"/>
        <w:szCs w:val="21"/>
        <w:lang w:val="en-US" w:eastAsia="zh-CN" w:bidi="ar-SA"/>
      </w:rPr>
    </w:lvl>
    <w:lvl w:ilvl="1">
      <w:start w:val="0"/>
      <w:numFmt w:val="bullet"/>
      <w:lvlText w:val="•"/>
      <w:lvlJc w:val="left"/>
      <w:pPr>
        <w:ind w:left="1494" w:hanging="212"/>
      </w:pPr>
      <w:rPr>
        <w:rFonts w:hint="default"/>
        <w:lang w:val="en-US" w:eastAsia="zh-CN" w:bidi="ar-SA"/>
      </w:rPr>
    </w:lvl>
    <w:lvl w:ilvl="2">
      <w:start w:val="0"/>
      <w:numFmt w:val="bullet"/>
      <w:lvlText w:val="•"/>
      <w:lvlJc w:val="left"/>
      <w:pPr>
        <w:ind w:left="2329" w:hanging="212"/>
      </w:pPr>
      <w:rPr>
        <w:rFonts w:hint="default"/>
        <w:lang w:val="en-US" w:eastAsia="zh-CN" w:bidi="ar-SA"/>
      </w:rPr>
    </w:lvl>
    <w:lvl w:ilvl="3">
      <w:start w:val="0"/>
      <w:numFmt w:val="bullet"/>
      <w:lvlText w:val="•"/>
      <w:lvlJc w:val="left"/>
      <w:pPr>
        <w:ind w:left="3163" w:hanging="212"/>
      </w:pPr>
      <w:rPr>
        <w:rFonts w:hint="default"/>
        <w:lang w:val="en-US" w:eastAsia="zh-CN" w:bidi="ar-SA"/>
      </w:rPr>
    </w:lvl>
    <w:lvl w:ilvl="4">
      <w:start w:val="0"/>
      <w:numFmt w:val="bullet"/>
      <w:lvlText w:val="•"/>
      <w:lvlJc w:val="left"/>
      <w:pPr>
        <w:ind w:left="3998" w:hanging="212"/>
      </w:pPr>
      <w:rPr>
        <w:rFonts w:hint="default"/>
        <w:lang w:val="en-US" w:eastAsia="zh-CN" w:bidi="ar-SA"/>
      </w:rPr>
    </w:lvl>
    <w:lvl w:ilvl="5">
      <w:start w:val="0"/>
      <w:numFmt w:val="bullet"/>
      <w:lvlText w:val="•"/>
      <w:lvlJc w:val="left"/>
      <w:pPr>
        <w:ind w:left="4833" w:hanging="212"/>
      </w:pPr>
      <w:rPr>
        <w:rFonts w:hint="default"/>
        <w:lang w:val="en-US" w:eastAsia="zh-CN" w:bidi="ar-SA"/>
      </w:rPr>
    </w:lvl>
    <w:lvl w:ilvl="6">
      <w:start w:val="0"/>
      <w:numFmt w:val="bullet"/>
      <w:lvlText w:val="•"/>
      <w:lvlJc w:val="left"/>
      <w:pPr>
        <w:ind w:left="5667" w:hanging="212"/>
      </w:pPr>
      <w:rPr>
        <w:rFonts w:hint="default"/>
        <w:lang w:val="en-US" w:eastAsia="zh-CN" w:bidi="ar-SA"/>
      </w:rPr>
    </w:lvl>
    <w:lvl w:ilvl="7">
      <w:start w:val="0"/>
      <w:numFmt w:val="bullet"/>
      <w:lvlText w:val="•"/>
      <w:lvlJc w:val="left"/>
      <w:pPr>
        <w:ind w:left="6502" w:hanging="212"/>
      </w:pPr>
      <w:rPr>
        <w:rFonts w:hint="default"/>
        <w:lang w:val="en-US" w:eastAsia="zh-CN" w:bidi="ar-SA"/>
      </w:rPr>
    </w:lvl>
    <w:lvl w:ilvl="8">
      <w:start w:val="0"/>
      <w:numFmt w:val="bullet"/>
      <w:lvlText w:val="•"/>
      <w:lvlJc w:val="left"/>
      <w:pPr>
        <w:ind w:left="7336" w:hanging="212"/>
      </w:pPr>
      <w:rPr>
        <w:rFonts w:hint="default"/>
        <w:lang w:val="en-US" w:eastAsia="zh-CN" w:bidi="ar-SA"/>
      </w:rPr>
    </w:lvl>
  </w:abstractNum>
  <w:abstractNum w:abstractNumId="17">
    <w:nsid w:val="49D29CAF"/>
    <w:multiLevelType w:val="hybridMultilevel"/>
    <w:tmpl w:val="00000000"/>
    <w:lvl w:ilvl="0">
      <w:start w:val="1"/>
      <w:numFmt w:val="decimal"/>
      <w:lvlText w:val="%1"/>
      <w:lvlJc w:val="left"/>
      <w:pPr>
        <w:ind w:left="467" w:hanging="210"/>
        <w:jc w:val="left"/>
      </w:pPr>
      <w:rPr>
        <w:rFonts w:hint="default"/>
        <w:w w:val="100"/>
        <w:lang w:val="en-US" w:eastAsia="zh-CN" w:bidi="ar-SA"/>
      </w:rPr>
    </w:lvl>
    <w:lvl w:ilvl="1">
      <w:start w:val="1"/>
      <w:numFmt w:val="decimal"/>
      <w:lvlText w:val="%2）"/>
      <w:lvlJc w:val="left"/>
      <w:pPr>
        <w:ind w:left="257" w:hanging="422"/>
        <w:jc w:val="left"/>
      </w:pPr>
      <w:rPr>
        <w:rFonts w:ascii="宋体" w:eastAsia="宋体" w:hAnsi="宋体" w:cs="宋体" w:hint="default"/>
        <w:b w:val="0"/>
        <w:bCs w:val="0"/>
        <w:i w:val="0"/>
        <w:iCs w:val="0"/>
        <w:w w:val="100"/>
        <w:sz w:val="26"/>
        <w:szCs w:val="26"/>
        <w:lang w:val="en-US" w:eastAsia="zh-CN" w:bidi="ar-SA"/>
      </w:rPr>
    </w:lvl>
    <w:lvl w:ilvl="2">
      <w:start w:val="0"/>
      <w:numFmt w:val="bullet"/>
      <w:lvlText w:val="•"/>
      <w:lvlJc w:val="left"/>
      <w:pPr>
        <w:ind w:left="460" w:hanging="422"/>
      </w:pPr>
      <w:rPr>
        <w:rFonts w:hint="default"/>
        <w:lang w:val="en-US" w:eastAsia="zh-CN" w:bidi="ar-SA"/>
      </w:rPr>
    </w:lvl>
    <w:lvl w:ilvl="3">
      <w:start w:val="0"/>
      <w:numFmt w:val="bullet"/>
      <w:lvlText w:val="•"/>
      <w:lvlJc w:val="left"/>
      <w:pPr>
        <w:ind w:left="1515" w:hanging="422"/>
      </w:pPr>
      <w:rPr>
        <w:rFonts w:hint="default"/>
        <w:lang w:val="en-US" w:eastAsia="zh-CN" w:bidi="ar-SA"/>
      </w:rPr>
    </w:lvl>
    <w:lvl w:ilvl="4">
      <w:start w:val="0"/>
      <w:numFmt w:val="bullet"/>
      <w:lvlText w:val="•"/>
      <w:lvlJc w:val="left"/>
      <w:pPr>
        <w:ind w:left="2571" w:hanging="422"/>
      </w:pPr>
      <w:rPr>
        <w:rFonts w:hint="default"/>
        <w:lang w:val="en-US" w:eastAsia="zh-CN" w:bidi="ar-SA"/>
      </w:rPr>
    </w:lvl>
    <w:lvl w:ilvl="5">
      <w:start w:val="0"/>
      <w:numFmt w:val="bullet"/>
      <w:lvlText w:val="•"/>
      <w:lvlJc w:val="left"/>
      <w:pPr>
        <w:ind w:left="3627" w:hanging="422"/>
      </w:pPr>
      <w:rPr>
        <w:rFonts w:hint="default"/>
        <w:lang w:val="en-US" w:eastAsia="zh-CN" w:bidi="ar-SA"/>
      </w:rPr>
    </w:lvl>
    <w:lvl w:ilvl="6">
      <w:start w:val="0"/>
      <w:numFmt w:val="bullet"/>
      <w:lvlText w:val="•"/>
      <w:lvlJc w:val="left"/>
      <w:pPr>
        <w:ind w:left="4683" w:hanging="422"/>
      </w:pPr>
      <w:rPr>
        <w:rFonts w:hint="default"/>
        <w:lang w:val="en-US" w:eastAsia="zh-CN" w:bidi="ar-SA"/>
      </w:rPr>
    </w:lvl>
    <w:lvl w:ilvl="7">
      <w:start w:val="0"/>
      <w:numFmt w:val="bullet"/>
      <w:lvlText w:val="•"/>
      <w:lvlJc w:val="left"/>
      <w:pPr>
        <w:ind w:left="5739" w:hanging="422"/>
      </w:pPr>
      <w:rPr>
        <w:rFonts w:hint="default"/>
        <w:lang w:val="en-US" w:eastAsia="zh-CN" w:bidi="ar-SA"/>
      </w:rPr>
    </w:lvl>
    <w:lvl w:ilvl="8">
      <w:start w:val="0"/>
      <w:numFmt w:val="bullet"/>
      <w:lvlText w:val="•"/>
      <w:lvlJc w:val="left"/>
      <w:pPr>
        <w:ind w:left="6795" w:hanging="422"/>
      </w:pPr>
      <w:rPr>
        <w:rFonts w:hint="default"/>
        <w:lang w:val="en-US" w:eastAsia="zh-CN" w:bidi="ar-SA"/>
      </w:rPr>
    </w:lvl>
  </w:abstractNum>
  <w:abstractNum w:abstractNumId="18">
    <w:nsid w:val="4FD76267"/>
    <w:multiLevelType w:val="hybridMultilevel"/>
    <w:tmpl w:val="00000000"/>
    <w:lvl w:ilvl="0">
      <w:start w:val="2"/>
      <w:numFmt w:val="decimal"/>
      <w:lvlText w:val="%1)"/>
      <w:lvlJc w:val="left"/>
      <w:pPr>
        <w:ind w:left="840" w:hanging="281"/>
        <w:jc w:val="left"/>
      </w:pPr>
      <w:rPr>
        <w:rFonts w:ascii="宋体" w:eastAsia="宋体" w:hAnsi="宋体" w:cs="宋体" w:hint="default"/>
        <w:b w:val="0"/>
        <w:bCs w:val="0"/>
        <w:i w:val="0"/>
        <w:iCs w:val="0"/>
        <w:w w:val="100"/>
        <w:sz w:val="26"/>
        <w:szCs w:val="26"/>
        <w:lang w:val="en-US" w:eastAsia="zh-CN" w:bidi="ar-SA"/>
      </w:rPr>
    </w:lvl>
    <w:lvl w:ilvl="1">
      <w:start w:val="0"/>
      <w:numFmt w:val="bullet"/>
      <w:lvlText w:val="•"/>
      <w:lvlJc w:val="left"/>
      <w:pPr>
        <w:ind w:left="1656" w:hanging="281"/>
      </w:pPr>
      <w:rPr>
        <w:rFonts w:hint="default"/>
        <w:lang w:val="en-US" w:eastAsia="zh-CN" w:bidi="ar-SA"/>
      </w:rPr>
    </w:lvl>
    <w:lvl w:ilvl="2">
      <w:start w:val="0"/>
      <w:numFmt w:val="bullet"/>
      <w:lvlText w:val="•"/>
      <w:lvlJc w:val="left"/>
      <w:pPr>
        <w:ind w:left="2473" w:hanging="281"/>
      </w:pPr>
      <w:rPr>
        <w:rFonts w:hint="default"/>
        <w:lang w:val="en-US" w:eastAsia="zh-CN" w:bidi="ar-SA"/>
      </w:rPr>
    </w:lvl>
    <w:lvl w:ilvl="3">
      <w:start w:val="0"/>
      <w:numFmt w:val="bullet"/>
      <w:lvlText w:val="•"/>
      <w:lvlJc w:val="left"/>
      <w:pPr>
        <w:ind w:left="3289" w:hanging="281"/>
      </w:pPr>
      <w:rPr>
        <w:rFonts w:hint="default"/>
        <w:lang w:val="en-US" w:eastAsia="zh-CN" w:bidi="ar-SA"/>
      </w:rPr>
    </w:lvl>
    <w:lvl w:ilvl="4">
      <w:start w:val="0"/>
      <w:numFmt w:val="bullet"/>
      <w:lvlText w:val="•"/>
      <w:lvlJc w:val="left"/>
      <w:pPr>
        <w:ind w:left="4106" w:hanging="281"/>
      </w:pPr>
      <w:rPr>
        <w:rFonts w:hint="default"/>
        <w:lang w:val="en-US" w:eastAsia="zh-CN" w:bidi="ar-SA"/>
      </w:rPr>
    </w:lvl>
    <w:lvl w:ilvl="5">
      <w:start w:val="0"/>
      <w:numFmt w:val="bullet"/>
      <w:lvlText w:val="•"/>
      <w:lvlJc w:val="left"/>
      <w:pPr>
        <w:ind w:left="4923" w:hanging="281"/>
      </w:pPr>
      <w:rPr>
        <w:rFonts w:hint="default"/>
        <w:lang w:val="en-US" w:eastAsia="zh-CN" w:bidi="ar-SA"/>
      </w:rPr>
    </w:lvl>
    <w:lvl w:ilvl="6">
      <w:start w:val="0"/>
      <w:numFmt w:val="bullet"/>
      <w:lvlText w:val="•"/>
      <w:lvlJc w:val="left"/>
      <w:pPr>
        <w:ind w:left="5739" w:hanging="281"/>
      </w:pPr>
      <w:rPr>
        <w:rFonts w:hint="default"/>
        <w:lang w:val="en-US" w:eastAsia="zh-CN" w:bidi="ar-SA"/>
      </w:rPr>
    </w:lvl>
    <w:lvl w:ilvl="7">
      <w:start w:val="0"/>
      <w:numFmt w:val="bullet"/>
      <w:lvlText w:val="•"/>
      <w:lvlJc w:val="left"/>
      <w:pPr>
        <w:ind w:left="6556" w:hanging="281"/>
      </w:pPr>
      <w:rPr>
        <w:rFonts w:hint="default"/>
        <w:lang w:val="en-US" w:eastAsia="zh-CN" w:bidi="ar-SA"/>
      </w:rPr>
    </w:lvl>
    <w:lvl w:ilvl="8">
      <w:start w:val="0"/>
      <w:numFmt w:val="bullet"/>
      <w:lvlText w:val="•"/>
      <w:lvlJc w:val="left"/>
      <w:pPr>
        <w:ind w:left="7372" w:hanging="281"/>
      </w:pPr>
      <w:rPr>
        <w:rFonts w:hint="default"/>
        <w:lang w:val="en-US" w:eastAsia="zh-CN" w:bidi="ar-SA"/>
      </w:rPr>
    </w:lvl>
  </w:abstractNum>
  <w:abstractNum w:abstractNumId="19">
    <w:nsid w:val="51926C67"/>
    <w:multiLevelType w:val="hybridMultilevel"/>
    <w:tmpl w:val="00000000"/>
    <w:lvl w:ilvl="0">
      <w:start w:val="1"/>
      <w:numFmt w:val="decimal"/>
      <w:lvlText w:val="%1"/>
      <w:lvlJc w:val="left"/>
      <w:pPr>
        <w:ind w:left="491" w:hanging="212"/>
        <w:jc w:val="left"/>
      </w:pPr>
      <w:rPr>
        <w:rFonts w:ascii="Calibri" w:eastAsia="Calibri" w:hAnsi="Calibri" w:cs="Calibri" w:hint="default"/>
        <w:b w:val="0"/>
        <w:bCs w:val="0"/>
        <w:i w:val="0"/>
        <w:iCs w:val="0"/>
        <w:w w:val="100"/>
        <w:sz w:val="21"/>
        <w:szCs w:val="21"/>
        <w:lang w:val="en-US" w:eastAsia="zh-CN" w:bidi="ar-SA"/>
      </w:rPr>
    </w:lvl>
    <w:lvl w:ilvl="1">
      <w:start w:val="1"/>
      <w:numFmt w:val="decimal"/>
      <w:lvlText w:val="%2."/>
      <w:lvlJc w:val="left"/>
      <w:pPr>
        <w:ind w:left="1057" w:hanging="328"/>
        <w:jc w:val="left"/>
      </w:pPr>
      <w:rPr>
        <w:rFonts w:ascii="Arial" w:eastAsia="Arial" w:hAnsi="Arial" w:cs="Arial" w:hint="default"/>
        <w:b w:val="0"/>
        <w:bCs w:val="0"/>
        <w:i w:val="0"/>
        <w:iCs w:val="0"/>
        <w:spacing w:val="-1"/>
        <w:w w:val="100"/>
        <w:sz w:val="19"/>
        <w:szCs w:val="19"/>
        <w:lang w:val="en-US" w:eastAsia="zh-CN" w:bidi="ar-SA"/>
      </w:rPr>
    </w:lvl>
    <w:lvl w:ilvl="2">
      <w:start w:val="0"/>
      <w:numFmt w:val="bullet"/>
      <w:lvlText w:val="•"/>
      <w:lvlJc w:val="left"/>
      <w:pPr>
        <w:ind w:left="1942" w:hanging="328"/>
      </w:pPr>
      <w:rPr>
        <w:rFonts w:hint="default"/>
        <w:lang w:val="en-US" w:eastAsia="zh-CN" w:bidi="ar-SA"/>
      </w:rPr>
    </w:lvl>
    <w:lvl w:ilvl="3">
      <w:start w:val="0"/>
      <w:numFmt w:val="bullet"/>
      <w:lvlText w:val="•"/>
      <w:lvlJc w:val="left"/>
      <w:pPr>
        <w:ind w:left="2825" w:hanging="328"/>
      </w:pPr>
      <w:rPr>
        <w:rFonts w:hint="default"/>
        <w:lang w:val="en-US" w:eastAsia="zh-CN" w:bidi="ar-SA"/>
      </w:rPr>
    </w:lvl>
    <w:lvl w:ilvl="4">
      <w:start w:val="0"/>
      <w:numFmt w:val="bullet"/>
      <w:lvlText w:val="•"/>
      <w:lvlJc w:val="left"/>
      <w:pPr>
        <w:ind w:left="3708" w:hanging="328"/>
      </w:pPr>
      <w:rPr>
        <w:rFonts w:hint="default"/>
        <w:lang w:val="en-US" w:eastAsia="zh-CN" w:bidi="ar-SA"/>
      </w:rPr>
    </w:lvl>
    <w:lvl w:ilvl="5">
      <w:start w:val="0"/>
      <w:numFmt w:val="bullet"/>
      <w:lvlText w:val="•"/>
      <w:lvlJc w:val="left"/>
      <w:pPr>
        <w:ind w:left="4591" w:hanging="328"/>
      </w:pPr>
      <w:rPr>
        <w:rFonts w:hint="default"/>
        <w:lang w:val="en-US" w:eastAsia="zh-CN" w:bidi="ar-SA"/>
      </w:rPr>
    </w:lvl>
    <w:lvl w:ilvl="6">
      <w:start w:val="0"/>
      <w:numFmt w:val="bullet"/>
      <w:lvlText w:val="•"/>
      <w:lvlJc w:val="left"/>
      <w:pPr>
        <w:ind w:left="5474" w:hanging="328"/>
      </w:pPr>
      <w:rPr>
        <w:rFonts w:hint="default"/>
        <w:lang w:val="en-US" w:eastAsia="zh-CN" w:bidi="ar-SA"/>
      </w:rPr>
    </w:lvl>
    <w:lvl w:ilvl="7">
      <w:start w:val="0"/>
      <w:numFmt w:val="bullet"/>
      <w:lvlText w:val="•"/>
      <w:lvlJc w:val="left"/>
      <w:pPr>
        <w:ind w:left="6357" w:hanging="328"/>
      </w:pPr>
      <w:rPr>
        <w:rFonts w:hint="default"/>
        <w:lang w:val="en-US" w:eastAsia="zh-CN" w:bidi="ar-SA"/>
      </w:rPr>
    </w:lvl>
    <w:lvl w:ilvl="8">
      <w:start w:val="0"/>
      <w:numFmt w:val="bullet"/>
      <w:lvlText w:val="•"/>
      <w:lvlJc w:val="left"/>
      <w:pPr>
        <w:ind w:left="7240" w:hanging="328"/>
      </w:pPr>
      <w:rPr>
        <w:rFonts w:hint="default"/>
        <w:lang w:val="en-US" w:eastAsia="zh-CN" w:bidi="ar-SA"/>
      </w:rPr>
    </w:lvl>
  </w:abstractNum>
  <w:abstractNum w:abstractNumId="20">
    <w:nsid w:val="528C15D9"/>
    <w:multiLevelType w:val="hybridMultilevel"/>
    <w:tmpl w:val="00000000"/>
    <w:lvl w:ilvl="0">
      <w:start w:val="1"/>
      <w:numFmt w:val="decimal"/>
      <w:lvlText w:val="%1）"/>
      <w:lvlJc w:val="left"/>
      <w:pPr>
        <w:ind w:left="1238" w:hanging="421"/>
        <w:jc w:val="left"/>
      </w:pPr>
      <w:rPr>
        <w:rFonts w:ascii="宋体" w:eastAsia="宋体" w:hAnsi="宋体" w:cs="宋体" w:hint="default"/>
        <w:b w:val="0"/>
        <w:bCs w:val="0"/>
        <w:i w:val="0"/>
        <w:iCs w:val="0"/>
        <w:spacing w:val="-79"/>
        <w:w w:val="100"/>
        <w:sz w:val="26"/>
        <w:szCs w:val="26"/>
        <w:lang w:val="en-US" w:eastAsia="zh-CN" w:bidi="ar-SA"/>
      </w:rPr>
    </w:lvl>
    <w:lvl w:ilvl="1">
      <w:start w:val="0"/>
      <w:numFmt w:val="bullet"/>
      <w:lvlText w:val="•"/>
      <w:lvlJc w:val="left"/>
      <w:pPr>
        <w:ind w:left="2006" w:hanging="421"/>
      </w:pPr>
      <w:rPr>
        <w:rFonts w:hint="default"/>
        <w:lang w:val="en-US" w:eastAsia="zh-CN" w:bidi="ar-SA"/>
      </w:rPr>
    </w:lvl>
    <w:lvl w:ilvl="2">
      <w:start w:val="0"/>
      <w:numFmt w:val="bullet"/>
      <w:lvlText w:val="•"/>
      <w:lvlJc w:val="left"/>
      <w:pPr>
        <w:ind w:left="2773" w:hanging="421"/>
      </w:pPr>
      <w:rPr>
        <w:rFonts w:hint="default"/>
        <w:lang w:val="en-US" w:eastAsia="zh-CN" w:bidi="ar-SA"/>
      </w:rPr>
    </w:lvl>
    <w:lvl w:ilvl="3">
      <w:start w:val="0"/>
      <w:numFmt w:val="bullet"/>
      <w:lvlText w:val="•"/>
      <w:lvlJc w:val="left"/>
      <w:pPr>
        <w:ind w:left="3540" w:hanging="421"/>
      </w:pPr>
      <w:rPr>
        <w:rFonts w:hint="default"/>
        <w:lang w:val="en-US" w:eastAsia="zh-CN" w:bidi="ar-SA"/>
      </w:rPr>
    </w:lvl>
    <w:lvl w:ilvl="4">
      <w:start w:val="0"/>
      <w:numFmt w:val="bullet"/>
      <w:lvlText w:val="•"/>
      <w:lvlJc w:val="left"/>
      <w:pPr>
        <w:ind w:left="4306" w:hanging="421"/>
      </w:pPr>
      <w:rPr>
        <w:rFonts w:hint="default"/>
        <w:lang w:val="en-US" w:eastAsia="zh-CN" w:bidi="ar-SA"/>
      </w:rPr>
    </w:lvl>
    <w:lvl w:ilvl="5">
      <w:start w:val="0"/>
      <w:numFmt w:val="bullet"/>
      <w:lvlText w:val="•"/>
      <w:lvlJc w:val="left"/>
      <w:pPr>
        <w:ind w:left="5073" w:hanging="421"/>
      </w:pPr>
      <w:rPr>
        <w:rFonts w:hint="default"/>
        <w:lang w:val="en-US" w:eastAsia="zh-CN" w:bidi="ar-SA"/>
      </w:rPr>
    </w:lvl>
    <w:lvl w:ilvl="6">
      <w:start w:val="0"/>
      <w:numFmt w:val="bullet"/>
      <w:lvlText w:val="•"/>
      <w:lvlJc w:val="left"/>
      <w:pPr>
        <w:ind w:left="5840" w:hanging="421"/>
      </w:pPr>
      <w:rPr>
        <w:rFonts w:hint="default"/>
        <w:lang w:val="en-US" w:eastAsia="zh-CN" w:bidi="ar-SA"/>
      </w:rPr>
    </w:lvl>
    <w:lvl w:ilvl="7">
      <w:start w:val="0"/>
      <w:numFmt w:val="bullet"/>
      <w:lvlText w:val="•"/>
      <w:lvlJc w:val="left"/>
      <w:pPr>
        <w:ind w:left="6606" w:hanging="421"/>
      </w:pPr>
      <w:rPr>
        <w:rFonts w:hint="default"/>
        <w:lang w:val="en-US" w:eastAsia="zh-CN" w:bidi="ar-SA"/>
      </w:rPr>
    </w:lvl>
    <w:lvl w:ilvl="8">
      <w:start w:val="0"/>
      <w:numFmt w:val="bullet"/>
      <w:lvlText w:val="•"/>
      <w:lvlJc w:val="left"/>
      <w:pPr>
        <w:ind w:left="7373" w:hanging="421"/>
      </w:pPr>
      <w:rPr>
        <w:rFonts w:hint="default"/>
        <w:lang w:val="en-US" w:eastAsia="zh-CN" w:bidi="ar-SA"/>
      </w:rPr>
    </w:lvl>
  </w:abstractNum>
  <w:abstractNum w:abstractNumId="21">
    <w:nsid w:val="5614957D"/>
    <w:multiLevelType w:val="hybridMultilevel"/>
    <w:tmpl w:val="00000000"/>
    <w:lvl w:ilvl="0">
      <w:start w:val="1"/>
      <w:numFmt w:val="decimal"/>
      <w:lvlText w:val="%1）"/>
      <w:lvlJc w:val="left"/>
      <w:pPr>
        <w:ind w:left="280" w:hanging="421"/>
        <w:jc w:val="left"/>
      </w:pPr>
      <w:rPr>
        <w:rFonts w:ascii="宋体" w:eastAsia="宋体" w:hAnsi="宋体" w:cs="宋体" w:hint="default"/>
        <w:b w:val="0"/>
        <w:bCs w:val="0"/>
        <w:i w:val="0"/>
        <w:iCs w:val="0"/>
        <w:spacing w:val="-140"/>
        <w:w w:val="100"/>
        <w:sz w:val="26"/>
        <w:szCs w:val="26"/>
        <w:lang w:val="en-US" w:eastAsia="zh-CN" w:bidi="ar-SA"/>
      </w:rPr>
    </w:lvl>
    <w:lvl w:ilvl="1">
      <w:start w:val="1"/>
      <w:numFmt w:val="decimal"/>
      <w:lvlText w:val="（%2）"/>
      <w:lvlJc w:val="left"/>
      <w:pPr>
        <w:ind w:left="280" w:hanging="704"/>
        <w:jc w:val="left"/>
      </w:pPr>
      <w:rPr>
        <w:rFonts w:ascii="宋体" w:eastAsia="宋体" w:hAnsi="宋体" w:cs="宋体" w:hint="default"/>
        <w:b w:val="0"/>
        <w:bCs w:val="0"/>
        <w:i w:val="0"/>
        <w:iCs w:val="0"/>
        <w:spacing w:val="0"/>
        <w:w w:val="100"/>
        <w:sz w:val="26"/>
        <w:szCs w:val="26"/>
        <w:lang w:val="en-US" w:eastAsia="zh-CN" w:bidi="ar-SA"/>
      </w:rPr>
    </w:lvl>
    <w:lvl w:ilvl="2">
      <w:start w:val="0"/>
      <w:numFmt w:val="bullet"/>
      <w:lvlText w:val="•"/>
      <w:lvlJc w:val="left"/>
      <w:pPr>
        <w:ind w:left="2025" w:hanging="704"/>
      </w:pPr>
      <w:rPr>
        <w:rFonts w:hint="default"/>
        <w:lang w:val="en-US" w:eastAsia="zh-CN" w:bidi="ar-SA"/>
      </w:rPr>
    </w:lvl>
    <w:lvl w:ilvl="3">
      <w:start w:val="0"/>
      <w:numFmt w:val="bullet"/>
      <w:lvlText w:val="•"/>
      <w:lvlJc w:val="left"/>
      <w:pPr>
        <w:ind w:left="2897" w:hanging="704"/>
      </w:pPr>
      <w:rPr>
        <w:rFonts w:hint="default"/>
        <w:lang w:val="en-US" w:eastAsia="zh-CN" w:bidi="ar-SA"/>
      </w:rPr>
    </w:lvl>
    <w:lvl w:ilvl="4">
      <w:start w:val="0"/>
      <w:numFmt w:val="bullet"/>
      <w:lvlText w:val="•"/>
      <w:lvlJc w:val="left"/>
      <w:pPr>
        <w:ind w:left="3770" w:hanging="704"/>
      </w:pPr>
      <w:rPr>
        <w:rFonts w:hint="default"/>
        <w:lang w:val="en-US" w:eastAsia="zh-CN" w:bidi="ar-SA"/>
      </w:rPr>
    </w:lvl>
    <w:lvl w:ilvl="5">
      <w:start w:val="0"/>
      <w:numFmt w:val="bullet"/>
      <w:lvlText w:val="•"/>
      <w:lvlJc w:val="left"/>
      <w:pPr>
        <w:ind w:left="4643" w:hanging="704"/>
      </w:pPr>
      <w:rPr>
        <w:rFonts w:hint="default"/>
        <w:lang w:val="en-US" w:eastAsia="zh-CN" w:bidi="ar-SA"/>
      </w:rPr>
    </w:lvl>
    <w:lvl w:ilvl="6">
      <w:start w:val="0"/>
      <w:numFmt w:val="bullet"/>
      <w:lvlText w:val="•"/>
      <w:lvlJc w:val="left"/>
      <w:pPr>
        <w:ind w:left="5515" w:hanging="704"/>
      </w:pPr>
      <w:rPr>
        <w:rFonts w:hint="default"/>
        <w:lang w:val="en-US" w:eastAsia="zh-CN" w:bidi="ar-SA"/>
      </w:rPr>
    </w:lvl>
    <w:lvl w:ilvl="7">
      <w:start w:val="0"/>
      <w:numFmt w:val="bullet"/>
      <w:lvlText w:val="•"/>
      <w:lvlJc w:val="left"/>
      <w:pPr>
        <w:ind w:left="6388" w:hanging="704"/>
      </w:pPr>
      <w:rPr>
        <w:rFonts w:hint="default"/>
        <w:lang w:val="en-US" w:eastAsia="zh-CN" w:bidi="ar-SA"/>
      </w:rPr>
    </w:lvl>
    <w:lvl w:ilvl="8">
      <w:start w:val="0"/>
      <w:numFmt w:val="bullet"/>
      <w:lvlText w:val="•"/>
      <w:lvlJc w:val="left"/>
      <w:pPr>
        <w:ind w:left="7260" w:hanging="704"/>
      </w:pPr>
      <w:rPr>
        <w:rFonts w:hint="default"/>
        <w:lang w:val="en-US" w:eastAsia="zh-CN" w:bidi="ar-SA"/>
      </w:rPr>
    </w:lvl>
  </w:abstractNum>
  <w:abstractNum w:abstractNumId="22">
    <w:nsid w:val="564FADA2"/>
    <w:multiLevelType w:val="hybridMultilevel"/>
    <w:tmpl w:val="00000000"/>
    <w:lvl w:ilvl="0">
      <w:start w:val="1"/>
      <w:numFmt w:val="decimal"/>
      <w:lvlText w:val="%1）"/>
      <w:lvlJc w:val="left"/>
      <w:pPr>
        <w:ind w:left="280" w:hanging="422"/>
        <w:jc w:val="left"/>
      </w:pPr>
      <w:rPr>
        <w:rFonts w:ascii="宋体" w:eastAsia="宋体" w:hAnsi="宋体" w:cs="宋体" w:hint="default"/>
        <w:b w:val="0"/>
        <w:bCs w:val="0"/>
        <w:i w:val="0"/>
        <w:iCs w:val="0"/>
        <w:w w:val="100"/>
        <w:sz w:val="26"/>
        <w:szCs w:val="26"/>
        <w:lang w:val="en-US" w:eastAsia="zh-CN" w:bidi="ar-SA"/>
      </w:rPr>
    </w:lvl>
    <w:lvl w:ilvl="1">
      <w:start w:val="0"/>
      <w:numFmt w:val="bullet"/>
      <w:lvlText w:val="•"/>
      <w:lvlJc w:val="left"/>
      <w:pPr>
        <w:ind w:left="1152" w:hanging="422"/>
      </w:pPr>
      <w:rPr>
        <w:rFonts w:hint="default"/>
        <w:lang w:val="en-US" w:eastAsia="zh-CN" w:bidi="ar-SA"/>
      </w:rPr>
    </w:lvl>
    <w:lvl w:ilvl="2">
      <w:start w:val="0"/>
      <w:numFmt w:val="bullet"/>
      <w:lvlText w:val="•"/>
      <w:lvlJc w:val="left"/>
      <w:pPr>
        <w:ind w:left="2025" w:hanging="422"/>
      </w:pPr>
      <w:rPr>
        <w:rFonts w:hint="default"/>
        <w:lang w:val="en-US" w:eastAsia="zh-CN" w:bidi="ar-SA"/>
      </w:rPr>
    </w:lvl>
    <w:lvl w:ilvl="3">
      <w:start w:val="0"/>
      <w:numFmt w:val="bullet"/>
      <w:lvlText w:val="•"/>
      <w:lvlJc w:val="left"/>
      <w:pPr>
        <w:ind w:left="2897" w:hanging="422"/>
      </w:pPr>
      <w:rPr>
        <w:rFonts w:hint="default"/>
        <w:lang w:val="en-US" w:eastAsia="zh-CN" w:bidi="ar-SA"/>
      </w:rPr>
    </w:lvl>
    <w:lvl w:ilvl="4">
      <w:start w:val="0"/>
      <w:numFmt w:val="bullet"/>
      <w:lvlText w:val="•"/>
      <w:lvlJc w:val="left"/>
      <w:pPr>
        <w:ind w:left="3770" w:hanging="422"/>
      </w:pPr>
      <w:rPr>
        <w:rFonts w:hint="default"/>
        <w:lang w:val="en-US" w:eastAsia="zh-CN" w:bidi="ar-SA"/>
      </w:rPr>
    </w:lvl>
    <w:lvl w:ilvl="5">
      <w:start w:val="0"/>
      <w:numFmt w:val="bullet"/>
      <w:lvlText w:val="•"/>
      <w:lvlJc w:val="left"/>
      <w:pPr>
        <w:ind w:left="4643" w:hanging="422"/>
      </w:pPr>
      <w:rPr>
        <w:rFonts w:hint="default"/>
        <w:lang w:val="en-US" w:eastAsia="zh-CN" w:bidi="ar-SA"/>
      </w:rPr>
    </w:lvl>
    <w:lvl w:ilvl="6">
      <w:start w:val="0"/>
      <w:numFmt w:val="bullet"/>
      <w:lvlText w:val="•"/>
      <w:lvlJc w:val="left"/>
      <w:pPr>
        <w:ind w:left="5515" w:hanging="422"/>
      </w:pPr>
      <w:rPr>
        <w:rFonts w:hint="default"/>
        <w:lang w:val="en-US" w:eastAsia="zh-CN" w:bidi="ar-SA"/>
      </w:rPr>
    </w:lvl>
    <w:lvl w:ilvl="7">
      <w:start w:val="0"/>
      <w:numFmt w:val="bullet"/>
      <w:lvlText w:val="•"/>
      <w:lvlJc w:val="left"/>
      <w:pPr>
        <w:ind w:left="6388" w:hanging="422"/>
      </w:pPr>
      <w:rPr>
        <w:rFonts w:hint="default"/>
        <w:lang w:val="en-US" w:eastAsia="zh-CN" w:bidi="ar-SA"/>
      </w:rPr>
    </w:lvl>
    <w:lvl w:ilvl="8">
      <w:start w:val="0"/>
      <w:numFmt w:val="bullet"/>
      <w:lvlText w:val="•"/>
      <w:lvlJc w:val="left"/>
      <w:pPr>
        <w:ind w:left="7260" w:hanging="422"/>
      </w:pPr>
      <w:rPr>
        <w:rFonts w:hint="default"/>
        <w:lang w:val="en-US" w:eastAsia="zh-CN" w:bidi="ar-SA"/>
      </w:rPr>
    </w:lvl>
  </w:abstractNum>
  <w:abstractNum w:abstractNumId="23">
    <w:nsid w:val="5A5EAE94"/>
    <w:multiLevelType w:val="hybridMultilevel"/>
    <w:tmpl w:val="00000000"/>
    <w:lvl w:ilvl="0">
      <w:start w:val="1"/>
      <w:numFmt w:val="decimal"/>
      <w:lvlText w:val="%1."/>
      <w:lvlJc w:val="left"/>
      <w:pPr>
        <w:ind w:left="754" w:hanging="265"/>
        <w:jc w:val="left"/>
      </w:pPr>
      <w:rPr>
        <w:rFonts w:ascii="Calibri" w:eastAsia="Calibri" w:hAnsi="Calibri" w:cs="Calibri" w:hint="default"/>
        <w:b w:val="0"/>
        <w:bCs w:val="0"/>
        <w:i w:val="0"/>
        <w:iCs w:val="0"/>
        <w:w w:val="100"/>
        <w:sz w:val="21"/>
        <w:szCs w:val="21"/>
        <w:lang w:val="en-US" w:eastAsia="zh-CN" w:bidi="ar-SA"/>
      </w:rPr>
    </w:lvl>
    <w:lvl w:ilvl="1">
      <w:start w:val="0"/>
      <w:numFmt w:val="bullet"/>
      <w:lvlText w:val="•"/>
      <w:lvlJc w:val="left"/>
      <w:pPr>
        <w:ind w:left="1584" w:hanging="265"/>
      </w:pPr>
      <w:rPr>
        <w:rFonts w:hint="default"/>
        <w:lang w:val="en-US" w:eastAsia="zh-CN" w:bidi="ar-SA"/>
      </w:rPr>
    </w:lvl>
    <w:lvl w:ilvl="2">
      <w:start w:val="0"/>
      <w:numFmt w:val="bullet"/>
      <w:lvlText w:val="•"/>
      <w:lvlJc w:val="left"/>
      <w:pPr>
        <w:ind w:left="2409" w:hanging="265"/>
      </w:pPr>
      <w:rPr>
        <w:rFonts w:hint="default"/>
        <w:lang w:val="en-US" w:eastAsia="zh-CN" w:bidi="ar-SA"/>
      </w:rPr>
    </w:lvl>
    <w:lvl w:ilvl="3">
      <w:start w:val="0"/>
      <w:numFmt w:val="bullet"/>
      <w:lvlText w:val="•"/>
      <w:lvlJc w:val="left"/>
      <w:pPr>
        <w:ind w:left="3233" w:hanging="265"/>
      </w:pPr>
      <w:rPr>
        <w:rFonts w:hint="default"/>
        <w:lang w:val="en-US" w:eastAsia="zh-CN" w:bidi="ar-SA"/>
      </w:rPr>
    </w:lvl>
    <w:lvl w:ilvl="4">
      <w:start w:val="0"/>
      <w:numFmt w:val="bullet"/>
      <w:lvlText w:val="•"/>
      <w:lvlJc w:val="left"/>
      <w:pPr>
        <w:ind w:left="4058" w:hanging="265"/>
      </w:pPr>
      <w:rPr>
        <w:rFonts w:hint="default"/>
        <w:lang w:val="en-US" w:eastAsia="zh-CN" w:bidi="ar-SA"/>
      </w:rPr>
    </w:lvl>
    <w:lvl w:ilvl="5">
      <w:start w:val="0"/>
      <w:numFmt w:val="bullet"/>
      <w:lvlText w:val="•"/>
      <w:lvlJc w:val="left"/>
      <w:pPr>
        <w:ind w:left="4883" w:hanging="265"/>
      </w:pPr>
      <w:rPr>
        <w:rFonts w:hint="default"/>
        <w:lang w:val="en-US" w:eastAsia="zh-CN" w:bidi="ar-SA"/>
      </w:rPr>
    </w:lvl>
    <w:lvl w:ilvl="6">
      <w:start w:val="0"/>
      <w:numFmt w:val="bullet"/>
      <w:lvlText w:val="•"/>
      <w:lvlJc w:val="left"/>
      <w:pPr>
        <w:ind w:left="5707" w:hanging="265"/>
      </w:pPr>
      <w:rPr>
        <w:rFonts w:hint="default"/>
        <w:lang w:val="en-US" w:eastAsia="zh-CN" w:bidi="ar-SA"/>
      </w:rPr>
    </w:lvl>
    <w:lvl w:ilvl="7">
      <w:start w:val="0"/>
      <w:numFmt w:val="bullet"/>
      <w:lvlText w:val="•"/>
      <w:lvlJc w:val="left"/>
      <w:pPr>
        <w:ind w:left="6532" w:hanging="265"/>
      </w:pPr>
      <w:rPr>
        <w:rFonts w:hint="default"/>
        <w:lang w:val="en-US" w:eastAsia="zh-CN" w:bidi="ar-SA"/>
      </w:rPr>
    </w:lvl>
    <w:lvl w:ilvl="8">
      <w:start w:val="0"/>
      <w:numFmt w:val="bullet"/>
      <w:lvlText w:val="•"/>
      <w:lvlJc w:val="left"/>
      <w:pPr>
        <w:ind w:left="7356" w:hanging="265"/>
      </w:pPr>
      <w:rPr>
        <w:rFonts w:hint="default"/>
        <w:lang w:val="en-US" w:eastAsia="zh-CN" w:bidi="ar-SA"/>
      </w:rPr>
    </w:lvl>
  </w:abstractNum>
  <w:abstractNum w:abstractNumId="24">
    <w:nsid w:val="5BE3F94E"/>
    <w:multiLevelType w:val="hybridMultilevel"/>
    <w:tmpl w:val="00000000"/>
    <w:lvl w:ilvl="0">
      <w:start w:val="1"/>
      <w:numFmt w:val="decimal"/>
      <w:lvlText w:val="(%1)"/>
      <w:lvlJc w:val="left"/>
      <w:pPr>
        <w:ind w:left="280" w:hanging="421"/>
        <w:jc w:val="right"/>
      </w:pPr>
      <w:rPr>
        <w:rFonts w:ascii="宋体" w:eastAsia="宋体" w:hAnsi="宋体" w:cs="宋体" w:hint="default"/>
        <w:b w:val="0"/>
        <w:bCs w:val="0"/>
        <w:i w:val="0"/>
        <w:iCs w:val="0"/>
        <w:w w:val="100"/>
        <w:sz w:val="26"/>
        <w:szCs w:val="26"/>
        <w:lang w:val="en-US" w:eastAsia="zh-CN" w:bidi="ar-SA"/>
      </w:rPr>
    </w:lvl>
    <w:lvl w:ilvl="1">
      <w:start w:val="1"/>
      <w:numFmt w:val="decimal"/>
      <w:lvlText w:val="（%2）"/>
      <w:lvlJc w:val="left"/>
      <w:pPr>
        <w:ind w:left="280" w:hanging="704"/>
        <w:jc w:val="left"/>
      </w:pPr>
      <w:rPr>
        <w:rFonts w:ascii="宋体" w:eastAsia="宋体" w:hAnsi="宋体" w:cs="宋体" w:hint="default"/>
        <w:b w:val="0"/>
        <w:bCs w:val="0"/>
        <w:i w:val="0"/>
        <w:iCs w:val="0"/>
        <w:spacing w:val="0"/>
        <w:w w:val="100"/>
        <w:sz w:val="26"/>
        <w:szCs w:val="26"/>
        <w:lang w:val="en-US" w:eastAsia="zh-CN" w:bidi="ar-SA"/>
      </w:rPr>
    </w:lvl>
    <w:lvl w:ilvl="2">
      <w:start w:val="0"/>
      <w:numFmt w:val="bullet"/>
      <w:lvlText w:val="•"/>
      <w:lvlJc w:val="left"/>
      <w:pPr>
        <w:ind w:left="2025" w:hanging="704"/>
      </w:pPr>
      <w:rPr>
        <w:rFonts w:hint="default"/>
        <w:lang w:val="en-US" w:eastAsia="zh-CN" w:bidi="ar-SA"/>
      </w:rPr>
    </w:lvl>
    <w:lvl w:ilvl="3">
      <w:start w:val="0"/>
      <w:numFmt w:val="bullet"/>
      <w:lvlText w:val="•"/>
      <w:lvlJc w:val="left"/>
      <w:pPr>
        <w:ind w:left="2897" w:hanging="704"/>
      </w:pPr>
      <w:rPr>
        <w:rFonts w:hint="default"/>
        <w:lang w:val="en-US" w:eastAsia="zh-CN" w:bidi="ar-SA"/>
      </w:rPr>
    </w:lvl>
    <w:lvl w:ilvl="4">
      <w:start w:val="0"/>
      <w:numFmt w:val="bullet"/>
      <w:lvlText w:val="•"/>
      <w:lvlJc w:val="left"/>
      <w:pPr>
        <w:ind w:left="3770" w:hanging="704"/>
      </w:pPr>
      <w:rPr>
        <w:rFonts w:hint="default"/>
        <w:lang w:val="en-US" w:eastAsia="zh-CN" w:bidi="ar-SA"/>
      </w:rPr>
    </w:lvl>
    <w:lvl w:ilvl="5">
      <w:start w:val="0"/>
      <w:numFmt w:val="bullet"/>
      <w:lvlText w:val="•"/>
      <w:lvlJc w:val="left"/>
      <w:pPr>
        <w:ind w:left="4643" w:hanging="704"/>
      </w:pPr>
      <w:rPr>
        <w:rFonts w:hint="default"/>
        <w:lang w:val="en-US" w:eastAsia="zh-CN" w:bidi="ar-SA"/>
      </w:rPr>
    </w:lvl>
    <w:lvl w:ilvl="6">
      <w:start w:val="0"/>
      <w:numFmt w:val="bullet"/>
      <w:lvlText w:val="•"/>
      <w:lvlJc w:val="left"/>
      <w:pPr>
        <w:ind w:left="5515" w:hanging="704"/>
      </w:pPr>
      <w:rPr>
        <w:rFonts w:hint="default"/>
        <w:lang w:val="en-US" w:eastAsia="zh-CN" w:bidi="ar-SA"/>
      </w:rPr>
    </w:lvl>
    <w:lvl w:ilvl="7">
      <w:start w:val="0"/>
      <w:numFmt w:val="bullet"/>
      <w:lvlText w:val="•"/>
      <w:lvlJc w:val="left"/>
      <w:pPr>
        <w:ind w:left="6388" w:hanging="704"/>
      </w:pPr>
      <w:rPr>
        <w:rFonts w:hint="default"/>
        <w:lang w:val="en-US" w:eastAsia="zh-CN" w:bidi="ar-SA"/>
      </w:rPr>
    </w:lvl>
    <w:lvl w:ilvl="8">
      <w:start w:val="0"/>
      <w:numFmt w:val="bullet"/>
      <w:lvlText w:val="•"/>
      <w:lvlJc w:val="left"/>
      <w:pPr>
        <w:ind w:left="7260" w:hanging="704"/>
      </w:pPr>
      <w:rPr>
        <w:rFonts w:hint="default"/>
        <w:lang w:val="en-US" w:eastAsia="zh-CN" w:bidi="ar-SA"/>
      </w:rPr>
    </w:lvl>
  </w:abstractNum>
  <w:abstractNum w:abstractNumId="25">
    <w:nsid w:val="5DA665A4"/>
    <w:multiLevelType w:val="hybridMultilevel"/>
    <w:tmpl w:val="00000000"/>
    <w:lvl w:ilvl="0">
      <w:start w:val="1"/>
      <w:numFmt w:val="decimal"/>
      <w:lvlText w:val="%1."/>
      <w:lvlJc w:val="left"/>
      <w:pPr>
        <w:ind w:left="913" w:hanging="318"/>
        <w:jc w:val="left"/>
      </w:pPr>
      <w:rPr>
        <w:rFonts w:ascii="Calibri" w:eastAsia="Calibri" w:hAnsi="Calibri" w:cs="Calibri" w:hint="default"/>
        <w:b w:val="0"/>
        <w:bCs w:val="0"/>
        <w:i w:val="0"/>
        <w:iCs w:val="0"/>
        <w:w w:val="100"/>
        <w:sz w:val="19"/>
        <w:szCs w:val="19"/>
        <w:lang w:val="en-US" w:eastAsia="zh-CN" w:bidi="ar-SA"/>
      </w:rPr>
    </w:lvl>
    <w:lvl w:ilvl="1">
      <w:start w:val="1"/>
      <w:numFmt w:val="decimal"/>
      <w:lvlText w:val="%2"/>
      <w:lvlJc w:val="left"/>
      <w:pPr>
        <w:ind w:left="1067" w:hanging="186"/>
        <w:jc w:val="right"/>
      </w:pPr>
      <w:rPr>
        <w:rFonts w:ascii="Microsoft YaHei UI" w:eastAsia="Microsoft YaHei UI" w:hAnsi="Microsoft YaHei UI" w:cs="Microsoft YaHei UI" w:hint="default"/>
        <w:b w:val="0"/>
        <w:bCs w:val="0"/>
        <w:i w:val="0"/>
        <w:iCs w:val="0"/>
        <w:w w:val="100"/>
        <w:sz w:val="21"/>
        <w:szCs w:val="21"/>
        <w:lang w:val="en-US" w:eastAsia="zh-CN" w:bidi="ar-SA"/>
      </w:rPr>
    </w:lvl>
    <w:lvl w:ilvl="2">
      <w:start w:val="0"/>
      <w:numFmt w:val="bullet"/>
      <w:lvlText w:val="•"/>
      <w:lvlJc w:val="left"/>
      <w:pPr>
        <w:ind w:left="1942" w:hanging="186"/>
      </w:pPr>
      <w:rPr>
        <w:rFonts w:hint="default"/>
        <w:lang w:val="en-US" w:eastAsia="zh-CN" w:bidi="ar-SA"/>
      </w:rPr>
    </w:lvl>
    <w:lvl w:ilvl="3">
      <w:start w:val="0"/>
      <w:numFmt w:val="bullet"/>
      <w:lvlText w:val="•"/>
      <w:lvlJc w:val="left"/>
      <w:pPr>
        <w:ind w:left="2825" w:hanging="186"/>
      </w:pPr>
      <w:rPr>
        <w:rFonts w:hint="default"/>
        <w:lang w:val="en-US" w:eastAsia="zh-CN" w:bidi="ar-SA"/>
      </w:rPr>
    </w:lvl>
    <w:lvl w:ilvl="4">
      <w:start w:val="0"/>
      <w:numFmt w:val="bullet"/>
      <w:lvlText w:val="•"/>
      <w:lvlJc w:val="left"/>
      <w:pPr>
        <w:ind w:left="3708" w:hanging="186"/>
      </w:pPr>
      <w:rPr>
        <w:rFonts w:hint="default"/>
        <w:lang w:val="en-US" w:eastAsia="zh-CN" w:bidi="ar-SA"/>
      </w:rPr>
    </w:lvl>
    <w:lvl w:ilvl="5">
      <w:start w:val="0"/>
      <w:numFmt w:val="bullet"/>
      <w:lvlText w:val="•"/>
      <w:lvlJc w:val="left"/>
      <w:pPr>
        <w:ind w:left="4591" w:hanging="186"/>
      </w:pPr>
      <w:rPr>
        <w:rFonts w:hint="default"/>
        <w:lang w:val="en-US" w:eastAsia="zh-CN" w:bidi="ar-SA"/>
      </w:rPr>
    </w:lvl>
    <w:lvl w:ilvl="6">
      <w:start w:val="0"/>
      <w:numFmt w:val="bullet"/>
      <w:lvlText w:val="•"/>
      <w:lvlJc w:val="left"/>
      <w:pPr>
        <w:ind w:left="5474" w:hanging="186"/>
      </w:pPr>
      <w:rPr>
        <w:rFonts w:hint="default"/>
        <w:lang w:val="en-US" w:eastAsia="zh-CN" w:bidi="ar-SA"/>
      </w:rPr>
    </w:lvl>
    <w:lvl w:ilvl="7">
      <w:start w:val="0"/>
      <w:numFmt w:val="bullet"/>
      <w:lvlText w:val="•"/>
      <w:lvlJc w:val="left"/>
      <w:pPr>
        <w:ind w:left="6357" w:hanging="186"/>
      </w:pPr>
      <w:rPr>
        <w:rFonts w:hint="default"/>
        <w:lang w:val="en-US" w:eastAsia="zh-CN" w:bidi="ar-SA"/>
      </w:rPr>
    </w:lvl>
    <w:lvl w:ilvl="8">
      <w:start w:val="0"/>
      <w:numFmt w:val="bullet"/>
      <w:lvlText w:val="•"/>
      <w:lvlJc w:val="left"/>
      <w:pPr>
        <w:ind w:left="7240" w:hanging="186"/>
      </w:pPr>
      <w:rPr>
        <w:rFonts w:hint="default"/>
        <w:lang w:val="en-US" w:eastAsia="zh-CN" w:bidi="ar-SA"/>
      </w:rPr>
    </w:lvl>
  </w:abstractNum>
  <w:abstractNum w:abstractNumId="26">
    <w:nsid w:val="6116171C"/>
    <w:multiLevelType w:val="hybridMultilevel"/>
    <w:tmpl w:val="00000000"/>
    <w:lvl w:ilvl="0">
      <w:start w:val="1"/>
      <w:numFmt w:val="decimal"/>
      <w:lvlText w:val="（%1）"/>
      <w:lvlJc w:val="left"/>
      <w:pPr>
        <w:ind w:left="1518" w:hanging="701"/>
        <w:jc w:val="left"/>
      </w:pPr>
      <w:rPr>
        <w:rFonts w:ascii="宋体" w:eastAsia="宋体" w:hAnsi="宋体" w:cs="宋体" w:hint="default"/>
        <w:b w:val="0"/>
        <w:bCs w:val="0"/>
        <w:i w:val="0"/>
        <w:iCs w:val="0"/>
        <w:w w:val="100"/>
        <w:sz w:val="26"/>
        <w:szCs w:val="26"/>
        <w:lang w:val="en-US" w:eastAsia="zh-CN" w:bidi="ar-SA"/>
      </w:rPr>
    </w:lvl>
    <w:lvl w:ilvl="1">
      <w:start w:val="0"/>
      <w:numFmt w:val="bullet"/>
      <w:lvlText w:val="•"/>
      <w:lvlJc w:val="left"/>
      <w:pPr>
        <w:ind w:left="2258" w:hanging="701"/>
      </w:pPr>
      <w:rPr>
        <w:rFonts w:hint="default"/>
        <w:lang w:val="en-US" w:eastAsia="zh-CN" w:bidi="ar-SA"/>
      </w:rPr>
    </w:lvl>
    <w:lvl w:ilvl="2">
      <w:start w:val="0"/>
      <w:numFmt w:val="bullet"/>
      <w:lvlText w:val="•"/>
      <w:lvlJc w:val="left"/>
      <w:pPr>
        <w:ind w:left="2997" w:hanging="701"/>
      </w:pPr>
      <w:rPr>
        <w:rFonts w:hint="default"/>
        <w:lang w:val="en-US" w:eastAsia="zh-CN" w:bidi="ar-SA"/>
      </w:rPr>
    </w:lvl>
    <w:lvl w:ilvl="3">
      <w:start w:val="0"/>
      <w:numFmt w:val="bullet"/>
      <w:lvlText w:val="•"/>
      <w:lvlJc w:val="left"/>
      <w:pPr>
        <w:ind w:left="3736" w:hanging="701"/>
      </w:pPr>
      <w:rPr>
        <w:rFonts w:hint="default"/>
        <w:lang w:val="en-US" w:eastAsia="zh-CN" w:bidi="ar-SA"/>
      </w:rPr>
    </w:lvl>
    <w:lvl w:ilvl="4">
      <w:start w:val="0"/>
      <w:numFmt w:val="bullet"/>
      <w:lvlText w:val="•"/>
      <w:lvlJc w:val="left"/>
      <w:pPr>
        <w:ind w:left="4474" w:hanging="701"/>
      </w:pPr>
      <w:rPr>
        <w:rFonts w:hint="default"/>
        <w:lang w:val="en-US" w:eastAsia="zh-CN" w:bidi="ar-SA"/>
      </w:rPr>
    </w:lvl>
    <w:lvl w:ilvl="5">
      <w:start w:val="0"/>
      <w:numFmt w:val="bullet"/>
      <w:lvlText w:val="•"/>
      <w:lvlJc w:val="left"/>
      <w:pPr>
        <w:ind w:left="5213" w:hanging="701"/>
      </w:pPr>
      <w:rPr>
        <w:rFonts w:hint="default"/>
        <w:lang w:val="en-US" w:eastAsia="zh-CN" w:bidi="ar-SA"/>
      </w:rPr>
    </w:lvl>
    <w:lvl w:ilvl="6">
      <w:start w:val="0"/>
      <w:numFmt w:val="bullet"/>
      <w:lvlText w:val="•"/>
      <w:lvlJc w:val="left"/>
      <w:pPr>
        <w:ind w:left="5952" w:hanging="701"/>
      </w:pPr>
      <w:rPr>
        <w:rFonts w:hint="default"/>
        <w:lang w:val="en-US" w:eastAsia="zh-CN" w:bidi="ar-SA"/>
      </w:rPr>
    </w:lvl>
    <w:lvl w:ilvl="7">
      <w:start w:val="0"/>
      <w:numFmt w:val="bullet"/>
      <w:lvlText w:val="•"/>
      <w:lvlJc w:val="left"/>
      <w:pPr>
        <w:ind w:left="6690" w:hanging="701"/>
      </w:pPr>
      <w:rPr>
        <w:rFonts w:hint="default"/>
        <w:lang w:val="en-US" w:eastAsia="zh-CN" w:bidi="ar-SA"/>
      </w:rPr>
    </w:lvl>
    <w:lvl w:ilvl="8">
      <w:start w:val="0"/>
      <w:numFmt w:val="bullet"/>
      <w:lvlText w:val="•"/>
      <w:lvlJc w:val="left"/>
      <w:pPr>
        <w:ind w:left="7429" w:hanging="701"/>
      </w:pPr>
      <w:rPr>
        <w:rFonts w:hint="default"/>
        <w:lang w:val="en-US" w:eastAsia="zh-CN" w:bidi="ar-SA"/>
      </w:rPr>
    </w:lvl>
  </w:abstractNum>
  <w:abstractNum w:abstractNumId="27">
    <w:nsid w:val="6815DB25"/>
    <w:multiLevelType w:val="hybridMultilevel"/>
    <w:tmpl w:val="00000000"/>
    <w:lvl w:ilvl="0">
      <w:start w:val="1"/>
      <w:numFmt w:val="decimal"/>
      <w:lvlText w:val="%1）"/>
      <w:lvlJc w:val="left"/>
      <w:pPr>
        <w:ind w:left="1238" w:hanging="421"/>
        <w:jc w:val="left"/>
      </w:pPr>
      <w:rPr>
        <w:rFonts w:ascii="宋体" w:eastAsia="宋体" w:hAnsi="宋体" w:cs="宋体" w:hint="default"/>
        <w:b w:val="0"/>
        <w:bCs w:val="0"/>
        <w:i w:val="0"/>
        <w:iCs w:val="0"/>
        <w:spacing w:val="-79"/>
        <w:w w:val="100"/>
        <w:sz w:val="26"/>
        <w:szCs w:val="26"/>
        <w:lang w:val="en-US" w:eastAsia="zh-CN" w:bidi="ar-SA"/>
      </w:rPr>
    </w:lvl>
    <w:lvl w:ilvl="1">
      <w:start w:val="0"/>
      <w:numFmt w:val="bullet"/>
      <w:lvlText w:val="•"/>
      <w:lvlJc w:val="left"/>
      <w:pPr>
        <w:ind w:left="2006" w:hanging="421"/>
      </w:pPr>
      <w:rPr>
        <w:rFonts w:hint="default"/>
        <w:lang w:val="en-US" w:eastAsia="zh-CN" w:bidi="ar-SA"/>
      </w:rPr>
    </w:lvl>
    <w:lvl w:ilvl="2">
      <w:start w:val="0"/>
      <w:numFmt w:val="bullet"/>
      <w:lvlText w:val="•"/>
      <w:lvlJc w:val="left"/>
      <w:pPr>
        <w:ind w:left="2773" w:hanging="421"/>
      </w:pPr>
      <w:rPr>
        <w:rFonts w:hint="default"/>
        <w:lang w:val="en-US" w:eastAsia="zh-CN" w:bidi="ar-SA"/>
      </w:rPr>
    </w:lvl>
    <w:lvl w:ilvl="3">
      <w:start w:val="0"/>
      <w:numFmt w:val="bullet"/>
      <w:lvlText w:val="•"/>
      <w:lvlJc w:val="left"/>
      <w:pPr>
        <w:ind w:left="3540" w:hanging="421"/>
      </w:pPr>
      <w:rPr>
        <w:rFonts w:hint="default"/>
        <w:lang w:val="en-US" w:eastAsia="zh-CN" w:bidi="ar-SA"/>
      </w:rPr>
    </w:lvl>
    <w:lvl w:ilvl="4">
      <w:start w:val="0"/>
      <w:numFmt w:val="bullet"/>
      <w:lvlText w:val="•"/>
      <w:lvlJc w:val="left"/>
      <w:pPr>
        <w:ind w:left="4306" w:hanging="421"/>
      </w:pPr>
      <w:rPr>
        <w:rFonts w:hint="default"/>
        <w:lang w:val="en-US" w:eastAsia="zh-CN" w:bidi="ar-SA"/>
      </w:rPr>
    </w:lvl>
    <w:lvl w:ilvl="5">
      <w:start w:val="0"/>
      <w:numFmt w:val="bullet"/>
      <w:lvlText w:val="•"/>
      <w:lvlJc w:val="left"/>
      <w:pPr>
        <w:ind w:left="5073" w:hanging="421"/>
      </w:pPr>
      <w:rPr>
        <w:rFonts w:hint="default"/>
        <w:lang w:val="en-US" w:eastAsia="zh-CN" w:bidi="ar-SA"/>
      </w:rPr>
    </w:lvl>
    <w:lvl w:ilvl="6">
      <w:start w:val="0"/>
      <w:numFmt w:val="bullet"/>
      <w:lvlText w:val="•"/>
      <w:lvlJc w:val="left"/>
      <w:pPr>
        <w:ind w:left="5840" w:hanging="421"/>
      </w:pPr>
      <w:rPr>
        <w:rFonts w:hint="default"/>
        <w:lang w:val="en-US" w:eastAsia="zh-CN" w:bidi="ar-SA"/>
      </w:rPr>
    </w:lvl>
    <w:lvl w:ilvl="7">
      <w:start w:val="0"/>
      <w:numFmt w:val="bullet"/>
      <w:lvlText w:val="•"/>
      <w:lvlJc w:val="left"/>
      <w:pPr>
        <w:ind w:left="6606" w:hanging="421"/>
      </w:pPr>
      <w:rPr>
        <w:rFonts w:hint="default"/>
        <w:lang w:val="en-US" w:eastAsia="zh-CN" w:bidi="ar-SA"/>
      </w:rPr>
    </w:lvl>
    <w:lvl w:ilvl="8">
      <w:start w:val="0"/>
      <w:numFmt w:val="bullet"/>
      <w:lvlText w:val="•"/>
      <w:lvlJc w:val="left"/>
      <w:pPr>
        <w:ind w:left="7373" w:hanging="421"/>
      </w:pPr>
      <w:rPr>
        <w:rFonts w:hint="default"/>
        <w:lang w:val="en-US" w:eastAsia="zh-CN" w:bidi="ar-SA"/>
      </w:rPr>
    </w:lvl>
  </w:abstractNum>
  <w:abstractNum w:abstractNumId="28">
    <w:nsid w:val="6839E95F"/>
    <w:multiLevelType w:val="hybridMultilevel"/>
    <w:tmpl w:val="00000000"/>
    <w:lvl w:ilvl="0">
      <w:start w:val="1"/>
      <w:numFmt w:val="decimal"/>
      <w:lvlText w:val="%1."/>
      <w:lvlJc w:val="left"/>
      <w:pPr>
        <w:ind w:left="281" w:hanging="318"/>
        <w:jc w:val="left"/>
      </w:pPr>
      <w:rPr>
        <w:rFonts w:ascii="Calibri" w:eastAsia="Calibri" w:hAnsi="Calibri" w:cs="Calibri" w:hint="default"/>
        <w:b w:val="0"/>
        <w:bCs w:val="0"/>
        <w:i w:val="0"/>
        <w:iCs w:val="0"/>
        <w:spacing w:val="-14"/>
        <w:w w:val="100"/>
        <w:sz w:val="19"/>
        <w:szCs w:val="19"/>
        <w:lang w:val="en-US" w:eastAsia="zh-CN" w:bidi="ar-SA"/>
      </w:rPr>
    </w:lvl>
    <w:lvl w:ilvl="1">
      <w:start w:val="0"/>
      <w:numFmt w:val="bullet"/>
      <w:lvlText w:val="•"/>
      <w:lvlJc w:val="left"/>
      <w:pPr>
        <w:ind w:left="1152" w:hanging="318"/>
      </w:pPr>
      <w:rPr>
        <w:rFonts w:hint="default"/>
        <w:lang w:val="en-US" w:eastAsia="zh-CN" w:bidi="ar-SA"/>
      </w:rPr>
    </w:lvl>
    <w:lvl w:ilvl="2">
      <w:start w:val="0"/>
      <w:numFmt w:val="bullet"/>
      <w:lvlText w:val="•"/>
      <w:lvlJc w:val="left"/>
      <w:pPr>
        <w:ind w:left="2025" w:hanging="318"/>
      </w:pPr>
      <w:rPr>
        <w:rFonts w:hint="default"/>
        <w:lang w:val="en-US" w:eastAsia="zh-CN" w:bidi="ar-SA"/>
      </w:rPr>
    </w:lvl>
    <w:lvl w:ilvl="3">
      <w:start w:val="0"/>
      <w:numFmt w:val="bullet"/>
      <w:lvlText w:val="•"/>
      <w:lvlJc w:val="left"/>
      <w:pPr>
        <w:ind w:left="2897" w:hanging="318"/>
      </w:pPr>
      <w:rPr>
        <w:rFonts w:hint="default"/>
        <w:lang w:val="en-US" w:eastAsia="zh-CN" w:bidi="ar-SA"/>
      </w:rPr>
    </w:lvl>
    <w:lvl w:ilvl="4">
      <w:start w:val="0"/>
      <w:numFmt w:val="bullet"/>
      <w:lvlText w:val="•"/>
      <w:lvlJc w:val="left"/>
      <w:pPr>
        <w:ind w:left="3770" w:hanging="318"/>
      </w:pPr>
      <w:rPr>
        <w:rFonts w:hint="default"/>
        <w:lang w:val="en-US" w:eastAsia="zh-CN" w:bidi="ar-SA"/>
      </w:rPr>
    </w:lvl>
    <w:lvl w:ilvl="5">
      <w:start w:val="0"/>
      <w:numFmt w:val="bullet"/>
      <w:lvlText w:val="•"/>
      <w:lvlJc w:val="left"/>
      <w:pPr>
        <w:ind w:left="4643" w:hanging="318"/>
      </w:pPr>
      <w:rPr>
        <w:rFonts w:hint="default"/>
        <w:lang w:val="en-US" w:eastAsia="zh-CN" w:bidi="ar-SA"/>
      </w:rPr>
    </w:lvl>
    <w:lvl w:ilvl="6">
      <w:start w:val="0"/>
      <w:numFmt w:val="bullet"/>
      <w:lvlText w:val="•"/>
      <w:lvlJc w:val="left"/>
      <w:pPr>
        <w:ind w:left="5515" w:hanging="318"/>
      </w:pPr>
      <w:rPr>
        <w:rFonts w:hint="default"/>
        <w:lang w:val="en-US" w:eastAsia="zh-CN" w:bidi="ar-SA"/>
      </w:rPr>
    </w:lvl>
    <w:lvl w:ilvl="7">
      <w:start w:val="0"/>
      <w:numFmt w:val="bullet"/>
      <w:lvlText w:val="•"/>
      <w:lvlJc w:val="left"/>
      <w:pPr>
        <w:ind w:left="6388" w:hanging="318"/>
      </w:pPr>
      <w:rPr>
        <w:rFonts w:hint="default"/>
        <w:lang w:val="en-US" w:eastAsia="zh-CN" w:bidi="ar-SA"/>
      </w:rPr>
    </w:lvl>
    <w:lvl w:ilvl="8">
      <w:start w:val="0"/>
      <w:numFmt w:val="bullet"/>
      <w:lvlText w:val="•"/>
      <w:lvlJc w:val="left"/>
      <w:pPr>
        <w:ind w:left="7260" w:hanging="318"/>
      </w:pPr>
      <w:rPr>
        <w:rFonts w:hint="default"/>
        <w:lang w:val="en-US" w:eastAsia="zh-CN" w:bidi="ar-SA"/>
      </w:rPr>
    </w:lvl>
  </w:abstractNum>
  <w:abstractNum w:abstractNumId="29">
    <w:nsid w:val="68CB393E"/>
    <w:multiLevelType w:val="hybridMultilevel"/>
    <w:tmpl w:val="00000000"/>
    <w:lvl w:ilvl="0">
      <w:start w:val="1"/>
      <w:numFmt w:val="upperLetter"/>
      <w:lvlText w:val="%1"/>
      <w:lvlJc w:val="left"/>
      <w:pPr>
        <w:ind w:left="700" w:hanging="420"/>
        <w:jc w:val="left"/>
      </w:pPr>
      <w:rPr>
        <w:rFonts w:ascii="宋体" w:eastAsia="宋体" w:hAnsi="宋体" w:cs="宋体" w:hint="default"/>
        <w:b w:val="0"/>
        <w:bCs w:val="0"/>
        <w:i w:val="0"/>
        <w:iCs w:val="0"/>
        <w:w w:val="100"/>
        <w:sz w:val="28"/>
        <w:szCs w:val="28"/>
        <w:lang w:val="en-US" w:eastAsia="zh-CN" w:bidi="ar-SA"/>
      </w:rPr>
    </w:lvl>
    <w:lvl w:ilvl="1">
      <w:start w:val="0"/>
      <w:numFmt w:val="bullet"/>
      <w:lvlText w:val="•"/>
      <w:lvlJc w:val="left"/>
      <w:pPr>
        <w:ind w:left="1530" w:hanging="420"/>
      </w:pPr>
      <w:rPr>
        <w:rFonts w:hint="default"/>
        <w:lang w:val="en-US" w:eastAsia="zh-CN" w:bidi="ar-SA"/>
      </w:rPr>
    </w:lvl>
    <w:lvl w:ilvl="2">
      <w:start w:val="0"/>
      <w:numFmt w:val="bullet"/>
      <w:lvlText w:val="•"/>
      <w:lvlJc w:val="left"/>
      <w:pPr>
        <w:ind w:left="2361" w:hanging="420"/>
      </w:pPr>
      <w:rPr>
        <w:rFonts w:hint="default"/>
        <w:lang w:val="en-US" w:eastAsia="zh-CN" w:bidi="ar-SA"/>
      </w:rPr>
    </w:lvl>
    <w:lvl w:ilvl="3">
      <w:start w:val="0"/>
      <w:numFmt w:val="bullet"/>
      <w:lvlText w:val="•"/>
      <w:lvlJc w:val="left"/>
      <w:pPr>
        <w:ind w:left="3191" w:hanging="420"/>
      </w:pPr>
      <w:rPr>
        <w:rFonts w:hint="default"/>
        <w:lang w:val="en-US" w:eastAsia="zh-CN" w:bidi="ar-SA"/>
      </w:rPr>
    </w:lvl>
    <w:lvl w:ilvl="4">
      <w:start w:val="0"/>
      <w:numFmt w:val="bullet"/>
      <w:lvlText w:val="•"/>
      <w:lvlJc w:val="left"/>
      <w:pPr>
        <w:ind w:left="4022" w:hanging="420"/>
      </w:pPr>
      <w:rPr>
        <w:rFonts w:hint="default"/>
        <w:lang w:val="en-US" w:eastAsia="zh-CN" w:bidi="ar-SA"/>
      </w:rPr>
    </w:lvl>
    <w:lvl w:ilvl="5">
      <w:start w:val="0"/>
      <w:numFmt w:val="bullet"/>
      <w:lvlText w:val="•"/>
      <w:lvlJc w:val="left"/>
      <w:pPr>
        <w:ind w:left="4853" w:hanging="420"/>
      </w:pPr>
      <w:rPr>
        <w:rFonts w:hint="default"/>
        <w:lang w:val="en-US" w:eastAsia="zh-CN" w:bidi="ar-SA"/>
      </w:rPr>
    </w:lvl>
    <w:lvl w:ilvl="6">
      <w:start w:val="0"/>
      <w:numFmt w:val="bullet"/>
      <w:lvlText w:val="•"/>
      <w:lvlJc w:val="left"/>
      <w:pPr>
        <w:ind w:left="5683" w:hanging="420"/>
      </w:pPr>
      <w:rPr>
        <w:rFonts w:hint="default"/>
        <w:lang w:val="en-US" w:eastAsia="zh-CN" w:bidi="ar-SA"/>
      </w:rPr>
    </w:lvl>
    <w:lvl w:ilvl="7">
      <w:start w:val="0"/>
      <w:numFmt w:val="bullet"/>
      <w:lvlText w:val="•"/>
      <w:lvlJc w:val="left"/>
      <w:pPr>
        <w:ind w:left="6514" w:hanging="420"/>
      </w:pPr>
      <w:rPr>
        <w:rFonts w:hint="default"/>
        <w:lang w:val="en-US" w:eastAsia="zh-CN" w:bidi="ar-SA"/>
      </w:rPr>
    </w:lvl>
    <w:lvl w:ilvl="8">
      <w:start w:val="0"/>
      <w:numFmt w:val="bullet"/>
      <w:lvlText w:val="•"/>
      <w:lvlJc w:val="left"/>
      <w:pPr>
        <w:ind w:left="7344" w:hanging="420"/>
      </w:pPr>
      <w:rPr>
        <w:rFonts w:hint="default"/>
        <w:lang w:val="en-US" w:eastAsia="zh-CN" w:bidi="ar-SA"/>
      </w:rPr>
    </w:lvl>
  </w:abstractNum>
  <w:abstractNum w:abstractNumId="30">
    <w:nsid w:val="69AF49B9"/>
    <w:multiLevelType w:val="hybridMultilevel"/>
    <w:tmpl w:val="00000000"/>
    <w:lvl w:ilvl="0">
      <w:start w:val="1"/>
      <w:numFmt w:val="decimal"/>
      <w:lvlText w:val="%1"/>
      <w:lvlJc w:val="left"/>
      <w:pPr>
        <w:ind w:left="1026" w:hanging="327"/>
        <w:jc w:val="left"/>
      </w:pPr>
      <w:rPr>
        <w:rFonts w:ascii="Arial" w:eastAsia="Arial" w:hAnsi="Arial" w:cs="Arial" w:hint="default"/>
        <w:b w:val="0"/>
        <w:bCs w:val="0"/>
        <w:i w:val="0"/>
        <w:iCs w:val="0"/>
        <w:w w:val="100"/>
        <w:sz w:val="21"/>
        <w:szCs w:val="21"/>
        <w:lang w:val="en-US" w:eastAsia="zh-CN" w:bidi="ar-SA"/>
      </w:rPr>
    </w:lvl>
    <w:lvl w:ilvl="1">
      <w:start w:val="0"/>
      <w:numFmt w:val="bullet"/>
      <w:lvlText w:val="•"/>
      <w:lvlJc w:val="left"/>
      <w:pPr>
        <w:ind w:left="1818" w:hanging="327"/>
      </w:pPr>
      <w:rPr>
        <w:rFonts w:hint="default"/>
        <w:lang w:val="en-US" w:eastAsia="zh-CN" w:bidi="ar-SA"/>
      </w:rPr>
    </w:lvl>
    <w:lvl w:ilvl="2">
      <w:start w:val="0"/>
      <w:numFmt w:val="bullet"/>
      <w:lvlText w:val="•"/>
      <w:lvlJc w:val="left"/>
      <w:pPr>
        <w:ind w:left="2617" w:hanging="327"/>
      </w:pPr>
      <w:rPr>
        <w:rFonts w:hint="default"/>
        <w:lang w:val="en-US" w:eastAsia="zh-CN" w:bidi="ar-SA"/>
      </w:rPr>
    </w:lvl>
    <w:lvl w:ilvl="3">
      <w:start w:val="0"/>
      <w:numFmt w:val="bullet"/>
      <w:lvlText w:val="•"/>
      <w:lvlJc w:val="left"/>
      <w:pPr>
        <w:ind w:left="3415" w:hanging="327"/>
      </w:pPr>
      <w:rPr>
        <w:rFonts w:hint="default"/>
        <w:lang w:val="en-US" w:eastAsia="zh-CN" w:bidi="ar-SA"/>
      </w:rPr>
    </w:lvl>
    <w:lvl w:ilvl="4">
      <w:start w:val="0"/>
      <w:numFmt w:val="bullet"/>
      <w:lvlText w:val="•"/>
      <w:lvlJc w:val="left"/>
      <w:pPr>
        <w:ind w:left="4214" w:hanging="327"/>
      </w:pPr>
      <w:rPr>
        <w:rFonts w:hint="default"/>
        <w:lang w:val="en-US" w:eastAsia="zh-CN" w:bidi="ar-SA"/>
      </w:rPr>
    </w:lvl>
    <w:lvl w:ilvl="5">
      <w:start w:val="0"/>
      <w:numFmt w:val="bullet"/>
      <w:lvlText w:val="•"/>
      <w:lvlJc w:val="left"/>
      <w:pPr>
        <w:ind w:left="5013" w:hanging="327"/>
      </w:pPr>
      <w:rPr>
        <w:rFonts w:hint="default"/>
        <w:lang w:val="en-US" w:eastAsia="zh-CN" w:bidi="ar-SA"/>
      </w:rPr>
    </w:lvl>
    <w:lvl w:ilvl="6">
      <w:start w:val="0"/>
      <w:numFmt w:val="bullet"/>
      <w:lvlText w:val="•"/>
      <w:lvlJc w:val="left"/>
      <w:pPr>
        <w:ind w:left="5811" w:hanging="327"/>
      </w:pPr>
      <w:rPr>
        <w:rFonts w:hint="default"/>
        <w:lang w:val="en-US" w:eastAsia="zh-CN" w:bidi="ar-SA"/>
      </w:rPr>
    </w:lvl>
    <w:lvl w:ilvl="7">
      <w:start w:val="0"/>
      <w:numFmt w:val="bullet"/>
      <w:lvlText w:val="•"/>
      <w:lvlJc w:val="left"/>
      <w:pPr>
        <w:ind w:left="6610" w:hanging="327"/>
      </w:pPr>
      <w:rPr>
        <w:rFonts w:hint="default"/>
        <w:lang w:val="en-US" w:eastAsia="zh-CN" w:bidi="ar-SA"/>
      </w:rPr>
    </w:lvl>
    <w:lvl w:ilvl="8">
      <w:start w:val="0"/>
      <w:numFmt w:val="bullet"/>
      <w:lvlText w:val="•"/>
      <w:lvlJc w:val="left"/>
      <w:pPr>
        <w:ind w:left="7408" w:hanging="327"/>
      </w:pPr>
      <w:rPr>
        <w:rFonts w:hint="default"/>
        <w:lang w:val="en-US" w:eastAsia="zh-CN" w:bidi="ar-SA"/>
      </w:rPr>
    </w:lvl>
  </w:abstractNum>
  <w:abstractNum w:abstractNumId="31">
    <w:nsid w:val="6B39CAE2"/>
    <w:multiLevelType w:val="hybridMultilevel"/>
    <w:tmpl w:val="00000000"/>
    <w:lvl w:ilvl="0">
      <w:start w:val="1"/>
      <w:numFmt w:val="decimal"/>
      <w:lvlText w:val="%1）"/>
      <w:lvlJc w:val="left"/>
      <w:pPr>
        <w:ind w:left="257" w:hanging="422"/>
        <w:jc w:val="left"/>
      </w:pPr>
      <w:rPr>
        <w:rFonts w:ascii="宋体" w:eastAsia="宋体" w:hAnsi="宋体" w:cs="宋体" w:hint="default"/>
        <w:b w:val="0"/>
        <w:bCs w:val="0"/>
        <w:i w:val="0"/>
        <w:iCs w:val="0"/>
        <w:w w:val="100"/>
        <w:sz w:val="26"/>
        <w:szCs w:val="26"/>
        <w:lang w:val="en-US" w:eastAsia="zh-CN" w:bidi="ar-SA"/>
      </w:rPr>
    </w:lvl>
    <w:lvl w:ilvl="1">
      <w:start w:val="0"/>
      <w:numFmt w:val="bullet"/>
      <w:lvlText w:val="•"/>
      <w:lvlJc w:val="left"/>
      <w:pPr>
        <w:ind w:left="1124" w:hanging="422"/>
      </w:pPr>
      <w:rPr>
        <w:rFonts w:hint="default"/>
        <w:lang w:val="en-US" w:eastAsia="zh-CN" w:bidi="ar-SA"/>
      </w:rPr>
    </w:lvl>
    <w:lvl w:ilvl="2">
      <w:start w:val="0"/>
      <w:numFmt w:val="bullet"/>
      <w:lvlText w:val="•"/>
      <w:lvlJc w:val="left"/>
      <w:pPr>
        <w:ind w:left="1989" w:hanging="422"/>
      </w:pPr>
      <w:rPr>
        <w:rFonts w:hint="default"/>
        <w:lang w:val="en-US" w:eastAsia="zh-CN" w:bidi="ar-SA"/>
      </w:rPr>
    </w:lvl>
    <w:lvl w:ilvl="3">
      <w:start w:val="0"/>
      <w:numFmt w:val="bullet"/>
      <w:lvlText w:val="•"/>
      <w:lvlJc w:val="left"/>
      <w:pPr>
        <w:ind w:left="2854" w:hanging="422"/>
      </w:pPr>
      <w:rPr>
        <w:rFonts w:hint="default"/>
        <w:lang w:val="en-US" w:eastAsia="zh-CN" w:bidi="ar-SA"/>
      </w:rPr>
    </w:lvl>
    <w:lvl w:ilvl="4">
      <w:start w:val="0"/>
      <w:numFmt w:val="bullet"/>
      <w:lvlText w:val="•"/>
      <w:lvlJc w:val="left"/>
      <w:pPr>
        <w:ind w:left="3718" w:hanging="422"/>
      </w:pPr>
      <w:rPr>
        <w:rFonts w:hint="default"/>
        <w:lang w:val="en-US" w:eastAsia="zh-CN" w:bidi="ar-SA"/>
      </w:rPr>
    </w:lvl>
    <w:lvl w:ilvl="5">
      <w:start w:val="0"/>
      <w:numFmt w:val="bullet"/>
      <w:lvlText w:val="•"/>
      <w:lvlJc w:val="left"/>
      <w:pPr>
        <w:ind w:left="4583" w:hanging="422"/>
      </w:pPr>
      <w:rPr>
        <w:rFonts w:hint="default"/>
        <w:lang w:val="en-US" w:eastAsia="zh-CN" w:bidi="ar-SA"/>
      </w:rPr>
    </w:lvl>
    <w:lvl w:ilvl="6">
      <w:start w:val="0"/>
      <w:numFmt w:val="bullet"/>
      <w:lvlText w:val="•"/>
      <w:lvlJc w:val="left"/>
      <w:pPr>
        <w:ind w:left="5448" w:hanging="422"/>
      </w:pPr>
      <w:rPr>
        <w:rFonts w:hint="default"/>
        <w:lang w:val="en-US" w:eastAsia="zh-CN" w:bidi="ar-SA"/>
      </w:rPr>
    </w:lvl>
    <w:lvl w:ilvl="7">
      <w:start w:val="0"/>
      <w:numFmt w:val="bullet"/>
      <w:lvlText w:val="•"/>
      <w:lvlJc w:val="left"/>
      <w:pPr>
        <w:ind w:left="6312" w:hanging="422"/>
      </w:pPr>
      <w:rPr>
        <w:rFonts w:hint="default"/>
        <w:lang w:val="en-US" w:eastAsia="zh-CN" w:bidi="ar-SA"/>
      </w:rPr>
    </w:lvl>
    <w:lvl w:ilvl="8">
      <w:start w:val="0"/>
      <w:numFmt w:val="bullet"/>
      <w:lvlText w:val="•"/>
      <w:lvlJc w:val="left"/>
      <w:pPr>
        <w:ind w:left="7177" w:hanging="422"/>
      </w:pPr>
      <w:rPr>
        <w:rFonts w:hint="default"/>
        <w:lang w:val="en-US" w:eastAsia="zh-CN" w:bidi="ar-SA"/>
      </w:rPr>
    </w:lvl>
  </w:abstractNum>
  <w:abstractNum w:abstractNumId="32">
    <w:nsid w:val="6CAD4FF4"/>
    <w:multiLevelType w:val="hybridMultilevel"/>
    <w:tmpl w:val="00000000"/>
    <w:lvl w:ilvl="0">
      <w:start w:val="4"/>
      <w:numFmt w:val="decimal"/>
      <w:lvlText w:val="(%1)"/>
      <w:lvlJc w:val="left"/>
      <w:pPr>
        <w:ind w:left="280" w:hanging="421"/>
        <w:jc w:val="left"/>
      </w:pPr>
      <w:rPr>
        <w:rFonts w:ascii="宋体" w:eastAsia="宋体" w:hAnsi="宋体" w:cs="宋体" w:hint="default"/>
        <w:b w:val="0"/>
        <w:bCs w:val="0"/>
        <w:i w:val="0"/>
        <w:iCs w:val="0"/>
        <w:w w:val="100"/>
        <w:sz w:val="26"/>
        <w:szCs w:val="26"/>
        <w:lang w:val="en-US" w:eastAsia="zh-CN" w:bidi="ar-SA"/>
      </w:rPr>
    </w:lvl>
    <w:lvl w:ilvl="1">
      <w:start w:val="0"/>
      <w:numFmt w:val="bullet"/>
      <w:lvlText w:val="•"/>
      <w:lvlJc w:val="left"/>
      <w:pPr>
        <w:ind w:left="1152" w:hanging="421"/>
      </w:pPr>
      <w:rPr>
        <w:rFonts w:hint="default"/>
        <w:lang w:val="en-US" w:eastAsia="zh-CN" w:bidi="ar-SA"/>
      </w:rPr>
    </w:lvl>
    <w:lvl w:ilvl="2">
      <w:start w:val="0"/>
      <w:numFmt w:val="bullet"/>
      <w:lvlText w:val="•"/>
      <w:lvlJc w:val="left"/>
      <w:pPr>
        <w:ind w:left="2025" w:hanging="421"/>
      </w:pPr>
      <w:rPr>
        <w:rFonts w:hint="default"/>
        <w:lang w:val="en-US" w:eastAsia="zh-CN" w:bidi="ar-SA"/>
      </w:rPr>
    </w:lvl>
    <w:lvl w:ilvl="3">
      <w:start w:val="0"/>
      <w:numFmt w:val="bullet"/>
      <w:lvlText w:val="•"/>
      <w:lvlJc w:val="left"/>
      <w:pPr>
        <w:ind w:left="2897" w:hanging="421"/>
      </w:pPr>
      <w:rPr>
        <w:rFonts w:hint="default"/>
        <w:lang w:val="en-US" w:eastAsia="zh-CN" w:bidi="ar-SA"/>
      </w:rPr>
    </w:lvl>
    <w:lvl w:ilvl="4">
      <w:start w:val="0"/>
      <w:numFmt w:val="bullet"/>
      <w:lvlText w:val="•"/>
      <w:lvlJc w:val="left"/>
      <w:pPr>
        <w:ind w:left="3770" w:hanging="421"/>
      </w:pPr>
      <w:rPr>
        <w:rFonts w:hint="default"/>
        <w:lang w:val="en-US" w:eastAsia="zh-CN" w:bidi="ar-SA"/>
      </w:rPr>
    </w:lvl>
    <w:lvl w:ilvl="5">
      <w:start w:val="0"/>
      <w:numFmt w:val="bullet"/>
      <w:lvlText w:val="•"/>
      <w:lvlJc w:val="left"/>
      <w:pPr>
        <w:ind w:left="4643" w:hanging="421"/>
      </w:pPr>
      <w:rPr>
        <w:rFonts w:hint="default"/>
        <w:lang w:val="en-US" w:eastAsia="zh-CN" w:bidi="ar-SA"/>
      </w:rPr>
    </w:lvl>
    <w:lvl w:ilvl="6">
      <w:start w:val="0"/>
      <w:numFmt w:val="bullet"/>
      <w:lvlText w:val="•"/>
      <w:lvlJc w:val="left"/>
      <w:pPr>
        <w:ind w:left="5515" w:hanging="421"/>
      </w:pPr>
      <w:rPr>
        <w:rFonts w:hint="default"/>
        <w:lang w:val="en-US" w:eastAsia="zh-CN" w:bidi="ar-SA"/>
      </w:rPr>
    </w:lvl>
    <w:lvl w:ilvl="7">
      <w:start w:val="0"/>
      <w:numFmt w:val="bullet"/>
      <w:lvlText w:val="•"/>
      <w:lvlJc w:val="left"/>
      <w:pPr>
        <w:ind w:left="6388" w:hanging="421"/>
      </w:pPr>
      <w:rPr>
        <w:rFonts w:hint="default"/>
        <w:lang w:val="en-US" w:eastAsia="zh-CN" w:bidi="ar-SA"/>
      </w:rPr>
    </w:lvl>
    <w:lvl w:ilvl="8">
      <w:start w:val="0"/>
      <w:numFmt w:val="bullet"/>
      <w:lvlText w:val="•"/>
      <w:lvlJc w:val="left"/>
      <w:pPr>
        <w:ind w:left="7260" w:hanging="421"/>
      </w:pPr>
      <w:rPr>
        <w:rFonts w:hint="default"/>
        <w:lang w:val="en-US" w:eastAsia="zh-CN" w:bidi="ar-SA"/>
      </w:rPr>
    </w:lvl>
  </w:abstractNum>
  <w:abstractNum w:abstractNumId="33">
    <w:nsid w:val="6E2BF8D4"/>
    <w:multiLevelType w:val="hybridMultilevel"/>
    <w:tmpl w:val="00000000"/>
    <w:lvl w:ilvl="0">
      <w:start w:val="2"/>
      <w:numFmt w:val="decimal"/>
      <w:lvlText w:val="%1)"/>
      <w:lvlJc w:val="left"/>
      <w:pPr>
        <w:ind w:left="840" w:hanging="281"/>
        <w:jc w:val="left"/>
      </w:pPr>
      <w:rPr>
        <w:rFonts w:ascii="宋体" w:eastAsia="宋体" w:hAnsi="宋体" w:cs="宋体" w:hint="default"/>
        <w:b w:val="0"/>
        <w:bCs w:val="0"/>
        <w:i w:val="0"/>
        <w:iCs w:val="0"/>
        <w:w w:val="100"/>
        <w:sz w:val="26"/>
        <w:szCs w:val="26"/>
        <w:lang w:val="en-US" w:eastAsia="zh-CN" w:bidi="ar-SA"/>
      </w:rPr>
    </w:lvl>
    <w:lvl w:ilvl="1">
      <w:start w:val="0"/>
      <w:numFmt w:val="bullet"/>
      <w:lvlText w:val="•"/>
      <w:lvlJc w:val="left"/>
      <w:pPr>
        <w:ind w:left="1656" w:hanging="281"/>
      </w:pPr>
      <w:rPr>
        <w:rFonts w:hint="default"/>
        <w:lang w:val="en-US" w:eastAsia="zh-CN" w:bidi="ar-SA"/>
      </w:rPr>
    </w:lvl>
    <w:lvl w:ilvl="2">
      <w:start w:val="0"/>
      <w:numFmt w:val="bullet"/>
      <w:lvlText w:val="•"/>
      <w:lvlJc w:val="left"/>
      <w:pPr>
        <w:ind w:left="2473" w:hanging="281"/>
      </w:pPr>
      <w:rPr>
        <w:rFonts w:hint="default"/>
        <w:lang w:val="en-US" w:eastAsia="zh-CN" w:bidi="ar-SA"/>
      </w:rPr>
    </w:lvl>
    <w:lvl w:ilvl="3">
      <w:start w:val="0"/>
      <w:numFmt w:val="bullet"/>
      <w:lvlText w:val="•"/>
      <w:lvlJc w:val="left"/>
      <w:pPr>
        <w:ind w:left="3289" w:hanging="281"/>
      </w:pPr>
      <w:rPr>
        <w:rFonts w:hint="default"/>
        <w:lang w:val="en-US" w:eastAsia="zh-CN" w:bidi="ar-SA"/>
      </w:rPr>
    </w:lvl>
    <w:lvl w:ilvl="4">
      <w:start w:val="0"/>
      <w:numFmt w:val="bullet"/>
      <w:lvlText w:val="•"/>
      <w:lvlJc w:val="left"/>
      <w:pPr>
        <w:ind w:left="4106" w:hanging="281"/>
      </w:pPr>
      <w:rPr>
        <w:rFonts w:hint="default"/>
        <w:lang w:val="en-US" w:eastAsia="zh-CN" w:bidi="ar-SA"/>
      </w:rPr>
    </w:lvl>
    <w:lvl w:ilvl="5">
      <w:start w:val="0"/>
      <w:numFmt w:val="bullet"/>
      <w:lvlText w:val="•"/>
      <w:lvlJc w:val="left"/>
      <w:pPr>
        <w:ind w:left="4923" w:hanging="281"/>
      </w:pPr>
      <w:rPr>
        <w:rFonts w:hint="default"/>
        <w:lang w:val="en-US" w:eastAsia="zh-CN" w:bidi="ar-SA"/>
      </w:rPr>
    </w:lvl>
    <w:lvl w:ilvl="6">
      <w:start w:val="0"/>
      <w:numFmt w:val="bullet"/>
      <w:lvlText w:val="•"/>
      <w:lvlJc w:val="left"/>
      <w:pPr>
        <w:ind w:left="5739" w:hanging="281"/>
      </w:pPr>
      <w:rPr>
        <w:rFonts w:hint="default"/>
        <w:lang w:val="en-US" w:eastAsia="zh-CN" w:bidi="ar-SA"/>
      </w:rPr>
    </w:lvl>
    <w:lvl w:ilvl="7">
      <w:start w:val="0"/>
      <w:numFmt w:val="bullet"/>
      <w:lvlText w:val="•"/>
      <w:lvlJc w:val="left"/>
      <w:pPr>
        <w:ind w:left="6556" w:hanging="281"/>
      </w:pPr>
      <w:rPr>
        <w:rFonts w:hint="default"/>
        <w:lang w:val="en-US" w:eastAsia="zh-CN" w:bidi="ar-SA"/>
      </w:rPr>
    </w:lvl>
    <w:lvl w:ilvl="8">
      <w:start w:val="0"/>
      <w:numFmt w:val="bullet"/>
      <w:lvlText w:val="•"/>
      <w:lvlJc w:val="left"/>
      <w:pPr>
        <w:ind w:left="7372" w:hanging="281"/>
      </w:pPr>
      <w:rPr>
        <w:rFonts w:hint="default"/>
        <w:lang w:val="en-US" w:eastAsia="zh-CN" w:bidi="ar-SA"/>
      </w:rPr>
    </w:lvl>
  </w:abstractNum>
  <w:abstractNum w:abstractNumId="34">
    <w:nsid w:val="6ED3E0DC"/>
    <w:multiLevelType w:val="hybridMultilevel"/>
    <w:tmpl w:val="00000000"/>
    <w:lvl w:ilvl="0">
      <w:start w:val="1"/>
      <w:numFmt w:val="decimal"/>
      <w:lvlText w:val="%1）"/>
      <w:lvlJc w:val="left"/>
      <w:pPr>
        <w:ind w:left="280" w:hanging="421"/>
        <w:jc w:val="left"/>
      </w:pPr>
      <w:rPr>
        <w:rFonts w:ascii="宋体" w:eastAsia="宋体" w:hAnsi="宋体" w:cs="宋体" w:hint="default"/>
        <w:b w:val="0"/>
        <w:bCs w:val="0"/>
        <w:i w:val="0"/>
        <w:iCs w:val="0"/>
        <w:spacing w:val="-140"/>
        <w:w w:val="100"/>
        <w:sz w:val="26"/>
        <w:szCs w:val="26"/>
        <w:lang w:val="en-US" w:eastAsia="zh-CN" w:bidi="ar-SA"/>
      </w:rPr>
    </w:lvl>
    <w:lvl w:ilvl="1">
      <w:start w:val="0"/>
      <w:numFmt w:val="bullet"/>
      <w:lvlText w:val="•"/>
      <w:lvlJc w:val="left"/>
      <w:pPr>
        <w:ind w:left="1152" w:hanging="421"/>
      </w:pPr>
      <w:rPr>
        <w:rFonts w:hint="default"/>
        <w:lang w:val="en-US" w:eastAsia="zh-CN" w:bidi="ar-SA"/>
      </w:rPr>
    </w:lvl>
    <w:lvl w:ilvl="2">
      <w:start w:val="0"/>
      <w:numFmt w:val="bullet"/>
      <w:lvlText w:val="•"/>
      <w:lvlJc w:val="left"/>
      <w:pPr>
        <w:ind w:left="2025" w:hanging="421"/>
      </w:pPr>
      <w:rPr>
        <w:rFonts w:hint="default"/>
        <w:lang w:val="en-US" w:eastAsia="zh-CN" w:bidi="ar-SA"/>
      </w:rPr>
    </w:lvl>
    <w:lvl w:ilvl="3">
      <w:start w:val="0"/>
      <w:numFmt w:val="bullet"/>
      <w:lvlText w:val="•"/>
      <w:lvlJc w:val="left"/>
      <w:pPr>
        <w:ind w:left="2897" w:hanging="421"/>
      </w:pPr>
      <w:rPr>
        <w:rFonts w:hint="default"/>
        <w:lang w:val="en-US" w:eastAsia="zh-CN" w:bidi="ar-SA"/>
      </w:rPr>
    </w:lvl>
    <w:lvl w:ilvl="4">
      <w:start w:val="0"/>
      <w:numFmt w:val="bullet"/>
      <w:lvlText w:val="•"/>
      <w:lvlJc w:val="left"/>
      <w:pPr>
        <w:ind w:left="3770" w:hanging="421"/>
      </w:pPr>
      <w:rPr>
        <w:rFonts w:hint="default"/>
        <w:lang w:val="en-US" w:eastAsia="zh-CN" w:bidi="ar-SA"/>
      </w:rPr>
    </w:lvl>
    <w:lvl w:ilvl="5">
      <w:start w:val="0"/>
      <w:numFmt w:val="bullet"/>
      <w:lvlText w:val="•"/>
      <w:lvlJc w:val="left"/>
      <w:pPr>
        <w:ind w:left="4643" w:hanging="421"/>
      </w:pPr>
      <w:rPr>
        <w:rFonts w:hint="default"/>
        <w:lang w:val="en-US" w:eastAsia="zh-CN" w:bidi="ar-SA"/>
      </w:rPr>
    </w:lvl>
    <w:lvl w:ilvl="6">
      <w:start w:val="0"/>
      <w:numFmt w:val="bullet"/>
      <w:lvlText w:val="•"/>
      <w:lvlJc w:val="left"/>
      <w:pPr>
        <w:ind w:left="5515" w:hanging="421"/>
      </w:pPr>
      <w:rPr>
        <w:rFonts w:hint="default"/>
        <w:lang w:val="en-US" w:eastAsia="zh-CN" w:bidi="ar-SA"/>
      </w:rPr>
    </w:lvl>
    <w:lvl w:ilvl="7">
      <w:start w:val="0"/>
      <w:numFmt w:val="bullet"/>
      <w:lvlText w:val="•"/>
      <w:lvlJc w:val="left"/>
      <w:pPr>
        <w:ind w:left="6388" w:hanging="421"/>
      </w:pPr>
      <w:rPr>
        <w:rFonts w:hint="default"/>
        <w:lang w:val="en-US" w:eastAsia="zh-CN" w:bidi="ar-SA"/>
      </w:rPr>
    </w:lvl>
    <w:lvl w:ilvl="8">
      <w:start w:val="0"/>
      <w:numFmt w:val="bullet"/>
      <w:lvlText w:val="•"/>
      <w:lvlJc w:val="left"/>
      <w:pPr>
        <w:ind w:left="7260" w:hanging="421"/>
      </w:pPr>
      <w:rPr>
        <w:rFonts w:hint="default"/>
        <w:lang w:val="en-US" w:eastAsia="zh-CN" w:bidi="ar-SA"/>
      </w:rPr>
    </w:lvl>
  </w:abstractNum>
  <w:abstractNum w:abstractNumId="35">
    <w:nsid w:val="720666E8"/>
    <w:multiLevelType w:val="hybridMultilevel"/>
    <w:tmpl w:val="00000000"/>
    <w:lvl w:ilvl="0">
      <w:start w:val="1"/>
      <w:numFmt w:val="decimal"/>
      <w:lvlText w:val="%1."/>
      <w:lvlJc w:val="left"/>
      <w:pPr>
        <w:ind w:left="754" w:hanging="265"/>
        <w:jc w:val="left"/>
      </w:pPr>
      <w:rPr>
        <w:rFonts w:ascii="Calibri" w:eastAsia="Calibri" w:hAnsi="Calibri" w:cs="Calibri" w:hint="default"/>
        <w:b w:val="0"/>
        <w:bCs w:val="0"/>
        <w:i w:val="0"/>
        <w:iCs w:val="0"/>
        <w:w w:val="100"/>
        <w:sz w:val="21"/>
        <w:szCs w:val="21"/>
        <w:lang w:val="en-US" w:eastAsia="zh-CN" w:bidi="ar-SA"/>
      </w:rPr>
    </w:lvl>
    <w:lvl w:ilvl="1">
      <w:start w:val="0"/>
      <w:numFmt w:val="bullet"/>
      <w:lvlText w:val="•"/>
      <w:lvlJc w:val="left"/>
      <w:pPr>
        <w:ind w:left="1584" w:hanging="265"/>
      </w:pPr>
      <w:rPr>
        <w:rFonts w:hint="default"/>
        <w:lang w:val="en-US" w:eastAsia="zh-CN" w:bidi="ar-SA"/>
      </w:rPr>
    </w:lvl>
    <w:lvl w:ilvl="2">
      <w:start w:val="0"/>
      <w:numFmt w:val="bullet"/>
      <w:lvlText w:val="•"/>
      <w:lvlJc w:val="left"/>
      <w:pPr>
        <w:ind w:left="2409" w:hanging="265"/>
      </w:pPr>
      <w:rPr>
        <w:rFonts w:hint="default"/>
        <w:lang w:val="en-US" w:eastAsia="zh-CN" w:bidi="ar-SA"/>
      </w:rPr>
    </w:lvl>
    <w:lvl w:ilvl="3">
      <w:start w:val="0"/>
      <w:numFmt w:val="bullet"/>
      <w:lvlText w:val="•"/>
      <w:lvlJc w:val="left"/>
      <w:pPr>
        <w:ind w:left="3233" w:hanging="265"/>
      </w:pPr>
      <w:rPr>
        <w:rFonts w:hint="default"/>
        <w:lang w:val="en-US" w:eastAsia="zh-CN" w:bidi="ar-SA"/>
      </w:rPr>
    </w:lvl>
    <w:lvl w:ilvl="4">
      <w:start w:val="0"/>
      <w:numFmt w:val="bullet"/>
      <w:lvlText w:val="•"/>
      <w:lvlJc w:val="left"/>
      <w:pPr>
        <w:ind w:left="4058" w:hanging="265"/>
      </w:pPr>
      <w:rPr>
        <w:rFonts w:hint="default"/>
        <w:lang w:val="en-US" w:eastAsia="zh-CN" w:bidi="ar-SA"/>
      </w:rPr>
    </w:lvl>
    <w:lvl w:ilvl="5">
      <w:start w:val="0"/>
      <w:numFmt w:val="bullet"/>
      <w:lvlText w:val="•"/>
      <w:lvlJc w:val="left"/>
      <w:pPr>
        <w:ind w:left="4883" w:hanging="265"/>
      </w:pPr>
      <w:rPr>
        <w:rFonts w:hint="default"/>
        <w:lang w:val="en-US" w:eastAsia="zh-CN" w:bidi="ar-SA"/>
      </w:rPr>
    </w:lvl>
    <w:lvl w:ilvl="6">
      <w:start w:val="0"/>
      <w:numFmt w:val="bullet"/>
      <w:lvlText w:val="•"/>
      <w:lvlJc w:val="left"/>
      <w:pPr>
        <w:ind w:left="5707" w:hanging="265"/>
      </w:pPr>
      <w:rPr>
        <w:rFonts w:hint="default"/>
        <w:lang w:val="en-US" w:eastAsia="zh-CN" w:bidi="ar-SA"/>
      </w:rPr>
    </w:lvl>
    <w:lvl w:ilvl="7">
      <w:start w:val="0"/>
      <w:numFmt w:val="bullet"/>
      <w:lvlText w:val="•"/>
      <w:lvlJc w:val="left"/>
      <w:pPr>
        <w:ind w:left="6532" w:hanging="265"/>
      </w:pPr>
      <w:rPr>
        <w:rFonts w:hint="default"/>
        <w:lang w:val="en-US" w:eastAsia="zh-CN" w:bidi="ar-SA"/>
      </w:rPr>
    </w:lvl>
    <w:lvl w:ilvl="8">
      <w:start w:val="0"/>
      <w:numFmt w:val="bullet"/>
      <w:lvlText w:val="•"/>
      <w:lvlJc w:val="left"/>
      <w:pPr>
        <w:ind w:left="7356" w:hanging="265"/>
      </w:pPr>
      <w:rPr>
        <w:rFonts w:hint="default"/>
        <w:lang w:val="en-US" w:eastAsia="zh-CN" w:bidi="ar-SA"/>
      </w:rPr>
    </w:lvl>
  </w:abstractNum>
  <w:abstractNum w:abstractNumId="36">
    <w:nsid w:val="72ADEB0F"/>
    <w:multiLevelType w:val="hybridMultilevel"/>
    <w:tmpl w:val="00000000"/>
    <w:lvl w:ilvl="0">
      <w:start w:val="1"/>
      <w:numFmt w:val="decimal"/>
      <w:lvlText w:val="%1."/>
      <w:lvlJc w:val="left"/>
      <w:pPr>
        <w:ind w:left="281" w:hanging="318"/>
        <w:jc w:val="right"/>
      </w:pPr>
      <w:rPr>
        <w:rFonts w:ascii="Calibri" w:eastAsia="Calibri" w:hAnsi="Calibri" w:cs="Calibri" w:hint="default"/>
        <w:b w:val="0"/>
        <w:bCs w:val="0"/>
        <w:i w:val="0"/>
        <w:iCs w:val="0"/>
        <w:w w:val="100"/>
        <w:sz w:val="19"/>
        <w:szCs w:val="19"/>
        <w:lang w:val="en-US" w:eastAsia="zh-CN" w:bidi="ar-SA"/>
      </w:rPr>
    </w:lvl>
    <w:lvl w:ilvl="1">
      <w:start w:val="0"/>
      <w:numFmt w:val="bullet"/>
      <w:lvlText w:val="•"/>
      <w:lvlJc w:val="left"/>
      <w:pPr>
        <w:ind w:left="1152" w:hanging="318"/>
      </w:pPr>
      <w:rPr>
        <w:rFonts w:hint="default"/>
        <w:lang w:val="en-US" w:eastAsia="zh-CN" w:bidi="ar-SA"/>
      </w:rPr>
    </w:lvl>
    <w:lvl w:ilvl="2">
      <w:start w:val="0"/>
      <w:numFmt w:val="bullet"/>
      <w:lvlText w:val="•"/>
      <w:lvlJc w:val="left"/>
      <w:pPr>
        <w:ind w:left="2025" w:hanging="318"/>
      </w:pPr>
      <w:rPr>
        <w:rFonts w:hint="default"/>
        <w:lang w:val="en-US" w:eastAsia="zh-CN" w:bidi="ar-SA"/>
      </w:rPr>
    </w:lvl>
    <w:lvl w:ilvl="3">
      <w:start w:val="0"/>
      <w:numFmt w:val="bullet"/>
      <w:lvlText w:val="•"/>
      <w:lvlJc w:val="left"/>
      <w:pPr>
        <w:ind w:left="2897" w:hanging="318"/>
      </w:pPr>
      <w:rPr>
        <w:rFonts w:hint="default"/>
        <w:lang w:val="en-US" w:eastAsia="zh-CN" w:bidi="ar-SA"/>
      </w:rPr>
    </w:lvl>
    <w:lvl w:ilvl="4">
      <w:start w:val="0"/>
      <w:numFmt w:val="bullet"/>
      <w:lvlText w:val="•"/>
      <w:lvlJc w:val="left"/>
      <w:pPr>
        <w:ind w:left="3770" w:hanging="318"/>
      </w:pPr>
      <w:rPr>
        <w:rFonts w:hint="default"/>
        <w:lang w:val="en-US" w:eastAsia="zh-CN" w:bidi="ar-SA"/>
      </w:rPr>
    </w:lvl>
    <w:lvl w:ilvl="5">
      <w:start w:val="0"/>
      <w:numFmt w:val="bullet"/>
      <w:lvlText w:val="•"/>
      <w:lvlJc w:val="left"/>
      <w:pPr>
        <w:ind w:left="4643" w:hanging="318"/>
      </w:pPr>
      <w:rPr>
        <w:rFonts w:hint="default"/>
        <w:lang w:val="en-US" w:eastAsia="zh-CN" w:bidi="ar-SA"/>
      </w:rPr>
    </w:lvl>
    <w:lvl w:ilvl="6">
      <w:start w:val="0"/>
      <w:numFmt w:val="bullet"/>
      <w:lvlText w:val="•"/>
      <w:lvlJc w:val="left"/>
      <w:pPr>
        <w:ind w:left="5515" w:hanging="318"/>
      </w:pPr>
      <w:rPr>
        <w:rFonts w:hint="default"/>
        <w:lang w:val="en-US" w:eastAsia="zh-CN" w:bidi="ar-SA"/>
      </w:rPr>
    </w:lvl>
    <w:lvl w:ilvl="7">
      <w:start w:val="0"/>
      <w:numFmt w:val="bullet"/>
      <w:lvlText w:val="•"/>
      <w:lvlJc w:val="left"/>
      <w:pPr>
        <w:ind w:left="6388" w:hanging="318"/>
      </w:pPr>
      <w:rPr>
        <w:rFonts w:hint="default"/>
        <w:lang w:val="en-US" w:eastAsia="zh-CN" w:bidi="ar-SA"/>
      </w:rPr>
    </w:lvl>
    <w:lvl w:ilvl="8">
      <w:start w:val="0"/>
      <w:numFmt w:val="bullet"/>
      <w:lvlText w:val="•"/>
      <w:lvlJc w:val="left"/>
      <w:pPr>
        <w:ind w:left="7260" w:hanging="318"/>
      </w:pPr>
      <w:rPr>
        <w:rFonts w:hint="default"/>
        <w:lang w:val="en-US" w:eastAsia="zh-CN" w:bidi="ar-SA"/>
      </w:rPr>
    </w:lvl>
  </w:abstractNum>
  <w:abstractNum w:abstractNumId="37">
    <w:nsid w:val="78E72807"/>
    <w:multiLevelType w:val="hybridMultilevel"/>
    <w:tmpl w:val="00000000"/>
    <w:lvl w:ilvl="0">
      <w:start w:val="1"/>
      <w:numFmt w:val="decimal"/>
      <w:lvlText w:val="%1."/>
      <w:lvlJc w:val="left"/>
      <w:pPr>
        <w:ind w:left="281" w:hanging="318"/>
        <w:jc w:val="right"/>
      </w:pPr>
      <w:rPr>
        <w:rFonts w:ascii="Calibri" w:eastAsia="Calibri" w:hAnsi="Calibri" w:cs="Calibri" w:hint="default"/>
        <w:b w:val="0"/>
        <w:bCs w:val="0"/>
        <w:i w:val="0"/>
        <w:iCs w:val="0"/>
        <w:w w:val="100"/>
        <w:sz w:val="19"/>
        <w:szCs w:val="19"/>
        <w:lang w:val="en-US" w:eastAsia="zh-CN" w:bidi="ar-SA"/>
      </w:rPr>
    </w:lvl>
    <w:lvl w:ilvl="1">
      <w:start w:val="0"/>
      <w:numFmt w:val="bullet"/>
      <w:lvlText w:val="•"/>
      <w:lvlJc w:val="left"/>
      <w:pPr>
        <w:ind w:left="1152" w:hanging="318"/>
      </w:pPr>
      <w:rPr>
        <w:rFonts w:hint="default"/>
        <w:lang w:val="en-US" w:eastAsia="zh-CN" w:bidi="ar-SA"/>
      </w:rPr>
    </w:lvl>
    <w:lvl w:ilvl="2">
      <w:start w:val="0"/>
      <w:numFmt w:val="bullet"/>
      <w:lvlText w:val="•"/>
      <w:lvlJc w:val="left"/>
      <w:pPr>
        <w:ind w:left="2025" w:hanging="318"/>
      </w:pPr>
      <w:rPr>
        <w:rFonts w:hint="default"/>
        <w:lang w:val="en-US" w:eastAsia="zh-CN" w:bidi="ar-SA"/>
      </w:rPr>
    </w:lvl>
    <w:lvl w:ilvl="3">
      <w:start w:val="0"/>
      <w:numFmt w:val="bullet"/>
      <w:lvlText w:val="•"/>
      <w:lvlJc w:val="left"/>
      <w:pPr>
        <w:ind w:left="2897" w:hanging="318"/>
      </w:pPr>
      <w:rPr>
        <w:rFonts w:hint="default"/>
        <w:lang w:val="en-US" w:eastAsia="zh-CN" w:bidi="ar-SA"/>
      </w:rPr>
    </w:lvl>
    <w:lvl w:ilvl="4">
      <w:start w:val="0"/>
      <w:numFmt w:val="bullet"/>
      <w:lvlText w:val="•"/>
      <w:lvlJc w:val="left"/>
      <w:pPr>
        <w:ind w:left="3770" w:hanging="318"/>
      </w:pPr>
      <w:rPr>
        <w:rFonts w:hint="default"/>
        <w:lang w:val="en-US" w:eastAsia="zh-CN" w:bidi="ar-SA"/>
      </w:rPr>
    </w:lvl>
    <w:lvl w:ilvl="5">
      <w:start w:val="0"/>
      <w:numFmt w:val="bullet"/>
      <w:lvlText w:val="•"/>
      <w:lvlJc w:val="left"/>
      <w:pPr>
        <w:ind w:left="4643" w:hanging="318"/>
      </w:pPr>
      <w:rPr>
        <w:rFonts w:hint="default"/>
        <w:lang w:val="en-US" w:eastAsia="zh-CN" w:bidi="ar-SA"/>
      </w:rPr>
    </w:lvl>
    <w:lvl w:ilvl="6">
      <w:start w:val="0"/>
      <w:numFmt w:val="bullet"/>
      <w:lvlText w:val="•"/>
      <w:lvlJc w:val="left"/>
      <w:pPr>
        <w:ind w:left="5515" w:hanging="318"/>
      </w:pPr>
      <w:rPr>
        <w:rFonts w:hint="default"/>
        <w:lang w:val="en-US" w:eastAsia="zh-CN" w:bidi="ar-SA"/>
      </w:rPr>
    </w:lvl>
    <w:lvl w:ilvl="7">
      <w:start w:val="0"/>
      <w:numFmt w:val="bullet"/>
      <w:lvlText w:val="•"/>
      <w:lvlJc w:val="left"/>
      <w:pPr>
        <w:ind w:left="6388" w:hanging="318"/>
      </w:pPr>
      <w:rPr>
        <w:rFonts w:hint="default"/>
        <w:lang w:val="en-US" w:eastAsia="zh-CN" w:bidi="ar-SA"/>
      </w:rPr>
    </w:lvl>
    <w:lvl w:ilvl="8">
      <w:start w:val="0"/>
      <w:numFmt w:val="bullet"/>
      <w:lvlText w:val="•"/>
      <w:lvlJc w:val="left"/>
      <w:pPr>
        <w:ind w:left="7260" w:hanging="318"/>
      </w:pPr>
      <w:rPr>
        <w:rFonts w:hint="default"/>
        <w:lang w:val="en-US" w:eastAsia="zh-CN" w:bidi="ar-SA"/>
      </w:rPr>
    </w:lvl>
  </w:abstractNum>
  <w:abstractNum w:abstractNumId="38">
    <w:nsid w:val="797C157A"/>
    <w:multiLevelType w:val="hybridMultilevel"/>
    <w:tmpl w:val="00000000"/>
    <w:lvl w:ilvl="0">
      <w:start w:val="1"/>
      <w:numFmt w:val="decimal"/>
      <w:lvlText w:val="%1."/>
      <w:lvlJc w:val="left"/>
      <w:pPr>
        <w:ind w:left="754" w:hanging="265"/>
        <w:jc w:val="left"/>
      </w:pPr>
      <w:rPr>
        <w:rFonts w:ascii="Calibri" w:eastAsia="Calibri" w:hAnsi="Calibri" w:cs="Calibri" w:hint="default"/>
        <w:b w:val="0"/>
        <w:bCs w:val="0"/>
        <w:i w:val="0"/>
        <w:iCs w:val="0"/>
        <w:w w:val="100"/>
        <w:sz w:val="21"/>
        <w:szCs w:val="21"/>
        <w:lang w:val="en-US" w:eastAsia="zh-CN" w:bidi="ar-SA"/>
      </w:rPr>
    </w:lvl>
    <w:lvl w:ilvl="1">
      <w:start w:val="0"/>
      <w:numFmt w:val="bullet"/>
      <w:lvlText w:val="•"/>
      <w:lvlJc w:val="left"/>
      <w:pPr>
        <w:ind w:left="1584" w:hanging="265"/>
      </w:pPr>
      <w:rPr>
        <w:rFonts w:hint="default"/>
        <w:lang w:val="en-US" w:eastAsia="zh-CN" w:bidi="ar-SA"/>
      </w:rPr>
    </w:lvl>
    <w:lvl w:ilvl="2">
      <w:start w:val="0"/>
      <w:numFmt w:val="bullet"/>
      <w:lvlText w:val="•"/>
      <w:lvlJc w:val="left"/>
      <w:pPr>
        <w:ind w:left="2409" w:hanging="265"/>
      </w:pPr>
      <w:rPr>
        <w:rFonts w:hint="default"/>
        <w:lang w:val="en-US" w:eastAsia="zh-CN" w:bidi="ar-SA"/>
      </w:rPr>
    </w:lvl>
    <w:lvl w:ilvl="3">
      <w:start w:val="0"/>
      <w:numFmt w:val="bullet"/>
      <w:lvlText w:val="•"/>
      <w:lvlJc w:val="left"/>
      <w:pPr>
        <w:ind w:left="3233" w:hanging="265"/>
      </w:pPr>
      <w:rPr>
        <w:rFonts w:hint="default"/>
        <w:lang w:val="en-US" w:eastAsia="zh-CN" w:bidi="ar-SA"/>
      </w:rPr>
    </w:lvl>
    <w:lvl w:ilvl="4">
      <w:start w:val="0"/>
      <w:numFmt w:val="bullet"/>
      <w:lvlText w:val="•"/>
      <w:lvlJc w:val="left"/>
      <w:pPr>
        <w:ind w:left="4058" w:hanging="265"/>
      </w:pPr>
      <w:rPr>
        <w:rFonts w:hint="default"/>
        <w:lang w:val="en-US" w:eastAsia="zh-CN" w:bidi="ar-SA"/>
      </w:rPr>
    </w:lvl>
    <w:lvl w:ilvl="5">
      <w:start w:val="0"/>
      <w:numFmt w:val="bullet"/>
      <w:lvlText w:val="•"/>
      <w:lvlJc w:val="left"/>
      <w:pPr>
        <w:ind w:left="4883" w:hanging="265"/>
      </w:pPr>
      <w:rPr>
        <w:rFonts w:hint="default"/>
        <w:lang w:val="en-US" w:eastAsia="zh-CN" w:bidi="ar-SA"/>
      </w:rPr>
    </w:lvl>
    <w:lvl w:ilvl="6">
      <w:start w:val="0"/>
      <w:numFmt w:val="bullet"/>
      <w:lvlText w:val="•"/>
      <w:lvlJc w:val="left"/>
      <w:pPr>
        <w:ind w:left="5707" w:hanging="265"/>
      </w:pPr>
      <w:rPr>
        <w:rFonts w:hint="default"/>
        <w:lang w:val="en-US" w:eastAsia="zh-CN" w:bidi="ar-SA"/>
      </w:rPr>
    </w:lvl>
    <w:lvl w:ilvl="7">
      <w:start w:val="0"/>
      <w:numFmt w:val="bullet"/>
      <w:lvlText w:val="•"/>
      <w:lvlJc w:val="left"/>
      <w:pPr>
        <w:ind w:left="6532" w:hanging="265"/>
      </w:pPr>
      <w:rPr>
        <w:rFonts w:hint="default"/>
        <w:lang w:val="en-US" w:eastAsia="zh-CN" w:bidi="ar-SA"/>
      </w:rPr>
    </w:lvl>
    <w:lvl w:ilvl="8">
      <w:start w:val="0"/>
      <w:numFmt w:val="bullet"/>
      <w:lvlText w:val="•"/>
      <w:lvlJc w:val="left"/>
      <w:pPr>
        <w:ind w:left="7356" w:hanging="265"/>
      </w:pPr>
      <w:rPr>
        <w:rFonts w:hint="default"/>
        <w:lang w:val="en-US" w:eastAsia="zh-CN" w:bidi="ar-SA"/>
      </w:rPr>
    </w:lvl>
  </w:abstractNum>
  <w:abstractNum w:abstractNumId="39">
    <w:nsid w:val="7C1D225E"/>
    <w:multiLevelType w:val="hybridMultilevel"/>
    <w:tmpl w:val="00000000"/>
    <w:lvl w:ilvl="0">
      <w:start w:val="1"/>
      <w:numFmt w:val="decimal"/>
      <w:lvlText w:val="%1."/>
      <w:lvlJc w:val="left"/>
      <w:pPr>
        <w:ind w:left="281" w:hanging="318"/>
        <w:jc w:val="left"/>
      </w:pPr>
      <w:rPr>
        <w:rFonts w:ascii="Calibri" w:eastAsia="Calibri" w:hAnsi="Calibri" w:cs="Calibri" w:hint="default"/>
        <w:b w:val="0"/>
        <w:bCs w:val="0"/>
        <w:i w:val="0"/>
        <w:iCs w:val="0"/>
        <w:w w:val="100"/>
        <w:sz w:val="19"/>
        <w:szCs w:val="19"/>
        <w:lang w:val="en-US" w:eastAsia="zh-CN" w:bidi="ar-SA"/>
      </w:rPr>
    </w:lvl>
    <w:lvl w:ilvl="1">
      <w:start w:val="0"/>
      <w:numFmt w:val="bullet"/>
      <w:lvlText w:val="•"/>
      <w:lvlJc w:val="left"/>
      <w:pPr>
        <w:ind w:left="1152" w:hanging="318"/>
      </w:pPr>
      <w:rPr>
        <w:rFonts w:hint="default"/>
        <w:lang w:val="en-US" w:eastAsia="zh-CN" w:bidi="ar-SA"/>
      </w:rPr>
    </w:lvl>
    <w:lvl w:ilvl="2">
      <w:start w:val="0"/>
      <w:numFmt w:val="bullet"/>
      <w:lvlText w:val="•"/>
      <w:lvlJc w:val="left"/>
      <w:pPr>
        <w:ind w:left="2025" w:hanging="318"/>
      </w:pPr>
      <w:rPr>
        <w:rFonts w:hint="default"/>
        <w:lang w:val="en-US" w:eastAsia="zh-CN" w:bidi="ar-SA"/>
      </w:rPr>
    </w:lvl>
    <w:lvl w:ilvl="3">
      <w:start w:val="0"/>
      <w:numFmt w:val="bullet"/>
      <w:lvlText w:val="•"/>
      <w:lvlJc w:val="left"/>
      <w:pPr>
        <w:ind w:left="2897" w:hanging="318"/>
      </w:pPr>
      <w:rPr>
        <w:rFonts w:hint="default"/>
        <w:lang w:val="en-US" w:eastAsia="zh-CN" w:bidi="ar-SA"/>
      </w:rPr>
    </w:lvl>
    <w:lvl w:ilvl="4">
      <w:start w:val="0"/>
      <w:numFmt w:val="bullet"/>
      <w:lvlText w:val="•"/>
      <w:lvlJc w:val="left"/>
      <w:pPr>
        <w:ind w:left="3770" w:hanging="318"/>
      </w:pPr>
      <w:rPr>
        <w:rFonts w:hint="default"/>
        <w:lang w:val="en-US" w:eastAsia="zh-CN" w:bidi="ar-SA"/>
      </w:rPr>
    </w:lvl>
    <w:lvl w:ilvl="5">
      <w:start w:val="0"/>
      <w:numFmt w:val="bullet"/>
      <w:lvlText w:val="•"/>
      <w:lvlJc w:val="left"/>
      <w:pPr>
        <w:ind w:left="4643" w:hanging="318"/>
      </w:pPr>
      <w:rPr>
        <w:rFonts w:hint="default"/>
        <w:lang w:val="en-US" w:eastAsia="zh-CN" w:bidi="ar-SA"/>
      </w:rPr>
    </w:lvl>
    <w:lvl w:ilvl="6">
      <w:start w:val="0"/>
      <w:numFmt w:val="bullet"/>
      <w:lvlText w:val="•"/>
      <w:lvlJc w:val="left"/>
      <w:pPr>
        <w:ind w:left="5515" w:hanging="318"/>
      </w:pPr>
      <w:rPr>
        <w:rFonts w:hint="default"/>
        <w:lang w:val="en-US" w:eastAsia="zh-CN" w:bidi="ar-SA"/>
      </w:rPr>
    </w:lvl>
    <w:lvl w:ilvl="7">
      <w:start w:val="0"/>
      <w:numFmt w:val="bullet"/>
      <w:lvlText w:val="•"/>
      <w:lvlJc w:val="left"/>
      <w:pPr>
        <w:ind w:left="6388" w:hanging="318"/>
      </w:pPr>
      <w:rPr>
        <w:rFonts w:hint="default"/>
        <w:lang w:val="en-US" w:eastAsia="zh-CN" w:bidi="ar-SA"/>
      </w:rPr>
    </w:lvl>
    <w:lvl w:ilvl="8">
      <w:start w:val="0"/>
      <w:numFmt w:val="bullet"/>
      <w:lvlText w:val="•"/>
      <w:lvlJc w:val="left"/>
      <w:pPr>
        <w:ind w:left="7260" w:hanging="318"/>
      </w:pPr>
      <w:rPr>
        <w:rFonts w:hint="default"/>
        <w:lang w:val="en-US" w:eastAsia="zh-CN" w:bidi="ar-SA"/>
      </w:rPr>
    </w:lvl>
  </w:abstractNum>
  <w:abstractNum w:abstractNumId="40">
    <w:nsid w:val="7C5D53CE"/>
    <w:multiLevelType w:val="hybridMultilevel"/>
    <w:tmpl w:val="00000000"/>
    <w:lvl w:ilvl="0">
      <w:start w:val="1"/>
      <w:numFmt w:val="decimal"/>
      <w:lvlText w:val="%1"/>
      <w:lvlJc w:val="left"/>
      <w:pPr>
        <w:ind w:left="467" w:hanging="210"/>
        <w:jc w:val="left"/>
      </w:pPr>
      <w:rPr>
        <w:rFonts w:hint="default"/>
        <w:w w:val="100"/>
        <w:lang w:val="en-US" w:eastAsia="zh-CN" w:bidi="ar-SA"/>
      </w:rPr>
    </w:lvl>
    <w:lvl w:ilvl="1">
      <w:start w:val="1"/>
      <w:numFmt w:val="decimal"/>
      <w:lvlText w:val="%2）"/>
      <w:lvlJc w:val="left"/>
      <w:pPr>
        <w:ind w:left="257" w:hanging="422"/>
        <w:jc w:val="left"/>
      </w:pPr>
      <w:rPr>
        <w:rFonts w:ascii="宋体" w:eastAsia="宋体" w:hAnsi="宋体" w:cs="宋体" w:hint="default"/>
        <w:b w:val="0"/>
        <w:bCs w:val="0"/>
        <w:i w:val="0"/>
        <w:iCs w:val="0"/>
        <w:w w:val="100"/>
        <w:sz w:val="26"/>
        <w:szCs w:val="26"/>
        <w:lang w:val="en-US" w:eastAsia="zh-CN" w:bidi="ar-SA"/>
      </w:rPr>
    </w:lvl>
    <w:lvl w:ilvl="2">
      <w:start w:val="0"/>
      <w:numFmt w:val="bullet"/>
      <w:lvlText w:val="•"/>
      <w:lvlJc w:val="left"/>
      <w:pPr>
        <w:ind w:left="460" w:hanging="422"/>
      </w:pPr>
      <w:rPr>
        <w:rFonts w:hint="default"/>
        <w:lang w:val="en-US" w:eastAsia="zh-CN" w:bidi="ar-SA"/>
      </w:rPr>
    </w:lvl>
    <w:lvl w:ilvl="3">
      <w:start w:val="0"/>
      <w:numFmt w:val="bullet"/>
      <w:lvlText w:val="•"/>
      <w:lvlJc w:val="left"/>
      <w:pPr>
        <w:ind w:left="1515" w:hanging="422"/>
      </w:pPr>
      <w:rPr>
        <w:rFonts w:hint="default"/>
        <w:lang w:val="en-US" w:eastAsia="zh-CN" w:bidi="ar-SA"/>
      </w:rPr>
    </w:lvl>
    <w:lvl w:ilvl="4">
      <w:start w:val="0"/>
      <w:numFmt w:val="bullet"/>
      <w:lvlText w:val="•"/>
      <w:lvlJc w:val="left"/>
      <w:pPr>
        <w:ind w:left="2571" w:hanging="422"/>
      </w:pPr>
      <w:rPr>
        <w:rFonts w:hint="default"/>
        <w:lang w:val="en-US" w:eastAsia="zh-CN" w:bidi="ar-SA"/>
      </w:rPr>
    </w:lvl>
    <w:lvl w:ilvl="5">
      <w:start w:val="0"/>
      <w:numFmt w:val="bullet"/>
      <w:lvlText w:val="•"/>
      <w:lvlJc w:val="left"/>
      <w:pPr>
        <w:ind w:left="3627" w:hanging="422"/>
      </w:pPr>
      <w:rPr>
        <w:rFonts w:hint="default"/>
        <w:lang w:val="en-US" w:eastAsia="zh-CN" w:bidi="ar-SA"/>
      </w:rPr>
    </w:lvl>
    <w:lvl w:ilvl="6">
      <w:start w:val="0"/>
      <w:numFmt w:val="bullet"/>
      <w:lvlText w:val="•"/>
      <w:lvlJc w:val="left"/>
      <w:pPr>
        <w:ind w:left="4683" w:hanging="422"/>
      </w:pPr>
      <w:rPr>
        <w:rFonts w:hint="default"/>
        <w:lang w:val="en-US" w:eastAsia="zh-CN" w:bidi="ar-SA"/>
      </w:rPr>
    </w:lvl>
    <w:lvl w:ilvl="7">
      <w:start w:val="0"/>
      <w:numFmt w:val="bullet"/>
      <w:lvlText w:val="•"/>
      <w:lvlJc w:val="left"/>
      <w:pPr>
        <w:ind w:left="5739" w:hanging="422"/>
      </w:pPr>
      <w:rPr>
        <w:rFonts w:hint="default"/>
        <w:lang w:val="en-US" w:eastAsia="zh-CN" w:bidi="ar-SA"/>
      </w:rPr>
    </w:lvl>
    <w:lvl w:ilvl="8">
      <w:start w:val="0"/>
      <w:numFmt w:val="bullet"/>
      <w:lvlText w:val="•"/>
      <w:lvlJc w:val="left"/>
      <w:pPr>
        <w:ind w:left="6795" w:hanging="422"/>
      </w:pPr>
      <w:rPr>
        <w:rFonts w:hint="default"/>
        <w:lang w:val="en-US" w:eastAsia="zh-CN" w:bidi="ar-SA"/>
      </w:rPr>
    </w:lvl>
  </w:abstractNum>
  <w:num w:numId="1">
    <w:abstractNumId w:val="11"/>
  </w:num>
  <w:num w:numId="2">
    <w:abstractNumId w:val="15"/>
  </w:num>
  <w:num w:numId="3">
    <w:abstractNumId w:val="30"/>
  </w:num>
  <w:num w:numId="4">
    <w:abstractNumId w:val="10"/>
  </w:num>
  <w:num w:numId="5">
    <w:abstractNumId w:val="9"/>
  </w:num>
  <w:num w:numId="6">
    <w:abstractNumId w:val="23"/>
  </w:num>
  <w:num w:numId="7">
    <w:abstractNumId w:val="38"/>
  </w:num>
  <w:num w:numId="8">
    <w:abstractNumId w:val="35"/>
  </w:num>
  <w:num w:numId="9">
    <w:abstractNumId w:val="25"/>
  </w:num>
  <w:num w:numId="10">
    <w:abstractNumId w:val="39"/>
  </w:num>
  <w:num w:numId="11">
    <w:abstractNumId w:val="36"/>
  </w:num>
  <w:num w:numId="12">
    <w:abstractNumId w:val="2"/>
  </w:num>
  <w:num w:numId="13">
    <w:abstractNumId w:val="28"/>
  </w:num>
  <w:num w:numId="14">
    <w:abstractNumId w:val="37"/>
  </w:num>
  <w:num w:numId="15">
    <w:abstractNumId w:val="19"/>
  </w:num>
  <w:num w:numId="16">
    <w:abstractNumId w:val="7"/>
  </w:num>
  <w:num w:numId="17">
    <w:abstractNumId w:val="16"/>
  </w:num>
  <w:num w:numId="18">
    <w:abstractNumId w:val="8"/>
  </w:num>
  <w:num w:numId="19">
    <w:abstractNumId w:val="5"/>
  </w:num>
  <w:num w:numId="20">
    <w:abstractNumId w:val="22"/>
  </w:num>
  <w:num w:numId="21">
    <w:abstractNumId w:val="13"/>
  </w:num>
  <w:num w:numId="22">
    <w:abstractNumId w:val="1"/>
  </w:num>
  <w:num w:numId="23">
    <w:abstractNumId w:val="24"/>
  </w:num>
  <w:num w:numId="24">
    <w:abstractNumId w:val="32"/>
  </w:num>
  <w:num w:numId="25">
    <w:abstractNumId w:val="29"/>
  </w:num>
  <w:num w:numId="26">
    <w:abstractNumId w:val="3"/>
  </w:num>
  <w:num w:numId="27">
    <w:abstractNumId w:val="21"/>
  </w:num>
  <w:num w:numId="28">
    <w:abstractNumId w:val="34"/>
  </w:num>
  <w:num w:numId="29">
    <w:abstractNumId w:val="31"/>
  </w:num>
  <w:num w:numId="30">
    <w:abstractNumId w:val="27"/>
  </w:num>
  <w:num w:numId="31">
    <w:abstractNumId w:val="0"/>
  </w:num>
  <w:num w:numId="32">
    <w:abstractNumId w:val="4"/>
  </w:num>
  <w:num w:numId="33">
    <w:abstractNumId w:val="26"/>
  </w:num>
  <w:num w:numId="34">
    <w:abstractNumId w:val="6"/>
  </w:num>
  <w:num w:numId="35">
    <w:abstractNumId w:val="12"/>
  </w:num>
  <w:num w:numId="36">
    <w:abstractNumId w:val="17"/>
  </w:num>
  <w:num w:numId="37">
    <w:abstractNumId w:val="40"/>
  </w:num>
  <w:num w:numId="38">
    <w:abstractNumId w:val="14"/>
  </w:num>
  <w:num w:numId="39">
    <w:abstractNumId w:val="20"/>
  </w:num>
  <w:num w:numId="40">
    <w:abstractNumId w:val="18"/>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paragraph" w:styleId="Heading1">
    <w:name w:val="heading 1"/>
    <w:basedOn w:val="Normal"/>
    <w:uiPriority w:val="1"/>
    <w:qFormat/>
    <w:pPr>
      <w:ind w:left="280"/>
      <w:outlineLvl w:val="0"/>
    </w:pPr>
    <w:rPr>
      <w:rFonts w:ascii="Microsoft JhengHei" w:eastAsia="Microsoft JhengHei" w:hAnsi="Microsoft JhengHei" w:cs="Microsoft JhengHei"/>
      <w:b/>
      <w:bCs/>
      <w:sz w:val="44"/>
      <w:szCs w:val="44"/>
      <w:lang w:val="en-US" w:eastAsia="zh-CN" w:bidi="ar-SA"/>
    </w:rPr>
  </w:style>
  <w:style w:type="paragraph" w:styleId="Heading2">
    <w:name w:val="heading 2"/>
    <w:basedOn w:val="Normal"/>
    <w:uiPriority w:val="1"/>
    <w:qFormat/>
    <w:pPr>
      <w:ind w:left="280"/>
      <w:outlineLvl w:val="1"/>
    </w:pPr>
    <w:rPr>
      <w:rFonts w:ascii="Microsoft JhengHei" w:eastAsia="Microsoft JhengHei" w:hAnsi="Microsoft JhengHei" w:cs="Microsoft JhengHei"/>
      <w:b/>
      <w:bCs/>
      <w:sz w:val="32"/>
      <w:szCs w:val="32"/>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49"/>
      <w:ind w:left="256"/>
    </w:pPr>
    <w:rPr>
      <w:rFonts w:ascii="Microsoft JhengHei" w:eastAsia="Microsoft JhengHei" w:hAnsi="Microsoft JhengHei" w:cs="Microsoft JhengHei"/>
      <w:b/>
      <w:bCs/>
      <w:sz w:val="28"/>
      <w:szCs w:val="28"/>
      <w:lang w:val="en-US" w:eastAsia="zh-CN" w:bidi="ar-SA"/>
    </w:rPr>
  </w:style>
  <w:style w:type="paragraph" w:styleId="TOC2">
    <w:name w:val="toc 2"/>
    <w:basedOn w:val="Normal"/>
    <w:uiPriority w:val="1"/>
    <w:qFormat/>
    <w:pPr>
      <w:spacing w:before="141"/>
      <w:ind w:left="256"/>
    </w:pPr>
    <w:rPr>
      <w:rFonts w:ascii="宋体" w:eastAsia="宋体" w:hAnsi="宋体" w:cs="宋体"/>
      <w:sz w:val="28"/>
      <w:szCs w:val="28"/>
      <w:lang w:val="en-US" w:eastAsia="zh-CN" w:bidi="ar-SA"/>
    </w:rPr>
  </w:style>
  <w:style w:type="paragraph" w:styleId="TOC3">
    <w:name w:val="toc 3"/>
    <w:basedOn w:val="Normal"/>
    <w:uiPriority w:val="1"/>
    <w:qFormat/>
    <w:pPr>
      <w:spacing w:line="507" w:lineRule="exact"/>
      <w:ind w:left="256"/>
    </w:pPr>
    <w:rPr>
      <w:rFonts w:ascii="Microsoft JhengHei" w:eastAsia="Microsoft JhengHei" w:hAnsi="Microsoft JhengHei" w:cs="Microsoft JhengHei"/>
      <w:b/>
      <w:bCs/>
      <w:i/>
      <w:iCs/>
      <w:lang w:val="en-US" w:eastAsia="zh-CN" w:bidi="ar-SA"/>
    </w:rPr>
  </w:style>
  <w:style w:type="paragraph" w:styleId="BodyText">
    <w:name w:val="Body Text"/>
    <w:basedOn w:val="Normal"/>
    <w:uiPriority w:val="1"/>
    <w:qFormat/>
    <w:rPr>
      <w:rFonts w:ascii="宋体" w:eastAsia="宋体" w:hAnsi="宋体" w:cs="宋体"/>
      <w:sz w:val="28"/>
      <w:szCs w:val="28"/>
      <w:lang w:val="en-US" w:eastAsia="zh-CN" w:bidi="ar-SA"/>
    </w:rPr>
  </w:style>
  <w:style w:type="paragraph" w:styleId="Title">
    <w:name w:val="Title"/>
    <w:basedOn w:val="Normal"/>
    <w:uiPriority w:val="1"/>
    <w:qFormat/>
    <w:pPr>
      <w:ind w:left="2244"/>
    </w:pPr>
    <w:rPr>
      <w:rFonts w:ascii="Microsoft JhengHei" w:eastAsia="Microsoft JhengHei" w:hAnsi="Microsoft JhengHei" w:cs="Microsoft JhengHei"/>
      <w:b/>
      <w:bCs/>
      <w:sz w:val="72"/>
      <w:szCs w:val="72"/>
      <w:lang w:val="en-US" w:eastAsia="zh-CN" w:bidi="ar-SA"/>
    </w:rPr>
  </w:style>
  <w:style w:type="paragraph" w:styleId="ListParagraph">
    <w:name w:val="List Paragraph"/>
    <w:basedOn w:val="Normal"/>
    <w:uiPriority w:val="1"/>
    <w:qFormat/>
    <w:pPr>
      <w:ind w:left="280" w:firstLine="560"/>
    </w:pPr>
    <w:rPr>
      <w:rFonts w:ascii="宋体" w:eastAsia="宋体" w:hAnsi="宋体" w:cs="宋体"/>
      <w:lang w:val="en-US" w:eastAsia="zh-CN" w:bidi="ar-SA"/>
    </w:rPr>
  </w:style>
  <w:style w:type="paragraph" w:customStyle="1" w:styleId="TableParagraph">
    <w:name w:val="Table Paragraph"/>
    <w:basedOn w:val="Normal"/>
    <w:uiPriority w:val="1"/>
    <w:qFormat/>
    <w:rPr>
      <w:rFonts w:ascii="宋体" w:eastAsia="宋体" w:hAnsi="宋体" w:cs="宋体"/>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hyperlink" Target="https://d.book118.com/375240310332011121" TargetMode="Externa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2024-03-04T14:35:34Z</dcterms:created>
  <dcterms:modified xsi:type="dcterms:W3CDTF">2024-03-04T14:35:34Z</dcterms:modified>
</cp:coreProperties>
</file>