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11480800</wp:posOffset>
            </wp:positionH>
            <wp:positionV relativeFrom="topMargin">
              <wp:posOffset>10325100</wp:posOffset>
            </wp:positionV>
            <wp:extent cx="279400" cy="292100"/>
            <wp:effectExtent l="0" t="0" r="6350" b="12700"/>
            <wp:wrapNone/>
            <wp:docPr id="100076" name="图片 100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6" name="图片 1000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年邵阳市高一联考试题卷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化学试题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答卷前，考生务必将自己的姓名、班级、考号填写在答题卡上。将条形码横贴在答题卡上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“</w:t>
      </w:r>
      <w:r>
        <w:rPr>
          <w:rFonts w:ascii="宋体" w:eastAsia="宋体" w:hAnsi="宋体" w:cs="宋体"/>
          <w:b/>
          <w:color w:val="auto"/>
          <w:sz w:val="24"/>
        </w:rPr>
        <w:t>条码粘贴区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”</w:t>
      </w:r>
      <w:r>
        <w:rPr>
          <w:rFonts w:ascii="宋体" w:eastAsia="宋体" w:hAnsi="宋体" w:cs="宋体"/>
          <w:b/>
          <w:color w:val="auto"/>
          <w:sz w:val="24"/>
        </w:rPr>
        <w:t>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作答选择题时，选出每小题答案后，用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铅笔在答题卡上对应题目选项的答案信息点涂黑；如需改动，用橡皮擦干净后，再选涂其他答案。答案不能答在试卷上。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非选择题必须用黑色字迹的钢笔或签字笔作答，答案必须写在答题卡各题目指定区城内相应位置上；如需改动，先划掉原来的答案，然后再写上新答案；不准使用铅笔和涂改液。不按以上要求作答无效。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4.</w:t>
      </w:r>
      <w:r>
        <w:rPr>
          <w:rFonts w:ascii="宋体" w:eastAsia="宋体" w:hAnsi="宋体" w:cs="宋体"/>
          <w:b/>
          <w:color w:val="auto"/>
          <w:sz w:val="24"/>
        </w:rPr>
        <w:t>保持答题卡的整洁。考试结束后，只交答题卡，试题卷自行保存。</w:t>
      </w:r>
    </w:p>
    <w:p>
      <w:pPr>
        <w:spacing w:line="360" w:lineRule="auto"/>
        <w:jc w:val="left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5.</w:t>
      </w: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18</w:t>
      </w:r>
      <w:r>
        <w:rPr>
          <w:rFonts w:ascii="宋体" w:eastAsia="宋体" w:hAnsi="宋体" w:cs="宋体"/>
          <w:b/>
          <w:color w:val="auto"/>
          <w:sz w:val="24"/>
        </w:rPr>
        <w:t>个小题。满分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75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  C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  O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  S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32  Na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23  Fe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56  Cu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64  Ag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108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42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分。在每小题给出的四个选项中，只有一项是符合题目要求的。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当光束通过下列分散系时，能产生丁达尔效应的是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植物油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浑浊的泥水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Fe(OH)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3</w:t>
      </w:r>
      <w:r>
        <w:rPr>
          <w:rFonts w:ascii="宋体" w:eastAsia="宋体" w:hAnsi="宋体" w:cs="宋体"/>
          <w:color w:val="auto"/>
        </w:rPr>
        <w:t>胶体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CuSO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4</w:t>
      </w:r>
      <w:r>
        <w:rPr>
          <w:rFonts w:ascii="宋体" w:eastAsia="宋体" w:hAnsi="宋体" w:cs="宋体"/>
          <w:color w:val="auto"/>
        </w:rPr>
        <w:t>溶液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【详解】能观察到丁达尔效应的是是胶体的性质，故C符合题意。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故选C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下列对</w:t>
      </w:r>
      <w:r>
        <w:rPr>
          <w:rFonts w:ascii="Times New Roman" w:eastAsia="Times New Roman" w:hAnsi="Times New Roman" w:cs="Times New Roman"/>
          <w:color w:val="auto"/>
        </w:rPr>
        <w:t>NaHSO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4</w:t>
      </w:r>
      <w:r>
        <w:rPr>
          <w:rFonts w:ascii="宋体" w:eastAsia="宋体" w:hAnsi="宋体" w:cs="宋体"/>
          <w:color w:val="auto"/>
        </w:rPr>
        <w:t>进行的分类不合理的是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酸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钠盐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硫酸盐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酸式盐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eastAsia="宋体" w:hAnsi="宋体" w:cs="宋体"/>
          <w:color w:val="auto"/>
        </w:rPr>
        <w:t>从组成上分析，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1.25pt;height:15.75pt" o:oleicon="f" o:ole="" coordsize="21600,21600" o:preferrelative="t" filled="f" stroked="f">
            <v:stroke joinstyle="miter"/>
            <v:imagedata r:id="rId5" o:title="eqId341c9262378de71d9ff2b23126a4e8d1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/>
          <w:color w:val="auto"/>
        </w:rPr>
        <w:t>属于钠盐，硫酸盐和酸式盐，不属于酸，分类不合理的，选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下列物质的保存方法正确的是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氯水保存在无色细口瓶中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金属钠保存在煤油中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漂白粉长期放置在烧杯中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浓盐酸敞口放置在空气中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．氯水中的次氯酸遇光易分解，要保存在棕色试剂瓶中，不能保存在无色细口瓶中，故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．钠的密度比煤油大，不与煤油反应，煤油可以隔绝钠与空气中的氧气和水蒸气接触，则可以保存在煤油里面，故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正确；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．漂白粉能与空气中的</w:t>
      </w:r>
      <w:r>
        <w:rPr>
          <w:rFonts w:ascii="Times New Roman" w:eastAsia="Times New Roman" w:hAnsi="Times New Roman" w:cs="Times New Roman"/>
          <w:color w:val="auto"/>
        </w:rPr>
        <w:t>CO</w:t>
      </w:r>
      <w:r>
        <w:rPr>
          <w:rFonts w:ascii="Times New Roman" w:eastAsia="Times New Roman" w:hAnsi="Times New Roman" w:cs="Times New Roman"/>
          <w:color w:val="auto"/>
          <w:vertAlign w:val="subscript"/>
        </w:rPr>
        <w:t>2</w:t>
      </w:r>
      <w:r>
        <w:rPr>
          <w:rFonts w:ascii="宋体" w:eastAsia="宋体" w:hAnsi="宋体" w:cs="宋体"/>
          <w:color w:val="auto"/>
        </w:rPr>
        <w:t>反应，不能长期保存在烧杯中，故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．浓盐酸易挥发，不能放置在空气中，故</w:t>
      </w:r>
      <w:r>
        <w:rPr>
          <w:rFonts w:ascii="Times New Roman" w:eastAsia="Times New Roman" w:hAnsi="Times New Roman" w:cs="Times New Roman"/>
          <w:color w:val="auto"/>
        </w:rPr>
        <w:t>D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故选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下列表示相关微粒的化学用语正确的是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eastAsia="宋体" w:hAnsi="宋体" w:cs="宋体"/>
          <w:color w:val="auto"/>
        </w:rPr>
        <w:t>含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个质子和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个中子的碳元素的核素符号：</w:t>
      </w:r>
      <w:r>
        <w:rPr>
          <w:color w:val="auto"/>
          <w:vertAlign w:val="superscript"/>
        </w:rPr>
        <w:t>l2</w:t>
      </w:r>
      <w:r>
        <w:rPr>
          <w:rFonts w:ascii="Times New Roman" w:eastAsia="Times New Roman" w:hAnsi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NH</w:t>
      </w:r>
      <w:r>
        <w:rPr>
          <w:color w:val="auto"/>
          <w:vertAlign w:val="subscript"/>
        </w:rPr>
        <w:t>4</w:t>
      </w:r>
      <w:r>
        <w:rPr>
          <w:rFonts w:ascii="Times New Roman" w:eastAsia="Times New Roman" w:hAnsi="Times New Roman" w:cs="Times New Roman"/>
          <w:color w:val="auto"/>
        </w:rPr>
        <w:t>Cl</w:t>
      </w:r>
      <w:r>
        <w:rPr>
          <w:rFonts w:ascii="宋体" w:eastAsia="宋体" w:hAnsi="宋体" w:cs="宋体"/>
          <w:color w:val="auto"/>
        </w:rPr>
        <w:t>中</w:t>
      </w:r>
      <w:r>
        <w:rPr>
          <w:rFonts w:ascii="Times New Roman" w:eastAsia="Times New Roman" w:hAnsi="Times New Roman" w:cs="Times New Roman"/>
          <w:color w:val="auto"/>
        </w:rPr>
        <w:t>N</w:t>
      </w:r>
      <w:r>
        <w:rPr>
          <w:rFonts w:ascii="宋体" w:eastAsia="宋体" w:hAnsi="宋体" w:cs="宋体"/>
          <w:color w:val="auto"/>
        </w:rPr>
        <w:t>元素的化合价：</w:t>
      </w:r>
      <w:r>
        <w:rPr>
          <w:rFonts w:ascii="Times New Roman" w:eastAsia="Times New Roman" w:hAnsi="Times New Roman" w:cs="Times New Roman"/>
          <w:color w:val="auto"/>
        </w:rPr>
        <w:t>+3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氯离子的结构示意图：</w:t>
      </w:r>
      <w:r>
        <w:rPr>
          <w:color w:val="auto"/>
        </w:rPr>
        <w:drawing>
          <wp:inline distT="0" distB="0" distL="114300" distR="114300">
            <wp:extent cx="990600" cy="10953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用电子式表示氯化氢的形成过程：</w:t>
      </w:r>
      <w:r>
        <w:rPr>
          <w:color w:val="auto"/>
        </w:rPr>
        <w:drawing>
          <wp:inline distT="0" distB="0" distL="114300" distR="114300">
            <wp:extent cx="2943225" cy="40005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．含有</w:t>
      </w:r>
      <w:r>
        <w:rPr>
          <w:rFonts w:ascii="Times New Roman" w:eastAsia="Times New Roman" w:hAnsi="Times New Roman" w:cs="Times New Roman"/>
          <w:color w:val="auto"/>
        </w:rPr>
        <w:t>6</w:t>
      </w:r>
      <w:r>
        <w:rPr>
          <w:rFonts w:ascii="宋体" w:eastAsia="宋体" w:hAnsi="宋体" w:cs="宋体"/>
          <w:color w:val="auto"/>
        </w:rPr>
        <w:t>个质子和</w:t>
      </w:r>
      <w:r>
        <w:rPr>
          <w:rFonts w:ascii="Times New Roman" w:eastAsia="Times New Roman" w:hAnsi="Times New Roman" w:cs="Times New Roman"/>
          <w:color w:val="auto"/>
        </w:rPr>
        <w:t>8</w:t>
      </w:r>
      <w:r>
        <w:rPr>
          <w:rFonts w:ascii="宋体" w:eastAsia="宋体" w:hAnsi="宋体" w:cs="宋体"/>
          <w:color w:val="auto"/>
        </w:rPr>
        <w:t>个中子的碳元素的核素符号为</w:t>
      </w:r>
      <w:r>
        <w:rPr>
          <w:color w:val="auto"/>
          <w:vertAlign w:val="superscript"/>
        </w:rPr>
        <w:t>14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A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．</w:t>
      </w:r>
      <w:r>
        <w:rPr>
          <w:rFonts w:ascii="Times New Roman" w:eastAsia="Times New Roman" w:hAnsi="Times New Roman" w:cs="Times New Roman"/>
          <w:color w:val="auto"/>
        </w:rPr>
        <w:t>NH</w:t>
      </w:r>
      <w:r>
        <w:rPr>
          <w:color w:val="auto"/>
          <w:vertAlign w:val="subscript"/>
        </w:rPr>
        <w:t>4</w:t>
      </w:r>
      <w:r>
        <w:rPr>
          <w:rFonts w:ascii="Times New Roman" w:eastAsia="Times New Roman" w:hAnsi="Times New Roman" w:cs="Times New Roman"/>
          <w:color w:val="auto"/>
        </w:rPr>
        <w:t>Cl</w:t>
      </w:r>
      <w:r>
        <w:rPr>
          <w:rFonts w:ascii="宋体" w:eastAsia="宋体" w:hAnsi="宋体" w:cs="宋体"/>
          <w:color w:val="auto"/>
        </w:rPr>
        <w:t>中</w:t>
      </w:r>
      <w:r>
        <w:rPr>
          <w:rFonts w:ascii="Times New Roman" w:eastAsia="Times New Roman" w:hAnsi="Times New Roman" w:cs="Times New Roman"/>
          <w:color w:val="auto"/>
        </w:rPr>
        <w:t>Cl</w:t>
      </w:r>
      <w:r>
        <w:rPr>
          <w:rFonts w:ascii="宋体" w:eastAsia="宋体" w:hAnsi="宋体" w:cs="宋体"/>
          <w:color w:val="auto"/>
        </w:rPr>
        <w:t>元素为</w:t>
      </w:r>
      <w:r>
        <w:rPr>
          <w:rFonts w:ascii="Times New Roman" w:eastAsia="Times New Roman" w:hAnsi="Times New Roman" w:cs="Times New Roman"/>
          <w:color w:val="auto"/>
        </w:rPr>
        <w:t>-1</w:t>
      </w:r>
      <w:r>
        <w:rPr>
          <w:rFonts w:ascii="宋体" w:eastAsia="宋体" w:hAnsi="宋体" w:cs="宋体"/>
          <w:color w:val="auto"/>
        </w:rPr>
        <w:t>价，</w:t>
      </w:r>
      <w:r>
        <w:rPr>
          <w:rFonts w:ascii="Times New Roman" w:eastAsia="Times New Roman" w:hAnsi="Times New Roman" w:cs="Times New Roman"/>
          <w:color w:val="auto"/>
        </w:rPr>
        <w:t>H</w:t>
      </w:r>
      <w:r>
        <w:rPr>
          <w:rFonts w:ascii="宋体" w:eastAsia="宋体" w:hAnsi="宋体" w:cs="宋体"/>
          <w:color w:val="auto"/>
        </w:rPr>
        <w:t>元素为</w:t>
      </w:r>
      <w:r>
        <w:rPr>
          <w:rFonts w:ascii="Times New Roman" w:eastAsia="Times New Roman" w:hAnsi="Times New Roman" w:cs="Times New Roman"/>
          <w:color w:val="auto"/>
        </w:rPr>
        <w:t>+1</w:t>
      </w:r>
      <w:r>
        <w:rPr>
          <w:rFonts w:ascii="宋体" w:eastAsia="宋体" w:hAnsi="宋体" w:cs="宋体"/>
          <w:color w:val="auto"/>
        </w:rPr>
        <w:t>价，故</w:t>
      </w:r>
      <w:r>
        <w:rPr>
          <w:rFonts w:ascii="Times New Roman" w:eastAsia="Times New Roman" w:hAnsi="Times New Roman" w:cs="Times New Roman"/>
          <w:color w:val="auto"/>
        </w:rPr>
        <w:t>N</w:t>
      </w:r>
      <w:r>
        <w:rPr>
          <w:rFonts w:ascii="宋体" w:eastAsia="宋体" w:hAnsi="宋体" w:cs="宋体"/>
          <w:color w:val="auto"/>
        </w:rPr>
        <w:t>元素的化合价为</w:t>
      </w:r>
      <w:r>
        <w:rPr>
          <w:rFonts w:ascii="Times New Roman" w:eastAsia="Times New Roman" w:hAnsi="Times New Roman" w:cs="Times New Roman"/>
          <w:color w:val="auto"/>
        </w:rPr>
        <w:t>-3</w:t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B</w:t>
      </w:r>
      <w:r>
        <w:rPr>
          <w:rFonts w:ascii="宋体" w:eastAsia="宋体" w:hAnsi="宋体" w:cs="宋体"/>
          <w:color w:val="auto"/>
        </w:rPr>
        <w:t>错误；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．氯离子的质子数为</w:t>
      </w:r>
      <w:r>
        <w:rPr>
          <w:rFonts w:ascii="Times New Roman" w:eastAsia="Times New Roman" w:hAnsi="Times New Roman" w:cs="Times New Roman"/>
          <w:color w:val="auto"/>
        </w:rPr>
        <w:t>17</w:t>
      </w:r>
      <w:r>
        <w:rPr>
          <w:rFonts w:ascii="宋体" w:eastAsia="宋体" w:hAnsi="宋体" w:cs="宋体"/>
          <w:color w:val="auto"/>
        </w:rPr>
        <w:t>，核外电子数为</w:t>
      </w:r>
      <w:r>
        <w:rPr>
          <w:rFonts w:ascii="Times New Roman" w:eastAsia="Times New Roman" w:hAnsi="Times New Roman" w:cs="Times New Roman"/>
          <w:color w:val="auto"/>
        </w:rPr>
        <w:t>18</w:t>
      </w:r>
      <w:r>
        <w:rPr>
          <w:rFonts w:ascii="宋体" w:eastAsia="宋体" w:hAnsi="宋体" w:cs="宋体"/>
          <w:color w:val="auto"/>
        </w:rPr>
        <w:t>，故离子结构示意图为</w:t>
      </w:r>
      <w:r>
        <w:rPr>
          <w:color w:val="auto"/>
        </w:rPr>
        <w:drawing>
          <wp:inline distT="0" distB="0" distL="114300" distR="114300">
            <wp:extent cx="1009650" cy="112395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，故</w:t>
      </w:r>
      <w:r>
        <w:rPr>
          <w:rFonts w:ascii="Times New Roman" w:eastAsia="Times New Roman" w:hAnsi="Times New Roman" w:cs="Times New Roman"/>
          <w:color w:val="auto"/>
        </w:rPr>
        <w:t>C</w:t>
      </w:r>
      <w:r>
        <w:rPr>
          <w:rFonts w:ascii="宋体" w:eastAsia="宋体" w:hAnsi="宋体" w:cs="宋体"/>
          <w:color w:val="auto"/>
        </w:rPr>
        <w:t>正确；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https://d.book118.com/375343012203011110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4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2"/>
      <w:sz w:val="18"/>
      <w:szCs w:val="18"/>
      <w:lang w:eastAsia="zh-CN"/>
    </w:rPr>
  </w:style>
  <w:style w:type="paragraph" w:styleId="Footer">
    <w:name w:val="footer"/>
    <w:basedOn w:val="Normal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hyperlink" Target="https://d.book118.com/375343012203011110" TargetMode="External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4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wmf" /><Relationship Id="rId6" Type="http://schemas.openxmlformats.org/officeDocument/2006/relationships/oleObject" Target="embeddings/oleObject1.bin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