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射频消融仪项目规划设计纲要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6" w:history="1">
        <w:r>
          <w:rPr>
            <w:rFonts w:ascii="仿宋" w:eastAsia="仿宋" w:hAnsi="仿宋" w:cs="仿宋" w:hint="eastAsia"/>
            <w:lang w:eastAsia="zh-CN"/>
          </w:rPr>
          <w:t>序言</w:t>
        </w:r>
        <w:r>
          <w:tab/>
        </w:r>
        <w:r>
          <w:fldChar w:fldCharType="begin"/>
        </w:r>
        <w:r>
          <w:instrText xml:space="preserve"> PAGEREF _Toc546 \h </w:instrText>
        </w:r>
        <w:r>
          <w:fldChar w:fldCharType="separate"/>
        </w:r>
        <w:r>
          <w:t>3</w:t>
        </w:r>
        <w:r>
          <w:fldChar w:fldCharType="end"/>
        </w:r>
      </w:hyperlink>
    </w:p>
    <w:p>
      <w:pPr>
        <w:pStyle w:val="TOC1"/>
        <w:tabs>
          <w:tab w:val="right" w:leader="dot" w:pos="8306"/>
        </w:tabs>
      </w:pPr>
      <w:hyperlink w:anchor="_Toc32453" w:history="1">
        <w:r>
          <w:rPr>
            <w:rFonts w:ascii="仿宋" w:eastAsia="仿宋" w:hAnsi="仿宋" w:cs="仿宋" w:hint="eastAsia"/>
            <w:lang w:eastAsia="zh-CN"/>
          </w:rPr>
          <w:t>一、射频消融仪项目可持续发展</w:t>
        </w:r>
        <w:r>
          <w:tab/>
        </w:r>
        <w:r>
          <w:fldChar w:fldCharType="begin"/>
        </w:r>
        <w:r>
          <w:instrText xml:space="preserve"> PAGEREF _Toc32453 \h </w:instrText>
        </w:r>
        <w:r>
          <w:fldChar w:fldCharType="separate"/>
        </w:r>
        <w:r>
          <w:t>3</w:t>
        </w:r>
        <w:r>
          <w:fldChar w:fldCharType="end"/>
        </w:r>
      </w:hyperlink>
    </w:p>
    <w:p>
      <w:pPr>
        <w:pStyle w:val="TOC2"/>
        <w:tabs>
          <w:tab w:val="right" w:leader="dot" w:pos="8306"/>
        </w:tabs>
      </w:pPr>
      <w:hyperlink w:anchor="_Toc14423" w:history="1">
        <w:r>
          <w:rPr>
            <w:rFonts w:ascii="仿宋" w:eastAsia="仿宋" w:hAnsi="仿宋" w:cs="仿宋" w:hint="eastAsia"/>
            <w:lang w:eastAsia="zh-CN"/>
          </w:rPr>
          <w:t>(一)、可持续战略与实践</w:t>
        </w:r>
        <w:r>
          <w:tab/>
        </w:r>
        <w:r>
          <w:fldChar w:fldCharType="begin"/>
        </w:r>
        <w:r>
          <w:instrText xml:space="preserve"> PAGEREF _Toc14423 \h </w:instrText>
        </w:r>
        <w:r>
          <w:fldChar w:fldCharType="separate"/>
        </w:r>
        <w:r>
          <w:t>3</w:t>
        </w:r>
        <w:r>
          <w:fldChar w:fldCharType="end"/>
        </w:r>
      </w:hyperlink>
    </w:p>
    <w:p>
      <w:pPr>
        <w:pStyle w:val="TOC2"/>
        <w:tabs>
          <w:tab w:val="right" w:leader="dot" w:pos="8306"/>
        </w:tabs>
      </w:pPr>
      <w:hyperlink w:anchor="_Toc21218" w:history="1">
        <w:r>
          <w:rPr>
            <w:rFonts w:ascii="仿宋" w:eastAsia="仿宋" w:hAnsi="仿宋" w:cs="仿宋" w:hint="eastAsia"/>
            <w:lang w:eastAsia="zh-CN"/>
          </w:rPr>
          <w:t>(二)、环保与社会责任</w:t>
        </w:r>
        <w:r>
          <w:tab/>
        </w:r>
        <w:r>
          <w:fldChar w:fldCharType="begin"/>
        </w:r>
        <w:r>
          <w:instrText xml:space="preserve"> PAGEREF _Toc21218 \h </w:instrText>
        </w:r>
        <w:r>
          <w:fldChar w:fldCharType="separate"/>
        </w:r>
        <w:r>
          <w:t>4</w:t>
        </w:r>
        <w:r>
          <w:fldChar w:fldCharType="end"/>
        </w:r>
      </w:hyperlink>
    </w:p>
    <w:p>
      <w:pPr>
        <w:pStyle w:val="TOC1"/>
        <w:tabs>
          <w:tab w:val="right" w:leader="dot" w:pos="8306"/>
        </w:tabs>
      </w:pPr>
      <w:hyperlink w:anchor="_Toc27752" w:history="1">
        <w:r>
          <w:rPr>
            <w:rFonts w:ascii="仿宋" w:eastAsia="仿宋" w:hAnsi="仿宋" w:cs="仿宋" w:hint="eastAsia"/>
            <w:lang w:eastAsia="zh-CN"/>
          </w:rPr>
          <w:t>二、射频消融仪项目绩效评估</w:t>
        </w:r>
        <w:r>
          <w:tab/>
        </w:r>
        <w:r>
          <w:fldChar w:fldCharType="begin"/>
        </w:r>
        <w:r>
          <w:instrText xml:space="preserve"> PAGEREF _Toc27752 \h </w:instrText>
        </w:r>
        <w:r>
          <w:fldChar w:fldCharType="separate"/>
        </w:r>
        <w:r>
          <w:t>5</w:t>
        </w:r>
        <w:r>
          <w:fldChar w:fldCharType="end"/>
        </w:r>
      </w:hyperlink>
    </w:p>
    <w:p>
      <w:pPr>
        <w:pStyle w:val="TOC2"/>
        <w:tabs>
          <w:tab w:val="right" w:leader="dot" w:pos="8306"/>
        </w:tabs>
      </w:pPr>
      <w:hyperlink w:anchor="_Toc26514" w:history="1">
        <w:r>
          <w:rPr>
            <w:rFonts w:ascii="仿宋" w:eastAsia="仿宋" w:hAnsi="仿宋" w:cs="仿宋" w:hint="eastAsia"/>
            <w:lang w:eastAsia="zh-CN"/>
          </w:rPr>
          <w:t>(一)、绩效评估指标</w:t>
        </w:r>
        <w:r>
          <w:tab/>
        </w:r>
        <w:r>
          <w:fldChar w:fldCharType="begin"/>
        </w:r>
        <w:r>
          <w:instrText xml:space="preserve"> PAGEREF _Toc26514 \h </w:instrText>
        </w:r>
        <w:r>
          <w:fldChar w:fldCharType="separate"/>
        </w:r>
        <w:r>
          <w:t>5</w:t>
        </w:r>
        <w:r>
          <w:fldChar w:fldCharType="end"/>
        </w:r>
      </w:hyperlink>
    </w:p>
    <w:p>
      <w:pPr>
        <w:pStyle w:val="TOC2"/>
        <w:tabs>
          <w:tab w:val="right" w:leader="dot" w:pos="8306"/>
        </w:tabs>
      </w:pPr>
      <w:hyperlink w:anchor="_Toc21843" w:history="1">
        <w:r>
          <w:rPr>
            <w:rFonts w:ascii="仿宋" w:eastAsia="仿宋" w:hAnsi="仿宋" w:cs="仿宋" w:hint="eastAsia"/>
            <w:lang w:eastAsia="zh-CN"/>
          </w:rPr>
          <w:t>(二)、绩效评估方法</w:t>
        </w:r>
        <w:r>
          <w:tab/>
        </w:r>
        <w:r>
          <w:fldChar w:fldCharType="begin"/>
        </w:r>
        <w:r>
          <w:instrText xml:space="preserve"> PAGEREF _Toc21843 \h </w:instrText>
        </w:r>
        <w:r>
          <w:fldChar w:fldCharType="separate"/>
        </w:r>
        <w:r>
          <w:t>6</w:t>
        </w:r>
        <w:r>
          <w:fldChar w:fldCharType="end"/>
        </w:r>
      </w:hyperlink>
    </w:p>
    <w:p>
      <w:pPr>
        <w:pStyle w:val="TOC2"/>
        <w:tabs>
          <w:tab w:val="right" w:leader="dot" w:pos="8306"/>
        </w:tabs>
      </w:pPr>
      <w:hyperlink w:anchor="_Toc2817" w:history="1">
        <w:r>
          <w:rPr>
            <w:rFonts w:ascii="仿宋" w:eastAsia="仿宋" w:hAnsi="仿宋" w:cs="仿宋" w:hint="eastAsia"/>
            <w:lang w:eastAsia="zh-CN"/>
          </w:rPr>
          <w:t>(三)、绩效评估周期</w:t>
        </w:r>
        <w:r>
          <w:tab/>
        </w:r>
        <w:r>
          <w:fldChar w:fldCharType="begin"/>
        </w:r>
        <w:r>
          <w:instrText xml:space="preserve"> PAGEREF _Toc2817 \h </w:instrText>
        </w:r>
        <w:r>
          <w:fldChar w:fldCharType="separate"/>
        </w:r>
        <w:r>
          <w:t>7</w:t>
        </w:r>
        <w:r>
          <w:fldChar w:fldCharType="end"/>
        </w:r>
      </w:hyperlink>
    </w:p>
    <w:p>
      <w:pPr>
        <w:pStyle w:val="TOC1"/>
        <w:tabs>
          <w:tab w:val="right" w:leader="dot" w:pos="8306"/>
        </w:tabs>
      </w:pPr>
      <w:hyperlink w:anchor="_Toc22290" w:history="1">
        <w:r>
          <w:rPr>
            <w:rFonts w:ascii="仿宋" w:eastAsia="仿宋" w:hAnsi="仿宋" w:cs="仿宋" w:hint="eastAsia"/>
            <w:lang w:eastAsia="zh-CN"/>
          </w:rPr>
          <w:t>三、射频消融仪项目危机管理</w:t>
        </w:r>
        <w:r>
          <w:tab/>
        </w:r>
        <w:r>
          <w:fldChar w:fldCharType="begin"/>
        </w:r>
        <w:r>
          <w:instrText xml:space="preserve"> PAGEREF _Toc22290 \h </w:instrText>
        </w:r>
        <w:r>
          <w:fldChar w:fldCharType="separate"/>
        </w:r>
        <w:r>
          <w:t>8</w:t>
        </w:r>
        <w:r>
          <w:fldChar w:fldCharType="end"/>
        </w:r>
      </w:hyperlink>
    </w:p>
    <w:p>
      <w:pPr>
        <w:pStyle w:val="TOC2"/>
        <w:tabs>
          <w:tab w:val="right" w:leader="dot" w:pos="8306"/>
        </w:tabs>
      </w:pPr>
      <w:hyperlink w:anchor="_Toc11712" w:history="1">
        <w:r>
          <w:rPr>
            <w:rFonts w:ascii="仿宋" w:eastAsia="仿宋" w:hAnsi="仿宋" w:cs="仿宋" w:hint="eastAsia"/>
            <w:lang w:eastAsia="zh-CN"/>
          </w:rPr>
          <w:t>(一)、危机预警与识别</w:t>
        </w:r>
        <w:r>
          <w:tab/>
        </w:r>
        <w:r>
          <w:fldChar w:fldCharType="begin"/>
        </w:r>
        <w:r>
          <w:instrText xml:space="preserve"> PAGEREF _Toc11712 \h </w:instrText>
        </w:r>
        <w:r>
          <w:fldChar w:fldCharType="separate"/>
        </w:r>
        <w:r>
          <w:t>8</w:t>
        </w:r>
        <w:r>
          <w:fldChar w:fldCharType="end"/>
        </w:r>
      </w:hyperlink>
    </w:p>
    <w:p>
      <w:pPr>
        <w:pStyle w:val="TOC2"/>
        <w:tabs>
          <w:tab w:val="right" w:leader="dot" w:pos="8306"/>
        </w:tabs>
      </w:pPr>
      <w:hyperlink w:anchor="_Toc12936" w:history="1">
        <w:r>
          <w:rPr>
            <w:rFonts w:ascii="仿宋" w:eastAsia="仿宋" w:hAnsi="仿宋" w:cs="仿宋" w:hint="eastAsia"/>
            <w:lang w:eastAsia="zh-CN"/>
          </w:rPr>
          <w:t>(二)、危机应对与恢复</w:t>
        </w:r>
        <w:r>
          <w:tab/>
        </w:r>
        <w:r>
          <w:fldChar w:fldCharType="begin"/>
        </w:r>
        <w:r>
          <w:instrText xml:space="preserve"> PAGEREF _Toc12936 \h </w:instrText>
        </w:r>
        <w:r>
          <w:fldChar w:fldCharType="separate"/>
        </w:r>
        <w:r>
          <w:t>9</w:t>
        </w:r>
        <w:r>
          <w:fldChar w:fldCharType="end"/>
        </w:r>
      </w:hyperlink>
    </w:p>
    <w:p>
      <w:pPr>
        <w:pStyle w:val="TOC1"/>
        <w:tabs>
          <w:tab w:val="right" w:leader="dot" w:pos="8306"/>
        </w:tabs>
      </w:pPr>
      <w:hyperlink w:anchor="_Toc7533" w:history="1">
        <w:r>
          <w:rPr>
            <w:rFonts w:ascii="仿宋" w:eastAsia="仿宋" w:hAnsi="仿宋" w:cs="仿宋" w:hint="eastAsia"/>
            <w:lang w:eastAsia="zh-CN"/>
          </w:rPr>
          <w:t>四、产品规划分析</w:t>
        </w:r>
        <w:r>
          <w:tab/>
        </w:r>
        <w:r>
          <w:fldChar w:fldCharType="begin"/>
        </w:r>
        <w:r>
          <w:instrText xml:space="preserve"> PAGEREF _Toc7533 \h </w:instrText>
        </w:r>
        <w:r>
          <w:fldChar w:fldCharType="separate"/>
        </w:r>
        <w:r>
          <w:t>10</w:t>
        </w:r>
        <w:r>
          <w:fldChar w:fldCharType="end"/>
        </w:r>
      </w:hyperlink>
    </w:p>
    <w:p>
      <w:pPr>
        <w:pStyle w:val="TOC2"/>
        <w:tabs>
          <w:tab w:val="right" w:leader="dot" w:pos="8306"/>
        </w:tabs>
      </w:pPr>
      <w:hyperlink w:anchor="_Toc30200" w:history="1">
        <w:r>
          <w:rPr>
            <w:rFonts w:ascii="仿宋" w:eastAsia="仿宋" w:hAnsi="仿宋" w:cs="仿宋" w:hint="eastAsia"/>
            <w:lang w:eastAsia="zh-CN"/>
          </w:rPr>
          <w:t>(一)、产品规划</w:t>
        </w:r>
        <w:r>
          <w:tab/>
        </w:r>
        <w:r>
          <w:fldChar w:fldCharType="begin"/>
        </w:r>
        <w:r>
          <w:instrText xml:space="preserve"> PAGEREF _Toc30200 \h </w:instrText>
        </w:r>
        <w:r>
          <w:fldChar w:fldCharType="separate"/>
        </w:r>
        <w:r>
          <w:t>10</w:t>
        </w:r>
        <w:r>
          <w:fldChar w:fldCharType="end"/>
        </w:r>
      </w:hyperlink>
    </w:p>
    <w:p>
      <w:pPr>
        <w:pStyle w:val="TOC2"/>
        <w:tabs>
          <w:tab w:val="right" w:leader="dot" w:pos="8306"/>
        </w:tabs>
      </w:pPr>
      <w:hyperlink w:anchor="_Toc20950" w:history="1">
        <w:r>
          <w:rPr>
            <w:rFonts w:ascii="仿宋" w:eastAsia="仿宋" w:hAnsi="仿宋" w:cs="仿宋" w:hint="eastAsia"/>
            <w:lang w:eastAsia="zh-CN"/>
          </w:rPr>
          <w:t>(二)、建设规模</w:t>
        </w:r>
        <w:r>
          <w:tab/>
        </w:r>
        <w:r>
          <w:fldChar w:fldCharType="begin"/>
        </w:r>
        <w:r>
          <w:instrText xml:space="preserve"> PAGEREF _Toc20950 \h </w:instrText>
        </w:r>
        <w:r>
          <w:fldChar w:fldCharType="separate"/>
        </w:r>
        <w:r>
          <w:t>11</w:t>
        </w:r>
        <w:r>
          <w:fldChar w:fldCharType="end"/>
        </w:r>
      </w:hyperlink>
    </w:p>
    <w:p>
      <w:pPr>
        <w:pStyle w:val="TOC1"/>
        <w:tabs>
          <w:tab w:val="right" w:leader="dot" w:pos="8306"/>
        </w:tabs>
      </w:pPr>
      <w:hyperlink w:anchor="_Toc14890" w:history="1">
        <w:r>
          <w:rPr>
            <w:rFonts w:ascii="仿宋" w:eastAsia="仿宋" w:hAnsi="仿宋" w:cs="仿宋" w:hint="eastAsia"/>
            <w:lang w:eastAsia="zh-CN"/>
          </w:rPr>
          <w:t>五、射频消融仪项目概论</w:t>
        </w:r>
        <w:r>
          <w:tab/>
        </w:r>
        <w:r>
          <w:fldChar w:fldCharType="begin"/>
        </w:r>
        <w:r>
          <w:instrText xml:space="preserve"> PAGEREF _Toc14890 \h </w:instrText>
        </w:r>
        <w:r>
          <w:fldChar w:fldCharType="separate"/>
        </w:r>
        <w:r>
          <w:t>12</w:t>
        </w:r>
        <w:r>
          <w:fldChar w:fldCharType="end"/>
        </w:r>
      </w:hyperlink>
    </w:p>
    <w:p>
      <w:pPr>
        <w:pStyle w:val="TOC2"/>
        <w:tabs>
          <w:tab w:val="right" w:leader="dot" w:pos="8306"/>
        </w:tabs>
      </w:pPr>
      <w:hyperlink w:anchor="_Toc18451" w:history="1">
        <w:r>
          <w:rPr>
            <w:rFonts w:ascii="仿宋" w:eastAsia="仿宋" w:hAnsi="仿宋" w:cs="仿宋" w:hint="eastAsia"/>
            <w:lang w:eastAsia="zh-CN"/>
          </w:rPr>
          <w:t>(一)、射频消融仪项目概况</w:t>
        </w:r>
        <w:r>
          <w:tab/>
        </w:r>
        <w:r>
          <w:fldChar w:fldCharType="begin"/>
        </w:r>
        <w:r>
          <w:instrText xml:space="preserve"> PAGEREF _Toc18451 \h </w:instrText>
        </w:r>
        <w:r>
          <w:fldChar w:fldCharType="separate"/>
        </w:r>
        <w:r>
          <w:t>12</w:t>
        </w:r>
        <w:r>
          <w:fldChar w:fldCharType="end"/>
        </w:r>
      </w:hyperlink>
    </w:p>
    <w:p>
      <w:pPr>
        <w:pStyle w:val="TOC2"/>
        <w:tabs>
          <w:tab w:val="right" w:leader="dot" w:pos="8306"/>
        </w:tabs>
      </w:pPr>
      <w:hyperlink w:anchor="_Toc22943" w:history="1">
        <w:r>
          <w:rPr>
            <w:rFonts w:ascii="仿宋" w:eastAsia="仿宋" w:hAnsi="仿宋" w:cs="仿宋" w:hint="eastAsia"/>
            <w:lang w:eastAsia="zh-CN"/>
          </w:rPr>
          <w:t>(二)、射频消融仪项目目标</w:t>
        </w:r>
        <w:r>
          <w:tab/>
        </w:r>
        <w:r>
          <w:fldChar w:fldCharType="begin"/>
        </w:r>
        <w:r>
          <w:instrText xml:space="preserve"> PAGEREF _Toc22943 \h </w:instrText>
        </w:r>
        <w:r>
          <w:fldChar w:fldCharType="separate"/>
        </w:r>
        <w:r>
          <w:t>14</w:t>
        </w:r>
        <w:r>
          <w:fldChar w:fldCharType="end"/>
        </w:r>
      </w:hyperlink>
    </w:p>
    <w:p>
      <w:pPr>
        <w:pStyle w:val="TOC2"/>
        <w:tabs>
          <w:tab w:val="right" w:leader="dot" w:pos="8306"/>
        </w:tabs>
      </w:pPr>
      <w:hyperlink w:anchor="_Toc855" w:history="1">
        <w:r>
          <w:rPr>
            <w:rFonts w:ascii="仿宋" w:eastAsia="仿宋" w:hAnsi="仿宋" w:cs="仿宋" w:hint="eastAsia"/>
            <w:lang w:eastAsia="zh-CN"/>
          </w:rPr>
          <w:t>(三)、射频消融仪项目提出的理由</w:t>
        </w:r>
        <w:r>
          <w:tab/>
        </w:r>
        <w:r>
          <w:fldChar w:fldCharType="begin"/>
        </w:r>
        <w:r>
          <w:instrText xml:space="preserve"> PAGEREF _Toc855 \h </w:instrText>
        </w:r>
        <w:r>
          <w:fldChar w:fldCharType="separate"/>
        </w:r>
        <w:r>
          <w:t>15</w:t>
        </w:r>
        <w:r>
          <w:fldChar w:fldCharType="end"/>
        </w:r>
      </w:hyperlink>
    </w:p>
    <w:p>
      <w:pPr>
        <w:pStyle w:val="TOC2"/>
        <w:tabs>
          <w:tab w:val="right" w:leader="dot" w:pos="8306"/>
        </w:tabs>
      </w:pPr>
      <w:hyperlink w:anchor="_Toc31368" w:history="1">
        <w:r>
          <w:rPr>
            <w:rFonts w:ascii="仿宋" w:eastAsia="仿宋" w:hAnsi="仿宋" w:cs="仿宋" w:hint="eastAsia"/>
            <w:lang w:eastAsia="zh-CN"/>
          </w:rPr>
          <w:t>(四)、射频消融仪项目意义</w:t>
        </w:r>
        <w:r>
          <w:tab/>
        </w:r>
        <w:r>
          <w:fldChar w:fldCharType="begin"/>
        </w:r>
        <w:r>
          <w:instrText xml:space="preserve"> PAGEREF _Toc31368 \h </w:instrText>
        </w:r>
        <w:r>
          <w:fldChar w:fldCharType="separate"/>
        </w:r>
        <w:r>
          <w:t>17</w:t>
        </w:r>
        <w:r>
          <w:fldChar w:fldCharType="end"/>
        </w:r>
      </w:hyperlink>
    </w:p>
    <w:p>
      <w:pPr>
        <w:pStyle w:val="TOC2"/>
        <w:tabs>
          <w:tab w:val="right" w:leader="dot" w:pos="8306"/>
        </w:tabs>
      </w:pPr>
      <w:hyperlink w:anchor="_Toc18844" w:history="1">
        <w:r>
          <w:rPr>
            <w:rFonts w:ascii="仿宋" w:eastAsia="仿宋" w:hAnsi="仿宋" w:cs="仿宋" w:hint="eastAsia"/>
            <w:lang w:eastAsia="zh-CN"/>
          </w:rPr>
          <w:t>(五)、射频消融仪项目背景</w:t>
        </w:r>
        <w:r>
          <w:tab/>
        </w:r>
        <w:r>
          <w:fldChar w:fldCharType="begin"/>
        </w:r>
        <w:r>
          <w:instrText xml:space="preserve"> PAGEREF _Toc18844 \h </w:instrText>
        </w:r>
        <w:r>
          <w:fldChar w:fldCharType="separate"/>
        </w:r>
        <w:r>
          <w:t>18</w:t>
        </w:r>
        <w:r>
          <w:fldChar w:fldCharType="end"/>
        </w:r>
      </w:hyperlink>
    </w:p>
    <w:p>
      <w:pPr>
        <w:pStyle w:val="TOC1"/>
        <w:tabs>
          <w:tab w:val="right" w:leader="dot" w:pos="8306"/>
        </w:tabs>
      </w:pPr>
      <w:hyperlink w:anchor="_Toc18781" w:history="1">
        <w:r>
          <w:rPr>
            <w:rFonts w:ascii="仿宋" w:eastAsia="仿宋" w:hAnsi="仿宋" w:cs="仿宋" w:hint="eastAsia"/>
            <w:lang w:eastAsia="zh-CN"/>
          </w:rPr>
          <w:t>六、市场分析、调研</w:t>
        </w:r>
        <w:r>
          <w:tab/>
        </w:r>
        <w:r>
          <w:fldChar w:fldCharType="begin"/>
        </w:r>
        <w:r>
          <w:instrText xml:space="preserve"> PAGEREF _Toc18781 \h </w:instrText>
        </w:r>
        <w:r>
          <w:fldChar w:fldCharType="separate"/>
        </w:r>
        <w:r>
          <w:t>19</w:t>
        </w:r>
        <w:r>
          <w:fldChar w:fldCharType="end"/>
        </w:r>
      </w:hyperlink>
    </w:p>
    <w:p>
      <w:pPr>
        <w:pStyle w:val="TOC2"/>
        <w:tabs>
          <w:tab w:val="right" w:leader="dot" w:pos="8306"/>
        </w:tabs>
      </w:pPr>
      <w:hyperlink w:anchor="_Toc8783" w:history="1">
        <w:r>
          <w:rPr>
            <w:rFonts w:ascii="仿宋" w:eastAsia="仿宋" w:hAnsi="仿宋" w:cs="仿宋" w:hint="eastAsia"/>
            <w:lang w:eastAsia="zh-CN"/>
          </w:rPr>
          <w:t>(一)、射频消融仪行业分析</w:t>
        </w:r>
        <w:r>
          <w:tab/>
        </w:r>
        <w:r>
          <w:fldChar w:fldCharType="begin"/>
        </w:r>
        <w:r>
          <w:instrText xml:space="preserve"> PAGEREF _Toc8783 \h </w:instrText>
        </w:r>
        <w:r>
          <w:fldChar w:fldCharType="separate"/>
        </w:r>
        <w:r>
          <w:t>19</w:t>
        </w:r>
        <w:r>
          <w:fldChar w:fldCharType="end"/>
        </w:r>
      </w:hyperlink>
    </w:p>
    <w:p>
      <w:pPr>
        <w:pStyle w:val="TOC2"/>
        <w:tabs>
          <w:tab w:val="right" w:leader="dot" w:pos="8306"/>
        </w:tabs>
      </w:pPr>
      <w:hyperlink w:anchor="_Toc29001" w:history="1">
        <w:r>
          <w:rPr>
            <w:rFonts w:ascii="仿宋" w:eastAsia="仿宋" w:hAnsi="仿宋" w:cs="仿宋" w:hint="eastAsia"/>
            <w:lang w:eastAsia="zh-CN"/>
          </w:rPr>
          <w:t>(二)、射频消融仪市场分析预测</w:t>
        </w:r>
        <w:r>
          <w:tab/>
        </w:r>
        <w:r>
          <w:fldChar w:fldCharType="begin"/>
        </w:r>
        <w:r>
          <w:instrText xml:space="preserve"> PAGEREF _Toc29001 \h </w:instrText>
        </w:r>
        <w:r>
          <w:fldChar w:fldCharType="separate"/>
        </w:r>
        <w:r>
          <w:t>19</w:t>
        </w:r>
        <w:r>
          <w:fldChar w:fldCharType="end"/>
        </w:r>
      </w:hyperlink>
    </w:p>
    <w:p>
      <w:pPr>
        <w:pStyle w:val="TOC1"/>
        <w:tabs>
          <w:tab w:val="right" w:leader="dot" w:pos="8306"/>
        </w:tabs>
      </w:pPr>
      <w:hyperlink w:anchor="_Toc3999" w:history="1">
        <w:r>
          <w:rPr>
            <w:rFonts w:ascii="仿宋" w:eastAsia="仿宋" w:hAnsi="仿宋" w:cs="仿宋" w:hint="eastAsia"/>
            <w:lang w:eastAsia="zh-CN"/>
          </w:rPr>
          <w:t>七、生产安全保护</w:t>
        </w:r>
        <w:r>
          <w:tab/>
        </w:r>
        <w:r>
          <w:fldChar w:fldCharType="begin"/>
        </w:r>
        <w:r>
          <w:instrText xml:space="preserve"> PAGEREF _Toc3999 \h </w:instrText>
        </w:r>
        <w:r>
          <w:fldChar w:fldCharType="separate"/>
        </w:r>
        <w:r>
          <w:t>20</w:t>
        </w:r>
        <w:r>
          <w:fldChar w:fldCharType="end"/>
        </w:r>
      </w:hyperlink>
    </w:p>
    <w:p>
      <w:pPr>
        <w:pStyle w:val="TOC2"/>
        <w:tabs>
          <w:tab w:val="right" w:leader="dot" w:pos="8306"/>
        </w:tabs>
      </w:pPr>
      <w:hyperlink w:anchor="_Toc2238" w:history="1">
        <w:r>
          <w:rPr>
            <w:rFonts w:ascii="仿宋" w:eastAsia="仿宋" w:hAnsi="仿宋" w:cs="仿宋" w:hint="eastAsia"/>
            <w:lang w:eastAsia="zh-CN"/>
          </w:rPr>
          <w:t>(一)、消防安全</w:t>
        </w:r>
        <w:r>
          <w:tab/>
        </w:r>
        <w:r>
          <w:fldChar w:fldCharType="begin"/>
        </w:r>
        <w:r>
          <w:instrText xml:space="preserve"> PAGEREF _Toc2238 \h </w:instrText>
        </w:r>
        <w:r>
          <w:fldChar w:fldCharType="separate"/>
        </w:r>
        <w:r>
          <w:t>20</w:t>
        </w:r>
        <w:r>
          <w:fldChar w:fldCharType="end"/>
        </w:r>
      </w:hyperlink>
    </w:p>
    <w:p>
      <w:pPr>
        <w:pStyle w:val="TOC2"/>
        <w:tabs>
          <w:tab w:val="right" w:leader="dot" w:pos="8306"/>
        </w:tabs>
      </w:pPr>
      <w:hyperlink w:anchor="_Toc32555" w:history="1">
        <w:r>
          <w:rPr>
            <w:rFonts w:ascii="仿宋" w:eastAsia="仿宋" w:hAnsi="仿宋" w:cs="仿宋" w:hint="eastAsia"/>
            <w:lang w:eastAsia="zh-CN"/>
          </w:rPr>
          <w:t>(二)、防火防爆总图布置措施</w:t>
        </w:r>
        <w:r>
          <w:tab/>
        </w:r>
        <w:r>
          <w:fldChar w:fldCharType="begin"/>
        </w:r>
        <w:r>
          <w:instrText xml:space="preserve"> PAGEREF _Toc32555 \h </w:instrText>
        </w:r>
        <w:r>
          <w:fldChar w:fldCharType="separate"/>
        </w:r>
        <w:r>
          <w:t>22</w:t>
        </w:r>
        <w:r>
          <w:fldChar w:fldCharType="end"/>
        </w:r>
      </w:hyperlink>
    </w:p>
    <w:p>
      <w:pPr>
        <w:pStyle w:val="TOC2"/>
        <w:tabs>
          <w:tab w:val="right" w:leader="dot" w:pos="8306"/>
        </w:tabs>
      </w:pPr>
      <w:hyperlink w:anchor="_Toc7157" w:history="1">
        <w:r>
          <w:rPr>
            <w:rFonts w:ascii="仿宋" w:eastAsia="仿宋" w:hAnsi="仿宋" w:cs="仿宋" w:hint="eastAsia"/>
            <w:lang w:eastAsia="zh-CN"/>
          </w:rPr>
          <w:t>(三)、自然灾害防范措施</w:t>
        </w:r>
        <w:r>
          <w:tab/>
        </w:r>
        <w:r>
          <w:fldChar w:fldCharType="begin"/>
        </w:r>
        <w:r>
          <w:instrText xml:space="preserve"> PAGEREF _Toc7157 \h </w:instrText>
        </w:r>
        <w:r>
          <w:fldChar w:fldCharType="separate"/>
        </w:r>
        <w:r>
          <w:t>23</w:t>
        </w:r>
        <w:r>
          <w:fldChar w:fldCharType="end"/>
        </w:r>
      </w:hyperlink>
    </w:p>
    <w:p>
      <w:pPr>
        <w:pStyle w:val="TOC2"/>
        <w:tabs>
          <w:tab w:val="right" w:leader="dot" w:pos="8306"/>
        </w:tabs>
      </w:pPr>
      <w:hyperlink w:anchor="_Toc5397" w:history="1">
        <w:r>
          <w:rPr>
            <w:rFonts w:ascii="仿宋" w:eastAsia="仿宋" w:hAnsi="仿宋" w:cs="仿宋" w:hint="eastAsia"/>
            <w:lang w:eastAsia="zh-CN"/>
          </w:rPr>
          <w:t>(四)、安全色及安全标志使用要求</w:t>
        </w:r>
        <w:r>
          <w:tab/>
        </w:r>
        <w:r>
          <w:fldChar w:fldCharType="begin"/>
        </w:r>
        <w:r>
          <w:instrText xml:space="preserve"> PAGEREF _Toc5397 \h </w:instrText>
        </w:r>
        <w:r>
          <w:fldChar w:fldCharType="separate"/>
        </w:r>
        <w:r>
          <w:t>24</w:t>
        </w:r>
        <w:r>
          <w:fldChar w:fldCharType="end"/>
        </w:r>
      </w:hyperlink>
    </w:p>
    <w:p>
      <w:pPr>
        <w:pStyle w:val="TOC2"/>
        <w:tabs>
          <w:tab w:val="right" w:leader="dot" w:pos="8306"/>
        </w:tabs>
      </w:pPr>
      <w:hyperlink w:anchor="_Toc3111" w:history="1">
        <w:r>
          <w:rPr>
            <w:rFonts w:ascii="仿宋" w:eastAsia="仿宋" w:hAnsi="仿宋" w:cs="仿宋" w:hint="eastAsia"/>
            <w:lang w:eastAsia="zh-CN"/>
          </w:rPr>
          <w:t>(五)、防尘防毒措施</w:t>
        </w:r>
        <w:r>
          <w:tab/>
        </w:r>
        <w:r>
          <w:fldChar w:fldCharType="begin"/>
        </w:r>
        <w:r>
          <w:instrText xml:space="preserve"> PAGEREF _Toc3111 \h </w:instrText>
        </w:r>
        <w:r>
          <w:fldChar w:fldCharType="separate"/>
        </w:r>
        <w:r>
          <w:t>25</w:t>
        </w:r>
        <w:r>
          <w:fldChar w:fldCharType="end"/>
        </w:r>
      </w:hyperlink>
    </w:p>
    <w:p>
      <w:pPr>
        <w:pStyle w:val="TOC2"/>
        <w:tabs>
          <w:tab w:val="right" w:leader="dot" w:pos="8306"/>
        </w:tabs>
      </w:pPr>
      <w:hyperlink w:anchor="_Toc19661" w:history="1">
        <w:r>
          <w:rPr>
            <w:rFonts w:ascii="仿宋" w:eastAsia="仿宋" w:hAnsi="仿宋" w:cs="仿宋" w:hint="eastAsia"/>
            <w:lang w:eastAsia="zh-CN"/>
          </w:rPr>
          <w:t>(六)、防静电、触电防护及防雷措施</w:t>
        </w:r>
        <w:r>
          <w:tab/>
        </w:r>
        <w:r>
          <w:fldChar w:fldCharType="begin"/>
        </w:r>
        <w:r>
          <w:instrText xml:space="preserve"> PAGEREF _Toc19661 \h </w:instrText>
        </w:r>
        <w:r>
          <w:fldChar w:fldCharType="separate"/>
        </w:r>
        <w:r>
          <w:t>25</w:t>
        </w:r>
        <w:r>
          <w:fldChar w:fldCharType="end"/>
        </w:r>
      </w:hyperlink>
    </w:p>
    <w:p>
      <w:pPr>
        <w:pStyle w:val="TOC2"/>
        <w:tabs>
          <w:tab w:val="right" w:leader="dot" w:pos="8306"/>
        </w:tabs>
      </w:pPr>
      <w:hyperlink w:anchor="_Toc29112" w:history="1">
        <w:r>
          <w:rPr>
            <w:rFonts w:ascii="仿宋" w:eastAsia="仿宋" w:hAnsi="仿宋" w:cs="仿宋" w:hint="eastAsia"/>
            <w:lang w:eastAsia="zh-CN"/>
          </w:rPr>
          <w:t>(七)、机械设备安全保障措施</w:t>
        </w:r>
        <w:r>
          <w:tab/>
        </w:r>
        <w:r>
          <w:fldChar w:fldCharType="begin"/>
        </w:r>
        <w:r>
          <w:instrText xml:space="preserve"> PAGEREF _Toc29112 \h </w:instrText>
        </w:r>
        <w:r>
          <w:fldChar w:fldCharType="separate"/>
        </w:r>
        <w:r>
          <w:t>27</w:t>
        </w:r>
        <w:r>
          <w:fldChar w:fldCharType="end"/>
        </w:r>
      </w:hyperlink>
    </w:p>
    <w:p>
      <w:pPr>
        <w:pStyle w:val="TOC1"/>
        <w:tabs>
          <w:tab w:val="right" w:leader="dot" w:pos="8306"/>
        </w:tabs>
      </w:pPr>
      <w:hyperlink w:anchor="_Toc1294" w:history="1">
        <w:r>
          <w:rPr>
            <w:rFonts w:ascii="仿宋" w:eastAsia="仿宋" w:hAnsi="仿宋" w:cs="仿宋" w:hint="eastAsia"/>
            <w:lang w:eastAsia="zh-CN"/>
          </w:rPr>
          <w:t>八、射频消融仪项目创新与研发</w:t>
        </w:r>
        <w:r>
          <w:tab/>
        </w:r>
        <w:r>
          <w:fldChar w:fldCharType="begin"/>
        </w:r>
        <w:r>
          <w:instrText xml:space="preserve"> PAGEREF _Toc1294 \h </w:instrText>
        </w:r>
        <w:r>
          <w:fldChar w:fldCharType="separate"/>
        </w:r>
        <w:r>
          <w:t>28</w:t>
        </w:r>
        <w:r>
          <w:fldChar w:fldCharType="end"/>
        </w:r>
      </w:hyperlink>
    </w:p>
    <w:p>
      <w:pPr>
        <w:pStyle w:val="TOC2"/>
        <w:tabs>
          <w:tab w:val="right" w:leader="dot" w:pos="8306"/>
        </w:tabs>
      </w:pPr>
      <w:hyperlink w:anchor="_Toc24761" w:history="1">
        <w:r>
          <w:rPr>
            <w:rFonts w:ascii="仿宋" w:eastAsia="仿宋" w:hAnsi="仿宋" w:cs="仿宋" w:hint="eastAsia"/>
            <w:lang w:eastAsia="zh-CN"/>
          </w:rPr>
          <w:t>(一)、创新策略与方向</w:t>
        </w:r>
        <w:r>
          <w:tab/>
        </w:r>
        <w:r>
          <w:fldChar w:fldCharType="begin"/>
        </w:r>
        <w:r>
          <w:instrText xml:space="preserve"> PAGEREF _Toc24761 \h </w:instrText>
        </w:r>
        <w:r>
          <w:fldChar w:fldCharType="separate"/>
        </w:r>
        <w:r>
          <w:t>28</w:t>
        </w:r>
        <w:r>
          <w:fldChar w:fldCharType="end"/>
        </w:r>
      </w:hyperlink>
    </w:p>
    <w:p>
      <w:pPr>
        <w:pStyle w:val="TOC2"/>
        <w:tabs>
          <w:tab w:val="right" w:leader="dot" w:pos="8306"/>
        </w:tabs>
      </w:pPr>
      <w:hyperlink w:anchor="_Toc30944" w:history="1">
        <w:r>
          <w:rPr>
            <w:rFonts w:ascii="仿宋" w:eastAsia="仿宋" w:hAnsi="仿宋" w:cs="仿宋" w:hint="eastAsia"/>
            <w:lang w:eastAsia="zh-CN"/>
          </w:rPr>
          <w:t>(二)、研发规划与投入</w:t>
        </w:r>
        <w:r>
          <w:tab/>
        </w:r>
        <w:r>
          <w:fldChar w:fldCharType="begin"/>
        </w:r>
        <w:r>
          <w:instrText xml:space="preserve"> PAGEREF _Toc30944 \h </w:instrText>
        </w:r>
        <w:r>
          <w:fldChar w:fldCharType="separate"/>
        </w:r>
        <w:r>
          <w:t>30</w:t>
        </w:r>
        <w:r>
          <w:fldChar w:fldCharType="end"/>
        </w:r>
      </w:hyperlink>
    </w:p>
    <w:p>
      <w:pPr>
        <w:pStyle w:val="TOC1"/>
        <w:tabs>
          <w:tab w:val="right" w:leader="dot" w:pos="8306"/>
        </w:tabs>
      </w:pPr>
      <w:hyperlink w:anchor="_Toc10851" w:history="1">
        <w:r>
          <w:rPr>
            <w:rFonts w:ascii="仿宋" w:eastAsia="仿宋" w:hAnsi="仿宋" w:cs="仿宋" w:hint="eastAsia"/>
            <w:lang w:eastAsia="zh-CN"/>
          </w:rPr>
          <w:t>九、射频消融仪项目人力资源培养与发展</w:t>
        </w:r>
        <w:r>
          <w:tab/>
        </w:r>
        <w:r>
          <w:fldChar w:fldCharType="begin"/>
        </w:r>
        <w:r>
          <w:instrText xml:space="preserve"> PAGEREF _Toc10851 \h </w:instrText>
        </w:r>
        <w:r>
          <w:fldChar w:fldCharType="separate"/>
        </w:r>
        <w:r>
          <w:t>31</w:t>
        </w:r>
        <w:r>
          <w:fldChar w:fldCharType="end"/>
        </w:r>
      </w:hyperlink>
    </w:p>
    <w:p>
      <w:pPr>
        <w:pStyle w:val="TOC2"/>
        <w:tabs>
          <w:tab w:val="right" w:leader="dot" w:pos="8306"/>
        </w:tabs>
      </w:pPr>
      <w:hyperlink w:anchor="_Toc30115" w:history="1">
        <w:r>
          <w:rPr>
            <w:rFonts w:ascii="仿宋" w:eastAsia="仿宋" w:hAnsi="仿宋" w:cs="仿宋" w:hint="eastAsia"/>
            <w:lang w:eastAsia="zh-CN"/>
          </w:rPr>
          <w:t>(一)、人才需求与规划</w:t>
        </w:r>
        <w:r>
          <w:tab/>
        </w:r>
        <w:r>
          <w:fldChar w:fldCharType="begin"/>
        </w:r>
        <w:r>
          <w:instrText xml:space="preserve"> PAGEREF _Toc30115 \h </w:instrText>
        </w:r>
        <w:r>
          <w:fldChar w:fldCharType="separate"/>
        </w:r>
        <w:r>
          <w:t>31</w:t>
        </w:r>
        <w:r>
          <w:fldChar w:fldCharType="end"/>
        </w:r>
      </w:hyperlink>
    </w:p>
    <w:p>
      <w:pPr>
        <w:pStyle w:val="TOC2"/>
        <w:tabs>
          <w:tab w:val="right" w:leader="dot" w:pos="8306"/>
        </w:tabs>
      </w:pPr>
      <w:hyperlink w:anchor="_Toc19320" w:history="1">
        <w:r>
          <w:rPr>
            <w:rFonts w:ascii="仿宋" w:eastAsia="仿宋" w:hAnsi="仿宋" w:cs="仿宋" w:hint="eastAsia"/>
            <w:lang w:eastAsia="zh-CN"/>
          </w:rPr>
          <w:t>(二)、培训与发展计划</w:t>
        </w:r>
        <w:r>
          <w:tab/>
        </w:r>
        <w:r>
          <w:fldChar w:fldCharType="begin"/>
        </w:r>
        <w:r>
          <w:instrText xml:space="preserve"> PAGEREF _Toc19320 \h </w:instrText>
        </w:r>
        <w:r>
          <w:fldChar w:fldCharType="separate"/>
        </w:r>
        <w:r>
          <w:t>32</w:t>
        </w:r>
        <w:r>
          <w:fldChar w:fldCharType="end"/>
        </w:r>
      </w:hyperlink>
    </w:p>
    <w:p>
      <w:pPr>
        <w:pStyle w:val="TOC1"/>
        <w:tabs>
          <w:tab w:val="right" w:leader="dot" w:pos="8306"/>
        </w:tabs>
      </w:pPr>
      <w:hyperlink w:anchor="_Toc24169" w:history="1">
        <w:r>
          <w:rPr>
            <w:rFonts w:ascii="仿宋" w:eastAsia="仿宋" w:hAnsi="仿宋" w:cs="仿宋" w:hint="eastAsia"/>
            <w:lang w:eastAsia="zh-CN"/>
          </w:rPr>
          <w:t>十、射频消融仪项目社会影响</w:t>
        </w:r>
        <w:r>
          <w:tab/>
        </w:r>
        <w:r>
          <w:fldChar w:fldCharType="begin"/>
        </w:r>
        <w:r>
          <w:instrText xml:space="preserve"> PAGEREF _Toc24169 \h </w:instrText>
        </w:r>
        <w:r>
          <w:fldChar w:fldCharType="separate"/>
        </w:r>
        <w:r>
          <w:t>32</w:t>
        </w:r>
        <w:r>
          <w:fldChar w:fldCharType="end"/>
        </w:r>
      </w:hyperlink>
    </w:p>
    <w:p>
      <w:pPr>
        <w:pStyle w:val="TOC2"/>
        <w:tabs>
          <w:tab w:val="right" w:leader="dot" w:pos="8306"/>
        </w:tabs>
      </w:pPr>
      <w:hyperlink w:anchor="_Toc30388" w:history="1">
        <w:r>
          <w:rPr>
            <w:rFonts w:ascii="仿宋" w:eastAsia="仿宋" w:hAnsi="仿宋" w:cs="仿宋" w:hint="eastAsia"/>
            <w:lang w:eastAsia="zh-CN"/>
          </w:rPr>
          <w:t>(一)、社会责任与义务</w:t>
        </w:r>
        <w:r>
          <w:tab/>
        </w:r>
        <w:r>
          <w:fldChar w:fldCharType="begin"/>
        </w:r>
        <w:r>
          <w:instrText xml:space="preserve"> PAGEREF _Toc30388 \h </w:instrText>
        </w:r>
        <w:r>
          <w:fldChar w:fldCharType="separate"/>
        </w:r>
        <w:r>
          <w:t>32</w:t>
        </w:r>
        <w:r>
          <w:fldChar w:fldCharType="end"/>
        </w:r>
      </w:hyperlink>
    </w:p>
    <w:p>
      <w:pPr>
        <w:pStyle w:val="TOC2"/>
        <w:tabs>
          <w:tab w:val="right" w:leader="dot" w:pos="8306"/>
        </w:tabs>
      </w:pPr>
      <w:hyperlink w:anchor="_Toc20268" w:history="1">
        <w:r>
          <w:rPr>
            <w:rFonts w:ascii="仿宋" w:eastAsia="仿宋" w:hAnsi="仿宋" w:cs="仿宋" w:hint="eastAsia"/>
            <w:lang w:eastAsia="zh-CN"/>
          </w:rPr>
          <w:t>(二)、社会参与与沟通</w:t>
        </w:r>
        <w:r>
          <w:tab/>
        </w:r>
        <w:r>
          <w:fldChar w:fldCharType="begin"/>
        </w:r>
        <w:r>
          <w:instrText xml:space="preserve"> PAGEREF _Toc20268 \h </w:instrText>
        </w:r>
        <w:r>
          <w:fldChar w:fldCharType="separate"/>
        </w:r>
        <w:r>
          <w:t>33</w:t>
        </w:r>
        <w:r>
          <w:fldChar w:fldCharType="end"/>
        </w:r>
      </w:hyperlink>
    </w:p>
    <w:p>
      <w:pPr>
        <w:pStyle w:val="TOC1"/>
        <w:tabs>
          <w:tab w:val="right" w:leader="dot" w:pos="8306"/>
        </w:tabs>
      </w:pPr>
      <w:hyperlink w:anchor="_Toc25517" w:history="1">
        <w:r>
          <w:rPr>
            <w:rFonts w:ascii="仿宋" w:eastAsia="仿宋" w:hAnsi="仿宋" w:cs="仿宋" w:hint="eastAsia"/>
            <w:lang w:eastAsia="zh-CN"/>
          </w:rPr>
          <w:t>十一、射频消融仪项目投资规划</w:t>
        </w:r>
        <w:r>
          <w:tab/>
        </w:r>
        <w:r>
          <w:fldChar w:fldCharType="begin"/>
        </w:r>
        <w:r>
          <w:instrText xml:space="preserve"> PAGEREF _Toc25517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5" w:history="1">
        <w:r>
          <w:rPr>
            <w:rFonts w:ascii="仿宋" w:eastAsia="仿宋" w:hAnsi="仿宋" w:cs="仿宋" w:hint="eastAsia"/>
            <w:lang w:eastAsia="zh-CN"/>
          </w:rPr>
          <w:t>(一)、射频消融仪项目总投资估算</w:t>
        </w:r>
        <w:r>
          <w:tab/>
        </w:r>
        <w:r>
          <w:fldChar w:fldCharType="begin"/>
        </w:r>
        <w:r>
          <w:instrText xml:space="preserve"> PAGEREF _Toc1695 \h </w:instrText>
        </w:r>
        <w:r>
          <w:fldChar w:fldCharType="separate"/>
        </w:r>
        <w:r>
          <w:t>34</w:t>
        </w:r>
        <w:r>
          <w:fldChar w:fldCharType="end"/>
        </w:r>
      </w:hyperlink>
    </w:p>
    <w:p>
      <w:pPr>
        <w:pStyle w:val="TOC2"/>
        <w:tabs>
          <w:tab w:val="right" w:leader="dot" w:pos="8306"/>
        </w:tabs>
      </w:pPr>
      <w:hyperlink w:anchor="_Toc3543" w:history="1">
        <w:r>
          <w:rPr>
            <w:rFonts w:ascii="仿宋" w:eastAsia="仿宋" w:hAnsi="仿宋" w:cs="仿宋" w:hint="eastAsia"/>
            <w:lang w:eastAsia="zh-CN"/>
          </w:rPr>
          <w:t>(二)、资金筹措</w:t>
        </w:r>
        <w:r>
          <w:tab/>
        </w:r>
        <w:r>
          <w:fldChar w:fldCharType="begin"/>
        </w:r>
        <w:r>
          <w:instrText xml:space="preserve"> PAGEREF _Toc3543 \h </w:instrText>
        </w:r>
        <w:r>
          <w:fldChar w:fldCharType="separate"/>
        </w:r>
        <w:r>
          <w:t>35</w:t>
        </w:r>
        <w:r>
          <w:fldChar w:fldCharType="end"/>
        </w:r>
      </w:hyperlink>
    </w:p>
    <w:p>
      <w:pPr>
        <w:pStyle w:val="TOC1"/>
        <w:tabs>
          <w:tab w:val="right" w:leader="dot" w:pos="8306"/>
        </w:tabs>
      </w:pPr>
      <w:hyperlink w:anchor="_Toc13235" w:history="1">
        <w:r>
          <w:rPr>
            <w:rFonts w:ascii="仿宋" w:eastAsia="仿宋" w:hAnsi="仿宋" w:cs="仿宋" w:hint="eastAsia"/>
            <w:lang w:eastAsia="zh-CN"/>
          </w:rPr>
          <w:t>十二、射频消融仪项目经营效益</w:t>
        </w:r>
        <w:r>
          <w:tab/>
        </w:r>
        <w:r>
          <w:fldChar w:fldCharType="begin"/>
        </w:r>
        <w:r>
          <w:instrText xml:space="preserve"> PAGEREF _Toc13235 \h </w:instrText>
        </w:r>
        <w:r>
          <w:fldChar w:fldCharType="separate"/>
        </w:r>
        <w:r>
          <w:t>36</w:t>
        </w:r>
        <w:r>
          <w:fldChar w:fldCharType="end"/>
        </w:r>
      </w:hyperlink>
    </w:p>
    <w:p>
      <w:pPr>
        <w:pStyle w:val="TOC2"/>
        <w:tabs>
          <w:tab w:val="right" w:leader="dot" w:pos="8306"/>
        </w:tabs>
      </w:pPr>
      <w:hyperlink w:anchor="_Toc11401" w:history="1">
        <w:r>
          <w:rPr>
            <w:rFonts w:ascii="仿宋" w:eastAsia="仿宋" w:hAnsi="仿宋" w:cs="仿宋" w:hint="eastAsia"/>
            <w:lang w:eastAsia="zh-CN"/>
          </w:rPr>
          <w:t>(一)、经济评价财务测算</w:t>
        </w:r>
        <w:r>
          <w:tab/>
        </w:r>
        <w:r>
          <w:fldChar w:fldCharType="begin"/>
        </w:r>
        <w:r>
          <w:instrText xml:space="preserve"> PAGEREF _Toc11401 \h </w:instrText>
        </w:r>
        <w:r>
          <w:fldChar w:fldCharType="separate"/>
        </w:r>
        <w:r>
          <w:t>36</w:t>
        </w:r>
        <w:r>
          <w:fldChar w:fldCharType="end"/>
        </w:r>
      </w:hyperlink>
    </w:p>
    <w:p>
      <w:pPr>
        <w:pStyle w:val="TOC2"/>
        <w:tabs>
          <w:tab w:val="right" w:leader="dot" w:pos="8306"/>
        </w:tabs>
      </w:pPr>
      <w:hyperlink w:anchor="_Toc27645" w:history="1">
        <w:r>
          <w:rPr>
            <w:rFonts w:ascii="仿宋" w:eastAsia="仿宋" w:hAnsi="仿宋" w:cs="仿宋" w:hint="eastAsia"/>
            <w:lang w:eastAsia="zh-CN"/>
          </w:rPr>
          <w:t>(二)、射频消融仪项目盈利能力分析</w:t>
        </w:r>
        <w:r>
          <w:tab/>
        </w:r>
        <w:r>
          <w:fldChar w:fldCharType="begin"/>
        </w:r>
        <w:r>
          <w:instrText xml:space="preserve"> PAGEREF _Toc27645 \h </w:instrText>
        </w:r>
        <w:r>
          <w:fldChar w:fldCharType="separate"/>
        </w:r>
        <w:r>
          <w:t>37</w:t>
        </w:r>
        <w:r>
          <w:fldChar w:fldCharType="end"/>
        </w:r>
      </w:hyperlink>
    </w:p>
    <w:p>
      <w:pPr>
        <w:pStyle w:val="TOC1"/>
        <w:tabs>
          <w:tab w:val="right" w:leader="dot" w:pos="8306"/>
        </w:tabs>
      </w:pPr>
      <w:hyperlink w:anchor="_Toc13356" w:history="1">
        <w:r>
          <w:rPr>
            <w:rFonts w:ascii="仿宋" w:eastAsia="仿宋" w:hAnsi="仿宋" w:cs="仿宋" w:hint="eastAsia"/>
            <w:lang w:eastAsia="zh-CN"/>
          </w:rPr>
          <w:t>十三、射频消融仪项目治理与监督</w:t>
        </w:r>
        <w:r>
          <w:tab/>
        </w:r>
        <w:r>
          <w:fldChar w:fldCharType="begin"/>
        </w:r>
        <w:r>
          <w:instrText xml:space="preserve"> PAGEREF _Toc13356 \h </w:instrText>
        </w:r>
        <w:r>
          <w:fldChar w:fldCharType="separate"/>
        </w:r>
        <w:r>
          <w:t>38</w:t>
        </w:r>
        <w:r>
          <w:fldChar w:fldCharType="end"/>
        </w:r>
      </w:hyperlink>
    </w:p>
    <w:p>
      <w:pPr>
        <w:pStyle w:val="TOC2"/>
        <w:tabs>
          <w:tab w:val="right" w:leader="dot" w:pos="8306"/>
        </w:tabs>
      </w:pPr>
      <w:hyperlink w:anchor="_Toc31400" w:history="1">
        <w:r>
          <w:rPr>
            <w:rFonts w:ascii="仿宋" w:eastAsia="仿宋" w:hAnsi="仿宋" w:cs="仿宋" w:hint="eastAsia"/>
            <w:lang w:eastAsia="zh-CN"/>
          </w:rPr>
          <w:t>(一)、射频消融仪项目治理结构</w:t>
        </w:r>
        <w:r>
          <w:tab/>
        </w:r>
        <w:r>
          <w:fldChar w:fldCharType="begin"/>
        </w:r>
        <w:r>
          <w:instrText xml:space="preserve"> PAGEREF _Toc31400 \h </w:instrText>
        </w:r>
        <w:r>
          <w:fldChar w:fldCharType="separate"/>
        </w:r>
        <w:r>
          <w:t>38</w:t>
        </w:r>
        <w:r>
          <w:fldChar w:fldCharType="end"/>
        </w:r>
      </w:hyperlink>
    </w:p>
    <w:p>
      <w:pPr>
        <w:pStyle w:val="TOC2"/>
        <w:tabs>
          <w:tab w:val="right" w:leader="dot" w:pos="8306"/>
        </w:tabs>
      </w:pPr>
      <w:hyperlink w:anchor="_Toc29194" w:history="1">
        <w:r>
          <w:rPr>
            <w:rFonts w:ascii="仿宋" w:eastAsia="仿宋" w:hAnsi="仿宋" w:cs="仿宋" w:hint="eastAsia"/>
            <w:lang w:eastAsia="zh-CN"/>
          </w:rPr>
          <w:t>(二)、监督与审计</w:t>
        </w:r>
        <w:r>
          <w:tab/>
        </w:r>
        <w:r>
          <w:fldChar w:fldCharType="begin"/>
        </w:r>
        <w:r>
          <w:instrText xml:space="preserve"> PAGEREF _Toc29194 \h </w:instrText>
        </w:r>
        <w:r>
          <w:fldChar w:fldCharType="separate"/>
        </w:r>
        <w:r>
          <w:t>40</w:t>
        </w:r>
        <w:r>
          <w:fldChar w:fldCharType="end"/>
        </w:r>
      </w:hyperlink>
    </w:p>
    <w:p>
      <w:pPr>
        <w:pStyle w:val="TOC1"/>
        <w:tabs>
          <w:tab w:val="right" w:leader="dot" w:pos="8306"/>
        </w:tabs>
      </w:pPr>
      <w:hyperlink w:anchor="_Toc29589" w:history="1">
        <w:r>
          <w:rPr>
            <w:rFonts w:ascii="仿宋" w:eastAsia="仿宋" w:hAnsi="仿宋" w:cs="仿宋" w:hint="eastAsia"/>
            <w:lang w:eastAsia="zh-CN"/>
          </w:rPr>
          <w:t>十四、风险识别与分类</w:t>
        </w:r>
        <w:r>
          <w:tab/>
        </w:r>
        <w:r>
          <w:fldChar w:fldCharType="begin"/>
        </w:r>
        <w:r>
          <w:instrText xml:space="preserve"> PAGEREF _Toc29589 \h </w:instrText>
        </w:r>
        <w:r>
          <w:fldChar w:fldCharType="separate"/>
        </w:r>
        <w:r>
          <w:t>41</w:t>
        </w:r>
        <w:r>
          <w:fldChar w:fldCharType="end"/>
        </w:r>
      </w:hyperlink>
    </w:p>
    <w:p>
      <w:pPr>
        <w:pStyle w:val="TOC2"/>
        <w:tabs>
          <w:tab w:val="right" w:leader="dot" w:pos="8306"/>
        </w:tabs>
      </w:pPr>
      <w:hyperlink w:anchor="_Toc8011" w:history="1">
        <w:r>
          <w:rPr>
            <w:rFonts w:ascii="仿宋" w:eastAsia="仿宋" w:hAnsi="仿宋" w:cs="仿宋" w:hint="eastAsia"/>
            <w:lang w:eastAsia="zh-CN"/>
          </w:rPr>
          <w:t>(一)、风险识别</w:t>
        </w:r>
        <w:r>
          <w:tab/>
        </w:r>
        <w:r>
          <w:fldChar w:fldCharType="begin"/>
        </w:r>
        <w:r>
          <w:instrText xml:space="preserve"> PAGEREF _Toc8011 \h </w:instrText>
        </w:r>
        <w:r>
          <w:fldChar w:fldCharType="separate"/>
        </w:r>
        <w:r>
          <w:t>41</w:t>
        </w:r>
        <w:r>
          <w:fldChar w:fldCharType="end"/>
        </w:r>
      </w:hyperlink>
    </w:p>
    <w:p>
      <w:pPr>
        <w:pStyle w:val="TOC2"/>
        <w:tabs>
          <w:tab w:val="right" w:leader="dot" w:pos="8306"/>
        </w:tabs>
      </w:pPr>
      <w:hyperlink w:anchor="_Toc5333" w:history="1">
        <w:r>
          <w:rPr>
            <w:rFonts w:ascii="仿宋" w:eastAsia="仿宋" w:hAnsi="仿宋" w:cs="仿宋" w:hint="eastAsia"/>
            <w:lang w:eastAsia="zh-CN"/>
          </w:rPr>
          <w:t>(二)、风险分类</w:t>
        </w:r>
        <w:r>
          <w:tab/>
        </w:r>
        <w:r>
          <w:fldChar w:fldCharType="begin"/>
        </w:r>
        <w:r>
          <w:instrText xml:space="preserve"> PAGEREF _Toc5333 \h </w:instrText>
        </w:r>
        <w:r>
          <w:fldChar w:fldCharType="separate"/>
        </w:r>
        <w:r>
          <w:t>42</w:t>
        </w:r>
        <w:r>
          <w:fldChar w:fldCharType="end"/>
        </w:r>
      </w:hyperlink>
    </w:p>
    <w:p>
      <w:pPr>
        <w:pStyle w:val="TOC1"/>
        <w:tabs>
          <w:tab w:val="right" w:leader="dot" w:pos="8306"/>
        </w:tabs>
      </w:pPr>
      <w:hyperlink w:anchor="_Toc27939" w:history="1">
        <w:r>
          <w:rPr>
            <w:rFonts w:ascii="仿宋" w:eastAsia="仿宋" w:hAnsi="仿宋" w:cs="仿宋" w:hint="eastAsia"/>
            <w:lang w:eastAsia="zh-CN"/>
          </w:rPr>
          <w:t>十五、射频消融仪项目实施保障措施</w:t>
        </w:r>
        <w:r>
          <w:tab/>
        </w:r>
        <w:r>
          <w:fldChar w:fldCharType="begin"/>
        </w:r>
        <w:r>
          <w:instrText xml:space="preserve"> PAGEREF _Toc27939 \h </w:instrText>
        </w:r>
        <w:r>
          <w:fldChar w:fldCharType="separate"/>
        </w:r>
        <w:r>
          <w:t>44</w:t>
        </w:r>
        <w:r>
          <w:fldChar w:fldCharType="end"/>
        </w:r>
      </w:hyperlink>
    </w:p>
    <w:p>
      <w:pPr>
        <w:pStyle w:val="TOC2"/>
        <w:tabs>
          <w:tab w:val="right" w:leader="dot" w:pos="8306"/>
        </w:tabs>
      </w:pPr>
      <w:hyperlink w:anchor="_Toc4263" w:history="1">
        <w:r>
          <w:rPr>
            <w:rFonts w:ascii="仿宋" w:eastAsia="仿宋" w:hAnsi="仿宋" w:cs="仿宋" w:hint="eastAsia"/>
            <w:lang w:eastAsia="zh-CN"/>
          </w:rPr>
          <w:t>(一)、射频消融仪项目实施保障机制</w:t>
        </w:r>
        <w:r>
          <w:tab/>
        </w:r>
        <w:r>
          <w:fldChar w:fldCharType="begin"/>
        </w:r>
        <w:r>
          <w:instrText xml:space="preserve"> PAGEREF _Toc4263 \h </w:instrText>
        </w:r>
        <w:r>
          <w:fldChar w:fldCharType="separate"/>
        </w:r>
        <w:r>
          <w:t>44</w:t>
        </w:r>
        <w:r>
          <w:fldChar w:fldCharType="end"/>
        </w:r>
      </w:hyperlink>
    </w:p>
    <w:p>
      <w:pPr>
        <w:pStyle w:val="TOC2"/>
        <w:tabs>
          <w:tab w:val="right" w:leader="dot" w:pos="8306"/>
        </w:tabs>
      </w:pPr>
      <w:hyperlink w:anchor="_Toc23366" w:history="1">
        <w:r>
          <w:rPr>
            <w:rFonts w:ascii="仿宋" w:eastAsia="仿宋" w:hAnsi="仿宋" w:cs="仿宋" w:hint="eastAsia"/>
            <w:lang w:eastAsia="zh-CN"/>
          </w:rPr>
          <w:t>(二)、射频消融仪项目法律合规要求</w:t>
        </w:r>
        <w:r>
          <w:tab/>
        </w:r>
        <w:r>
          <w:fldChar w:fldCharType="begin"/>
        </w:r>
        <w:r>
          <w:instrText xml:space="preserve"> PAGEREF _Toc23366 \h </w:instrText>
        </w:r>
        <w:r>
          <w:fldChar w:fldCharType="separate"/>
        </w:r>
        <w:r>
          <w:t>48</w:t>
        </w:r>
        <w:r>
          <w:fldChar w:fldCharType="end"/>
        </w:r>
      </w:hyperlink>
    </w:p>
    <w:p>
      <w:pPr>
        <w:pStyle w:val="TOC2"/>
        <w:tabs>
          <w:tab w:val="right" w:leader="dot" w:pos="8306"/>
        </w:tabs>
      </w:pPr>
      <w:hyperlink w:anchor="_Toc27797" w:history="1">
        <w:r>
          <w:rPr>
            <w:rFonts w:ascii="仿宋" w:eastAsia="仿宋" w:hAnsi="仿宋" w:cs="仿宋" w:hint="eastAsia"/>
            <w:lang w:eastAsia="zh-CN"/>
          </w:rPr>
          <w:t>(三)、射频消融仪项目合同管理与法律事务</w:t>
        </w:r>
        <w:r>
          <w:tab/>
        </w:r>
        <w:r>
          <w:fldChar w:fldCharType="begin"/>
        </w:r>
        <w:r>
          <w:instrText xml:space="preserve"> PAGEREF _Toc27797 \h </w:instrText>
        </w:r>
        <w:r>
          <w:fldChar w:fldCharType="separate"/>
        </w:r>
        <w:r>
          <w:t>52</w:t>
        </w:r>
        <w:r>
          <w:fldChar w:fldCharType="end"/>
        </w:r>
      </w:hyperlink>
    </w:p>
    <w:p>
      <w:pPr>
        <w:pStyle w:val="TOC2"/>
        <w:tabs>
          <w:tab w:val="right" w:leader="dot" w:pos="8306"/>
        </w:tabs>
      </w:pPr>
      <w:hyperlink w:anchor="_Toc29463" w:history="1">
        <w:r>
          <w:rPr>
            <w:rFonts w:ascii="仿宋" w:eastAsia="仿宋" w:hAnsi="仿宋" w:cs="仿宋" w:hint="eastAsia"/>
            <w:lang w:eastAsia="zh-CN"/>
          </w:rPr>
          <w:t>(四)、射频消融仪项目知识产权保护策略</w:t>
        </w:r>
        <w:r>
          <w:tab/>
        </w:r>
        <w:r>
          <w:fldChar w:fldCharType="begin"/>
        </w:r>
        <w:r>
          <w:instrText xml:space="preserve"> PAGEREF _Toc29463 \h </w:instrText>
        </w:r>
        <w:r>
          <w:fldChar w:fldCharType="separate"/>
        </w:r>
        <w:r>
          <w:t>58</w:t>
        </w:r>
        <w:r>
          <w:fldChar w:fldCharType="end"/>
        </w:r>
      </w:hyperlink>
    </w:p>
    <w:p>
      <w:pPr>
        <w:pStyle w:val="TOC1"/>
        <w:tabs>
          <w:tab w:val="right" w:leader="dot" w:pos="8306"/>
        </w:tabs>
      </w:pPr>
      <w:hyperlink w:anchor="_Toc18034" w:history="1">
        <w:r>
          <w:rPr>
            <w:rFonts w:ascii="仿宋" w:eastAsia="仿宋" w:hAnsi="仿宋" w:cs="仿宋" w:hint="eastAsia"/>
            <w:lang w:eastAsia="zh-CN"/>
          </w:rPr>
          <w:t>十六、营销与推广策略</w:t>
        </w:r>
        <w:r>
          <w:tab/>
        </w:r>
        <w:r>
          <w:fldChar w:fldCharType="begin"/>
        </w:r>
        <w:r>
          <w:instrText xml:space="preserve"> PAGEREF _Toc18034 \h </w:instrText>
        </w:r>
        <w:r>
          <w:fldChar w:fldCharType="separate"/>
        </w:r>
        <w:r>
          <w:t>61</w:t>
        </w:r>
        <w:r>
          <w:fldChar w:fldCharType="end"/>
        </w:r>
      </w:hyperlink>
    </w:p>
    <w:p>
      <w:pPr>
        <w:pStyle w:val="TOC2"/>
        <w:tabs>
          <w:tab w:val="right" w:leader="dot" w:pos="8306"/>
        </w:tabs>
      </w:pPr>
      <w:hyperlink w:anchor="_Toc5422" w:history="1">
        <w:r>
          <w:rPr>
            <w:rFonts w:ascii="仿宋" w:eastAsia="仿宋" w:hAnsi="仿宋" w:cs="仿宋" w:hint="eastAsia"/>
            <w:lang w:eastAsia="zh-CN"/>
          </w:rPr>
          <w:t>(一)、产品/服务定位与特点</w:t>
        </w:r>
        <w:r>
          <w:tab/>
        </w:r>
        <w:r>
          <w:fldChar w:fldCharType="begin"/>
        </w:r>
        <w:r>
          <w:instrText xml:space="preserve"> PAGEREF _Toc5422 \h </w:instrText>
        </w:r>
        <w:r>
          <w:fldChar w:fldCharType="separate"/>
        </w:r>
        <w:r>
          <w:t>61</w:t>
        </w:r>
        <w:r>
          <w:fldChar w:fldCharType="end"/>
        </w:r>
      </w:hyperlink>
    </w:p>
    <w:p>
      <w:pPr>
        <w:pStyle w:val="TOC2"/>
        <w:tabs>
          <w:tab w:val="right" w:leader="dot" w:pos="8306"/>
        </w:tabs>
      </w:pPr>
      <w:hyperlink w:anchor="_Toc5697" w:history="1">
        <w:r>
          <w:rPr>
            <w:rFonts w:ascii="仿宋" w:eastAsia="仿宋" w:hAnsi="仿宋" w:cs="仿宋" w:hint="eastAsia"/>
            <w:lang w:eastAsia="zh-CN"/>
          </w:rPr>
          <w:t>(二)、市场定位与竞争分析</w:t>
        </w:r>
        <w:r>
          <w:tab/>
        </w:r>
        <w:r>
          <w:fldChar w:fldCharType="begin"/>
        </w:r>
        <w:r>
          <w:instrText xml:space="preserve"> PAGEREF _Toc5697 \h </w:instrText>
        </w:r>
        <w:r>
          <w:fldChar w:fldCharType="separate"/>
        </w:r>
        <w:r>
          <w:t>62</w:t>
        </w:r>
        <w:r>
          <w:fldChar w:fldCharType="end"/>
        </w:r>
      </w:hyperlink>
    </w:p>
    <w:p>
      <w:pPr>
        <w:pStyle w:val="TOC2"/>
        <w:tabs>
          <w:tab w:val="right" w:leader="dot" w:pos="8306"/>
        </w:tabs>
      </w:pPr>
      <w:hyperlink w:anchor="_Toc13350" w:history="1">
        <w:r>
          <w:rPr>
            <w:rFonts w:ascii="仿宋" w:eastAsia="仿宋" w:hAnsi="仿宋" w:cs="仿宋" w:hint="eastAsia"/>
            <w:lang w:eastAsia="zh-CN"/>
          </w:rPr>
          <w:t>(三)、营销渠道与策略</w:t>
        </w:r>
        <w:r>
          <w:tab/>
        </w:r>
        <w:r>
          <w:fldChar w:fldCharType="begin"/>
        </w:r>
        <w:r>
          <w:instrText xml:space="preserve"> PAGEREF _Toc13350 \h </w:instrText>
        </w:r>
        <w:r>
          <w:fldChar w:fldCharType="separate"/>
        </w:r>
        <w:r>
          <w:t>63</w:t>
        </w:r>
        <w:r>
          <w:fldChar w:fldCharType="end"/>
        </w:r>
      </w:hyperlink>
    </w:p>
    <w:p>
      <w:pPr>
        <w:pStyle w:val="TOC2"/>
        <w:tabs>
          <w:tab w:val="right" w:leader="dot" w:pos="8306"/>
        </w:tabs>
      </w:pPr>
      <w:hyperlink w:anchor="_Toc31818" w:history="1">
        <w:r>
          <w:rPr>
            <w:rFonts w:ascii="仿宋" w:eastAsia="仿宋" w:hAnsi="仿宋" w:cs="仿宋" w:hint="eastAsia"/>
            <w:lang w:eastAsia="zh-CN"/>
          </w:rPr>
          <w:t>(四)、推广与宣传活动</w:t>
        </w:r>
        <w:r>
          <w:tab/>
        </w:r>
        <w:r>
          <w:fldChar w:fldCharType="begin"/>
        </w:r>
        <w:r>
          <w:instrText xml:space="preserve"> PAGEREF _Toc31818 \h </w:instrText>
        </w:r>
        <w:r>
          <w:fldChar w:fldCharType="separate"/>
        </w:r>
        <w:r>
          <w:t>64</w:t>
        </w:r>
        <w:r>
          <w:fldChar w:fldCharType="end"/>
        </w:r>
      </w:hyperlink>
    </w:p>
    <w:p>
      <w:pPr>
        <w:pStyle w:val="TOC1"/>
        <w:tabs>
          <w:tab w:val="right" w:leader="dot" w:pos="8306"/>
        </w:tabs>
      </w:pPr>
      <w:hyperlink w:anchor="_Toc28376" w:history="1">
        <w:r>
          <w:rPr>
            <w:rFonts w:ascii="仿宋" w:eastAsia="仿宋" w:hAnsi="仿宋" w:cs="仿宋" w:hint="eastAsia"/>
            <w:lang w:eastAsia="zh-CN"/>
          </w:rPr>
          <w:t>十七、质量管理体系</w:t>
        </w:r>
        <w:r>
          <w:tab/>
        </w:r>
        <w:r>
          <w:fldChar w:fldCharType="begin"/>
        </w:r>
        <w:r>
          <w:instrText xml:space="preserve"> PAGEREF _Toc28376 \h </w:instrText>
        </w:r>
        <w:r>
          <w:fldChar w:fldCharType="separate"/>
        </w:r>
        <w:r>
          <w:t>70</w:t>
        </w:r>
        <w:r>
          <w:fldChar w:fldCharType="end"/>
        </w:r>
      </w:hyperlink>
    </w:p>
    <w:p>
      <w:pPr>
        <w:pStyle w:val="TOC2"/>
        <w:tabs>
          <w:tab w:val="right" w:leader="dot" w:pos="8306"/>
        </w:tabs>
      </w:pPr>
      <w:hyperlink w:anchor="_Toc25836" w:history="1">
        <w:r>
          <w:rPr>
            <w:rFonts w:ascii="仿宋" w:eastAsia="仿宋" w:hAnsi="仿宋" w:cs="仿宋" w:hint="eastAsia"/>
            <w:lang w:eastAsia="zh-CN"/>
          </w:rPr>
          <w:t>(一)、质量目标与方针</w:t>
        </w:r>
        <w:r>
          <w:tab/>
        </w:r>
        <w:r>
          <w:fldChar w:fldCharType="begin"/>
        </w:r>
        <w:r>
          <w:instrText xml:space="preserve"> PAGEREF _Toc25836 \h </w:instrText>
        </w:r>
        <w:r>
          <w:fldChar w:fldCharType="separate"/>
        </w:r>
        <w:r>
          <w:t>70</w:t>
        </w:r>
        <w:r>
          <w:fldChar w:fldCharType="end"/>
        </w:r>
      </w:hyperlink>
    </w:p>
    <w:p>
      <w:pPr>
        <w:pStyle w:val="TOC2"/>
        <w:tabs>
          <w:tab w:val="right" w:leader="dot" w:pos="8306"/>
        </w:tabs>
      </w:pPr>
      <w:hyperlink w:anchor="_Toc19819" w:history="1">
        <w:r>
          <w:rPr>
            <w:rFonts w:ascii="仿宋" w:eastAsia="仿宋" w:hAnsi="仿宋" w:cs="仿宋" w:hint="eastAsia"/>
            <w:lang w:eastAsia="zh-CN"/>
          </w:rPr>
          <w:t>(二)、质量管理责任</w:t>
        </w:r>
        <w:r>
          <w:tab/>
        </w:r>
        <w:r>
          <w:fldChar w:fldCharType="begin"/>
        </w:r>
        <w:r>
          <w:instrText xml:space="preserve"> PAGEREF _Toc19819 \h </w:instrText>
        </w:r>
        <w:r>
          <w:fldChar w:fldCharType="separate"/>
        </w:r>
        <w:r>
          <w:t>71</w:t>
        </w:r>
        <w:r>
          <w:fldChar w:fldCharType="end"/>
        </w:r>
      </w:hyperlink>
    </w:p>
    <w:p>
      <w:pPr>
        <w:pStyle w:val="TOC2"/>
        <w:tabs>
          <w:tab w:val="right" w:leader="dot" w:pos="8306"/>
        </w:tabs>
      </w:pPr>
      <w:hyperlink w:anchor="_Toc22507" w:history="1">
        <w:r>
          <w:rPr>
            <w:rFonts w:ascii="仿宋" w:eastAsia="仿宋" w:hAnsi="仿宋" w:cs="仿宋" w:hint="eastAsia"/>
            <w:lang w:eastAsia="zh-CN"/>
          </w:rPr>
          <w:t>(三)、质量管理体系文件</w:t>
        </w:r>
        <w:r>
          <w:tab/>
        </w:r>
        <w:r>
          <w:fldChar w:fldCharType="begin"/>
        </w:r>
        <w:r>
          <w:instrText xml:space="preserve"> PAGEREF _Toc22507 \h </w:instrText>
        </w:r>
        <w:r>
          <w:fldChar w:fldCharType="separate"/>
        </w:r>
        <w:r>
          <w:t>72</w:t>
        </w:r>
        <w:r>
          <w:fldChar w:fldCharType="end"/>
        </w:r>
      </w:hyperlink>
    </w:p>
    <w:p>
      <w:pPr>
        <w:pStyle w:val="TOC2"/>
        <w:tabs>
          <w:tab w:val="right" w:leader="dot" w:pos="8306"/>
        </w:tabs>
      </w:pPr>
      <w:hyperlink w:anchor="_Toc16352" w:history="1">
        <w:r>
          <w:rPr>
            <w:rFonts w:ascii="仿宋" w:eastAsia="仿宋" w:hAnsi="仿宋" w:cs="仿宋" w:hint="eastAsia"/>
            <w:lang w:eastAsia="zh-CN"/>
          </w:rPr>
          <w:t>(四)、质量培训与教育</w:t>
        </w:r>
        <w:r>
          <w:tab/>
        </w:r>
        <w:r>
          <w:fldChar w:fldCharType="begin"/>
        </w:r>
        <w:r>
          <w:instrText xml:space="preserve"> PAGEREF _Toc16352 \h </w:instrText>
        </w:r>
        <w:r>
          <w:fldChar w:fldCharType="separate"/>
        </w:r>
        <w:r>
          <w:t>74</w:t>
        </w:r>
        <w:r>
          <w:fldChar w:fldCharType="end"/>
        </w:r>
      </w:hyperlink>
    </w:p>
    <w:p>
      <w:pPr>
        <w:pStyle w:val="TOC2"/>
        <w:tabs>
          <w:tab w:val="right" w:leader="dot" w:pos="8306"/>
        </w:tabs>
      </w:pPr>
      <w:hyperlink w:anchor="_Toc14160" w:history="1">
        <w:r>
          <w:rPr>
            <w:rFonts w:ascii="仿宋" w:eastAsia="仿宋" w:hAnsi="仿宋" w:cs="仿宋" w:hint="eastAsia"/>
            <w:lang w:eastAsia="zh-CN"/>
          </w:rPr>
          <w:t>(五)、质量审核与评价</w:t>
        </w:r>
        <w:r>
          <w:tab/>
        </w:r>
        <w:r>
          <w:fldChar w:fldCharType="begin"/>
        </w:r>
        <w:r>
          <w:instrText xml:space="preserve"> PAGEREF _Toc14160 \h </w:instrText>
        </w:r>
        <w:r>
          <w:fldChar w:fldCharType="separate"/>
        </w:r>
        <w:r>
          <w:t>75</w:t>
        </w:r>
        <w:r>
          <w:fldChar w:fldCharType="end"/>
        </w:r>
      </w:hyperlink>
    </w:p>
    <w:p>
      <w:pPr>
        <w:pStyle w:val="TOC2"/>
        <w:tabs>
          <w:tab w:val="right" w:leader="dot" w:pos="8306"/>
        </w:tabs>
      </w:pPr>
      <w:hyperlink w:anchor="_Toc12805" w:history="1">
        <w:r>
          <w:rPr>
            <w:rFonts w:ascii="仿宋" w:eastAsia="仿宋" w:hAnsi="仿宋" w:cs="仿宋" w:hint="eastAsia"/>
            <w:lang w:eastAsia="zh-CN"/>
          </w:rPr>
          <w:t>(六)、不符合与纠正措施</w:t>
        </w:r>
        <w:r>
          <w:tab/>
        </w:r>
        <w:r>
          <w:fldChar w:fldCharType="begin"/>
        </w:r>
        <w:r>
          <w:instrText xml:space="preserve"> PAGEREF _Toc12805 \h </w:instrText>
        </w:r>
        <w:r>
          <w:fldChar w:fldCharType="separate"/>
        </w:r>
        <w:r>
          <w:t>76</w:t>
        </w:r>
        <w:r>
          <w:fldChar w:fldCharType="end"/>
        </w:r>
      </w:hyperlink>
    </w:p>
    <w:p>
      <w:pPr>
        <w:pStyle w:val="TOC1"/>
        <w:tabs>
          <w:tab w:val="right" w:leader="dot" w:pos="8306"/>
        </w:tabs>
      </w:pPr>
      <w:hyperlink w:anchor="_Toc4621" w:history="1">
        <w:r>
          <w:rPr>
            <w:rFonts w:ascii="仿宋" w:eastAsia="仿宋" w:hAnsi="仿宋" w:cs="仿宋" w:hint="eastAsia"/>
            <w:lang w:eastAsia="zh-CN"/>
          </w:rPr>
          <w:t>十八、射频消融仪项目实施时间节点</w:t>
        </w:r>
        <w:r>
          <w:tab/>
        </w:r>
        <w:r>
          <w:fldChar w:fldCharType="begin"/>
        </w:r>
        <w:r>
          <w:instrText xml:space="preserve"> PAGEREF _Toc4621 \h </w:instrText>
        </w:r>
        <w:r>
          <w:fldChar w:fldCharType="separate"/>
        </w:r>
        <w:r>
          <w:t>78</w:t>
        </w:r>
        <w:r>
          <w:fldChar w:fldCharType="end"/>
        </w:r>
      </w:hyperlink>
    </w:p>
    <w:p>
      <w:pPr>
        <w:pStyle w:val="TOC2"/>
        <w:tabs>
          <w:tab w:val="right" w:leader="dot" w:pos="8306"/>
        </w:tabs>
      </w:pPr>
      <w:hyperlink w:anchor="_Toc26607" w:history="1">
        <w:r>
          <w:rPr>
            <w:rFonts w:ascii="仿宋" w:eastAsia="仿宋" w:hAnsi="仿宋" w:cs="仿宋" w:hint="eastAsia"/>
            <w:lang w:eastAsia="zh-CN"/>
          </w:rPr>
          <w:t>(一)、射频消融仪项目启动阶段时间节点</w:t>
        </w:r>
        <w:r>
          <w:tab/>
        </w:r>
        <w:r>
          <w:fldChar w:fldCharType="begin"/>
        </w:r>
        <w:r>
          <w:instrText xml:space="preserve"> PAGEREF _Toc26607 \h </w:instrText>
        </w:r>
        <w:r>
          <w:fldChar w:fldCharType="separate"/>
        </w:r>
        <w:r>
          <w:t>78</w:t>
        </w:r>
        <w:r>
          <w:fldChar w:fldCharType="end"/>
        </w:r>
      </w:hyperlink>
    </w:p>
    <w:p>
      <w:pPr>
        <w:pStyle w:val="TOC2"/>
        <w:tabs>
          <w:tab w:val="right" w:leader="dot" w:pos="8306"/>
        </w:tabs>
      </w:pPr>
      <w:hyperlink w:anchor="_Toc4359" w:history="1">
        <w:r>
          <w:rPr>
            <w:rFonts w:ascii="仿宋" w:eastAsia="仿宋" w:hAnsi="仿宋" w:cs="仿宋" w:hint="eastAsia"/>
            <w:lang w:eastAsia="zh-CN"/>
          </w:rPr>
          <w:t>(二)、射频消融仪项目执行阶段时间节点</w:t>
        </w:r>
        <w:r>
          <w:tab/>
        </w:r>
        <w:r>
          <w:fldChar w:fldCharType="begin"/>
        </w:r>
        <w:r>
          <w:instrText xml:space="preserve"> PAGEREF _Toc4359 \h </w:instrText>
        </w:r>
        <w:r>
          <w:fldChar w:fldCharType="separate"/>
        </w:r>
        <w:r>
          <w:t>79</w:t>
        </w:r>
        <w:r>
          <w:fldChar w:fldCharType="end"/>
        </w:r>
      </w:hyperlink>
    </w:p>
    <w:p>
      <w:pPr>
        <w:pStyle w:val="TOC2"/>
        <w:tabs>
          <w:tab w:val="right" w:leader="dot" w:pos="8306"/>
        </w:tabs>
      </w:pPr>
      <w:hyperlink w:anchor="_Toc12149" w:history="1">
        <w:r>
          <w:rPr>
            <w:rFonts w:ascii="仿宋" w:eastAsia="仿宋" w:hAnsi="仿宋" w:cs="仿宋" w:hint="eastAsia"/>
            <w:lang w:eastAsia="zh-CN"/>
          </w:rPr>
          <w:t>(三)、射频消融仪项目完成阶段时间节点</w:t>
        </w:r>
        <w:r>
          <w:tab/>
        </w:r>
        <w:r>
          <w:fldChar w:fldCharType="begin"/>
        </w:r>
        <w:r>
          <w:instrText xml:space="preserve"> PAGEREF _Toc12149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453"/>
      <w:r>
        <w:rPr>
          <w:rFonts w:ascii="仿宋" w:eastAsia="仿宋" w:hAnsi="仿宋" w:cs="仿宋" w:hint="eastAsia"/>
          <w:sz w:val="28"/>
          <w:lang w:eastAsia="zh-CN"/>
        </w:rPr>
        <w:t>一、射频消融仪项目可持续发展</w:t>
      </w:r>
      <w:bookmarkEnd w:id="2"/>
    </w:p>
    <w:p>
      <w:pPr>
        <w:pStyle w:val="Heading2"/>
        <w:rPr>
          <w:rFonts w:ascii="仿宋" w:eastAsia="仿宋" w:hAnsi="仿宋" w:cs="仿宋" w:hint="eastAsia"/>
          <w:lang w:eastAsia="zh-CN"/>
        </w:rPr>
      </w:pPr>
      <w:bookmarkStart w:id="3" w:name="_Toc1442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射频消融仪项目中，射频消融仪项目团队着眼于未来，明确了可持续发展的战略方向。制定的具体可持续发展目标包括降低资源使用、采用环保技术、最大化社会效益等。这一步骤不仅有助于射频消融仪项目在环保和社会责任方面达到最高标准，也为未来提供了明确的指引，确保射频消融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可持续实践的融入射频消融仪项目管理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射频消融仪项目管理周期。从射频消融仪项目规划开始，射频消融仪项目团队就考虑了环境和社会的因素。在执行阶段，射频消融仪项目团队积极推动绿色技术的应用，优化资源利用。此外，关注员工的社会责任，通过培训和沟通活动提高员工对可持续发展的认知，使他们能够在日常工作中践行可持续实践。这些举措不仅为射频消融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21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扎根于射频消融仪项目的可持续发展理念，我们深信环保与社会责任是射频消融仪项目成功的关键支柱。在射频消融仪项目的每一步，我们都致力于通过创新和实践，履行对环境和社会的坚定责任。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射频消融仪项目团队通过引入先进的环保技术、建立高效的废物处理系统以及推动能源节约措施，积极履行环保责任。定期的环保监测和评估确保射频消融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射频消融仪项目不仅致力于自身可持续发展，还注重对社会的回馈。通过支持社区射频消融仪项目、参与慈善事业、提供培训机会等方式，射频消融仪项目积极履行社会责任。与当地社区建立积极互动，关注员工的工作与生活平衡，以及员工的身心健康，是射频消融仪项目在社会责任层面的关键举措。这样的实践不仅增强了射频消融仪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7752"/>
      <w:r>
        <w:rPr>
          <w:rFonts w:ascii="仿宋" w:eastAsia="仿宋" w:hAnsi="仿宋" w:cs="仿宋" w:hint="eastAsia"/>
          <w:sz w:val="28"/>
          <w:lang w:eastAsia="zh-CN"/>
        </w:rPr>
        <w:t>二、射频消融仪项目绩效评估</w:t>
      </w:r>
      <w:bookmarkEnd w:id="5"/>
    </w:p>
    <w:p>
      <w:pPr>
        <w:pStyle w:val="Heading2"/>
        <w:rPr>
          <w:rFonts w:ascii="仿宋" w:eastAsia="仿宋" w:hAnsi="仿宋" w:cs="仿宋" w:hint="eastAsia"/>
          <w:lang w:eastAsia="zh-CN"/>
        </w:rPr>
      </w:pPr>
      <w:bookmarkStart w:id="6" w:name="_Toc2651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射频消融仪项目中，我们设计了一套全面的绩效评估指标，以确保射频消融仪项目的可控和成功交付。这些指标跨足射频消融仪项目目标、成本、进度和质量等多个维度，为我们提供了全面洞察射频消融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射频消融仪项目目标达成率是我们关注的首要指标。我们设定了明确的目标，并通过定期监测和评估，迅速发现并应对潜在的目标偏差。这为射频消融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成本绩效是另一个核心关注点。通过实际成本与预算成本的对比分析，我们深入了解成本差异的原因，及时调整资源分配，保持射频消融仪项目在经济效益方面的合理水平。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射频消融仪项目进度作为关键的绩效指标之一，得到了精心的关注。我们制定了详细的射频消融仪项目进度计划，并设立了进度符合度指标，确保实际进度与计划进度保持一致。这使我们能够快速发现和解决潜在的进度问题，保持射频消融仪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射频消融仪项目绩效的不可或缺的一环。我们引入了一系列的质量标准和客户满意度指标，以确保射频消融仪项目交付的成果在质量上达到或超越预期水平。通过持续监测这些指标，我们努力提升射频消融仪项目整体质量水平，为射频消融仪项目的成功交付提供有力保障。通过这些科学且全面的绩效评估，我们能够更好地引导射频消融仪项目的持续改进，确保射频消融仪项目目标的顺利达成。</w:t>
      </w:r>
    </w:p>
    <w:p>
      <w:pPr>
        <w:pStyle w:val="Heading2"/>
        <w:ind w:firstLine="560" w:firstLineChars="200"/>
        <w:rPr>
          <w:rFonts w:ascii="仿宋" w:eastAsia="仿宋" w:hAnsi="仿宋" w:cs="仿宋" w:hint="eastAsia"/>
          <w:sz w:val="28"/>
          <w:lang w:eastAsia="zh-CN"/>
        </w:rPr>
      </w:pPr>
      <w:bookmarkStart w:id="7" w:name="_Toc2184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绩效评估是射频消融仪项目中的关键环节，为确保射频消融仪项目达到预期目标，我们采用了多层次、多维度的绩效评估方法。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射频消融仪项目的战略目标对齐，确保每个决策和行动都与射频消融仪项目整体目标保持一致。团队会定期召开战略对齐会议，审视当前工作与射频消融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射频消融仪项目进度、质量、成本和风险等方面。这些指标通过数据收集和分析，为射频消融仪项目管理团队提供了客观的评估依据。例如，我们通过射频消融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绩效评估不仅仅停留在射频消融仪项目内部，还考虑了射频消融仪项目对外部环境的影响。我们定期进行干系人满意度调查，以了解各利益相关方对射频消融仪项目的期望和满意度，并及时做出调整。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这种多层次、多角度的绩效评估方法，使得我们能够全面了解射频消融仪项目的运行状态，及时做出调整，确保射频消融仪项目在不断变化的环境中保持稳健前行。</w:t>
      </w:r>
    </w:p>
    <w:p>
      <w:pPr>
        <w:pStyle w:val="Heading2"/>
        <w:ind w:firstLine="560" w:firstLineChars="200"/>
        <w:rPr>
          <w:rFonts w:ascii="仿宋" w:eastAsia="仿宋" w:hAnsi="仿宋" w:cs="仿宋" w:hint="eastAsia"/>
          <w:sz w:val="28"/>
          <w:lang w:eastAsia="zh-CN"/>
        </w:rPr>
      </w:pPr>
      <w:bookmarkStart w:id="8" w:name="_Toc281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为了确保射频消融仪项目的有效管理和不断优化，我们采用了精心设计的绩效评估周期。这个周期旨在实现灵活、实时和全面的评估，以适应射频消融仪项目执行中的各种挑战。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射频消融仪项目的不同需求，分为短期、中期和长期。短期评估关注每个迭代或工作周期，以及时发现和解决当前任务中的问题。中期评估涵盖几个迭代，深入了解整体射频消融仪项目的趋势和性能。长期评估则着眼于整个射频消融仪项目阶段，确保射频消融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射频消融仪项目管理工具和协作平台，团队成员能够随时更新和分享射频消融仪项目数据。这种实时性的反馈机制使我们能够及时察觉潜在问题，快速调整，保持射频消融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射频消融仪项目的决策制定密不可分。每个周期的射频消融仪项目回顾会议成为集体总结经验、识别问题深层次原因并找到创新解决方案的平台。这种定期的反思与调整机制使射频消融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2290"/>
      <w:r>
        <w:rPr>
          <w:rFonts w:ascii="仿宋" w:eastAsia="仿宋" w:hAnsi="仿宋" w:cs="仿宋" w:hint="eastAsia"/>
          <w:sz w:val="28"/>
          <w:lang w:eastAsia="zh-CN"/>
        </w:rPr>
        <w:t>三、射频消融仪项目危机管理</w:t>
      </w:r>
      <w:bookmarkEnd w:id="9"/>
    </w:p>
    <w:p>
      <w:pPr>
        <w:pStyle w:val="Heading2"/>
        <w:rPr>
          <w:rFonts w:ascii="仿宋" w:eastAsia="仿宋" w:hAnsi="仿宋" w:cs="仿宋" w:hint="eastAsia"/>
          <w:lang w:eastAsia="zh-CN"/>
        </w:rPr>
      </w:pPr>
      <w:bookmarkStart w:id="10" w:name="_Toc11712"/>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射频消融仪项目危机管理中，危机预警与识别是确保射频消融仪项目稳健运行的核心步骤。通过建立全面的监测机制，射频消融仪项目团队旨在及时发现和理解潜在的风险和危机因素，以便采取及时的预防和应对措施，确保射频消融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首先，通过深入的风险评估，射频消融仪项目团队全面分析了整个射频消融仪项目和各个阶段可能存在的威胁。这包括准确评估每个潜在风险的发生概率和可能影响的程度，为后续危机预警提供了有力支持。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射频消融仪项目团队着重于明确定义射频消融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监测作为危机预警的关键手段，通过对射频消融仪项目进展的持续监控，团队能够及时发现潜在问题并作出迅速反应。射频消融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在这一阶段，团队的专业素养和反应速度将发挥至关重要的作用，以确保潜在危机能够在初期得到有效的处理，最大程度地减轻负面影响。通过危机预警与识别，射频消融仪项目得以更有序、可控地推进。</w:t>
      </w:r>
    </w:p>
    <w:p>
      <w:pPr>
        <w:pStyle w:val="Heading2"/>
        <w:ind w:firstLine="560" w:firstLineChars="200"/>
        <w:rPr>
          <w:rFonts w:ascii="仿宋" w:eastAsia="仿宋" w:hAnsi="仿宋" w:cs="仿宋" w:hint="eastAsia"/>
          <w:sz w:val="28"/>
          <w:lang w:eastAsia="zh-CN"/>
        </w:rPr>
      </w:pPr>
      <w:bookmarkStart w:id="11" w:name="_Toc1293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在危机发生时，射频消融仪项目团队立即行动，成立了应急小组。该小组的任务是迅速制定并实施紧急应对措施，以最小化潜在损失。以下是采取的主要措施：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暂停射频消融仪项目进度：为遏制危机蔓延，射频消融仪项目暂时停止进行，以便全面评估当前状况。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资源重新分配：重新评估射频消融仪项目资源的分配，确保最大限度地减小损失。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实时沟通：与关键利益相关者建立实时沟通机制，向他们传递射频消融仪项目危机的实际状况，保障射频消融仪项目核心利益。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在紧急应对的同时，射频消融仪项目团队强调了团队协作和有效沟通的重要性。以下是团队协作的关键举措：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信息共享机制：建立了信息共享平台，确保团队成员能够及时获取射频消融仪项目危机的实时信息。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领导者沟通：射频消融仪项目领导者通过定期会议和即时沟通工具，指导团队应对危机，保持团队稳定运行。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随着危机得到初步控制，射频消融仪项目团队转向制定恢复计划，以确保射频消融仪项目能够从中迅速恢复。主要恢复计划包括：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修复受损的进度计划：重新评估射频消融仪项目进度，制定修复计划，确保射频消融仪项目尽快回归正常进程。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重新调整资源分配：优化资源分配，确保射频消融仪项目在有限资源下高效运转。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风险管理机制加强：对射频消融仪项目风险进行全面评估，制定更强化的风险管理策略，以预防未来可能的危机。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7533"/>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30200"/>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射频消融仪项目的主要产品是XXXX，预计年产值为XXX万元。这一产品在市场中占据着重要的地位，其广泛的应用范围使得该射频消融仪项目的市场前景非常广阔。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射频消融仪项目的xxx产品作为重要的原材料之一，将在多个领域发挥关键作用。其在建筑、交通、能源等方面的广泛应用将为整个产业链提供强大的支持，形成产业协同效应。射频消融仪项目的年产值XXX万XXX万XXX万万元不仅反映了其在市场上的巨大潜力，更预示着它对国民经济的积极贡献。这种关联度高、涉及面广的产业关系，使得该射频消融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0950"/>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射频消融仪项目总征地面积为XXXX平方米，相当于约XX.XX亩，其中净用地面积为XXXX平方米，红线范围内相当于约XX.XX亩。这一用地规模充分考虑了射频消融仪项目的建设需求，保障了射频消融仪项目在合适的空间内得以充分发展。射频消融仪项目规划的总建筑面积为XXXX平方米，其中主体工程建设占XXXX平方米，计容建筑面积达XXXX平方米。预计建筑工程的投资将达到XXXX万元，为射频消融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射频消融仪项目计划购置的设备共计XXXX台（套），设备购置费用为XXXX万元。这一设备购置计划充分考虑到射频消融仪项目的生产需求和技术要求，确保了射频消融仪项目在生产运营中具备先进的技术装备和高效的生产能力。设备的合理配置将为射频消融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射频消融仪项目计划总投资为XXXX万元，预计年实现营业收入为XXXX万元。这一产能规模的设定旨在确保射频消融仪项目能够在投资与回报之间取得平衡，实现长期可持续的发展。射频消融仪项目的总投资充分考虑到各个方面的需求，包括用地建设、设备购置等多个环节，以确保射频消融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4890"/>
      <w:r>
        <w:rPr>
          <w:rFonts w:ascii="仿宋" w:eastAsia="仿宋" w:hAnsi="仿宋" w:cs="仿宋" w:hint="eastAsia"/>
          <w:sz w:val="28"/>
          <w:lang w:eastAsia="zh-CN"/>
        </w:rPr>
        <w:t>五、射频消融仪项目概论</w:t>
      </w:r>
      <w:bookmarkEnd w:id="15"/>
    </w:p>
    <w:p>
      <w:pPr>
        <w:pStyle w:val="Heading2"/>
        <w:rPr>
          <w:rFonts w:ascii="仿宋" w:eastAsia="仿宋" w:hAnsi="仿宋" w:cs="仿宋" w:hint="eastAsia"/>
          <w:lang w:eastAsia="zh-CN"/>
        </w:rPr>
      </w:pPr>
      <w:bookmarkStart w:id="16" w:name="_Toc18451"/>
      <w:r>
        <w:rPr>
          <w:rFonts w:ascii="仿宋" w:eastAsia="仿宋" w:hAnsi="仿宋" w:cs="仿宋" w:hint="eastAsia"/>
          <w:lang w:eastAsia="zh-CN"/>
        </w:rPr>
        <w:t>(一)、射频消融仪项目概况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射频消融仪项目的起源追溯至对市场的深入洞察。市场的不断演变与变革为射频消融仪项目提供了难得的机遇。当前市场存在的需求缺口和变革的大环境共同构成了射频消融仪项目的背景。这个射频消融仪项目旨在充分利用市场机遇，填补行业中尚未满足的需求，为客户提供全新的解决方案。市场的变革和需求的增长使得这个射频消融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射频消融仪项目名称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射频消融仪项目正式命名为射频消融仪。这个名称不仅仅是一个标识，更代表了射频消融仪项目的核心理念和愿景。它蕴含着射频消融仪项目所要解决问题的关键字，具有强烈的表达和辨识度，为射频消融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射频消融仪项目目标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射频消融仪项目的核心目标是提供一种全新、高效的解决方案，满足客户日益增长的需求。射频消融仪项目追求的不仅仅是满足市场需求，更是在市场中获得卓越的竞争优势。通过不断提升产品或服务的质量和创新水平，射频消融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射频消融仪项目范围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射频消融仪项目全面涵盖了产品研发、制造、市场推广和售后服务，确保从产品设计到最终用户体验的全方位关注。这一全面的射频消融仪项目范围是为了确保射频消融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射频消融仪项目时间表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射频消融仪项目计划在未来18个月内完成，包括研发、测试、市场试点和正式推出等不同阶段。这个时间表的合理设计是为了确保射频消融仪项目各个阶段的顺利推进，以便按时交付高质量的成果。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射频消融仪项目预算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射频消融仪项目总预算估算为XX百万美元，主要分配在研发、市场推广、人员培训和运营等方面。这一充足的预算为射频消融仪项目提供了充足的资源，确保射频消融仪项目在各个方面都能取得优异的表现。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射频消融仪项目风险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射频消融仪项目可能面临的风险包括市场接受度低、技术难题、竞争激烈等。射频消融仪项目团队已经制定了相应的风险应对计划，通过前瞻性的风险管理，确保射频消融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射频消融仪项目团队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射频消融仪项目汇聚了一支经验丰富、多领域专业素养的核心团队，确保射频消融仪项目在各个方面都能拥有高水平的执行力。团队的协同作战是射频消融仪项目成功的关键因素之一。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射频消融仪项目背景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射频消融仪项目的背景根植于市场对更高效、创新产品的渴望，同时也受到科技发展对行业格局的深刻改变的影响。这为射频消融仪项目提供了广阔的发展空间和市场需求。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射频消融仪项目现状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截至目前，射频消融仪项目已完成市场调研和技术验证，取得了初步的成功。这为射频消融仪项目在未来的发展奠定了坚实的基础，为更远大的目标打下了坚实的基石。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2943"/>
      <w:r>
        <w:rPr>
          <w:rFonts w:ascii="仿宋" w:eastAsia="仿宋" w:hAnsi="仿宋" w:cs="仿宋" w:hint="eastAsia"/>
          <w:sz w:val="28"/>
          <w:lang w:eastAsia="zh-CN"/>
        </w:rPr>
        <w:t>(二)、射频消融仪项目目标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keyword》射频消融仪项目首要业务目标是在市场中占据有利地位，实现产品/服务的成功推广和销售。通过不断提升产品质量、创新性，射频消融仪项目追求成为行业中的领导者，赢得更多客户的青睐。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在科技迅速发展的时代，射频消融仪项目着眼于技术创新。通过持续的研发和技术升级，射频消融仪项目旨在推出更具创新性的产品或服务，以满足市场对新鲜、先进解决方案的需求。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为了建立可持续的客户关系，射频消融仪项目设定了客户满意度目标。通过提供卓越的产品质量和优质的客户服务，射频消融仪项目追求赢得客户的信任和忠诚度，确保他们的满意度达到行业领先水平。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射频消融仪项目注重社会责任和可持续发展。通过实施环保、社会责任射频消融仪项目，射频消融仪项目致力于在经济发展的同时保护环境，促进社会公平，实现可持续经营。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射频消融仪项目的团队是实现目标的核心驱动力。因此，射频消融仪项目设定了团队发展目标，包括提升团队成员的专业技能、培养领导力，以及搭建协同高效的团队工作氛围。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855"/>
      <w:r>
        <w:rPr>
          <w:rFonts w:ascii="仿宋" w:eastAsia="仿宋" w:hAnsi="仿宋" w:cs="仿宋" w:hint="eastAsia"/>
          <w:sz w:val="28"/>
          <w:lang w:eastAsia="zh-CN"/>
        </w:rPr>
        <w:t>(三)、射频消融仪项目提出的理由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射频消融仪项目提出的理由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射频消融仪项目的提出源于对市场机遇的深刻洞察。当前市场中存在的需求缺口和行业发展趋势表明，有巨大的商业机会等待被开发。通过准确捕捉市场机遇，射频消融仪项目可以在激烈的竞争中脱颖而出，迅速占领市场份额。</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射频消融仪项目的理念基于对技术创新的信仰。通过持续的研发和技术投入，射频消融仪项目有望推出更具创新性的产品或服务。在科技飞速发展的当下，射频消融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射频消融仪项目的提出是为了增强企业的行业竞争力。通过提升产品或服务的质量和独特性，射频消融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射频消融仪项目响应了消费者需求的变化。随着社会和科技的不断发展，消费者对产品和服务的需求也在发生变化。通过深入了解并及时回应消费者的新需求，射频消融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射频消融仪项目的提出是企业战略发展规划的一部分。在面对日益激烈的市场竞争和不断变化的商业环境中，射频消融仪项目作为企业战略的一环，旨在为企业开辟新的增长领域，巩固企业在行业中的地位。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https://d.book118.com/376011141203010103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射频消融仪项目规划设计纲要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射频消融仪项目规划设计纲要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射频消融仪项目规划设计纲要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射频消融仪项目规划设计纲要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射频消融仪项目规划设计纲要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射频消融仪项目规划设计纲要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射频消融仪项目规划设计纲要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射频消融仪项目规划设计纲要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射频消融仪项目规划设计纲要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射频消融仪项目规划设计纲要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射频消融仪项目规划设计纲要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射频消融仪项目规划设计纲要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射频消融仪项目规划设计纲要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射频消融仪项目规划设计纲要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射频消融仪项目规划设计纲要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射频消融仪项目规划设计纲要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射频消融仪项目规划设计纲要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C85852"/>
    <w:rsid w:val="38C858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6011141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2024-03-06T08:45:00Z</dcterms:created>
  <dcterms:modified xsi:type="dcterms:W3CDTF">2024-03-06T08:46:13Z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08AEEF855459440F8D890A35E66968E4_11</vt:lpwstr>
  </property>
  <property fmtid="{D5CDD505-2E9C-101B-9397-08002B2CF9AE}" pid="3" name="KSOProductBuildVer">
    <vt:lpwstr>2052-12.1.0.16388</vt:lpwstr>
  </property>
</Properties>
</file>