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center"/>
        <w:textAlignment w:val="auto"/>
        <w:rPr>
          <w:rFonts w:ascii="宋体" w:eastAsia="宋体" w:hAnsi="宋体" w:cs="宋体" w:hint="eastAsia"/>
          <w:outline w:val="0"/>
          <w:shadow w:val="0"/>
          <w:emboss w:val="0"/>
          <w:imprint w:val="0"/>
          <w:vanish w:val="0"/>
          <w:w w:val="100"/>
          <w:sz w:val="28"/>
          <w:szCs w:val="28"/>
          <w:u w:val="none"/>
          <w:lang w:eastAsia="zh-CN"/>
        </w:rPr>
      </w:pPr>
      <w:bookmarkStart w:id="0" w:name="_GoBack"/>
      <w:bookmarkEnd w:id="0"/>
      <w:r>
        <w:rPr>
          <w:rFonts w:ascii="宋体" w:eastAsia="宋体" w:hAnsi="宋体" w:cs="宋体" w:hint="eastAsia"/>
          <w:outline w:val="0"/>
          <w:shadow w:val="0"/>
          <w:emboss w:val="0"/>
          <w:imprint w:val="0"/>
          <w:vanish w:val="0"/>
          <w:w w:val="100"/>
          <w:sz w:val="28"/>
          <w:szCs w:val="28"/>
          <w:u w:val="none"/>
          <w:lang w:eastAsia="zh-CN"/>
        </w:rPr>
        <w:t>移动网络维护技术：移动网络维护技术必看考点四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1、单选 以下关于2.5G光板的描述，错误的是（）。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A、2.5G短距光板，国标要求发送光功率在-5~0dBm，过载点为0dBm；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B、2.5G长距光板，国标要求发送光功率在</w:t>
      </w:r>
      <w:r>
        <w:rPr>
          <w:rFonts w:ascii="宋体" w:eastAsia="宋体" w:hAnsi="宋体" w:cs="宋体" w:hint="eastAsia"/>
          <w:outline w:val="0"/>
          <w:shadow w:val="0"/>
          <w:emboss w:val="0"/>
          <w:imprint w:val="0"/>
          <w:vanish w:val="0"/>
          <w:w w:val="100"/>
          <w:sz w:val="28"/>
          <w:szCs w:val="28"/>
          <w:u w:val="none"/>
          <w:lang w:eastAsia="zh-CN"/>
        </w:rPr>
        <w:t>（江南博哥）</w:t>
      </w:r>
      <w:r>
        <w:rPr>
          <w:rFonts w:ascii="宋体" w:eastAsia="宋体" w:hAnsi="宋体" w:cs="宋体" w:hint="eastAsia"/>
          <w:outline w:val="0"/>
          <w:shadow w:val="0"/>
          <w:emboss w:val="0"/>
          <w:imprint w:val="0"/>
          <w:vanish w:val="0"/>
          <w:w w:val="100"/>
          <w:sz w:val="28"/>
          <w:szCs w:val="28"/>
          <w:u w:val="none"/>
        </w:rPr>
        <w:t>-3~＋2dBm，过载点为-9dBm；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C、短距光板与长距光板的发光波长不一样，如果混用，会导致接收到的波长与收光模块的工作波长不匹配，所以即使距离很近也不能混用；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D、由于长距光板的收光模块使用的是APD管，如果收到光功率在过载点以上的强光会影响APD管的寿命。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2、单选 在3G中，无线网络必须能够支持不同的数据传输速度，其中在室外能够支持的速度为（）。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A、2M/s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B、384k/s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C、144k/s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D、其他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3、单选 如果一个相邻集或者剩余集的导频的强度达到了T_ADD，MS将该导频移入（）。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A、相邻集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B、候选集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C、剩余集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D、都不是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4、单选 用倾角测试仪调节天线下倾角时，直至表盘上的水珠（）即可。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A、偏左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B、偏右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C、居中</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D、均匀分布</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5、多选 SDH网络中的REG站点与ADM站点相比，下面说法正确的是（）。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A.ADM站点具有REG站点的全部功能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B.REG与ADM相比仅少了支路端口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C.单纯的REG只需处理STM-N帧中的RSOH，且不需要交叉连接功能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D.SDH的REG也可以是纯光的再生中继器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B,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pgSz w:w="11906" w:h="16838"/>
          <w:pgMar w:top="1440" w:right="1080" w:bottom="1440" w:left="1080" w:header="851" w:footer="992" w:gutter="0"/>
          <w:cols w:num="1" w:space="425"/>
          <w:docGrid w:type="lines" w:linePitch="312" w:charSpace="0"/>
        </w:sectPr>
      </w:pPr>
      <w:r>
        <w:rPr>
          <w:rFonts w:ascii="宋体" w:eastAsia="宋体" w:hAnsi="宋体" w:cs="宋体" w:hint="eastAsia"/>
          <w:outline w:val="0"/>
          <w:shadow w:val="0"/>
          <w:emboss w:val="0"/>
          <w:imprint w:val="0"/>
          <w:vanish w:val="0"/>
          <w:w w:val="100"/>
          <w:sz w:val="28"/>
          <w:szCs w:val="28"/>
          <w:u w:val="none"/>
        </w:rPr>
        <w:t>6、单选 当铁塔设在机房房顶，电力变压器设在机房内时，其地网可合用（）。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A、机房地网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B、铁塔地网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C、变压器地网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D、都不是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7、填空题 电能计量方式分（）计量和（）计量两种。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高压，低压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8、名词解释 MS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用户直接使用的设备。一般由手机和SIM卡组成。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9、填空题 蓄电池内阻与电池的（）成反比，与（）成正比。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容量，电解液比重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10、填空题 CDMA采用独特的（），降低了掉话率。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软切换技术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11、单选 CAMA中使用的Walsh码共有64个，即W0-W63，期中导频信道使用的扩频码是（）。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B、W0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C、W1-W7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D、W16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12、单选 BTS的温湿度传感器应安装在（），尽量靠近机房上方。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A、机房天花板上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B、机房走线架上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C、机房墙面上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D、机房门口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13、填空题 通信用电属于（）用电负荷，供电系统为（）供电和（）供电系统。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一类，两路市电，一路备用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14、填空题 天线跳线的最小弯曲半径应不小于（）半径的20倍。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天线跳线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15、单选 如果覆盖区域为1000km2：GSM需要200个基站，CDMA只需（）个基站。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B、80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2"/>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16、单选 CDMA2000的扩频码速率为（），载波带宽为1.25MHz。</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A、1.2288Mchip/s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B、1.28Mchip/s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C、144Mchip/s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D、其他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17、单选 （）是用来处理相关的底层协议，提供不同的接入接口以及资源的处理。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A、BCTC框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B、GCM框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C、BUSN框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D、BPSN框</w:t>
      </w:r>
    </w:p>
    <w:p>
      <w:pPr>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暂无解析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18、填空题 熔断器起（）保护作用，热继电器起（）保护作用。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短路，过载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19、填空题 蓄电池维护时，单体端电压压差不大于（）mv，极柱温升不大于（）°。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90，35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20、问答题 请解释S-16.2的含义？</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S表示短距离局间通信，字母横杠后的第一位表示STM的速率等级：16表示STM-16。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字母横杠后的第二个数字表示工作的波长窗口1550nm，所用光纤为G.652或G.654光纤</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21、问答题 比较反向信道和前向信道有哪些不同之处？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（1）反向信道发送的数字信息使用码率为1/3，约束长度为9的卷积编码，编码后的速率是28.8kbit/s。前向信道发送的数字信息使用码率为1/2，约束长度为9的卷积编码，编码后的速率是19.2kbit/s。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（2）反向链路Walsh函数是用来做正交调制的，而前向链路是由分配给移动台的信道来确定。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（3）反向信道上PN长码是用来扩频，区分不同的用户。而前向信道上PN长码是用来做扰码。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（4）反向信道中PN短码用来正交调制，而前向信道中用来扩频，区分扇区。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22、单选 UIMU位于资源框的（）号槽位。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B、9，10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C、15，16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3"/>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D、13，14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23、单选 BSCB电源线常用三种规格。作为保护地线的通常线缆颜色是（）。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A、红色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B、黑色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C、蓝色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D、黄绿色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24、单选 除了终端中有声码器外，另外（）里面也有声码器。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A、MSC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B、BSC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C、BTS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D、HLR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25、问答题 简述天线的安装环境要求。</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（1）重点检查室外避雷保护接地线是否符合要求，天线的避雷针、避雷接地点、天线的抱杆之间的距离、抱杆的牢固度和抗风性是否符合设计要求。双方应协商明确主馈线布放的具体路由。</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（2）避雷针、避雷接地网、避雷保护接地线、天线抱杆等天馈安装环境已由网络运营商安装完成。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（3）不能在离电力线过近的地方安装天线。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确认安装天馈时基站设备没有上电启动。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26、单选 亚洲最早的报纸是1615年外国殖民者办的《新闻记要》。它的出版地是（）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A．巴达维亚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B．加尔各答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C．新加坡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D．曼谷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27、判断题 全容量放电测试中可以将放电电流设置大于3小时率。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不能大于3小时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28、填空题 3G的三个标准时中国移动的（），中文名称为（）。中国联通的WCDMA，中文名称为（），中国电信的CDMA2000。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TD-SCDMA，时分同步码分多址，宽带码分多址</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29、问答题 电容具有哪些特性？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1、当电容并联时，总电容大于每一个电容器的电容；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2、当电容串联时，能获得较高的额定工作电压；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4"/>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3、电容是一贮存电能的元件；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4、电容在电路中有通交流、隔直流或通高频、阻低频的特性。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30、多选 采用DTX的作用是（）。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A.降低电池消耗</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B.减少基站处理器负荷。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C.提高网络质量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D.减少网内干扰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C,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31、单选 CDMA技术中，一个信道对应一个（）。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A、频率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B、时隙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C、地址码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D、空间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32、单选 对于天线方位角的调整，通常要求误差不大于（）°。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B、11</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33、单选 CAMA中使用的Walsh码共有64个，即W0-W63，期中同步信道使用的扩频码是（）。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A、W32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B、W0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C、W1-W7</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D、W16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34、名词解释 EIR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存储与移动台IMEI有关的信息。验证移动台的合法性，防止非法移动设备接入。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35</w:t>
      </w:r>
      <w:r>
        <w:rPr>
          <w:rFonts w:ascii="宋体" w:eastAsia="宋体" w:hAnsi="宋体" w:cs="宋体" w:hint="eastAsia"/>
          <w:outline w:val="0"/>
          <w:shadow w:val="0"/>
          <w:emboss w:val="0"/>
          <w:imprint w:val="0"/>
          <w:vanish w:val="0"/>
          <w:w w:val="100"/>
          <w:sz w:val="28"/>
          <w:szCs w:val="28"/>
          <w:u w:val="none"/>
          <w:lang w:eastAsia="zh-CN"/>
        </w:rPr>
        <w:t>、单选?</w:t>
      </w:r>
      <w:r>
        <w:rPr>
          <w:rFonts w:ascii="宋体" w:eastAsia="宋体" w:hAnsi="宋体" w:cs="宋体" w:hint="eastAsia"/>
          <w:outline w:val="0"/>
          <w:shadow w:val="0"/>
          <w:emboss w:val="0"/>
          <w:imprint w:val="0"/>
          <w:vanish w:val="0"/>
          <w:w w:val="100"/>
          <w:sz w:val="28"/>
          <w:szCs w:val="28"/>
          <w:u w:val="none"/>
        </w:rPr>
        <w:t>（）完成E1/T1信号和8MHW信号之间的转换。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A、GCM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B、CHUB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C、CLKG</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D、DTB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36、判断题 塔上作业人员必须使用安全保险带，可以穿宽松的衣服上塔。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5"/>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不许穿宽松衣服及易打滑的鞋上塔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37、填空题 接地电阻有两种测试方法，基站测试条件差时，不能打地棒时，用（）进行测试。</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双钳表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38、问答题 重复接地的作用是什么？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当三相四线供电干线零线发生短线时电源系统中发生碰壳或接地短路时可以降低零线的对地电压，增加了安全保护可靠的程度。可以降低零线断线时引发三相电压失衡的零点漂移。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39、问答题 什么叫内燃机活塞的工作循环？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活塞在气缸内往复运动，连续完成进气、压缩、做功、排气四个过程，称为一个工作循环。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40、单选 （）是BSC的控制中心，负责整个系统的信令处理以及始终信号的产生。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A、BCTC框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B、GCM框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C、BUSN框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D、BPSN框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41、单选 基站的覆盖范围主要由上下行链路的最大允许损耗和无线传播环境决定。在相同频带内，WCDMA、CDMA2000和TD-SCDMA的覆盖情况哪个最差（）。</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A、WCDMA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B、CDMA2000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C、TD-SCDMA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D、相同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42、问答题 基站设备主要包括哪几个部分？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基站设备的组成包括：基站主设备BTS、基站配套设备（传输设备、电源设备）、附属设备（空调、动力）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43、判断题 软切换时，移动台最多可保持和三个基站之间的通信。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44、问答题 如果在一个机架里增加或减少一个TRU，你应该如何调整IDB？2分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增加一个TRU：不需要调整IDB。DXU从新的TRU中读取RU数据库。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减少一个TRU：需要用OMT软件重新设置IDB。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具体使用在CABINETVIEW时选用MODIFYIDB进行操作。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45、问答题 什么是光纤色散？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6"/>
          <w:cols w:num="1" w:space="425"/>
          <w:titlePg w:val="0"/>
          <w:docGrid w:type="lines" w:linePitch="312" w:charSpace="0"/>
        </w:sect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色散（Dispersion）是在光纤中传输的光信号，由于不同成分的光的时间延迟不同而产生的一种物理效应。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46、名词解释 MSC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MSC是网络的核心，它完成最基本的交换功能，即实现移动用户与其它网络用户的通信连接。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47、问答题 当怀疑某地区存在干扰，可以采取什么方法去查找干扰源？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如有必要，可先在交换机或通过话务统计确定受干扰的频点及干扰的强度；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在基站数据库中分析系统内可能存在的干扰源，并进一步予以验证；</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使用干扰测试仪，通过无线测试寻找系统内的干扰源；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又或者使用频谱分析仪一类的仪表，追踪系统外干扰。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48、单选 BSCB的4个系统中，作为BSCB控制核心的是（）。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A、BPSN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B、BUSN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C、BCTC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D、BGCM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49、单选 一个相邻集或者剩余集的导频的强度达到了（），MS将该导频移入候选集。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A、T-ADD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B、T-COMP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C、T-DROP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D、T-TDROP</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50、不定项选择 GPRS中Gr接口是SGSN与哪个网元之间的接口（）。</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A、HLR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B、MSC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C、BSC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D、GGSN</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51、问答题 直流工作方式有哪几种？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充电工作方式、半浮充工作方式、全浮充方式。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52、单选 接地体外露检查时，要观察机房周围（）米半径范围内地网是否有裸露。</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C、50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D、60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7"/>
          <w:cols w:num="1" w:space="425"/>
          <w:titlePg w:val="0"/>
          <w:docGrid w:type="lines" w:linePitch="312" w:charSpace="0"/>
        </w:sectPr>
      </w:pP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53、判断题 BDS是BTS中最能体现CDMA特征的部分，包含了CDMA许多关键技术。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54、填空题 需要监测光缆对地绝缘应在光缆接头处选用（）标石。</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监测</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55、单选 CDMA系统中的长码发生器使用了长度为（）的移位寄存器。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B、42</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C、4</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D、8</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56、单选 油罐定期检尺可以掌握油罐活动时的（）。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A、收付费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B、收油量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C、付油量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D、温度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57、问答题 通常每根主馈线应至少有几处安装馈线接地卡，作用是什么？位置分别在哪里？</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通常每根主馈线应至少三处安装馈线接地卡，主要作用是防雷，最终接到室内地排。三个地方分别为：在铁塔平台处，主馈线离开铁塔处，主馈线入室之前。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58、名词解释 AUC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存放用户的加密信息。它与HLR共存。</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59、填空题 GSM1800M相邻频点的间隔为（）Hz。</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200K</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60、单选 空调的作用是控制基站室内的温度，正常情况下机房的环境温度应在（）之间。</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A、0-15°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C、20°-30°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D、根据设备具体情况而定</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61、判断题 信道处理模块CHM包括CHM0、CHM1、CHM2和CHM3，其中CHM0、CHM3单板支持cdma2000-1X的业务。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8"/>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62、单选 一般对数据吞吐量的比较都针对同一小区内用户均使用相同速率的数据业务，从仿真结果看，对于中低速数据，WCDMA和CDMA2000是基本相当的，但是（）在高速数据业务上具有优势。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A、WCDMA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B、CDMA2000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C、TD-SCDMA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D、三者都适合高速数据业务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63、单选 传输设备其主要功能是把基站的信息传输到（）。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A、HLR</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B、BTS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C、BSC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D、MSC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64、判断题 天馈室外施工应尽可能安排在晴朗无风的白天进行，严禁在阴雨、刮大风、打雷闪电的情况下进行安装测试工作。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65、问答题 描述如何进行天线方位角的调整？工具是什么？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（1）根据工程设计图纸，确定定向天线安装方向，用指南针调整天线方位角。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（2）轻轻左右扭动调节天线正面朝向，同时用指南针测量天线的朝向，直至误差在工程设计要求范围内（通常要求误差不大于5°）。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（3）调整好天线方位角后，紧固天线抱箍紧固件。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66、填空题 跳线绑扎时，应使用（）进行绑扎。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防紫外线跳线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67、填空题 CDMA的频谱利用率高，相同频谱情况下容量是模拟系统的（）倍；是GSM的（）倍；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8-10，4-6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68、单选 沃什码在前向链路的作用是（），反向链路是正交调制。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A、前向信道识别</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B、正交扩频</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C、区分用户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D、区分扇区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69、问答题 在制冷系统中，必不可少的四大件是什么？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压缩机、冷凝器、蒸发器和节流机构。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70、问答题 说出3GPPLTE项目的主要性能目标有哪些？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在20MHz频谱带宽能够提供下行326Mbit/s、上行86Mbit/s的峰值速率；</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改善小区边缘用户的性能；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sectPr>
          <w:type w:val="nextPage"/>
          <w:pgSz w:w="11906" w:h="16838"/>
          <w:pgMar w:top="1440" w:right="1080" w:bottom="1440" w:left="1080" w:header="851" w:footer="992" w:gutter="0"/>
          <w:pgNumType w:start="9"/>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提高小区容量；</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降低系统延迟，</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支持100Km半径的小区覆盖；</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能够为350Km/h高速移动用户提供&gt;100kbps的接入服务；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支持成对或非成对频谱，并可灵活配置1.25MHz到20MHz多种带宽。</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71、单选 主馈线的最小弯曲半径应不小于主馈线半径的（）倍。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A、10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B、15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C、20</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D、25</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C</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72、填空题 维护人员在维护工作中应贯彻预防为主，（）结合的方针。</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防抢</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73、问答题 CCCH信道包括哪几个信道？并说明各信道用途。</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RACH，AGCH，PCH和CBCH</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RACH，随机接入信道，手机通过RACH发起接入请求。上行信道。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AGCH，接入许可信道，网络通过AGCH分配专用信道。下行信道。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PCH，寻呼信道，网络通过PCH向手机进行寻呼。下行信道。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CBCH，小区广播信道，用于广播短消息和公共消息。下行信道。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74、多选 下面关于SDH四纤双向复用段保护环说法正确的是（）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A.四纤环一定要由4根纤组成</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B.每根光纤一半通道作为保护通道，一半通道作为工作通道</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C.四纤环不会发生错联现象</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D.四纤环环网节点数可以是12个</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 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75、判断题 CDMA2000的基站间同步是必需的，因此需要全球定位系统。TD-SCDMA基站间不需要同步。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参考解析：</w:t>
      </w:r>
      <w:r>
        <w:rPr>
          <w:rFonts w:ascii="宋体" w:eastAsia="宋体" w:hAnsi="宋体" w:cs="宋体" w:hint="eastAsia"/>
          <w:outline w:val="0"/>
          <w:shadow w:val="0"/>
          <w:emboss w:val="0"/>
          <w:imprint w:val="0"/>
          <w:vanish w:val="0"/>
          <w:w w:val="100"/>
          <w:sz w:val="28"/>
          <w:szCs w:val="28"/>
          <w:u w:val="none"/>
        </w:rPr>
        <w:t>TD也需要同步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76、问答题 请简述天线下倾的作用？</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1、减少对远处同频基站的干扰；</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2、高基站的覆盖区，不致使基站覆盖得太远，造成各个基站的话务负荷不合理；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3、提高覆盖区内的信号强度。</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77、填空题 移动台是通过（）建立通信的。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RACH信道和网络</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sectPr>
          <w:type w:val="nextPage"/>
          <w:pgSz w:w="11906" w:h="16838"/>
          <w:pgMar w:top="1440" w:right="1080" w:bottom="1440" w:left="1080" w:header="851" w:footer="992" w:gutter="0"/>
          <w:pgNumType w:start="10"/>
          <w:cols w:num="1" w:space="425"/>
          <w:titlePg w:val="0"/>
          <w:docGrid w:type="lines" w:linePitch="312" w:charSpace="0"/>
        </w:sectPr>
      </w:pPr>
      <w:r>
        <w:rPr>
          <w:rFonts w:ascii="宋体" w:eastAsia="宋体" w:hAnsi="宋体" w:cs="宋体" w:hint="eastAsia"/>
          <w:outline w:val="0"/>
          <w:shadow w:val="0"/>
          <w:emboss w:val="0"/>
          <w:imprint w:val="0"/>
          <w:vanish w:val="0"/>
          <w:w w:val="100"/>
          <w:sz w:val="28"/>
          <w:szCs w:val="28"/>
          <w:u w:val="none"/>
        </w:rPr>
        <w:t>78、填空题 倒闸操作的基本程序是切断电源时，先断开（）再操作主闸刀，防止带（）拉闸，合上电源时，为防止带（）合闸，应先合上主闸刀，再合上（）。</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分路负荷，负荷，负荷，分路负荷</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79、单选 根据移动机房建设规范，移动机房外部必须有三个标识，下面哪个不是必须有的标识（）。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A、警爬标识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B、安全标识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C、塔桅合格证标识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D、防电标识</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D</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80、单选 （）位于BTS的射频子系统中，是射频子系统的核心单板。</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A、BDS</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B、TRX</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C、DPA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D、CHM</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B</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81、填空题 dBi是用来表示（）。</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天线增益的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82、填空题 软切换是先接续，在（）的联系。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中断和原来基站</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83、单选 网络中出现同频同BSIC时，下列描述那一个是正确的（）。</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A、有可能会出现切换成功率低，话音接通率低，信令接通率低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B、一定会出现切换成功率低，话音接通率低，信令接通率低</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C、对信令接通率无影响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D、对通话质量有影响</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84、单选 实现基站设备E1线与传输盒E1线的对接的是（）。</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A、DDF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B、传输综合架</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C、ODF</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D、SDH传输盒</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A</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85、问答题 馈线过走线架的，需进行哪几个控点的检查？</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color w:val="FF0000"/>
          <w:w w:val="100"/>
          <w:sz w:val="28"/>
          <w:szCs w:val="28"/>
          <w:u w:val="none"/>
          <w:lang w:eastAsia="zh-CN"/>
        </w:rPr>
        <w:t>正确答案：</w:t>
      </w:r>
      <w:r>
        <w:rPr>
          <w:rFonts w:ascii="宋体" w:eastAsia="宋体" w:hAnsi="宋体" w:cs="宋体" w:hint="eastAsia"/>
          <w:outline w:val="0"/>
          <w:shadow w:val="0"/>
          <w:emboss w:val="0"/>
          <w:imprint w:val="0"/>
          <w:vanish w:val="0"/>
          <w:w w:val="100"/>
          <w:sz w:val="28"/>
          <w:szCs w:val="28"/>
          <w:u w:val="none"/>
        </w:rPr>
        <w:t>保证走线架与机房间的连接可靠性；</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保证接地水平线高于接地点；</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测量接地点与塔体间的距离。</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hint="eastAsia"/>
          <w:outline w:val="0"/>
          <w:shadow w:val="0"/>
          <w:emboss w:val="0"/>
          <w:imprint w:val="0"/>
          <w:vanish w:val="0"/>
          <w:w w:val="100"/>
          <w:sz w:val="28"/>
          <w:szCs w:val="28"/>
          <w:u w:val="none"/>
          <w:lang w:eastAsia="zh-CN"/>
        </w:rPr>
      </w:pPr>
      <w:r>
        <w:rPr>
          <w:rFonts w:ascii="宋体" w:eastAsia="宋体" w:hAnsi="宋体" w:cs="宋体" w:hint="eastAsia"/>
          <w:outline w:val="0"/>
          <w:shadow w:val="0"/>
          <w:emboss w:val="0"/>
          <w:imprint w:val="0"/>
          <w:vanish w:val="0"/>
          <w:w w:val="100"/>
          <w:sz w:val="28"/>
          <w:szCs w:val="28"/>
          <w:u w:val="none"/>
        </w:rPr>
        <w:t>86、单选 每对CHUB单板可以提供（）个BUSN或BPSN子系统的控制面接入能力。</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A、46</w:t>
      </w:r>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r>
        <w:rPr>
          <w:rFonts w:ascii="宋体" w:eastAsia="宋体" w:hAnsi="宋体" w:cs="宋体" w:hint="eastAsia"/>
          <w:outline w:val="0"/>
          <w:shadow w:val="0"/>
          <w:emboss w:val="0"/>
          <w:imprint w:val="0"/>
          <w:vanish w:val="0"/>
          <w:w w:val="100"/>
          <w:sz w:val="28"/>
          <w:szCs w:val="28"/>
          <w:u w:val="none"/>
        </w:rPr>
        <w:t>B、50</w:t>
      </w:r>
      <w:r>
        <w:rPr>
          <w:rFonts w:ascii="宋体" w:eastAsia="宋体" w:hAnsi="宋体" w:cs="宋体"/>
          <w:outline w:val="0"/>
          <w:shadow w:val="0"/>
          <w:emboss w:val="0"/>
          <w:imprint w:val="0"/>
          <w:vanish w:val="0"/>
          <w:w w:val="100"/>
          <w:sz w:val="28"/>
          <w:szCs w:val="28"/>
          <w:u w:val="none"/>
        </w:rPr>
        <w:br/>
      </w:r>
      <w:r>
        <w:rPr>
          <w:rFonts w:ascii="宋体" w:eastAsia="宋体" w:hAnsi="宋体" w:cs="宋体"/>
          <w:outline w:val="0"/>
          <w:shadow w:val="0"/>
          <w:emboss w:val="0"/>
          <w:imprint w:val="0"/>
          <w:vanish w:val="0"/>
          <w:w w:val="100"/>
          <w:sz w:val="28"/>
          <w:szCs w:val="28"/>
          <w:u w:val="none"/>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https://d.book118.com/376040021043010050</w:t>
        </w:r>
      </w:hyperlink>
    </w:p>
    <w:p>
      <w:pPr>
        <w:pStyle w:val="NormalWeb"/>
        <w:keepNext w:val="0"/>
        <w:keepLines w:val="0"/>
        <w:pageBreakBefore w:val="0"/>
        <w:widowControl w:val="0"/>
        <w:kinsoku/>
        <w:wordWrap/>
        <w:overflowPunct/>
        <w:topLinePunct w:val="0"/>
        <w:autoSpaceDE/>
        <w:autoSpaceDN/>
        <w:bidi w:val="0"/>
        <w:adjustRightInd/>
        <w:snapToGrid/>
        <w:spacing w:beforeAutospacing="0" w:afterAutospacing="0" w:line="0" w:lineRule="atLeast"/>
        <w:ind w:left="0" w:right="0" w:leftChars="0" w:rightChars="0"/>
        <w:jc w:val="left"/>
        <w:textAlignment w:val="auto"/>
        <w:rPr>
          <w:rFonts w:ascii="宋体" w:eastAsia="宋体" w:hAnsi="宋体" w:cs="宋体"/>
          <w:outline w:val="0"/>
          <w:shadow w:val="0"/>
          <w:emboss w:val="0"/>
          <w:imprint w:val="0"/>
          <w:vanish w:val="0"/>
          <w:w w:val="100"/>
          <w:sz w:val="28"/>
          <w:szCs w:val="28"/>
          <w:u w:val="none"/>
        </w:rPr>
      </w:pPr>
    </w:p>
    <w:sectPr>
      <w:type w:val="nextPage"/>
      <w:pgSz w:w="11906" w:h="16838"/>
      <w:pgMar w:top="1440" w:right="1080" w:bottom="1440" w:left="1080" w:header="851" w:footer="992" w:gutter="0"/>
      <w:pgNumType w:start="11"/>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5ECA"/>
    <w:rsid w:val="002B1D86"/>
    <w:rsid w:val="00355ECA"/>
    <w:rsid w:val="02582922"/>
    <w:rsid w:val="5B755BED"/>
    <w:rsid w:val="7EF116F3"/>
  </w:rsids>
  <w:docVars>
    <w:docVar w:name="commondata" w:val="eyJoZGlkIjoiMzIxODdiYzkyZWJiMzc1YmY5NThiYjgyMjcxMWRjMm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uiPriority="0" w:unhideWhenUsed="0" w:qFormat="1"/>
    <w:lsdException w:name="footer" w:semiHidden="0" w:uiPriority="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qFormat="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iPriority="0" w:unhideWhenUsed="0" w:qFormat="1"/>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semiHidden="0" w:uiPriority="0" w:unhideWhenUsed="0" w:qFormat="1"/>
    <w:lsdException w:name="HTML Sample"/>
    <w:lsdException w:name="HTML Typewriter"/>
    <w:lsdException w:name="HTML Variable"/>
    <w:lsdException w:name="Normal Table" w:qFormat="1"/>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paragraph" w:styleId="Heading1">
    <w:name w:val="heading 1"/>
    <w:basedOn w:val="Normal"/>
    <w:next w:val="Normal"/>
    <w:link w:val="1"/>
    <w:autoRedefine/>
    <w:qFormat/>
    <w:pPr>
      <w:widowControl/>
      <w:spacing w:beforeAutospacing="1" w:afterAutospacing="1"/>
      <w:jc w:val="left"/>
      <w:outlineLvl w:val="0"/>
    </w:pPr>
    <w:rPr>
      <w:rFonts w:ascii="宋体" w:eastAsia="宋体" w:hAnsi="宋体" w:cs="Times New Roman" w:hint="eastAsia"/>
      <w:b/>
      <w:bCs/>
      <w:kern w:val="44"/>
      <w:sz w:val="48"/>
      <w:szCs w:val="48"/>
    </w:rPr>
  </w:style>
  <w:style w:type="paragraph" w:styleId="Heading2">
    <w:name w:val="heading 2"/>
    <w:basedOn w:val="Normal"/>
    <w:next w:val="Normal"/>
    <w:link w:val="2"/>
    <w:autoRedefine/>
    <w:semiHidden/>
    <w:unhideWhenUsed/>
    <w:qFormat/>
    <w:pPr>
      <w:widowControl/>
      <w:spacing w:beforeAutospacing="1" w:afterAutospacing="1"/>
      <w:jc w:val="left"/>
      <w:outlineLvl w:val="1"/>
    </w:pPr>
    <w:rPr>
      <w:rFonts w:ascii="宋体" w:eastAsia="宋体" w:hAnsi="宋体" w:cs="Times New Roman" w:hint="eastAsia"/>
      <w:b/>
      <w:bCs/>
      <w:kern w:val="0"/>
      <w:sz w:val="36"/>
      <w:szCs w:val="36"/>
    </w:rPr>
  </w:style>
  <w:style w:type="paragraph" w:styleId="Heading3">
    <w:name w:val="heading 3"/>
    <w:basedOn w:val="Normal"/>
    <w:next w:val="Normal"/>
    <w:link w:val="3"/>
    <w:autoRedefine/>
    <w:semiHidden/>
    <w:unhideWhenUsed/>
    <w:qFormat/>
    <w:pPr>
      <w:widowControl/>
      <w:spacing w:beforeAutospacing="1" w:afterAutospacing="1"/>
      <w:jc w:val="left"/>
      <w:outlineLvl w:val="2"/>
    </w:pPr>
    <w:rPr>
      <w:rFonts w:ascii="宋体" w:eastAsia="宋体" w:hAnsi="宋体" w:cs="Times New Roman" w:hint="eastAsia"/>
      <w:b/>
      <w:bCs/>
      <w:kern w:val="0"/>
      <w:sz w:val="27"/>
      <w:szCs w:val="27"/>
    </w:rPr>
  </w:style>
  <w:style w:type="paragraph" w:styleId="Heading4">
    <w:name w:val="heading 4"/>
    <w:basedOn w:val="Normal"/>
    <w:next w:val="Normal"/>
    <w:link w:val="4"/>
    <w:autoRedefine/>
    <w:semiHidden/>
    <w:unhideWhenUsed/>
    <w:qFormat/>
    <w:pPr>
      <w:widowControl/>
      <w:spacing w:beforeAutospacing="1" w:afterAutospacing="1"/>
      <w:jc w:val="left"/>
      <w:outlineLvl w:val="3"/>
    </w:pPr>
    <w:rPr>
      <w:rFonts w:ascii="宋体" w:eastAsia="宋体" w:hAnsi="宋体" w:cs="Times New Roman" w:hint="eastAsia"/>
      <w:b/>
      <w:bCs/>
      <w:kern w:val="0"/>
      <w:sz w:val="24"/>
      <w:szCs w:val="24"/>
    </w:rPr>
  </w:style>
  <w:style w:type="paragraph" w:styleId="Heading5">
    <w:name w:val="heading 5"/>
    <w:basedOn w:val="Normal"/>
    <w:next w:val="Normal"/>
    <w:link w:val="5"/>
    <w:autoRedefine/>
    <w:semiHidden/>
    <w:unhideWhenUsed/>
    <w:qFormat/>
    <w:pPr>
      <w:widowControl/>
      <w:spacing w:beforeAutospacing="1" w:afterAutospacing="1"/>
      <w:jc w:val="left"/>
      <w:outlineLvl w:val="4"/>
    </w:pPr>
    <w:rPr>
      <w:rFonts w:ascii="宋体" w:eastAsia="宋体" w:hAnsi="宋体" w:cs="Times New Roman" w:hint="eastAsia"/>
      <w:b/>
      <w:bCs/>
      <w:kern w:val="0"/>
      <w:sz w:val="20"/>
      <w:szCs w:val="20"/>
    </w:rPr>
  </w:style>
  <w:style w:type="paragraph" w:styleId="Heading6">
    <w:name w:val="heading 6"/>
    <w:basedOn w:val="Normal"/>
    <w:next w:val="Normal"/>
    <w:link w:val="6"/>
    <w:autoRedefine/>
    <w:semiHidden/>
    <w:unhideWhenUsed/>
    <w:qFormat/>
    <w:pPr>
      <w:widowControl/>
      <w:spacing w:beforeAutospacing="1" w:afterAutospacing="1"/>
      <w:jc w:val="left"/>
      <w:outlineLvl w:val="5"/>
    </w:pPr>
    <w:rPr>
      <w:rFonts w:ascii="宋体" w:eastAsia="宋体" w:hAnsi="宋体" w:cs="Times New Roman" w:hint="eastAsia"/>
      <w:b/>
      <w:bCs/>
      <w:kern w:val="0"/>
      <w:sz w:val="15"/>
      <w:szCs w:val="15"/>
    </w:rPr>
  </w:style>
  <w:style w:type="character" w:default="1" w:styleId="DefaultParagraphFont">
    <w:name w:val="Default Paragraph Font"/>
    <w:autoRedefine/>
    <w:uiPriority w:val="1"/>
    <w:semiHidden/>
    <w:unhideWhenUsed/>
    <w:qFormat/>
  </w:style>
  <w:style w:type="table" w:default="1" w:styleId="TableNormal">
    <w:name w:val="Normal Table"/>
    <w:autoRedefine/>
    <w:uiPriority w:val="99"/>
    <w:semiHidden/>
    <w:unhideWhenUsed/>
    <w:qFormat/>
    <w:tblPr>
      <w:tblCellMar>
        <w:top w:w="0" w:type="dxa"/>
        <w:left w:w="108" w:type="dxa"/>
        <w:bottom w:w="0" w:type="dxa"/>
        <w:right w:w="108" w:type="dxa"/>
      </w:tblCellMar>
    </w:tblPr>
  </w:style>
  <w:style w:type="paragraph" w:styleId="Footer">
    <w:name w:val="footer"/>
    <w:basedOn w:val="Normal"/>
    <w:link w:val="a0"/>
    <w:autoRedefine/>
    <w:qFormat/>
    <w:pPr>
      <w:widowControl/>
      <w:tabs>
        <w:tab w:val="center" w:pos="4153"/>
        <w:tab w:val="right" w:pos="8306"/>
      </w:tabs>
      <w:snapToGrid w:val="0"/>
      <w:jc w:val="left"/>
    </w:pPr>
    <w:rPr>
      <w:rFonts w:asciiTheme="minorEastAsia" w:hAnsiTheme="minorEastAsia" w:cs="Times New Roman"/>
      <w:kern w:val="0"/>
      <w:sz w:val="18"/>
      <w:szCs w:val="18"/>
    </w:rPr>
  </w:style>
  <w:style w:type="paragraph" w:styleId="Header">
    <w:name w:val="header"/>
    <w:basedOn w:val="Normal"/>
    <w:link w:val="a"/>
    <w:autoRedefine/>
    <w:qFormat/>
    <w:pPr>
      <w:widowControl/>
      <w:tabs>
        <w:tab w:val="center" w:pos="4153"/>
        <w:tab w:val="right" w:pos="8306"/>
      </w:tabs>
      <w:snapToGrid w:val="0"/>
      <w:jc w:val="center"/>
    </w:pPr>
    <w:rPr>
      <w:rFonts w:asciiTheme="minorEastAsia" w:hAnsiTheme="minorEastAsia" w:cs="Times New Roman"/>
      <w:kern w:val="0"/>
      <w:sz w:val="18"/>
      <w:szCs w:val="18"/>
    </w:rPr>
  </w:style>
  <w:style w:type="paragraph" w:styleId="HTMLPreformatted">
    <w:name w:val="HTML Preformatted"/>
    <w:basedOn w:val="Normal"/>
    <w:link w:val="HTM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szCs w:val="24"/>
    </w:rPr>
  </w:style>
  <w:style w:type="paragraph" w:styleId="NormalWeb">
    <w:name w:val="Normal (Web)"/>
    <w:basedOn w:val="Normal"/>
    <w:autoRedefine/>
    <w:qFormat/>
    <w:pPr>
      <w:widowControl/>
      <w:spacing w:beforeAutospacing="1" w:afterAutospacing="1"/>
      <w:jc w:val="left"/>
    </w:pPr>
    <w:rPr>
      <w:rFonts w:asciiTheme="minorEastAsia" w:hAnsiTheme="minorEastAsia" w:cs="Times New Roman"/>
      <w:kern w:val="0"/>
      <w:sz w:val="24"/>
      <w:szCs w:val="24"/>
    </w:rPr>
  </w:style>
  <w:style w:type="character" w:styleId="Hyperlink">
    <w:name w:val="Hyperlink"/>
    <w:basedOn w:val="DefaultParagraphFont"/>
    <w:autoRedefine/>
    <w:qFormat/>
    <w:rPr>
      <w:color w:val="0000FF"/>
      <w:u w:val="single"/>
    </w:rPr>
  </w:style>
  <w:style w:type="character" w:customStyle="1" w:styleId="1">
    <w:name w:val="标题 1 字符"/>
    <w:basedOn w:val="DefaultParagraphFont"/>
    <w:link w:val="Heading1"/>
    <w:autoRedefine/>
    <w:qFormat/>
    <w:rPr>
      <w:rFonts w:ascii="宋体" w:eastAsia="宋体" w:hAnsi="宋体" w:cs="Times New Roman"/>
      <w:b/>
      <w:bCs/>
      <w:kern w:val="44"/>
      <w:sz w:val="48"/>
      <w:szCs w:val="48"/>
    </w:rPr>
  </w:style>
  <w:style w:type="character" w:customStyle="1" w:styleId="2">
    <w:name w:val="标题 2 字符"/>
    <w:basedOn w:val="DefaultParagraphFont"/>
    <w:link w:val="Heading2"/>
    <w:autoRedefine/>
    <w:semiHidden/>
    <w:qFormat/>
    <w:rPr>
      <w:rFonts w:ascii="宋体" w:eastAsia="宋体" w:hAnsi="宋体" w:cs="Times New Roman"/>
      <w:b/>
      <w:bCs/>
      <w:kern w:val="0"/>
      <w:sz w:val="36"/>
      <w:szCs w:val="36"/>
    </w:rPr>
  </w:style>
  <w:style w:type="character" w:customStyle="1" w:styleId="3">
    <w:name w:val="标题 3 字符"/>
    <w:basedOn w:val="DefaultParagraphFont"/>
    <w:link w:val="Heading3"/>
    <w:autoRedefine/>
    <w:semiHidden/>
    <w:qFormat/>
    <w:rPr>
      <w:rFonts w:ascii="宋体" w:eastAsia="宋体" w:hAnsi="宋体" w:cs="Times New Roman"/>
      <w:b/>
      <w:bCs/>
      <w:kern w:val="0"/>
      <w:sz w:val="27"/>
      <w:szCs w:val="27"/>
    </w:rPr>
  </w:style>
  <w:style w:type="character" w:customStyle="1" w:styleId="4">
    <w:name w:val="标题 4 字符"/>
    <w:basedOn w:val="DefaultParagraphFont"/>
    <w:link w:val="Heading4"/>
    <w:autoRedefine/>
    <w:semiHidden/>
    <w:qFormat/>
    <w:rPr>
      <w:rFonts w:ascii="宋体" w:eastAsia="宋体" w:hAnsi="宋体" w:cs="Times New Roman"/>
      <w:b/>
      <w:bCs/>
      <w:kern w:val="0"/>
      <w:sz w:val="24"/>
      <w:szCs w:val="24"/>
    </w:rPr>
  </w:style>
  <w:style w:type="character" w:customStyle="1" w:styleId="5">
    <w:name w:val="标题 5 字符"/>
    <w:basedOn w:val="DefaultParagraphFont"/>
    <w:link w:val="Heading5"/>
    <w:autoRedefine/>
    <w:semiHidden/>
    <w:qFormat/>
    <w:rPr>
      <w:rFonts w:ascii="宋体" w:eastAsia="宋体" w:hAnsi="宋体" w:cs="Times New Roman"/>
      <w:b/>
      <w:bCs/>
      <w:kern w:val="0"/>
      <w:sz w:val="20"/>
      <w:szCs w:val="20"/>
    </w:rPr>
  </w:style>
  <w:style w:type="character" w:customStyle="1" w:styleId="6">
    <w:name w:val="标题 6 字符"/>
    <w:basedOn w:val="DefaultParagraphFont"/>
    <w:link w:val="Heading6"/>
    <w:autoRedefine/>
    <w:semiHidden/>
    <w:qFormat/>
    <w:rPr>
      <w:rFonts w:ascii="宋体" w:eastAsia="宋体" w:hAnsi="宋体" w:cs="Times New Roman"/>
      <w:b/>
      <w:bCs/>
      <w:kern w:val="0"/>
      <w:sz w:val="15"/>
      <w:szCs w:val="15"/>
    </w:rPr>
  </w:style>
  <w:style w:type="character" w:customStyle="1" w:styleId="HTML">
    <w:name w:val="HTML 预设格式 字符"/>
    <w:basedOn w:val="DefaultParagraphFont"/>
    <w:link w:val="HTMLPreformatted"/>
    <w:autoRedefine/>
    <w:qFormat/>
    <w:rPr>
      <w:rFonts w:ascii="宋体" w:eastAsia="宋体" w:hAnsi="宋体" w:cs="Times New Roman"/>
      <w:kern w:val="0"/>
      <w:sz w:val="24"/>
      <w:szCs w:val="24"/>
    </w:rPr>
  </w:style>
  <w:style w:type="character" w:customStyle="1" w:styleId="a">
    <w:name w:val="页眉 字符"/>
    <w:basedOn w:val="DefaultParagraphFont"/>
    <w:link w:val="Header"/>
    <w:autoRedefine/>
    <w:qFormat/>
    <w:rPr>
      <w:rFonts w:asciiTheme="minorEastAsia" w:hAnsiTheme="minorEastAsia" w:cs="Times New Roman"/>
      <w:kern w:val="0"/>
      <w:sz w:val="18"/>
      <w:szCs w:val="18"/>
    </w:rPr>
  </w:style>
  <w:style w:type="character" w:customStyle="1" w:styleId="a0">
    <w:name w:val="页脚 字符"/>
    <w:basedOn w:val="DefaultParagraphFont"/>
    <w:link w:val="Footer"/>
    <w:autoRedefine/>
    <w:qFormat/>
    <w:rPr>
      <w:rFonts w:asciiTheme="minorEastAsia" w:hAnsiTheme="minorEastAsia"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7604002104301005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12</Pages>
  <Words>2472</Words>
  <Characters>14092</Characters>
  <Application>Microsoft Office Word</Application>
  <DocSecurity>0</DocSecurity>
  <Lines>117</Lines>
  <Paragraphs>33</Paragraphs>
  <ScaleCrop>false</ScaleCrop>
  <Company/>
  <LinksUpToDate>false</LinksUpToDate>
  <CharactersWithSpaces>16531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江南博哥</cp:lastModifiedBy>
  <cp:revision>1</cp:revision>
  <dcterms:created xsi:type="dcterms:W3CDTF">2024-02-05T17:23:00Z</dcterms:created>
  <dcterms:modified xsi:type="dcterms:W3CDTF">2024-02-17T03:36:26Z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042F9B491B0C4E269A669BCB9CA76C3E_13</vt:lpwstr>
  </property>
  <property fmtid="{D5CDD505-2E9C-101B-9397-08002B2CF9AE}" pid="3" name="KSOProductBuildVer">
    <vt:lpwstr>2052-12.1.0.16250</vt:lpwstr>
  </property>
</Properties>
</file>