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89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7702539</wp:posOffset>
            </wp:positionH>
            <wp:positionV relativeFrom="page">
              <wp:posOffset>304770</wp:posOffset>
            </wp:positionV>
            <wp:extent cx="971550" cy="35565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35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90" w:lineRule="auto"/>
      </w:pPr>
    </w:p>
    <w:p>
      <w:pPr>
        <w:spacing w:before="87"/>
        <w:ind w:left="8090"/>
        <w:rPr>
          <w:rFonts w:ascii="STHupo" w:eastAsia="STHupo" w:hAnsi="STHupo" w:cs="STHupo"/>
          <w:sz w:val="26"/>
          <w:szCs w:val="2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1.35pt;height:17pt;margin-top:6.6pt;margin-left:544.68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25"/>
                      <w:szCs w:val="25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7"/>
                      <w:sz w:val="25"/>
                      <w:szCs w:val="25"/>
                    </w:rPr>
                    <w:t>一汽奥迪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-369931</wp:posOffset>
            </wp:positionV>
            <wp:extent cx="9144000" cy="6858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Hupo" w:eastAsia="STHupo" w:hAnsi="STHupo" w:cs="STHupo"/>
          <w:color w:val="0062E4"/>
          <w:position w:val="-12"/>
          <w:sz w:val="26"/>
          <w:szCs w:val="26"/>
        </w:rPr>
        <w:drawing>
          <wp:inline distT="0" distB="0" distL="0" distR="0">
            <wp:extent cx="196778" cy="24345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778" cy="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Hupo" w:eastAsia="STHupo" w:hAnsi="STHupo" w:cs="STHupo"/>
          <w:b/>
          <w:bCs/>
          <w:color w:val="0062E4"/>
          <w:spacing w:val="-3"/>
          <w:sz w:val="26"/>
          <w:szCs w:val="26"/>
        </w:rPr>
        <w:t>携</w:t>
      </w:r>
      <w:r>
        <w:rPr>
          <w:rFonts w:ascii="STHupo" w:eastAsia="STHupo" w:hAnsi="STHupo" w:cs="STHupo"/>
          <w:color w:val="0062E4"/>
          <w:spacing w:val="9"/>
          <w:sz w:val="26"/>
          <w:szCs w:val="26"/>
        </w:rPr>
        <w:t xml:space="preserve">  </w:t>
      </w:r>
      <w:r>
        <w:rPr>
          <w:rFonts w:ascii="STHupo" w:eastAsia="STHupo" w:hAnsi="STHupo" w:cs="STHupo"/>
          <w:b/>
          <w:bCs/>
          <w:color w:val="0062E4"/>
          <w:spacing w:val="-3"/>
          <w:sz w:val="26"/>
          <w:szCs w:val="26"/>
        </w:rPr>
        <w:t>程</w:t>
      </w:r>
      <w:r>
        <w:rPr>
          <w:rFonts w:ascii="STHupo" w:eastAsia="STHupo" w:hAnsi="STHupo" w:cs="STHupo"/>
          <w:color w:val="0062E4"/>
          <w:spacing w:val="10"/>
          <w:sz w:val="26"/>
          <w:szCs w:val="26"/>
        </w:rPr>
        <w:t xml:space="preserve">  </w:t>
      </w:r>
      <w:r>
        <w:rPr>
          <w:rFonts w:ascii="STHupo" w:eastAsia="STHupo" w:hAnsi="STHupo" w:cs="STHupo"/>
          <w:b/>
          <w:bCs/>
          <w:color w:val="0062E4"/>
          <w:spacing w:val="-3"/>
          <w:sz w:val="26"/>
          <w:szCs w:val="26"/>
        </w:rPr>
        <w:t>旅</w:t>
      </w:r>
      <w:r>
        <w:rPr>
          <w:rFonts w:ascii="STHupo" w:eastAsia="STHupo" w:hAnsi="STHupo" w:cs="STHupo"/>
          <w:color w:val="0062E4"/>
          <w:spacing w:val="12"/>
          <w:sz w:val="26"/>
          <w:szCs w:val="26"/>
        </w:rPr>
        <w:t xml:space="preserve">  </w:t>
      </w:r>
      <w:r>
        <w:rPr>
          <w:rFonts w:ascii="STHupo" w:eastAsia="STHupo" w:hAnsi="STHupo" w:cs="STHupo"/>
          <w:b/>
          <w:bCs/>
          <w:color w:val="0062E4"/>
          <w:spacing w:val="-3"/>
          <w:sz w:val="26"/>
          <w:szCs w:val="26"/>
        </w:rPr>
        <w:t>行</w:t>
      </w:r>
    </w:p>
    <w:p>
      <w:pPr>
        <w:spacing w:line="218" w:lineRule="auto"/>
        <w:ind w:left="12190"/>
        <w:rPr>
          <w:rFonts w:ascii="SimHei" w:eastAsia="SimHei" w:hAnsi="SimHei" w:cs="SimHei"/>
          <w:sz w:val="17"/>
          <w:szCs w:val="17"/>
        </w:rPr>
      </w:pPr>
      <w:r>
        <w:rPr>
          <w:rFonts w:ascii="YouYuan" w:eastAsia="YouYuan" w:hAnsi="YouYuan" w:cs="YouYuan"/>
          <w:spacing w:val="-2"/>
          <w:sz w:val="17"/>
          <w:szCs w:val="17"/>
        </w:rPr>
        <w:t>艾</w:t>
      </w:r>
      <w:r>
        <w:rPr>
          <w:rFonts w:ascii="YouYuan" w:eastAsia="YouYuan" w:hAnsi="YouYuan" w:cs="YouYuan"/>
          <w:spacing w:val="38"/>
          <w:sz w:val="17"/>
          <w:szCs w:val="17"/>
        </w:rPr>
        <w:t xml:space="preserve">  </w:t>
      </w:r>
      <w:r>
        <w:rPr>
          <w:rFonts w:ascii="YouYuan" w:eastAsia="YouYuan" w:hAnsi="YouYuan" w:cs="YouYuan"/>
          <w:spacing w:val="-2"/>
          <w:sz w:val="17"/>
          <w:szCs w:val="17"/>
        </w:rPr>
        <w:t>瑞</w:t>
      </w:r>
      <w:r>
        <w:rPr>
          <w:rFonts w:ascii="YouYuan" w:eastAsia="YouYuan" w:hAnsi="YouYuan" w:cs="YouYuan"/>
          <w:spacing w:val="5"/>
          <w:sz w:val="17"/>
          <w:szCs w:val="17"/>
        </w:rPr>
        <w:t xml:space="preserve">   </w:t>
      </w:r>
      <w:r>
        <w:rPr>
          <w:rFonts w:ascii="YouYuan" w:eastAsia="YouYuan" w:hAnsi="YouYuan" w:cs="YouYuan"/>
          <w:spacing w:val="-2"/>
          <w:sz w:val="17"/>
          <w:szCs w:val="17"/>
        </w:rPr>
        <w:t>咨</w:t>
      </w:r>
      <w:r>
        <w:rPr>
          <w:rFonts w:ascii="YouYuan" w:eastAsia="YouYuan" w:hAnsi="YouYuan" w:cs="YouYuan"/>
          <w:spacing w:val="-2"/>
          <w:sz w:val="17"/>
          <w:szCs w:val="17"/>
        </w:rPr>
        <w:t xml:space="preserve">   </w:t>
      </w:r>
      <w:r>
        <w:rPr>
          <w:rFonts w:ascii="SimHei" w:eastAsia="SimHei" w:hAnsi="SimHei" w:cs="SimHei"/>
          <w:spacing w:val="-2"/>
          <w:sz w:val="17"/>
          <w:szCs w:val="17"/>
        </w:rPr>
        <w:t>询</w:t>
      </w: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before="92" w:line="198" w:lineRule="auto"/>
        <w:ind w:left="1059"/>
        <w:rPr>
          <w:sz w:val="32"/>
          <w:szCs w:val="32"/>
        </w:rPr>
      </w:pPr>
      <w:r>
        <w:rPr>
          <w:color w:val="FFFFFF"/>
          <w:spacing w:val="-2"/>
          <w:sz w:val="32"/>
          <w:szCs w:val="32"/>
        </w:rPr>
        <w:t>CONTENTS</w:t>
      </w:r>
    </w:p>
    <w:p>
      <w:pPr>
        <w:spacing w:before="129" w:line="222" w:lineRule="auto"/>
        <w:ind w:left="1089"/>
        <w:rPr>
          <w:rFonts w:ascii="SimHei" w:eastAsia="SimHei" w:hAnsi="SimHei" w:cs="SimHei"/>
          <w:sz w:val="65"/>
          <w:szCs w:val="65"/>
        </w:rPr>
      </w:pPr>
      <w:r>
        <w:pict>
          <v:shape id="_x0000_s1026" type="#_x0000_t202" style="width:124.4pt;height:37.75pt;margin-top:2pt;margin-left:315.7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29"/>
                      <w:szCs w:val="2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4"/>
                      <w:sz w:val="29"/>
                      <w:szCs w:val="29"/>
                    </w:rPr>
                    <w:t>01</w:t>
                  </w:r>
                  <w:r>
                    <w:rPr>
                      <w:rFonts w:ascii="SimHei" w:eastAsia="SimHei" w:hAnsi="SimHei" w:cs="SimHei"/>
                      <w:spacing w:val="-4"/>
                      <w:sz w:val="29"/>
                      <w:szCs w:val="29"/>
                    </w:rPr>
                    <w:t xml:space="preserve">  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4"/>
                      <w:sz w:val="29"/>
                      <w:szCs w:val="29"/>
                    </w:rPr>
                    <w:t>绿色出行定义</w:t>
                  </w:r>
                </w:p>
                <w:p>
                  <w:pPr>
                    <w:pStyle w:val="BodyText"/>
                    <w:spacing w:before="168" w:line="198" w:lineRule="auto"/>
                    <w:ind w:left="725"/>
                  </w:pPr>
                  <w:r>
                    <w:rPr>
                      <w:spacing w:val="-1"/>
                    </w:rPr>
                    <w:t>Significance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color w:val="FFFFFF"/>
          <w:spacing w:val="5"/>
          <w:sz w:val="65"/>
          <w:szCs w:val="65"/>
        </w:rPr>
        <w:t>目录</w:t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94" w:line="221" w:lineRule="auto"/>
        <w:ind w:left="633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02</w:t>
      </w:r>
      <w:r>
        <w:rPr>
          <w:rFonts w:ascii="SimHei" w:eastAsia="SimHei" w:hAnsi="SimHei" w:cs="SimHei"/>
          <w:spacing w:val="72"/>
          <w:sz w:val="29"/>
          <w:szCs w:val="29"/>
        </w:rPr>
        <w:t xml:space="preserve">  </w:t>
      </w:r>
      <w:r>
        <w:rPr>
          <w:rFonts w:ascii="SimHei" w:eastAsia="SimHei" w:hAnsi="SimHei" w:cs="SimHei"/>
          <w:spacing w:val="-6"/>
          <w:sz w:val="29"/>
          <w:szCs w:val="29"/>
        </w:rPr>
        <w:t>绿色出行发展驱动因素</w:t>
      </w:r>
    </w:p>
    <w:p>
      <w:pPr>
        <w:pStyle w:val="BodyText"/>
        <w:spacing w:before="157" w:line="196" w:lineRule="auto"/>
        <w:ind w:left="7029"/>
      </w:pPr>
      <w:r>
        <w:rPr>
          <w:spacing w:val="-3"/>
        </w:rPr>
        <w:t>Driving</w:t>
      </w:r>
      <w:r>
        <w:rPr>
          <w:spacing w:val="12"/>
        </w:rPr>
        <w:t xml:space="preserve">  </w:t>
      </w:r>
      <w:r>
        <w:rPr>
          <w:spacing w:val="-3"/>
        </w:rPr>
        <w:t>Factor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95" w:line="218" w:lineRule="auto"/>
        <w:ind w:left="633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03</w:t>
      </w:r>
      <w:r>
        <w:rPr>
          <w:rFonts w:ascii="SimHei" w:eastAsia="SimHei" w:hAnsi="SimHei" w:cs="SimHei"/>
          <w:spacing w:val="-6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绿色出行践行方式</w:t>
      </w:r>
    </w:p>
    <w:p>
      <w:pPr>
        <w:pStyle w:val="BodyText"/>
        <w:spacing w:before="201" w:line="196" w:lineRule="auto"/>
        <w:ind w:left="7080"/>
      </w:pPr>
      <w:r>
        <w:rPr>
          <w:spacing w:val="-2"/>
        </w:rPr>
        <w:t>Practical</w:t>
      </w:r>
      <w:r>
        <w:rPr>
          <w:spacing w:val="26"/>
          <w:w w:val="101"/>
        </w:rPr>
        <w:t xml:space="preserve">  </w:t>
      </w:r>
      <w:r>
        <w:rPr>
          <w:spacing w:val="-2"/>
        </w:rPr>
        <w:t>Behavior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footerReference w:type="default" r:id="rId7"/>
          <w:pgSz w:w="14400" w:h="10800"/>
          <w:pgMar w:top="0" w:right="0" w:bottom="1" w:left="0" w:header="0" w:footer="0" w:gutter="0"/>
          <w:cols w:space="708"/>
        </w:sectPr>
      </w:pPr>
    </w:p>
    <w:p>
      <w:pPr>
        <w:spacing w:before="95" w:line="221" w:lineRule="auto"/>
        <w:ind w:left="633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7"/>
          <w:sz w:val="29"/>
          <w:szCs w:val="29"/>
        </w:rPr>
        <w:t>04</w:t>
      </w:r>
      <w:r>
        <w:rPr>
          <w:rFonts w:ascii="SimHei" w:eastAsia="SimHei" w:hAnsi="SimHei" w:cs="SimHei"/>
          <w:spacing w:val="-7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7"/>
          <w:sz w:val="29"/>
          <w:szCs w:val="29"/>
        </w:rPr>
        <w:t>绿色出行未来展望</w:t>
      </w:r>
    </w:p>
    <w:p>
      <w:pPr>
        <w:pStyle w:val="BodyText"/>
        <w:spacing w:before="203" w:line="196" w:lineRule="auto"/>
        <w:ind w:left="7089"/>
      </w:pPr>
      <w:r>
        <w:rPr>
          <w:spacing w:val="-2"/>
        </w:rPr>
        <w:t>Development</w:t>
      </w:r>
      <w:r>
        <w:rPr>
          <w:spacing w:val="27"/>
        </w:rPr>
        <w:t xml:space="preserve">  </w:t>
      </w:r>
      <w:r>
        <w:rPr>
          <w:spacing w:val="-2"/>
        </w:rPr>
        <w:t>Trend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56" w:line="183" w:lineRule="auto"/>
        <w:ind w:left="1404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>4</w:t>
      </w:r>
    </w:p>
    <w:p>
      <w:pPr>
        <w:spacing w:line="183" w:lineRule="auto"/>
        <w:rPr>
          <w:rFonts w:ascii="SimSun" w:eastAsia="SimSun" w:hAnsi="SimSun" w:cs="SimSun"/>
          <w:sz w:val="17"/>
          <w:szCs w:val="17"/>
        </w:rPr>
        <w:sectPr>
          <w:footerReference w:type="default" r:id="rId8"/>
          <w:type w:val="nextPage"/>
          <w:pgSz w:w="144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49" w:lineRule="auto"/>
      </w:pPr>
    </w:p>
    <w:p>
      <w:pPr>
        <w:pStyle w:val="BodyText"/>
        <w:spacing w:line="350" w:lineRule="auto"/>
      </w:pPr>
    </w:p>
    <w:p>
      <w:pPr>
        <w:pStyle w:val="BodyText"/>
        <w:spacing w:before="137" w:line="203" w:lineRule="auto"/>
        <w:ind w:left="5809"/>
        <w:rPr>
          <w:sz w:val="35"/>
          <w:szCs w:val="35"/>
        </w:rPr>
      </w:pPr>
      <w:r>
        <w:rPr>
          <w:rFonts w:ascii="SimSun" w:eastAsia="SimSun" w:hAnsi="SimSun" w:cs="SimSun"/>
          <w:color w:val="FFFFFF"/>
          <w:spacing w:val="-5"/>
          <w:position w:val="-2"/>
          <w:sz w:val="42"/>
          <w:szCs w:val="42"/>
        </w:rPr>
        <w:t xml:space="preserve">C </w:t>
      </w:r>
      <w:r>
        <w:rPr>
          <w:rFonts w:ascii="SimHei" w:eastAsia="SimHei" w:hAnsi="SimHei" w:cs="SimHei"/>
          <w:b/>
          <w:bCs/>
          <w:color w:val="FFFFFF"/>
          <w:spacing w:val="-5"/>
          <w:position w:val="-2"/>
          <w:sz w:val="42"/>
          <w:szCs w:val="42"/>
        </w:rPr>
        <w:t>携程旅行</w:t>
      </w:r>
      <w:r>
        <w:rPr>
          <w:rFonts w:ascii="SimHei" w:eastAsia="SimHei" w:hAnsi="SimHei" w:cs="SimHei"/>
          <w:color w:val="FFFFFF"/>
          <w:spacing w:val="-5"/>
          <w:position w:val="-2"/>
          <w:sz w:val="42"/>
          <w:szCs w:val="42"/>
        </w:rPr>
        <w:t xml:space="preserve"> </w:t>
      </w:r>
      <w:r>
        <w:rPr>
          <w:rFonts w:ascii="SimHei" w:eastAsia="SimHei" w:hAnsi="SimHei" w:cs="SimHei"/>
          <w:color w:val="FFFFFF"/>
          <w:spacing w:val="-5"/>
          <w:position w:val="-2"/>
          <w:sz w:val="42"/>
          <w:szCs w:val="42"/>
        </w:rPr>
        <w:t>|</w:t>
      </w:r>
      <w:r>
        <w:rPr>
          <w:rFonts w:ascii="SimSun" w:eastAsia="SimSun" w:hAnsi="SimSun" w:cs="SimSun"/>
          <w:color w:val="FFFFFF"/>
          <w:spacing w:val="-5"/>
          <w:position w:val="-2"/>
          <w:sz w:val="42"/>
          <w:szCs w:val="42"/>
        </w:rPr>
        <w:t>QD</w:t>
      </w:r>
      <w:r>
        <w:rPr>
          <w:rFonts w:ascii="SimSun" w:eastAsia="SimSun" w:hAnsi="SimSun" w:cs="SimSun"/>
          <w:color w:val="FFFFFF"/>
          <w:spacing w:val="51"/>
          <w:position w:val="-2"/>
          <w:sz w:val="42"/>
          <w:szCs w:val="42"/>
        </w:rPr>
        <w:t xml:space="preserve">   </w:t>
      </w:r>
      <w:r>
        <w:rPr>
          <w:rFonts w:ascii="SimHei" w:eastAsia="SimHei" w:hAnsi="SimHei" w:cs="SimHei"/>
          <w:b/>
          <w:bCs/>
          <w:color w:val="FFFFFF"/>
          <w:spacing w:val="-5"/>
          <w:position w:val="-2"/>
          <w:sz w:val="42"/>
          <w:szCs w:val="42"/>
        </w:rPr>
        <w:t>一泛奥迪</w:t>
      </w:r>
      <w:r>
        <w:rPr>
          <w:rFonts w:ascii="SimHei" w:eastAsia="SimHei" w:hAnsi="SimHei" w:cs="SimHei"/>
          <w:color w:val="FFFFFF"/>
          <w:spacing w:val="11"/>
          <w:position w:val="-2"/>
          <w:sz w:val="42"/>
          <w:szCs w:val="42"/>
        </w:rPr>
        <w:t xml:space="preserve">   </w:t>
      </w:r>
      <w:r>
        <w:rPr>
          <w:b/>
          <w:bCs/>
          <w:color w:val="FFFFFF"/>
          <w:spacing w:val="-5"/>
          <w:position w:val="8"/>
          <w:sz w:val="35"/>
          <w:szCs w:val="35"/>
        </w:rPr>
        <w:t>Research</w:t>
      </w:r>
    </w:p>
    <w:p>
      <w:pPr>
        <w:spacing w:line="225" w:lineRule="auto"/>
        <w:ind w:left="11639"/>
        <w:rPr>
          <w:rFonts w:ascii="YouYuan" w:eastAsia="YouYuan" w:hAnsi="YouYuan" w:cs="YouYuan"/>
          <w:sz w:val="22"/>
          <w:szCs w:val="22"/>
        </w:rPr>
      </w:pPr>
      <w:r>
        <w:rPr>
          <w:rFonts w:ascii="YouYuan" w:eastAsia="YouYuan" w:hAnsi="YouYuan" w:cs="YouYuan"/>
          <w:color w:val="FFFFFF"/>
          <w:spacing w:val="-4"/>
          <w:sz w:val="22"/>
          <w:szCs w:val="22"/>
        </w:rPr>
        <w:t>艾</w:t>
      </w:r>
      <w:r>
        <w:rPr>
          <w:rFonts w:ascii="YouYuan" w:eastAsia="YouYuan" w:hAnsi="YouYuan" w:cs="YouYuan"/>
          <w:color w:val="FFFFFF"/>
          <w:spacing w:val="5"/>
          <w:sz w:val="22"/>
          <w:szCs w:val="22"/>
        </w:rPr>
        <w:t xml:space="preserve">   </w:t>
      </w:r>
      <w:r>
        <w:rPr>
          <w:rFonts w:ascii="YouYuan" w:eastAsia="YouYuan" w:hAnsi="YouYuan" w:cs="YouYuan"/>
          <w:color w:val="FFFFFF"/>
          <w:spacing w:val="-4"/>
          <w:sz w:val="22"/>
          <w:szCs w:val="22"/>
        </w:rPr>
        <w:t>瑞</w:t>
      </w:r>
      <w:r>
        <w:rPr>
          <w:rFonts w:ascii="YouYuan" w:eastAsia="YouYuan" w:hAnsi="YouYuan" w:cs="YouYuan"/>
          <w:color w:val="FFFFFF"/>
          <w:spacing w:val="7"/>
          <w:sz w:val="22"/>
          <w:szCs w:val="22"/>
        </w:rPr>
        <w:t xml:space="preserve">   </w:t>
      </w:r>
      <w:r>
        <w:rPr>
          <w:rFonts w:ascii="YouYuan" w:eastAsia="YouYuan" w:hAnsi="YouYuan" w:cs="YouYuan"/>
          <w:color w:val="FFFFFF"/>
          <w:spacing w:val="-4"/>
          <w:sz w:val="22"/>
          <w:szCs w:val="22"/>
        </w:rPr>
        <w:t>咨</w:t>
      </w:r>
      <w:r>
        <w:rPr>
          <w:rFonts w:ascii="YouYuan" w:eastAsia="YouYuan" w:hAnsi="YouYuan" w:cs="YouYuan"/>
          <w:color w:val="FFFFFF"/>
          <w:spacing w:val="6"/>
          <w:sz w:val="22"/>
          <w:szCs w:val="22"/>
        </w:rPr>
        <w:t xml:space="preserve">   </w:t>
      </w:r>
      <w:r>
        <w:rPr>
          <w:rFonts w:ascii="YouYuan" w:eastAsia="YouYuan" w:hAnsi="YouYuan" w:cs="YouYuan"/>
          <w:color w:val="FFFFFF"/>
          <w:spacing w:val="-4"/>
          <w:sz w:val="22"/>
          <w:szCs w:val="22"/>
        </w:rPr>
        <w:t>询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341" w:line="224" w:lineRule="auto"/>
        <w:ind w:left="1805"/>
        <w:rPr>
          <w:rFonts w:ascii="SimHei" w:eastAsia="SimHei" w:hAnsi="SimHei" w:cs="SimHei"/>
          <w:sz w:val="79"/>
          <w:szCs w:val="79"/>
        </w:rPr>
      </w:pPr>
      <w:r>
        <w:rPr>
          <w:rFonts w:ascii="SimSun" w:eastAsia="SimSun" w:hAnsi="SimSun" w:cs="SimSun"/>
          <w:b/>
          <w:bCs/>
          <w:color w:val="FFFFFF"/>
          <w:spacing w:val="8"/>
          <w:position w:val="-3"/>
          <w:sz w:val="105"/>
          <w:szCs w:val="105"/>
        </w:rPr>
        <w:t>01</w:t>
      </w:r>
      <w:r>
        <w:rPr>
          <w:rFonts w:ascii="SimSun" w:eastAsia="SimSun" w:hAnsi="SimSun" w:cs="SimSun"/>
          <w:color w:val="FFFFFF"/>
          <w:spacing w:val="8"/>
          <w:position w:val="-3"/>
          <w:sz w:val="105"/>
          <w:szCs w:val="105"/>
        </w:rPr>
        <w:t>/</w:t>
      </w:r>
      <w:r>
        <w:rPr>
          <w:rFonts w:ascii="SimSun" w:eastAsia="SimSun" w:hAnsi="SimSun" w:cs="SimSun"/>
          <w:color w:val="FFFFFF"/>
          <w:spacing w:val="95"/>
          <w:position w:val="-3"/>
          <w:sz w:val="105"/>
          <w:szCs w:val="105"/>
        </w:rPr>
        <w:t xml:space="preserve">  </w:t>
      </w:r>
      <w:r>
        <w:rPr>
          <w:rFonts w:ascii="SimHei" w:eastAsia="SimHei" w:hAnsi="SimHei" w:cs="SimHei"/>
          <w:b/>
          <w:bCs/>
          <w:color w:val="FFFFFF"/>
          <w:spacing w:val="8"/>
          <w:position w:val="2"/>
          <w:sz w:val="79"/>
          <w:szCs w:val="79"/>
        </w:rPr>
        <w:t>绿色出行定义</w:t>
      </w:r>
    </w:p>
    <w:p>
      <w:pPr>
        <w:pStyle w:val="BodyText"/>
        <w:spacing w:before="108" w:line="198" w:lineRule="auto"/>
        <w:ind w:left="5660"/>
        <w:rPr>
          <w:sz w:val="50"/>
          <w:szCs w:val="50"/>
        </w:rPr>
      </w:pPr>
      <w:r>
        <w:rPr>
          <w:b/>
          <w:bCs/>
          <w:color w:val="FFFFFF"/>
          <w:spacing w:val="-17"/>
          <w:sz w:val="50"/>
          <w:szCs w:val="50"/>
        </w:rPr>
        <w:t>Significance</w:t>
      </w:r>
    </w:p>
    <w:p>
      <w:pPr>
        <w:spacing w:line="198" w:lineRule="auto"/>
        <w:rPr>
          <w:sz w:val="50"/>
          <w:szCs w:val="50"/>
        </w:rPr>
        <w:sectPr>
          <w:footerReference w:type="default" r:id="rId9"/>
          <w:pgSz w:w="14400" w:h="10800"/>
          <w:pgMar w:top="0" w:right="0" w:bottom="301" w:left="0" w:header="0" w:footer="114" w:gutter="0"/>
          <w:pgNumType w:start="3"/>
          <w:cols w:space="708"/>
        </w:sectPr>
      </w:pPr>
    </w:p>
    <w:p>
      <w:pPr>
        <w:spacing w:before="212" w:line="187" w:lineRule="auto"/>
        <w:ind w:left="8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color w:val="6FC500"/>
          <w:spacing w:val="16"/>
          <w:sz w:val="61"/>
          <w:szCs w:val="61"/>
        </w:rPr>
        <w:t>为什么要绿色出行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8" w:line="219" w:lineRule="auto"/>
        <w:rPr>
          <w:rFonts w:ascii="YouYuan" w:eastAsia="YouYuan" w:hAnsi="YouYuan" w:cs="YouYuan"/>
          <w:sz w:val="34"/>
          <w:szCs w:val="34"/>
        </w:rPr>
      </w:pPr>
      <w:r>
        <w:rPr>
          <w:rFonts w:ascii="YouYuan" w:eastAsia="YouYuan" w:hAnsi="YouYuan" w:cs="YouYuan"/>
          <w:b/>
          <w:bCs/>
          <w:color w:val="0062E4"/>
          <w:spacing w:val="10"/>
          <w:sz w:val="34"/>
          <w:szCs w:val="34"/>
        </w:rPr>
        <w:t>拱程旅行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91" w:line="221" w:lineRule="auto"/>
        <w:rPr>
          <w:rFonts w:ascii="SimHei" w:eastAsia="SimHei" w:hAnsi="SimHei" w:cs="SimHei"/>
          <w:sz w:val="19"/>
          <w:szCs w:val="19"/>
        </w:rPr>
      </w:pP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D     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一</w:t>
      </w:r>
      <w:r>
        <w:rPr>
          <w:rFonts w:ascii="SimHei" w:eastAsia="SimHei" w:hAnsi="SimHei" w:cs="SimHei"/>
          <w:spacing w:val="-5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汽</w:t>
      </w:r>
      <w:r>
        <w:rPr>
          <w:rFonts w:ascii="SimHei" w:eastAsia="SimHei" w:hAnsi="SimHei" w:cs="SimHei"/>
          <w:spacing w:val="-5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奥</w:t>
      </w:r>
      <w:r>
        <w:rPr>
          <w:rFonts w:ascii="SimHei" w:eastAsia="SimHei" w:hAnsi="SimHei" w:cs="SimHei"/>
          <w:spacing w:val="-12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迪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537" w:lineRule="exact"/>
      </w:pPr>
      <w:r>
        <w:rPr>
          <w:position w:val="-10"/>
        </w:rPr>
        <w:drawing>
          <wp:inline distT="0" distB="0" distL="0" distR="0">
            <wp:extent cx="958839" cy="34120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8839" cy="341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4" w:lineRule="auto"/>
        <w:ind w:left="49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spacing w:val="-11"/>
          <w:sz w:val="19"/>
          <w:szCs w:val="19"/>
        </w:rPr>
        <w:t>艾</w:t>
      </w:r>
      <w:r>
        <w:rPr>
          <w:rFonts w:ascii="YouYuan" w:eastAsia="YouYuan" w:hAnsi="YouYuan" w:cs="YouYuan"/>
          <w:spacing w:val="29"/>
          <w:sz w:val="19"/>
          <w:szCs w:val="19"/>
        </w:rPr>
        <w:t xml:space="preserve">  </w:t>
      </w:r>
      <w:r>
        <w:rPr>
          <w:rFonts w:ascii="YouYuan" w:eastAsia="YouYuan" w:hAnsi="YouYuan" w:cs="YouYuan"/>
          <w:spacing w:val="-11"/>
          <w:sz w:val="19"/>
          <w:szCs w:val="19"/>
        </w:rPr>
        <w:t>瑞</w:t>
      </w:r>
      <w:r>
        <w:rPr>
          <w:rFonts w:ascii="YouYuan" w:eastAsia="YouYuan" w:hAnsi="YouYuan" w:cs="YouYuan"/>
          <w:spacing w:val="31"/>
          <w:sz w:val="19"/>
          <w:szCs w:val="19"/>
        </w:rPr>
        <w:t xml:space="preserve">  </w:t>
      </w:r>
      <w:r>
        <w:rPr>
          <w:rFonts w:ascii="YouYuan" w:eastAsia="YouYuan" w:hAnsi="YouYuan" w:cs="YouYuan"/>
          <w:spacing w:val="-11"/>
          <w:sz w:val="19"/>
          <w:szCs w:val="19"/>
        </w:rPr>
        <w:t>咨</w:t>
      </w:r>
      <w:r>
        <w:rPr>
          <w:rFonts w:ascii="YouYuan" w:eastAsia="YouYuan" w:hAnsi="YouYuan" w:cs="YouYuan"/>
          <w:spacing w:val="-11"/>
          <w:sz w:val="19"/>
          <w:szCs w:val="19"/>
        </w:rPr>
        <w:t xml:space="preserve">   </w:t>
      </w:r>
      <w:r>
        <w:rPr>
          <w:rFonts w:ascii="YouYuan" w:eastAsia="YouYuan" w:hAnsi="YouYuan" w:cs="YouYuan"/>
          <w:spacing w:val="-11"/>
          <w:sz w:val="19"/>
          <w:szCs w:val="19"/>
        </w:rPr>
        <w:t>询</w:t>
      </w:r>
    </w:p>
    <w:p>
      <w:pPr>
        <w:spacing w:line="214" w:lineRule="auto"/>
        <w:rPr>
          <w:rFonts w:ascii="YouYuan" w:eastAsia="YouYuan" w:hAnsi="YouYuan" w:cs="YouYuan"/>
          <w:sz w:val="19"/>
          <w:szCs w:val="19"/>
        </w:rPr>
        <w:sectPr>
          <w:footerReference w:type="default" r:id="rId11"/>
          <w:pgSz w:w="14400" w:h="10800"/>
          <w:pgMar w:top="489" w:right="273" w:bottom="160" w:left="819" w:header="0" w:footer="0" w:gutter="0"/>
          <w:pgNumType w:start="4"/>
          <w:cols w:num="4" w:space="708" w:equalWidth="0">
            <w:col w:w="7545" w:space="100"/>
            <w:col w:w="1956" w:space="100"/>
            <w:col w:w="1530" w:space="100"/>
            <w:col w:w="1977" w:space="0"/>
          </w:cols>
        </w:sectPr>
      </w:pPr>
    </w:p>
    <w:p>
      <w:pPr>
        <w:spacing w:before="225" w:line="213" w:lineRule="auto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9"/>
          <w:sz w:val="39"/>
          <w:szCs w:val="39"/>
        </w:rPr>
        <w:t>全球旅游业稳步复苏，可持续发展正受到旅游业挑战</w:t>
      </w:r>
    </w:p>
    <w:p>
      <w:pPr>
        <w:pStyle w:val="BodyText"/>
        <w:spacing w:line="278" w:lineRule="auto"/>
      </w:pPr>
    </w:p>
    <w:p>
      <w:pPr>
        <w:spacing w:before="62" w:line="298" w:lineRule="auto"/>
        <w:ind w:right="578"/>
        <w:jc w:val="both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31"/>
          <w:sz w:val="19"/>
          <w:szCs w:val="19"/>
        </w:rPr>
        <w:t>2023年全球旅游总人次预计达107</w:t>
      </w:r>
      <w:r>
        <w:rPr>
          <w:rFonts w:ascii="SimHei" w:eastAsia="SimHei" w:hAnsi="SimHei" w:cs="SimHei"/>
          <w:spacing w:val="-4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1"/>
          <w:sz w:val="19"/>
          <w:szCs w:val="19"/>
        </w:rPr>
        <w:t>.</w:t>
      </w:r>
      <w:r>
        <w:rPr>
          <w:rFonts w:ascii="SimHei" w:eastAsia="SimHei" w:hAnsi="SimHei" w:cs="SimHei"/>
          <w:spacing w:val="-55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1"/>
          <w:sz w:val="19"/>
          <w:szCs w:val="19"/>
        </w:rPr>
        <w:t>8亿，恢复至疫情前2019年的74</w:t>
      </w:r>
      <w:r>
        <w:rPr>
          <w:rFonts w:ascii="SimHei" w:eastAsia="SimHei" w:hAnsi="SimHei" w:cs="SimHei"/>
          <w:spacing w:val="-4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1"/>
          <w:sz w:val="19"/>
          <w:szCs w:val="19"/>
        </w:rPr>
        <w:t>.</w:t>
      </w:r>
      <w:r>
        <w:rPr>
          <w:rFonts w:ascii="SimHei" w:eastAsia="SimHei" w:hAnsi="SimHei" w:cs="SimHei"/>
          <w:spacing w:val="-53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1"/>
          <w:sz w:val="19"/>
          <w:szCs w:val="19"/>
        </w:rPr>
        <w:t>3%,全球</w:t>
      </w:r>
      <w:r>
        <w:rPr>
          <w:rFonts w:ascii="SimHei" w:eastAsia="SimHei" w:hAnsi="SimHei" w:cs="SimHei"/>
          <w:spacing w:val="30"/>
          <w:sz w:val="19"/>
          <w:szCs w:val="19"/>
        </w:rPr>
        <w:t>旅游业正呈现稳步复苏态势。然而，在旅游业回暖的</w:t>
      </w:r>
      <w:r>
        <w:rPr>
          <w:rFonts w:ascii="SimHei" w:eastAsia="SimHei" w:hAnsi="SimHei" w:cs="SimHei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0"/>
          <w:sz w:val="19"/>
          <w:szCs w:val="19"/>
        </w:rPr>
        <w:t>过程中，因旅游交通所产生的碳排放、</w:t>
      </w:r>
      <w:r>
        <w:rPr>
          <w:rFonts w:ascii="SimHei" w:eastAsia="SimHei" w:hAnsi="SimHei" w:cs="SimHei"/>
          <w:spacing w:val="71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0"/>
          <w:sz w:val="19"/>
          <w:szCs w:val="19"/>
        </w:rPr>
        <w:t>一</w:t>
      </w:r>
      <w:r>
        <w:rPr>
          <w:rFonts w:ascii="SimHei" w:eastAsia="SimHei" w:hAnsi="SimHei" w:cs="SimHei"/>
          <w:spacing w:val="-54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0"/>
          <w:sz w:val="19"/>
          <w:szCs w:val="19"/>
        </w:rPr>
        <w:t>次性酒店用品所产生的废弃物、超量点餐</w:t>
      </w:r>
      <w:r>
        <w:rPr>
          <w:rFonts w:ascii="SimHei" w:eastAsia="SimHei" w:hAnsi="SimHei" w:cs="SimHei"/>
          <w:spacing w:val="29"/>
          <w:sz w:val="19"/>
          <w:szCs w:val="19"/>
        </w:rPr>
        <w:t>所产生的剩饭剩菜及因过度旅游导致的环境破坏</w:t>
      </w:r>
      <w:r>
        <w:rPr>
          <w:rFonts w:ascii="SimHei" w:eastAsia="SimHei" w:hAnsi="SimHei" w:cs="SimHei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33"/>
          <w:sz w:val="19"/>
          <w:szCs w:val="19"/>
        </w:rPr>
        <w:t>等问题正不断挑战全球可持续发展。为遏制气候变暖等消极信号不断释放，旅游业需积极践行可持续理念，为推动全球可持续发展</w:t>
      </w:r>
      <w:r>
        <w:rPr>
          <w:rFonts w:ascii="SimHei" w:eastAsia="SimHei" w:hAnsi="SimHei" w:cs="SimHei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21"/>
          <w:sz w:val="19"/>
          <w:szCs w:val="19"/>
        </w:rPr>
        <w:t>付诸行动。</w:t>
      </w:r>
    </w:p>
    <w:p>
      <w:pPr>
        <w:pStyle w:val="BodyText"/>
        <w:spacing w:line="368" w:lineRule="auto"/>
      </w:pPr>
    </w:p>
    <w:p>
      <w:pPr>
        <w:spacing w:before="87" w:line="221" w:lineRule="auto"/>
        <w:ind w:left="99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12"/>
          <w:sz w:val="27"/>
          <w:szCs w:val="27"/>
        </w:rPr>
        <w:t>全球旅游总人次及增速，2019-2023</w:t>
      </w:r>
      <w:r>
        <w:rPr>
          <w:rFonts w:ascii="SimHei" w:eastAsia="SimHei" w:hAnsi="SimHei" w:cs="SimHei"/>
          <w:spacing w:val="12"/>
          <w:sz w:val="27"/>
          <w:szCs w:val="27"/>
        </w:rPr>
        <w:t xml:space="preserve">      </w:t>
      </w:r>
      <w:r>
        <w:rPr>
          <w:rFonts w:ascii="SimHei" w:eastAsia="SimHei" w:hAnsi="SimHei" w:cs="SimHei"/>
          <w:spacing w:val="11"/>
          <w:sz w:val="27"/>
          <w:szCs w:val="27"/>
        </w:rPr>
        <w:t xml:space="preserve">     </w:t>
      </w:r>
      <w:r>
        <w:rPr>
          <w:rFonts w:ascii="SimHei" w:eastAsia="SimHei" w:hAnsi="SimHei" w:cs="SimHei"/>
          <w:b/>
          <w:bCs/>
          <w:spacing w:val="11"/>
          <w:sz w:val="27"/>
          <w:szCs w:val="27"/>
        </w:rPr>
        <w:t>旅行者对可持续发展可能产生的不利影响</w:t>
      </w:r>
    </w:p>
    <w:p>
      <w:pPr>
        <w:spacing w:before="36"/>
      </w:pPr>
    </w:p>
    <w:p>
      <w:pPr>
        <w:spacing w:before="35"/>
      </w:pPr>
    </w:p>
    <w:p>
      <w:pPr>
        <w:sectPr>
          <w:footerReference w:type="default" r:id="rId12"/>
          <w:type w:val="continuous"/>
          <w:pgSz w:w="14400" w:h="10800"/>
          <w:pgMar w:top="489" w:right="273" w:bottom="160" w:left="819" w:header="0" w:footer="0" w:gutter="0"/>
          <w:pgNumType w:start="5"/>
          <w:cols w:num="1" w:space="708" w:equalWidth="0">
            <w:col w:w="13307" w:space="0"/>
          </w:cols>
        </w:sectPr>
      </w:pPr>
    </w:p>
    <w:p>
      <w:pPr>
        <w:spacing w:before="20" w:line="4650" w:lineRule="exact"/>
        <w:ind w:firstLine="10"/>
      </w:pPr>
      <w:r>
        <w:rPr>
          <w:position w:val="-92"/>
        </w:rPr>
        <w:drawing>
          <wp:inline distT="0" distB="0" distL="0" distR="0">
            <wp:extent cx="3905219" cy="295271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5219" cy="295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3" w:lineRule="auto"/>
        <w:ind w:left="123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9"/>
          <w:sz w:val="19"/>
          <w:szCs w:val="19"/>
        </w:rPr>
        <w:t>全球旅游总人次(亿人次)</w:t>
      </w:r>
      <w:r>
        <w:rPr>
          <w:rFonts w:ascii="SimHei" w:eastAsia="SimHei" w:hAnsi="SimHei" w:cs="SimHei"/>
          <w:spacing w:val="16"/>
          <w:sz w:val="19"/>
          <w:szCs w:val="19"/>
        </w:rPr>
        <w:t xml:space="preserve">      </w:t>
      </w:r>
      <w:r>
        <w:rPr>
          <w:rFonts w:ascii="SimHei" w:eastAsia="SimHei" w:hAnsi="SimHei" w:cs="SimHei"/>
          <w:spacing w:val="9"/>
          <w:sz w:val="19"/>
          <w:szCs w:val="19"/>
        </w:rPr>
        <w:t>一</w:t>
      </w:r>
      <w:r>
        <w:rPr>
          <w:rFonts w:ascii="SimHei" w:eastAsia="SimHei" w:hAnsi="SimHei" w:cs="SimHei"/>
          <w:spacing w:val="-41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增</w:t>
      </w:r>
      <w:r>
        <w:rPr>
          <w:rFonts w:ascii="SimHei" w:eastAsia="SimHei" w:hAnsi="SimHei" w:cs="SimHei"/>
          <w:spacing w:val="-45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速</w:t>
      </w:r>
      <w:r>
        <w:rPr>
          <w:rFonts w:ascii="SimHei" w:eastAsia="SimHei" w:hAnsi="SimHei" w:cs="SimHei"/>
          <w:spacing w:val="9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(</w:t>
      </w:r>
      <w:r>
        <w:rPr>
          <w:rFonts w:ascii="SimHei" w:eastAsia="SimHei" w:hAnsi="SimHei" w:cs="SimHei"/>
          <w:spacing w:val="-46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%</w:t>
      </w:r>
      <w:r>
        <w:rPr>
          <w:rFonts w:ascii="SimHei" w:eastAsia="SimHei" w:hAnsi="SimHei" w:cs="SimHei"/>
          <w:spacing w:val="-47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)</w:t>
      </w:r>
    </w:p>
    <w:p>
      <w:pPr>
        <w:spacing w:before="249" w:line="221" w:lineRule="auto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17"/>
          <w:w w:val="97"/>
          <w:sz w:val="19"/>
          <w:szCs w:val="19"/>
          <w:u w:val="single" w:color="auto"/>
        </w:rPr>
        <w:t>来源：</w:t>
      </w:r>
      <w:r>
        <w:rPr>
          <w:rFonts w:ascii="SimHei" w:eastAsia="SimHei" w:hAnsi="SimHei" w:cs="SimHei"/>
          <w:spacing w:val="11"/>
          <w:sz w:val="19"/>
          <w:szCs w:val="19"/>
          <w:u w:val="single" w:color="auto"/>
        </w:rPr>
        <w:t xml:space="preserve">   </w:t>
      </w:r>
      <w:r>
        <w:rPr>
          <w:rFonts w:ascii="SimHei" w:eastAsia="SimHei" w:hAnsi="SimHei" w:cs="SimHei"/>
          <w:spacing w:val="-17"/>
          <w:w w:val="97"/>
          <w:sz w:val="19"/>
          <w:szCs w:val="19"/>
          <w:u w:val="single" w:color="auto"/>
        </w:rPr>
        <w:t>《世界旅游趋势经济报告(2023)》,艾瑞咨询研究院自</w:t>
      </w:r>
      <w:r>
        <w:rPr>
          <w:rFonts w:ascii="SimHei" w:eastAsia="SimHei" w:hAnsi="SimHei" w:cs="SimHei"/>
          <w:spacing w:val="-18"/>
          <w:w w:val="97"/>
          <w:sz w:val="19"/>
          <w:szCs w:val="19"/>
          <w:u w:val="single" w:color="auto"/>
        </w:rPr>
        <w:t>主研究及绘制。</w:t>
      </w:r>
      <w:r>
        <w:rPr>
          <w:rFonts w:ascii="SimHei" w:eastAsia="SimHei" w:hAnsi="SimHei" w:cs="SimHei"/>
          <w:sz w:val="19"/>
          <w:szCs w:val="19"/>
          <w:u w:val="single" w:color="auto"/>
        </w:rPr>
        <w:t xml:space="preserve">   </w:t>
      </w:r>
    </w:p>
    <w:p>
      <w:pPr>
        <w:pStyle w:val="BodyText"/>
        <w:spacing w:before="27" w:line="259" w:lineRule="exact"/>
        <w:ind w:left="4530"/>
        <w:rPr>
          <w:sz w:val="19"/>
          <w:szCs w:val="19"/>
        </w:rPr>
      </w:pPr>
      <w:r>
        <w:pict>
          <v:shape id="_x0000_s1027" type="#_x0000_t202" style="width:86.7pt;height:14.15pt;margin-top:3.56pt;margin-left:-1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6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8"/>
                      <w:sz w:val="19"/>
                      <w:szCs w:val="19"/>
                    </w:rPr>
                    <w:t>◎</w:t>
                  </w:r>
                  <w:r>
                    <w:rPr>
                      <w:spacing w:val="-18"/>
                      <w:sz w:val="19"/>
                      <w:szCs w:val="19"/>
                    </w:rPr>
                    <w:t>2024.2</w:t>
                  </w:r>
                  <w:r>
                    <w:rPr>
                      <w:spacing w:val="16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18"/>
                      <w:sz w:val="19"/>
                      <w:szCs w:val="19"/>
                    </w:rPr>
                    <w:t>iResearch</w:t>
                  </w:r>
                  <w:r>
                    <w:rPr>
                      <w:spacing w:val="6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18"/>
                      <w:sz w:val="19"/>
                      <w:szCs w:val="19"/>
                    </w:rPr>
                    <w:t>Inc.</w:t>
                  </w:r>
                </w:p>
              </w:txbxContent>
            </v:textbox>
          </v:shape>
        </w:pict>
      </w:r>
      <w:r>
        <w:rPr>
          <w:spacing w:val="-14"/>
          <w:w w:val="95"/>
          <w:position w:val="1"/>
          <w:sz w:val="19"/>
          <w:szCs w:val="19"/>
        </w:rPr>
        <w:t>www</w:t>
      </w:r>
      <w:r>
        <w:rPr>
          <w:rFonts w:ascii="SimSun" w:eastAsia="SimSun" w:hAnsi="SimSun" w:cs="SimSun"/>
          <w:color w:val="DE7A23"/>
          <w:spacing w:val="-14"/>
          <w:w w:val="95"/>
          <w:position w:val="1"/>
          <w:sz w:val="19"/>
          <w:szCs w:val="19"/>
        </w:rPr>
        <w:t>.</w:t>
      </w:r>
      <w:r>
        <w:rPr>
          <w:spacing w:val="-14"/>
          <w:w w:val="95"/>
          <w:position w:val="1"/>
          <w:sz w:val="19"/>
          <w:szCs w:val="19"/>
        </w:rPr>
        <w:t>iresearch</w:t>
      </w:r>
      <w:r>
        <w:rPr>
          <w:rFonts w:ascii="SimSun" w:eastAsia="SimSun" w:hAnsi="SimSun" w:cs="SimSun"/>
          <w:color w:val="DE7A23"/>
          <w:spacing w:val="-14"/>
          <w:w w:val="95"/>
          <w:position w:val="1"/>
          <w:sz w:val="19"/>
          <w:szCs w:val="19"/>
        </w:rPr>
        <w:t>.</w:t>
      </w:r>
      <w:r>
        <w:rPr>
          <w:spacing w:val="-14"/>
          <w:w w:val="95"/>
          <w:position w:val="1"/>
          <w:sz w:val="19"/>
          <w:szCs w:val="19"/>
        </w:rPr>
        <w:t>com</w:t>
      </w:r>
      <w:r>
        <w:rPr>
          <w:rFonts w:ascii="SimSun" w:eastAsia="SimSun" w:hAnsi="SimSun" w:cs="SimSun"/>
          <w:color w:val="DE7A23"/>
          <w:spacing w:val="-14"/>
          <w:w w:val="95"/>
          <w:position w:val="1"/>
          <w:sz w:val="19"/>
          <w:szCs w:val="19"/>
        </w:rPr>
        <w:t>.</w:t>
      </w:r>
      <w:r>
        <w:rPr>
          <w:spacing w:val="-14"/>
          <w:w w:val="95"/>
          <w:position w:val="1"/>
          <w:sz w:val="19"/>
          <w:szCs w:val="19"/>
        </w:rPr>
        <w:t>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488" w:lineRule="exact"/>
        <w:ind w:firstLine="29"/>
      </w:pPr>
      <w:r>
        <w:rPr>
          <w:position w:val="-89"/>
        </w:rPr>
        <w:pict>
          <v:group id="_x0000_i1028" style="width:308.05pt;height:224.5pt;mso-position-horizontal-relative:char;mso-position-vertical-relative:line" coordorigin="0,0" coordsize="6160,44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6160;height:4490;position:absolute" filled="f" stroked="f">
              <v:imagedata r:id="rId14" o:title=""/>
            </v:shape>
            <v:shape id="_x0000_s1030" type="#_x0000_t202" style="width:2521;height:3657;left:360;position:absolute;top:291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53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position w:val="-2"/>
                        <w:sz w:val="30"/>
                        <w:szCs w:val="30"/>
                      </w:rPr>
                      <w:t>宁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45"/>
                        <w:position w:val="-2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A7D100"/>
                        <w:spacing w:val="-2"/>
                        <w:position w:val="3"/>
                        <w:sz w:val="19"/>
                        <w:szCs w:val="19"/>
                      </w:rPr>
                      <w:t>交通</w:t>
                    </w:r>
                  </w:p>
                  <w:p>
                    <w:pPr>
                      <w:spacing w:before="129" w:line="267" w:lineRule="auto"/>
                      <w:ind w:left="20" w:right="20"/>
                      <w:jc w:val="both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spacing w:val="17"/>
                        <w:sz w:val="19"/>
                        <w:szCs w:val="19"/>
                      </w:rPr>
                      <w:t>预计2030年，与旅游交通</w:t>
                    </w:r>
                    <w:r>
                      <w:rPr>
                        <w:rFonts w:ascii="SimHei" w:eastAsia="SimHei" w:hAnsi="SimHei" w:cs="SimHei"/>
                        <w:spacing w:val="2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SimHei" w:eastAsia="SimHei" w:hAnsi="SimHei" w:cs="SimHei"/>
                        <w:spacing w:val="14"/>
                        <w:sz w:val="19"/>
                        <w:szCs w:val="19"/>
                      </w:rPr>
                      <w:t>相关的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A7D100"/>
                        <w:spacing w:val="14"/>
                        <w:sz w:val="19"/>
                        <w:szCs w:val="19"/>
                      </w:rPr>
                      <w:t>碳排放将达20亿吨</w:t>
                    </w:r>
                    <w:r>
                      <w:rPr>
                        <w:rFonts w:ascii="SimHei" w:eastAsia="SimHei" w:hAnsi="SimHei" w:cs="SimHei"/>
                        <w:spacing w:val="14"/>
                        <w:sz w:val="19"/>
                        <w:szCs w:val="19"/>
                      </w:rPr>
                      <w:t>，</w:t>
                    </w:r>
                    <w:r>
                      <w:rPr>
                        <w:rFonts w:ascii="SimHei" w:eastAsia="SimHei" w:hAnsi="SimHei" w:cs="SimHei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18"/>
                        <w:sz w:val="19"/>
                        <w:szCs w:val="19"/>
                      </w:rPr>
                      <w:t>占全球交通领域碳排放总</w:t>
                    </w:r>
                    <w:r>
                      <w:rPr>
                        <w:rFonts w:ascii="SimHei" w:eastAsia="SimHei" w:hAnsi="SimHei" w:cs="SimHei"/>
                        <w:sz w:val="19"/>
                        <w:szCs w:val="19"/>
                      </w:rPr>
                      <w:t xml:space="preserve">   </w:t>
                    </w:r>
                    <w:r>
                      <w:rPr>
                        <w:rFonts w:ascii="SimHei" w:eastAsia="SimHei" w:hAnsi="SimHei" w:cs="SimHei"/>
                        <w:spacing w:val="1"/>
                        <w:sz w:val="19"/>
                        <w:szCs w:val="19"/>
                      </w:rPr>
                      <w:t>量的</w:t>
                    </w:r>
                    <w:r>
                      <w:rPr>
                        <w:rFonts w:ascii="SimHei" w:eastAsia="SimHei" w:hAnsi="SimHei" w:cs="SimHei"/>
                        <w:color w:val="A7D100"/>
                        <w:spacing w:val="1"/>
                        <w:sz w:val="19"/>
                        <w:szCs w:val="19"/>
                      </w:rPr>
                      <w:t>23%</w:t>
                    </w: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2" w:lineRule="auto"/>
                      <w:ind w:left="1092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13"/>
                        <w:sz w:val="19"/>
                        <w:szCs w:val="19"/>
                      </w:rPr>
                      <w:t>餐饮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58" w:lineRule="auto"/>
                      <w:ind w:left="22" w:right="212"/>
                      <w:jc w:val="both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16"/>
                        <w:sz w:val="19"/>
                        <w:szCs w:val="19"/>
                      </w:rPr>
                      <w:t>因超量点餐产</w:t>
                    </w:r>
                    <w:r>
                      <w:rPr>
                        <w:rFonts w:ascii="SimHei" w:eastAsia="SimHei" w:hAnsi="SimHei" w:cs="SimHei"/>
                        <w:spacing w:val="16"/>
                        <w:sz w:val="19"/>
                        <w:szCs w:val="19"/>
                      </w:rPr>
                      <w:t>生剩菜剩饭</w:t>
                    </w:r>
                    <w:r>
                      <w:rPr>
                        <w:rFonts w:ascii="SimHei" w:eastAsia="SimHei" w:hAnsi="SimHei" w:cs="SimHei"/>
                        <w:spacing w:val="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15"/>
                        <w:sz w:val="19"/>
                        <w:szCs w:val="19"/>
                      </w:rPr>
                      <w:t>及因使用塑料包装盛放外</w:t>
                    </w:r>
                    <w:r>
                      <w:rPr>
                        <w:rFonts w:ascii="SimHei" w:eastAsia="SimHei" w:hAnsi="SimHei" w:cs="SimHei"/>
                        <w:spacing w:val="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4"/>
                        <w:sz w:val="19"/>
                        <w:szCs w:val="19"/>
                      </w:rPr>
                      <w:t>带食品所</w:t>
                    </w:r>
                    <w:r>
                      <w:rPr>
                        <w:rFonts w:ascii="SimHei" w:eastAsia="SimHei" w:hAnsi="SimHei" w:cs="SimHei"/>
                        <w:spacing w:val="4"/>
                        <w:sz w:val="19"/>
                        <w:szCs w:val="19"/>
                      </w:rPr>
                      <w:t>产生的废弃物</w:t>
                    </w:r>
                  </w:p>
                </w:txbxContent>
              </v:textbox>
            </v:shape>
            <v:shape id="_x0000_s1031" type="#_x0000_t202" style="width:2326;height:1363;left:3480;position:absolute;top:2584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1022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00C2F3"/>
                        <w:spacing w:val="9"/>
                        <w:sz w:val="19"/>
                        <w:szCs w:val="19"/>
                      </w:rPr>
                      <w:t>旅行途中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258" w:lineRule="auto"/>
                      <w:ind w:left="22" w:right="20" w:hanging="2"/>
                      <w:jc w:val="both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spacing w:val="16"/>
                        <w:sz w:val="19"/>
                        <w:szCs w:val="19"/>
                      </w:rPr>
                      <w:t>因过度旅游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00C2F3"/>
                        <w:spacing w:val="16"/>
                        <w:sz w:val="19"/>
                        <w:szCs w:val="19"/>
                      </w:rPr>
                      <w:t>破坏本地居民</w:t>
                    </w:r>
                    <w:r>
                      <w:rPr>
                        <w:rFonts w:ascii="SimHei" w:eastAsia="SimHei" w:hAnsi="SimHei" w:cs="SimHei"/>
                        <w:color w:val="00C2F3"/>
                        <w:spacing w:val="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00C2F3"/>
                        <w:spacing w:val="6"/>
                        <w:sz w:val="19"/>
                        <w:szCs w:val="19"/>
                      </w:rPr>
                      <w:t>的生活环境及自然/文化遗</w:t>
                    </w:r>
                    <w:r>
                      <w:rPr>
                        <w:rFonts w:ascii="SimHei" w:eastAsia="SimHei" w:hAnsi="SimHei" w:cs="SimHei"/>
                        <w:color w:val="00C2F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00C2F3"/>
                        <w:spacing w:val="3"/>
                        <w:sz w:val="19"/>
                        <w:szCs w:val="19"/>
                      </w:rPr>
                      <w:t>产、干扰动物栖息等</w:t>
                    </w:r>
                  </w:p>
                </w:txbxContent>
              </v:textbox>
            </v:shape>
            <v:shape id="_x0000_s1032" type="#_x0000_t202" style="width:2333;height:1105;left:3480;position:absolute;top:784" filled="f" stroked="f">
              <o:lock v:ext="edit" aspectratio="f"/>
              <v:textbox inset="0,0,0,0">
                <w:txbxContent>
                  <w:p>
                    <w:pPr>
                      <w:spacing w:before="19" w:line="267" w:lineRule="auto"/>
                      <w:ind w:left="20" w:right="20"/>
                      <w:jc w:val="both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spacing w:val="17"/>
                        <w:sz w:val="19"/>
                        <w:szCs w:val="19"/>
                      </w:rPr>
                      <w:t>使用酒店提供的一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17"/>
                        <w:sz w:val="19"/>
                        <w:szCs w:val="19"/>
                      </w:rPr>
                      <w:t>次性消</w:t>
                    </w:r>
                    <w:r>
                      <w:rPr>
                        <w:rFonts w:ascii="SimHei" w:eastAsia="SimHei" w:hAnsi="SimHei" w:cs="SimHei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6FC400"/>
                        <w:spacing w:val="17"/>
                        <w:sz w:val="19"/>
                        <w:szCs w:val="19"/>
                      </w:rPr>
                      <w:t>费品产</w:t>
                    </w:r>
                    <w:r>
                      <w:rPr>
                        <w:rFonts w:ascii="SimHei" w:eastAsia="SimHei" w:hAnsi="SimHei" w:cs="SimHei"/>
                        <w:spacing w:val="17"/>
                        <w:sz w:val="19"/>
                        <w:szCs w:val="19"/>
                      </w:rPr>
                      <w:t>生的废弃物及因非</w:t>
                    </w:r>
                    <w:r>
                      <w:rPr>
                        <w:rFonts w:ascii="SimHei" w:eastAsia="SimHei" w:hAnsi="SimHei" w:cs="SimHei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6FC400"/>
                        <w:spacing w:val="14"/>
                        <w:sz w:val="19"/>
                        <w:szCs w:val="19"/>
                      </w:rPr>
                      <w:t>必要更换毛巾与寝具产</w:t>
                    </w:r>
                    <w:r>
                      <w:rPr>
                        <w:rFonts w:ascii="SimHei" w:eastAsia="SimHei" w:hAnsi="SimHei" w:cs="SimHei"/>
                        <w:spacing w:val="14"/>
                        <w:sz w:val="19"/>
                        <w:szCs w:val="19"/>
                      </w:rPr>
                      <w:t>生</w:t>
                    </w:r>
                    <w:r>
                      <w:rPr>
                        <w:rFonts w:ascii="SimHei" w:eastAsia="SimHei" w:hAnsi="SimHei" w:cs="SimHei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5"/>
                        <w:sz w:val="19"/>
                        <w:szCs w:val="19"/>
                      </w:rPr>
                      <w:t>的水资源浪费</w:t>
                    </w:r>
                  </w:p>
                </w:txbxContent>
              </v:textbox>
            </v:shape>
            <v:shape id="_x0000_s1033" type="#_x0000_t202" style="width:1061;height:380;left:4000;position:absolute;top:236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6FC500"/>
                        <w:spacing w:val="-36"/>
                        <w:sz w:val="34"/>
                        <w:szCs w:val="34"/>
                      </w:rPr>
                      <w:t>聞</w:t>
                    </w:r>
                    <w:r>
                      <w:rPr>
                        <w:rFonts w:ascii="SimSun" w:eastAsia="SimSun" w:hAnsi="SimSun" w:cs="SimSun"/>
                        <w:color w:val="6FC500"/>
                        <w:spacing w:val="118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6FC400"/>
                        <w:spacing w:val="-5"/>
                        <w:sz w:val="19"/>
                        <w:szCs w:val="19"/>
                      </w:rPr>
                      <w:t>住</w:t>
                    </w:r>
                    <w:r>
                      <w:rPr>
                        <w:rFonts w:ascii="SimHei" w:eastAsia="SimHei" w:hAnsi="SimHei" w:cs="SimHei"/>
                        <w:color w:val="6FC400"/>
                        <w:spacing w:val="-3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6FC400"/>
                        <w:spacing w:val="-5"/>
                        <w:sz w:val="19"/>
                        <w:szCs w:val="19"/>
                      </w:rPr>
                      <w:t>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26" w:lineRule="auto"/>
      </w:pPr>
    </w:p>
    <w:p>
      <w:pPr>
        <w:pStyle w:val="BodyText"/>
        <w:spacing w:line="326" w:lineRule="auto"/>
      </w:pPr>
    </w:p>
    <w:p>
      <w:pPr>
        <w:spacing w:before="62" w:line="213" w:lineRule="auto"/>
        <w:ind w:left="4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11"/>
          <w:sz w:val="19"/>
          <w:szCs w:val="19"/>
          <w:u w:val="single" w:color="auto"/>
        </w:rPr>
        <w:t>来源：世界旅游组织，公开资料，艾瑞咨询研究院自主研究及绘制。</w:t>
      </w:r>
      <w:r>
        <w:rPr>
          <w:rFonts w:ascii="SimHei" w:eastAsia="SimHei" w:hAnsi="SimHei" w:cs="SimHei"/>
          <w:sz w:val="19"/>
          <w:szCs w:val="19"/>
          <w:u w:val="single" w:color="auto"/>
        </w:rPr>
        <w:t xml:space="preserve">        </w:t>
      </w:r>
    </w:p>
    <w:p>
      <w:pPr>
        <w:pStyle w:val="BodyText"/>
        <w:spacing w:before="53" w:line="207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spacing w:val="-14"/>
          <w:position w:val="-1"/>
          <w:sz w:val="19"/>
          <w:szCs w:val="19"/>
        </w:rPr>
        <w:t>O202</w:t>
      </w:r>
      <w:r>
        <w:rPr>
          <w:spacing w:val="-13"/>
          <w:position w:val="-1"/>
          <w:sz w:val="19"/>
          <w:szCs w:val="19"/>
        </w:rPr>
        <w:t>4.2 iResearch</w:t>
      </w:r>
      <w:r>
        <w:rPr>
          <w:spacing w:val="8"/>
          <w:position w:val="-1"/>
          <w:sz w:val="19"/>
          <w:szCs w:val="19"/>
        </w:rPr>
        <w:t xml:space="preserve"> </w:t>
      </w:r>
      <w:r>
        <w:rPr>
          <w:spacing w:val="-13"/>
          <w:position w:val="-1"/>
          <w:sz w:val="19"/>
          <w:szCs w:val="19"/>
        </w:rPr>
        <w:t>Inc.</w:t>
      </w:r>
      <w:r>
        <w:rPr>
          <w:position w:val="-1"/>
          <w:sz w:val="19"/>
          <w:szCs w:val="19"/>
        </w:rPr>
        <w:t xml:space="preserve">                                                     </w:t>
      </w:r>
      <w:r>
        <w:rPr>
          <w:spacing w:val="-13"/>
          <w:position w:val="1"/>
          <w:sz w:val="19"/>
          <w:szCs w:val="19"/>
        </w:rPr>
        <w:t>www.iresearch.com.c</w:t>
      </w:r>
      <w:r>
        <w:rPr>
          <w:spacing w:val="-14"/>
          <w:position w:val="1"/>
          <w:sz w:val="19"/>
          <w:szCs w:val="19"/>
        </w:rPr>
        <w:t xml:space="preserve">n           </w:t>
      </w:r>
      <w:r>
        <w:rPr>
          <w:rFonts w:ascii="SimSun" w:eastAsia="SimSun" w:hAnsi="SimSun" w:cs="SimSun"/>
          <w:spacing w:val="-10"/>
          <w:position w:val="-4"/>
          <w:sz w:val="19"/>
          <w:szCs w:val="19"/>
        </w:rPr>
        <w:t>6</w:t>
      </w:r>
    </w:p>
    <w:p>
      <w:pPr>
        <w:spacing w:line="207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5"/>
          <w:type w:val="continuous"/>
          <w:pgSz w:w="14400" w:h="10800"/>
          <w:pgMar w:top="489" w:right="273" w:bottom="160" w:left="819" w:header="0" w:footer="0" w:gutter="0"/>
          <w:pgNumType w:start="6"/>
          <w:cols w:num="2" w:space="708" w:equalWidth="0">
            <w:col w:w="6501" w:space="100"/>
            <w:col w:w="6707" w:space="0"/>
          </w:cols>
        </w:sectPr>
      </w:pPr>
    </w:p>
    <w:p>
      <w:pPr>
        <w:spacing w:before="292" w:line="187" w:lineRule="auto"/>
        <w:ind w:left="240"/>
        <w:rPr>
          <w:rFonts w:ascii="SimSun" w:eastAsia="SimSun" w:hAnsi="SimSun" w:cs="SimSun"/>
          <w:sz w:val="34"/>
          <w:szCs w:val="34"/>
        </w:rPr>
      </w:pPr>
      <w:r>
        <w:pict>
          <v:rect id="_x0000_s1034" style="width:0.5pt;height:22pt;margin-top:33.5pt;margin-left:499pt;mso-position-horizontal-relative:page;mso-position-vertical-relative:page;position:absolute;z-index:251666432" o:allowincell="f" filled="t" fillcolor="black" stroked="f"/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7626350</wp:posOffset>
            </wp:positionH>
            <wp:positionV relativeFrom="page">
              <wp:posOffset>412783</wp:posOffset>
            </wp:positionV>
            <wp:extent cx="6350" cy="28570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85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5378409</wp:posOffset>
            </wp:positionH>
            <wp:positionV relativeFrom="page">
              <wp:posOffset>6134069</wp:posOffset>
            </wp:positionV>
            <wp:extent cx="2813059" cy="6377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13059" cy="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4711720</wp:posOffset>
            </wp:positionH>
            <wp:positionV relativeFrom="page">
              <wp:posOffset>6572227</wp:posOffset>
            </wp:positionV>
            <wp:extent cx="3924239" cy="6377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24239" cy="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6FC500"/>
          <w:spacing w:val="32"/>
          <w:position w:val="-1"/>
          <w:sz w:val="64"/>
          <w:szCs w:val="64"/>
        </w:rPr>
        <w:t>旅行者对绿色出行的理解</w:t>
      </w:r>
      <w:r>
        <w:rPr>
          <w:rFonts w:ascii="SimHei" w:eastAsia="SimHei" w:hAnsi="SimHei" w:cs="SimHei"/>
          <w:color w:val="6FC500"/>
          <w:spacing w:val="-134"/>
          <w:position w:val="-1"/>
          <w:sz w:val="64"/>
          <w:szCs w:val="64"/>
        </w:rPr>
        <w:t xml:space="preserve"> </w:t>
      </w:r>
      <w:r>
        <w:rPr>
          <w:rFonts w:ascii="SimSun" w:eastAsia="SimSun" w:hAnsi="SimSun" w:cs="SimSun"/>
          <w:color w:val="0062E4"/>
          <w:spacing w:val="32"/>
          <w:position w:val="19"/>
          <w:sz w:val="34"/>
          <w:szCs w:val="34"/>
        </w:rPr>
        <w:t>携程旅行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7" w:lineRule="auto"/>
      </w:pPr>
    </w:p>
    <w:p>
      <w:pPr>
        <w:spacing w:before="68" w:line="212" w:lineRule="auto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QQ</w:t>
      </w:r>
      <w:r>
        <w:rPr>
          <w:rFonts w:ascii="SimSun" w:eastAsia="SimSun" w:hAnsi="SimSun" w:cs="SimSun"/>
          <w:spacing w:val="-7"/>
          <w:sz w:val="21"/>
          <w:szCs w:val="21"/>
        </w:rPr>
        <w:t>⑦</w:t>
      </w:r>
      <w:r>
        <w:rPr>
          <w:rFonts w:ascii="SimSun" w:eastAsia="SimSun" w:hAnsi="SimSun" w:cs="SimSun"/>
          <w:spacing w:val="34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一</w:t>
      </w:r>
      <w:r>
        <w:rPr>
          <w:rFonts w:ascii="SimHei" w:eastAsia="SimHei" w:hAnsi="SimHei" w:cs="SimHei"/>
          <w:spacing w:val="-4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汽</w:t>
      </w:r>
      <w:r>
        <w:rPr>
          <w:rFonts w:ascii="SimHei" w:eastAsia="SimHei" w:hAnsi="SimHei" w:cs="SimHei"/>
          <w:spacing w:val="-4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奥</w:t>
      </w:r>
      <w:r>
        <w:rPr>
          <w:rFonts w:ascii="SimHei" w:eastAsia="SimHei" w:hAnsi="SimHei" w:cs="SimHei"/>
          <w:spacing w:val="-4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迪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8" w:line="550" w:lineRule="exact"/>
      </w:pPr>
      <w:r>
        <w:rPr>
          <w:position w:val="-11"/>
        </w:rPr>
        <w:drawing>
          <wp:inline distT="0" distB="0" distL="0" distR="0">
            <wp:extent cx="958839" cy="34927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8839" cy="34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 w:line="225" w:lineRule="auto"/>
        <w:ind w:left="69"/>
        <w:rPr>
          <w:rFonts w:ascii="YouYuan" w:eastAsia="YouYuan" w:hAnsi="YouYuan" w:cs="YouYuan"/>
          <w:sz w:val="16"/>
          <w:szCs w:val="16"/>
        </w:rPr>
      </w:pPr>
      <w:r>
        <w:rPr>
          <w:rFonts w:ascii="YouYuan" w:eastAsia="YouYuan" w:hAnsi="YouYuan" w:cs="YouYuan"/>
          <w:spacing w:val="-3"/>
          <w:sz w:val="16"/>
          <w:szCs w:val="16"/>
        </w:rPr>
        <w:t>艾</w:t>
      </w:r>
      <w:r>
        <w:rPr>
          <w:rFonts w:ascii="YouYuan" w:eastAsia="YouYuan" w:hAnsi="YouYuan" w:cs="YouYuan"/>
          <w:spacing w:val="1"/>
          <w:sz w:val="16"/>
          <w:szCs w:val="16"/>
        </w:rPr>
        <w:t xml:space="preserve">   </w:t>
      </w:r>
      <w:r>
        <w:rPr>
          <w:rFonts w:ascii="YouYuan" w:eastAsia="YouYuan" w:hAnsi="YouYuan" w:cs="YouYuan"/>
          <w:spacing w:val="-3"/>
          <w:sz w:val="16"/>
          <w:szCs w:val="16"/>
        </w:rPr>
        <w:t>瑞</w:t>
      </w:r>
      <w:r>
        <w:rPr>
          <w:rFonts w:ascii="YouYuan" w:eastAsia="YouYuan" w:hAnsi="YouYuan" w:cs="YouYuan"/>
          <w:spacing w:val="14"/>
          <w:sz w:val="16"/>
          <w:szCs w:val="16"/>
        </w:rPr>
        <w:t xml:space="preserve">   </w:t>
      </w:r>
      <w:r>
        <w:rPr>
          <w:rFonts w:ascii="YouYuan" w:eastAsia="YouYuan" w:hAnsi="YouYuan" w:cs="YouYuan"/>
          <w:spacing w:val="-3"/>
          <w:sz w:val="16"/>
          <w:szCs w:val="16"/>
        </w:rPr>
        <w:t>咨</w:t>
      </w:r>
      <w:r>
        <w:rPr>
          <w:rFonts w:ascii="YouYuan" w:eastAsia="YouYuan" w:hAnsi="YouYuan" w:cs="YouYuan"/>
          <w:spacing w:val="12"/>
          <w:sz w:val="16"/>
          <w:szCs w:val="16"/>
        </w:rPr>
        <w:t xml:space="preserve">   </w:t>
      </w:r>
      <w:r>
        <w:rPr>
          <w:rFonts w:ascii="YouYuan" w:eastAsia="YouYuan" w:hAnsi="YouYuan" w:cs="YouYuan"/>
          <w:spacing w:val="-3"/>
          <w:sz w:val="16"/>
          <w:szCs w:val="16"/>
        </w:rPr>
        <w:t>询</w:t>
      </w:r>
    </w:p>
    <w:p>
      <w:pPr>
        <w:spacing w:line="225" w:lineRule="auto"/>
        <w:rPr>
          <w:rFonts w:ascii="YouYuan" w:eastAsia="YouYuan" w:hAnsi="YouYuan" w:cs="YouYuan"/>
          <w:sz w:val="16"/>
          <w:szCs w:val="16"/>
        </w:rPr>
        <w:sectPr>
          <w:footerReference w:type="default" r:id="rId19"/>
          <w:pgSz w:w="14400" w:h="10800"/>
          <w:pgMar w:top="360" w:right="290" w:bottom="179" w:left="589" w:header="0" w:footer="0" w:gutter="0"/>
          <w:pgNumType w:start="7"/>
          <w:cols w:num="3" w:space="708" w:equalWidth="0">
            <w:col w:w="9461" w:space="100"/>
            <w:col w:w="1901" w:space="100"/>
            <w:col w:w="1960" w:space="0"/>
          </w:cols>
        </w:sectPr>
      </w:pPr>
    </w:p>
    <w:p>
      <w:pPr>
        <w:spacing w:before="235" w:line="213" w:lineRule="auto"/>
        <w:ind w:left="24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9"/>
          <w:sz w:val="39"/>
          <w:szCs w:val="39"/>
        </w:rPr>
        <w:t>环境保护为全球旅行者的核心关注点，旅行者重视程度增强</w:t>
      </w:r>
    </w:p>
    <w:p>
      <w:pPr>
        <w:pStyle w:val="BodyText"/>
        <w:spacing w:line="280" w:lineRule="auto"/>
      </w:pPr>
    </w:p>
    <w:p>
      <w:pPr>
        <w:spacing w:before="69" w:line="271" w:lineRule="auto"/>
        <w:ind w:left="240" w:right="572"/>
        <w:jc w:val="both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全球旅行者对绿色出行的理解丰富多元，其中环境是旅行者公认最具代表性的绿色出行内涵之一，旅行</w:t>
      </w:r>
      <w:r>
        <w:rPr>
          <w:rFonts w:ascii="SimHei" w:eastAsia="SimHei" w:hAnsi="SimHei" w:cs="SimHei"/>
          <w:spacing w:val="12"/>
          <w:sz w:val="21"/>
          <w:szCs w:val="21"/>
        </w:rPr>
        <w:t>者在环境方面的可持续意识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4"/>
          <w:sz w:val="21"/>
          <w:szCs w:val="21"/>
        </w:rPr>
        <w:t>逐渐增强。2023年，75.1%的旅行者认为节能、减少浪费、碳补偿及减少塑料产品使用等环境保护</w:t>
      </w:r>
      <w:r>
        <w:rPr>
          <w:rFonts w:ascii="SimHei" w:eastAsia="SimHei" w:hAnsi="SimHei" w:cs="SimHei"/>
          <w:spacing w:val="13"/>
          <w:sz w:val="21"/>
          <w:szCs w:val="21"/>
        </w:rPr>
        <w:t>方式为绿色出行的重要体现，超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4"/>
          <w:sz w:val="21"/>
          <w:szCs w:val="21"/>
        </w:rPr>
        <w:t>过了2022年的55.2%。相比之下，中国旅行者在环境方面的认知更强烈，认为环境保护为绿色出行重</w:t>
      </w:r>
      <w:r>
        <w:rPr>
          <w:rFonts w:ascii="SimHei" w:eastAsia="SimHei" w:hAnsi="SimHei" w:cs="SimHei"/>
          <w:spacing w:val="13"/>
          <w:sz w:val="21"/>
          <w:szCs w:val="21"/>
        </w:rPr>
        <w:t>要体现的中国和海外旅行者占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4"/>
          <w:sz w:val="21"/>
          <w:szCs w:val="21"/>
        </w:rPr>
        <w:t>比分别为78.5%和66.7%。</w:t>
      </w:r>
    </w:p>
    <w:p>
      <w:pPr>
        <w:spacing w:before="5"/>
      </w:pPr>
    </w:p>
    <w:p>
      <w:pPr>
        <w:spacing w:before="5"/>
      </w:pPr>
    </w:p>
    <w:p>
      <w:pPr>
        <w:sectPr>
          <w:footerReference w:type="default" r:id="rId20"/>
          <w:type w:val="continuous"/>
          <w:pgSz w:w="14400" w:h="10800"/>
          <w:pgMar w:top="360" w:right="290" w:bottom="179" w:left="589" w:header="0" w:footer="0" w:gutter="0"/>
          <w:pgNumType w:start="8"/>
          <w:cols w:num="1" w:space="708" w:equalWidth="0">
            <w:col w:w="13520" w:space="0"/>
          </w:cols>
        </w:sectPr>
      </w:pPr>
    </w:p>
    <w:tbl>
      <w:tblPr>
        <w:tblStyle w:val="TableNormal0"/>
        <w:tblW w:w="6190" w:type="dxa"/>
        <w:tblInd w:w="2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190"/>
      </w:tblGrid>
      <w:tr>
        <w:tblPrEx>
          <w:tblW w:w="6190" w:type="dxa"/>
          <w:tblInd w:w="2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11"/>
        </w:trPr>
        <w:tc>
          <w:tcPr>
            <w:tcW w:w="6190" w:type="dxa"/>
            <w:vAlign w:val="top"/>
          </w:tcPr>
          <w:p>
            <w:pPr>
              <w:pStyle w:val="TableText"/>
              <w:spacing w:before="1" w:line="212" w:lineRule="auto"/>
              <w:ind w:left="773"/>
              <w:rPr>
                <w:sz w:val="27"/>
                <w:szCs w:val="27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-146029</wp:posOffset>
                  </wp:positionH>
                  <wp:positionV relativeFrom="paragraph">
                    <wp:posOffset>-147370</wp:posOffset>
                  </wp:positionV>
                  <wp:extent cx="8420160" cy="3676642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60" cy="3676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15"/>
                <w:sz w:val="27"/>
                <w:szCs w:val="27"/>
              </w:rPr>
              <w:t>全球旅行者对绿色出行的理解，2023</w:t>
            </w:r>
          </w:p>
        </w:tc>
      </w:tr>
      <w:tr>
        <w:tblPrEx>
          <w:tblW w:w="6190" w:type="dxa"/>
          <w:tblInd w:w="229" w:type="dxa"/>
          <w:tblLayout w:type="fixed"/>
        </w:tblPrEx>
        <w:trPr>
          <w:trHeight w:val="2809"/>
        </w:trPr>
        <w:tc>
          <w:tcPr>
            <w:tcW w:w="6190" w:type="dxa"/>
            <w:vAlign w:val="top"/>
          </w:tcPr>
          <w:p>
            <w:pPr>
              <w:pStyle w:val="TableText"/>
              <w:spacing w:before="239" w:line="221" w:lineRule="auto"/>
              <w:ind w:left="1063"/>
            </w:pPr>
            <w:r>
              <w:pict>
                <v:shape id="_x0000_s1035" type="#_x0000_t202" style="width:27.6pt;height:12.5pt;margin-top:14.37pt;margin-left:270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75.1%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1"/>
              </w:rPr>
              <w:t>环境方面</w:t>
            </w:r>
          </w:p>
          <w:p>
            <w:pPr>
              <w:pStyle w:val="TableText"/>
              <w:spacing w:before="88" w:line="200" w:lineRule="auto"/>
              <w:ind w:left="449"/>
              <w:rPr>
                <w:sz w:val="13"/>
                <w:szCs w:val="13"/>
              </w:rPr>
            </w:pPr>
            <w:r>
              <w:rPr>
                <w:spacing w:val="-6"/>
                <w:sz w:val="13"/>
                <w:szCs w:val="13"/>
              </w:rPr>
              <w:t>&lt;如节能、减少浪费、碳补</w:t>
            </w:r>
          </w:p>
          <w:p>
            <w:pPr>
              <w:pStyle w:val="TableText"/>
              <w:spacing w:line="221" w:lineRule="auto"/>
              <w:ind w:left="449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偿、减少塑料产品使用&gt;</w:t>
            </w:r>
          </w:p>
          <w:p>
            <w:pPr>
              <w:pStyle w:val="TableText"/>
              <w:spacing w:before="302" w:line="221" w:lineRule="auto"/>
              <w:ind w:left="122"/>
            </w:pPr>
            <w:r>
              <w:pict>
                <v:shape id="_x0000_s1036" type="#_x0000_t202" style="width:27.65pt;height:12.45pt;margin-top:18.09pt;margin-left:233.5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57.4%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4"/>
              </w:rPr>
              <w:t>生物多样性保护方面</w:t>
            </w:r>
          </w:p>
          <w:p>
            <w:pPr>
              <w:pStyle w:val="TableText"/>
              <w:spacing w:before="90" w:line="241" w:lineRule="auto"/>
              <w:ind w:left="450"/>
              <w:rPr>
                <w:sz w:val="13"/>
                <w:szCs w:val="13"/>
              </w:rPr>
            </w:pPr>
            <w:r>
              <w:rPr>
                <w:spacing w:val="-6"/>
                <w:sz w:val="13"/>
                <w:szCs w:val="13"/>
              </w:rPr>
              <w:t>&lt;如拒绝消费非法野生动物</w:t>
            </w:r>
          </w:p>
          <w:p>
            <w:pPr>
              <w:pStyle w:val="TableText"/>
              <w:spacing w:line="221" w:lineRule="auto"/>
              <w:ind w:left="450"/>
              <w:rPr>
                <w:sz w:val="12"/>
                <w:szCs w:val="12"/>
              </w:rPr>
            </w:pPr>
            <w:r>
              <w:rPr>
                <w:spacing w:val="1"/>
                <w:sz w:val="12"/>
                <w:szCs w:val="12"/>
              </w:rPr>
              <w:t>及其产品、保护野生动物</w:t>
            </w:r>
          </w:p>
          <w:p>
            <w:pPr>
              <w:spacing w:before="9" w:line="224" w:lineRule="auto"/>
              <w:ind w:left="450"/>
              <w:rPr>
                <w:rFonts w:ascii="YouYuan" w:eastAsia="YouYuan" w:hAnsi="YouYuan" w:cs="YouYuan"/>
                <w:sz w:val="12"/>
                <w:szCs w:val="12"/>
              </w:rPr>
            </w:pPr>
            <w:r>
              <w:rPr>
                <w:rFonts w:ascii="YouYuan" w:eastAsia="YouYuan" w:hAnsi="YouYuan" w:cs="YouYuan"/>
                <w:sz w:val="12"/>
                <w:szCs w:val="12"/>
              </w:rPr>
              <w:t>栖息地&gt;</w:t>
            </w:r>
          </w:p>
          <w:p>
            <w:pPr>
              <w:pStyle w:val="TableText"/>
              <w:spacing w:before="111" w:line="221" w:lineRule="auto"/>
              <w:ind w:left="1062"/>
            </w:pPr>
            <w:r>
              <w:pict>
                <v:shape id="_x0000_s1037" type="#_x0000_t202" style="width:27.9pt;height:12.45pt;margin-top:8.99pt;margin-left:214.01pt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1"/>
                            <w:szCs w:val="21"/>
                          </w:rPr>
                          <w:t>48.5%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8"/>
              </w:rPr>
              <w:t>文化方面</w:t>
            </w:r>
          </w:p>
          <w:p>
            <w:pPr>
              <w:pStyle w:val="TableText"/>
              <w:spacing w:before="89" w:line="221" w:lineRule="auto"/>
              <w:ind w:left="280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&lt;如保护本地文化传统和遗产&gt;</w:t>
            </w:r>
          </w:p>
        </w:tc>
      </w:tr>
      <w:tr>
        <w:tblPrEx>
          <w:tblW w:w="6190" w:type="dxa"/>
          <w:tblInd w:w="229" w:type="dxa"/>
          <w:tblLayout w:type="fixed"/>
        </w:tblPrEx>
        <w:trPr>
          <w:trHeight w:val="934"/>
        </w:trPr>
        <w:tc>
          <w:tcPr>
            <w:tcW w:w="6190" w:type="dxa"/>
            <w:vAlign w:val="top"/>
          </w:tcPr>
          <w:p>
            <w:pPr>
              <w:pStyle w:val="TableText"/>
              <w:spacing w:before="250" w:line="221" w:lineRule="auto"/>
              <w:ind w:left="1062"/>
            </w:pPr>
            <w:r>
              <w:pict>
                <v:shape id="_x0000_s1038" type="#_x0000_t202" style="width:27.65pt;height:12.45pt;margin-top:13.96pt;margin-left:192.5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1"/>
                            <w:szCs w:val="21"/>
                          </w:rPr>
                          <w:t>38.5%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8"/>
              </w:rPr>
              <w:t>经济方面</w:t>
            </w:r>
          </w:p>
          <w:p>
            <w:pPr>
              <w:pStyle w:val="TableText"/>
              <w:spacing w:before="90" w:line="222" w:lineRule="auto"/>
              <w:ind w:left="530"/>
              <w:rPr>
                <w:sz w:val="13"/>
                <w:szCs w:val="13"/>
              </w:rPr>
            </w:pPr>
            <w:r>
              <w:rPr>
                <w:spacing w:val="-6"/>
                <w:sz w:val="13"/>
                <w:szCs w:val="13"/>
              </w:rPr>
              <w:t>&lt;如支持本地企业和社区&gt;</w:t>
            </w:r>
          </w:p>
        </w:tc>
      </w:tr>
      <w:tr>
        <w:tblPrEx>
          <w:tblW w:w="6190" w:type="dxa"/>
          <w:tblInd w:w="229" w:type="dxa"/>
          <w:tblLayout w:type="fixed"/>
        </w:tblPrEx>
        <w:trPr>
          <w:trHeight w:val="2026"/>
        </w:trPr>
        <w:tc>
          <w:tcPr>
            <w:tcW w:w="619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6" w:line="226" w:lineRule="auto"/>
              <w:ind w:left="106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9"/>
                <w:position w:val="1"/>
              </w:rPr>
              <w:t>社区方面</w:t>
            </w:r>
            <w:r>
              <w:rPr>
                <w:spacing w:val="8"/>
                <w:position w:val="1"/>
              </w:rPr>
              <w:t xml:space="preserve">        </w:t>
            </w:r>
            <w:r>
              <w:rPr>
                <w:rFonts w:ascii="SimSun" w:eastAsia="SimSun" w:hAnsi="SimSun" w:cs="SimSun"/>
                <w:spacing w:val="-9"/>
                <w:position w:val="-3"/>
              </w:rPr>
              <w:t>12.2%</w:t>
            </w:r>
          </w:p>
          <w:p>
            <w:pPr>
              <w:pStyle w:val="TableText"/>
              <w:spacing w:before="83" w:line="221" w:lineRule="auto"/>
              <w:ind w:left="400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&lt;如提升本地弱势群体收入&gt;</w:t>
            </w:r>
          </w:p>
          <w:p>
            <w:pPr>
              <w:pStyle w:val="TableText"/>
              <w:spacing w:before="174" w:line="221" w:lineRule="auto"/>
              <w:ind w:left="1420"/>
            </w:pPr>
            <w:r>
              <w:rPr>
                <w:color w:val="A8D200"/>
                <w:spacing w:val="-4"/>
              </w:rPr>
              <w:t>■</w:t>
            </w:r>
            <w:r>
              <w:rPr>
                <w:b/>
                <w:bCs/>
                <w:spacing w:val="-4"/>
              </w:rPr>
              <w:t>全球旅行者对绿色出行的理解(%)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29" w:lineRule="auto"/>
              <w:ind w:left="10" w:right="149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样本：N=1874(1331</w:t>
            </w:r>
            <w:r>
              <w:rPr>
                <w:spacing w:val="9"/>
                <w:sz w:val="16"/>
                <w:szCs w:val="16"/>
              </w:rPr>
              <w:t xml:space="preserve">   </w:t>
            </w:r>
            <w:r>
              <w:rPr>
                <w:spacing w:val="9"/>
                <w:sz w:val="16"/>
                <w:szCs w:val="16"/>
              </w:rPr>
              <w:t>中国+5</w:t>
            </w:r>
            <w:r>
              <w:rPr>
                <w:spacing w:val="8"/>
                <w:sz w:val="16"/>
                <w:szCs w:val="16"/>
              </w:rPr>
              <w:t>43海外);于2023年12月-2024年1月通过问卷形式调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研获得，艾瑞咨询研究院分析绘制。</w:t>
            </w:r>
          </w:p>
        </w:tc>
      </w:tr>
      <w:tr>
        <w:tblPrEx>
          <w:tblW w:w="6190" w:type="dxa"/>
          <w:tblInd w:w="229" w:type="dxa"/>
          <w:tblLayout w:type="fixed"/>
        </w:tblPrEx>
        <w:trPr>
          <w:trHeight w:val="255"/>
        </w:trPr>
        <w:tc>
          <w:tcPr>
            <w:tcW w:w="6190" w:type="dxa"/>
            <w:tcBorders>
              <w:top w:val="single" w:sz="4" w:space="0" w:color="000000"/>
            </w:tcBorders>
            <w:vAlign w:val="top"/>
          </w:tcPr>
          <w:p>
            <w:pPr>
              <w:spacing w:before="48" w:line="227" w:lineRule="auto"/>
              <w:ind w:left="4530"/>
              <w:rPr>
                <w:rFonts w:ascii="Arial" w:eastAsia="Arial" w:hAnsi="Arial" w:cs="Arial"/>
                <w:sz w:val="16"/>
                <w:szCs w:val="16"/>
              </w:rPr>
            </w:pPr>
            <w:r>
              <w:pict>
                <v:shape id="_x0000_s1039" type="#_x0000_t202" style="width:86.8pt;height:12.25pt;margin-top:4.35pt;margin-left:-0.5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◎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  <w:sz w:val="16"/>
                            <w:szCs w:val="16"/>
                          </w:rPr>
                          <w:t>2024.2</w:t>
                        </w:r>
                        <w:r>
                          <w:rPr>
                            <w:rFonts w:ascii="Arial" w:eastAsia="Arial" w:hAnsi="Arial" w:cs="Arial"/>
                            <w:spacing w:val="2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  <w:sz w:val="16"/>
                            <w:szCs w:val="16"/>
                          </w:rPr>
                          <w:t>iResearch</w:t>
                        </w:r>
                        <w:r>
                          <w:rPr>
                            <w:rFonts w:ascii="Arial" w:eastAsia="Arial" w:hAnsi="Arial" w:cs="Arial"/>
                            <w:spacing w:val="1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  <w:sz w:val="16"/>
                            <w:szCs w:val="16"/>
                          </w:rPr>
                          <w:t>Inc.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www</w:t>
            </w:r>
            <w:r>
              <w:rPr>
                <w:rFonts w:ascii="SimSun" w:eastAsia="SimSun" w:hAnsi="SimSun" w:cs="SimSun"/>
                <w:color w:val="DE7A23"/>
                <w:spacing w:val="-5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iresearch</w:t>
            </w:r>
            <w:r>
              <w:rPr>
                <w:rFonts w:ascii="SimSun" w:eastAsia="SimSun" w:hAnsi="SimSun" w:cs="SimSun"/>
                <w:color w:val="DE7A23"/>
                <w:spacing w:val="-5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com</w:t>
            </w:r>
            <w:r>
              <w:rPr>
                <w:rFonts w:ascii="SimSun" w:eastAsia="SimSun" w:hAnsi="SimSun" w:cs="SimSun"/>
                <w:color w:val="DE7A23"/>
                <w:spacing w:val="-5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cn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https://d.book118.com/376115152234010043</w:t>
        </w:r>
      </w:hyperlink>
    </w:p>
    <w:p>
      <w:pPr>
        <w:pStyle w:val="BodyText"/>
        <w:spacing w:line="14" w:lineRule="auto"/>
        <w:rPr>
          <w:sz w:val="2"/>
        </w:rPr>
      </w:pPr>
    </w:p>
    <w:sectPr>
      <w:footerReference w:type="default" r:id="rId23"/>
      <w:type w:val="continuous"/>
      <w:pgSz w:w="14400" w:h="10800"/>
      <w:pgMar w:top="360" w:right="290" w:bottom="179" w:left="589" w:header="0" w:footer="0" w:gutter="0"/>
      <w:pgNumType w:start="9"/>
      <w:cols w:num="2" w:space="708" w:equalWidth="0">
        <w:col w:w="6731" w:space="100"/>
        <w:col w:w="66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4049"/>
      <w:rPr>
        <w:rFonts w:ascii="SimSun" w:eastAsia="SimSun" w:hAnsi="SimSun" w:cs="SimSun"/>
        <w:sz w:val="19"/>
        <w:szCs w:val="19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-6666307</wp:posOffset>
          </wp:positionV>
          <wp:extent cx="9144000" cy="68580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FFFFFF"/>
        <w:sz w:val="19"/>
        <w:szCs w:val="19"/>
      </w:rPr>
      <w:t>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6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image" Target="media/image10.pn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1.jpeg" /><Relationship Id="rId22" Type="http://schemas.openxmlformats.org/officeDocument/2006/relationships/hyperlink" Target="https://d.book118.com/376115152234010043" TargetMode="External" /><Relationship Id="rId23" Type="http://schemas.openxmlformats.org/officeDocument/2006/relationships/footer" Target="footer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2024-02-04T23:19:01Z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2024-02-04T23:19:07Z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65bfaadfcf550f001fd9b712wl</vt:lpwstr>
  </property>
</Properties>
</file>