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2024年探针卡行业分析报告及未来五到十年行业发展趋势报告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30944" w:history="1">
        <w:r>
          <w:rPr>
            <w:rFonts w:eastAsia="微软雅黑" w:hint="eastAsia"/>
            <w:snapToGrid/>
            <w:lang w:val="en-US" w:eastAsia="en-US"/>
          </w:rPr>
          <w:t>一、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行业的外部环境及发展趋势分析</w:t>
        </w:r>
        <w:r>
          <w:tab/>
        </w:r>
        <w:r>
          <w:fldChar w:fldCharType="begin"/>
        </w:r>
        <w:r>
          <w:instrText xml:space="preserve"> PAGEREF _Toc30944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8609" w:history="1">
        <w:r>
          <w:rPr>
            <w:rFonts w:eastAsia="微软雅黑" w:hint="eastAsia"/>
            <w:snapToGrid/>
            <w:lang w:val="en-US" w:eastAsia="en-US"/>
          </w:rPr>
          <w:t>(一)、国际政治经济发展对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_Toc8609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784" w:history="1">
        <w:r>
          <w:rPr>
            <w:rFonts w:eastAsia="微软雅黑" w:hint="eastAsia"/>
            <w:snapToGrid/>
            <w:lang w:val="en-US" w:eastAsia="zh-CN"/>
          </w:rPr>
          <w:t>(二)、国内政治经济发展对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_Toc16784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36" w:history="1">
        <w:r>
          <w:rPr>
            <w:rFonts w:eastAsia="微软雅黑" w:hint="eastAsia"/>
            <w:snapToGrid/>
            <w:lang w:val="en-US" w:eastAsia="zh-CN"/>
          </w:rPr>
          <w:t>(三)、国内突出经济问题对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_Toc3236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372" w:history="1">
        <w:r>
          <w:rPr>
            <w:rFonts w:eastAsia="微软雅黑" w:hint="eastAsia"/>
            <w:snapToGrid/>
            <w:lang w:val="en-US" w:eastAsia="en-US"/>
          </w:rPr>
          <w:t>二、关于未来5-10年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_Toc32372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901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_Toc29901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082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_Toc8082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154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_Toc25154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430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_Toc19430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8898" w:history="1">
        <w:r>
          <w:rPr>
            <w:rFonts w:eastAsia="微软雅黑" w:hint="eastAsia"/>
            <w:snapToGrid/>
            <w:lang w:val="en-US" w:eastAsia="en-US"/>
          </w:rPr>
          <w:t>三、宏观经济对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行业的影响</w:t>
        </w:r>
        <w:r>
          <w:tab/>
        </w:r>
        <w:r>
          <w:fldChar w:fldCharType="begin"/>
        </w:r>
        <w:r>
          <w:instrText xml:space="preserve"> PAGEREF _Toc18898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602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行业线性决策机制分析</w:t>
        </w:r>
        <w:r>
          <w:tab/>
        </w:r>
        <w:r>
          <w:fldChar w:fldCharType="begin"/>
        </w:r>
        <w:r>
          <w:instrText xml:space="preserve"> PAGEREF _Toc28602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2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行业竞争与行业壁垒分析</w:t>
        </w:r>
        <w:r>
          <w:tab/>
        </w:r>
        <w:r>
          <w:fldChar w:fldCharType="begin"/>
        </w:r>
        <w:r>
          <w:instrText xml:space="preserve"> PAGEREF _Toc28267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38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行业库存管理波动分析</w:t>
        </w:r>
        <w:r>
          <w:tab/>
        </w:r>
        <w:r>
          <w:fldChar w:fldCharType="begin"/>
        </w:r>
        <w:r>
          <w:instrText xml:space="preserve"> PAGEREF _Toc29389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085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行业“专业化能力”对盈利模式的影响分析</w:t>
        </w:r>
        <w:r>
          <w:tab/>
        </w:r>
        <w:r>
          <w:fldChar w:fldCharType="begin"/>
        </w:r>
        <w:r>
          <w:instrText xml:space="preserve"> PAGEREF _Toc12085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187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行业企业盈利模式运作的关键</w:t>
        </w:r>
        <w:r>
          <w:tab/>
        </w:r>
        <w:r>
          <w:fldChar w:fldCharType="begin"/>
        </w:r>
        <w:r>
          <w:instrText xml:space="preserve"> PAGEREF _Toc31875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151" w:history="1">
        <w:r>
          <w:rPr>
            <w:rFonts w:eastAsia="微软雅黑" w:hint="eastAsia"/>
            <w:snapToGrid/>
            <w:lang w:val="en-US" w:eastAsia="zh-CN"/>
          </w:rPr>
          <w:t>(二)、怎样培养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行业的业务能力</w:t>
        </w:r>
        <w:r>
          <w:tab/>
        </w:r>
        <w:r>
          <w:fldChar w:fldCharType="begin"/>
        </w:r>
        <w:r>
          <w:instrText xml:space="preserve"> PAGEREF _Toc12151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858" w:history="1">
        <w:r>
          <w:rPr>
            <w:rFonts w:eastAsia="微软雅黑" w:hint="eastAsia"/>
            <w:snapToGrid/>
            <w:lang w:val="en-US" w:eastAsia="en-US"/>
          </w:rPr>
          <w:t>五、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行业数据预测与分析</w:t>
        </w:r>
        <w:r>
          <w:tab/>
        </w:r>
        <w:r>
          <w:fldChar w:fldCharType="begin"/>
        </w:r>
        <w:r>
          <w:instrText xml:space="preserve"> PAGEREF _Toc7858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338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行业时间序列预测与分析</w:t>
        </w:r>
        <w:r>
          <w:tab/>
        </w:r>
        <w:r>
          <w:fldChar w:fldCharType="begin"/>
        </w:r>
        <w:r>
          <w:instrText xml:space="preserve"> PAGEREF _Toc28338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35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行业时间曲线预测模型分析</w:t>
        </w:r>
        <w:r>
          <w:tab/>
        </w:r>
        <w:r>
          <w:fldChar w:fldCharType="begin"/>
        </w:r>
        <w:r>
          <w:instrText xml:space="preserve"> PAGEREF _Toc17357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196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行业差分方程预测模型分析</w:t>
        </w:r>
        <w:r>
          <w:tab/>
        </w:r>
        <w:r>
          <w:fldChar w:fldCharType="begin"/>
        </w:r>
        <w:r>
          <w:instrText xml:space="preserve"> PAGEREF _Toc23196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469" w:history="1">
        <w:r>
          <w:rPr>
            <w:rFonts w:eastAsia="微软雅黑" w:hint="eastAsia"/>
            <w:snapToGrid/>
            <w:lang w:val="en-US" w:eastAsia="zh-CN"/>
          </w:rPr>
          <w:t>(四)、未来5-10年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行业预测结论</w:t>
        </w:r>
        <w:r>
          <w:tab/>
        </w:r>
        <w:r>
          <w:fldChar w:fldCharType="begin"/>
        </w:r>
        <w:r>
          <w:instrText xml:space="preserve"> PAGEREF _Toc25469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9149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行业企业转型思考(2024-2029)</w:t>
        </w:r>
        <w:r>
          <w:tab/>
        </w:r>
        <w:r>
          <w:fldChar w:fldCharType="begin"/>
        </w:r>
        <w:r>
          <w:instrText xml:space="preserve"> PAGEREF _Toc29149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75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行业的内生延伸——选择与定位</w:t>
        </w:r>
        <w:r>
          <w:tab/>
        </w:r>
        <w:r>
          <w:fldChar w:fldCharType="begin"/>
        </w:r>
        <w:r>
          <w:instrText xml:space="preserve"> PAGEREF _Toc22759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6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行业跨行业转型延伸</w:t>
        </w:r>
        <w:r>
          <w:tab/>
        </w:r>
        <w:r>
          <w:fldChar w:fldCharType="begin"/>
        </w:r>
        <w:r>
          <w:instrText xml:space="preserve"> PAGEREF _Toc1463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25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行业企业资本计划分析</w:t>
        </w:r>
        <w:r>
          <w:tab/>
        </w:r>
        <w:r>
          <w:fldChar w:fldCharType="begin"/>
        </w:r>
        <w:r>
          <w:instrText xml:space="preserve"> PAGEREF _Toc20525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049" w:history="1">
        <w:r>
          <w:rPr>
            <w:rFonts w:eastAsia="微软雅黑" w:hint="eastAsia"/>
            <w:snapToGrid/>
            <w:lang w:val="en-US" w:eastAsia="zh-CN"/>
          </w:rPr>
          <w:t>(四)、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行业的融资问题</w:t>
        </w:r>
        <w:r>
          <w:tab/>
        </w:r>
        <w:r>
          <w:fldChar w:fldCharType="begin"/>
        </w:r>
        <w:r>
          <w:instrText xml:space="preserve"> PAGEREF _Toc23049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501" w:history="1">
        <w:r>
          <w:rPr>
            <w:rFonts w:eastAsia="微软雅黑" w:hint="eastAsia"/>
            <w:snapToGrid/>
            <w:lang w:val="en-US" w:eastAsia="zh-CN"/>
          </w:rPr>
          <w:t>(五)、加强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行业人才引进，优化人才结构</w:t>
        </w:r>
        <w:r>
          <w:tab/>
        </w:r>
        <w:r>
          <w:fldChar w:fldCharType="begin"/>
        </w:r>
        <w:r>
          <w:instrText xml:space="preserve"> PAGEREF _Toc11501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753" w:history="1">
        <w:r>
          <w:rPr>
            <w:rFonts w:eastAsia="微软雅黑" w:hint="eastAsia"/>
            <w:snapToGrid/>
            <w:lang w:val="en-US" w:eastAsia="en-US"/>
          </w:rPr>
          <w:t>七、2024-2029年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行业企业市场突围战略分析</w:t>
        </w:r>
        <w:r>
          <w:tab/>
        </w:r>
        <w:r>
          <w:fldChar w:fldCharType="begin"/>
        </w:r>
        <w:r>
          <w:instrText xml:space="preserve"> PAGEREF _Toc7753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60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行业树立“战略突破”理念</w:t>
        </w:r>
        <w:r>
          <w:tab/>
        </w:r>
        <w:r>
          <w:fldChar w:fldCharType="begin"/>
        </w:r>
        <w:r>
          <w:instrText xml:space="preserve"> PAGEREF _Toc6604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329" w:history="1">
        <w:r>
          <w:rPr>
            <w:rFonts w:eastAsia="微软雅黑" w:hint="eastAsia"/>
            <w:snapToGrid/>
            <w:lang w:val="en-US" w:eastAsia="zh-CN"/>
          </w:rPr>
          <w:t>(二)、确定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行业市场定位、产品定位和品牌定位</w:t>
        </w:r>
        <w:r>
          <w:tab/>
        </w:r>
        <w:r>
          <w:fldChar w:fldCharType="begin"/>
        </w:r>
        <w:r>
          <w:instrText xml:space="preserve"> PAGEREF _Toc20329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2628" w:history="1">
        <w:r>
          <w:rPr>
            <w:rFonts w:eastAsia="微软雅黑" w:hint="eastAsia"/>
            <w:snapToGrid/>
            <w:lang w:val="en-US" w:eastAsia="zh-CN"/>
          </w:rPr>
          <w:t>1、市场定位</w:t>
        </w:r>
        <w:r>
          <w:tab/>
        </w:r>
        <w:r>
          <w:fldChar w:fldCharType="begin"/>
        </w:r>
        <w:r>
          <w:instrText xml:space="preserve"> PAGEREF _Toc12628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928" w:history="1">
        <w:r>
          <w:rPr>
            <w:rFonts w:eastAsia="微软雅黑" w:hint="eastAsia"/>
            <w:snapToGrid/>
            <w:lang w:val="en-US" w:eastAsia="zh-CN"/>
          </w:rPr>
          <w:t>2、产品定位</w:t>
        </w:r>
        <w:r>
          <w:tab/>
        </w:r>
        <w:r>
          <w:fldChar w:fldCharType="begin"/>
        </w:r>
        <w:r>
          <w:instrText xml:space="preserve"> PAGEREF _Toc20928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9346" w:history="1">
        <w:r>
          <w:rPr>
            <w:rFonts w:eastAsia="微软雅黑" w:hint="eastAsia"/>
            <w:snapToGrid/>
            <w:lang w:val="en-US" w:eastAsia="zh-CN"/>
          </w:rPr>
          <w:t>3、品牌定位</w:t>
        </w:r>
        <w:r>
          <w:tab/>
        </w:r>
        <w:r>
          <w:fldChar w:fldCharType="begin"/>
        </w:r>
        <w:r>
          <w:instrText xml:space="preserve"> PAGEREF _Toc29346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317" w:history="1">
        <w:r>
          <w:rPr>
            <w:rFonts w:eastAsia="微软雅黑" w:hint="eastAsia"/>
            <w:snapToGrid/>
            <w:lang w:val="en-US" w:eastAsia="zh-CN"/>
          </w:rPr>
          <w:t>(三)、创新寻求突破</w:t>
        </w:r>
        <w:r>
          <w:tab/>
        </w:r>
        <w:r>
          <w:fldChar w:fldCharType="begin"/>
        </w:r>
        <w:r>
          <w:instrText xml:space="preserve"> PAGEREF _Toc19317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243" w:history="1">
        <w:r>
          <w:rPr>
            <w:rFonts w:eastAsia="微软雅黑" w:hint="eastAsia"/>
            <w:snapToGrid/>
            <w:lang w:val="en-US" w:eastAsia="zh-CN"/>
          </w:rPr>
          <w:t>1、基于消费升级的科技创新模式</w:t>
        </w:r>
        <w:r>
          <w:tab/>
        </w:r>
        <w:r>
          <w:fldChar w:fldCharType="begin"/>
        </w:r>
        <w:r>
          <w:instrText xml:space="preserve"> PAGEREF _Toc2243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9193" w:history="1">
        <w:r>
          <w:rPr>
            <w:rFonts w:eastAsia="微软雅黑" w:hint="eastAsia"/>
            <w:snapToGrid/>
            <w:lang w:val="en-US" w:eastAsia="zh-CN"/>
          </w:rPr>
          <w:t>2、创新推动行业更高质量发展</w:t>
        </w:r>
        <w:r>
          <w:tab/>
        </w:r>
        <w:r>
          <w:fldChar w:fldCharType="begin"/>
        </w:r>
        <w:r>
          <w:instrText xml:space="preserve"> PAGEREF _Toc19193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002" w:history="1">
        <w:r>
          <w:rPr>
            <w:rFonts w:eastAsia="微软雅黑" w:hint="eastAsia"/>
            <w:snapToGrid/>
            <w:lang w:val="en-US" w:eastAsia="zh-CN"/>
          </w:rPr>
          <w:t>3、尝试业态创新和品牌创新</w:t>
        </w:r>
        <w:r>
          <w:tab/>
        </w:r>
        <w:r>
          <w:fldChar w:fldCharType="begin"/>
        </w:r>
        <w:r>
          <w:instrText xml:space="preserve"> PAGEREF _Toc25002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5231" w:history="1">
        <w:r>
          <w:rPr>
            <w:rFonts w:eastAsia="微软雅黑" w:hint="eastAsia"/>
            <w:snapToGrid/>
            <w:lang w:val="en-US" w:eastAsia="zh-CN"/>
          </w:rPr>
          <w:t>4、自主创新打造品牌</w:t>
        </w:r>
        <w:r>
          <w:tab/>
        </w:r>
        <w:r>
          <w:fldChar w:fldCharType="begin"/>
        </w:r>
        <w:r>
          <w:instrText xml:space="preserve"> PAGEREF _Toc25231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884" w:history="1">
        <w:r>
          <w:rPr>
            <w:rFonts w:eastAsia="微软雅黑" w:hint="eastAsia"/>
            <w:snapToGrid/>
            <w:lang w:val="en-US" w:eastAsia="zh-CN"/>
          </w:rPr>
          <w:t>(四)、制定宣传计划</w:t>
        </w:r>
        <w:r>
          <w:tab/>
        </w:r>
        <w:r>
          <w:fldChar w:fldCharType="begin"/>
        </w:r>
        <w:r>
          <w:instrText xml:space="preserve"> PAGEREF _Toc14884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6882" w:history="1">
        <w:r>
          <w:rPr>
            <w:rFonts w:eastAsia="微软雅黑" w:hint="eastAsia"/>
            <w:snapToGrid/>
            <w:lang w:val="en-US" w:eastAsia="zh-CN"/>
          </w:rPr>
          <w:t>1、学会做低成本的传播工具</w:t>
        </w:r>
        <w:r>
          <w:tab/>
        </w:r>
        <w:r>
          <w:fldChar w:fldCharType="begin"/>
        </w:r>
        <w:r>
          <w:instrText xml:space="preserve"> PAGEREF _Toc26882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1842" w:history="1">
        <w:r>
          <w:rPr>
            <w:rFonts w:eastAsia="微软雅黑" w:hint="eastAsia"/>
            <w:snapToGrid/>
            <w:lang w:val="en-US" w:eastAsia="zh-CN"/>
          </w:rPr>
          <w:t>2、学会以优秀的品牌视觉设计突出品牌特色</w:t>
        </w:r>
        <w:r>
          <w:tab/>
        </w:r>
        <w:r>
          <w:fldChar w:fldCharType="begin"/>
        </w:r>
        <w:r>
          <w:instrText xml:space="preserve"> PAGEREF _Toc11842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20711" w:history="1">
        <w:r>
          <w:rPr>
            <w:rFonts w:eastAsia="微软雅黑" w:hint="eastAsia"/>
            <w:snapToGrid/>
            <w:lang w:val="en-US" w:eastAsia="zh-CN"/>
          </w:rPr>
          <w:t>3、学会使用网络营销</w:t>
        </w:r>
        <w:r>
          <w:tab/>
        </w:r>
        <w:r>
          <w:fldChar w:fldCharType="begin"/>
        </w:r>
        <w:r>
          <w:instrText xml:space="preserve"> PAGEREF _Toc20711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6652" w:history="1">
        <w:r>
          <w:rPr>
            <w:rFonts w:eastAsia="微软雅黑" w:hint="eastAsia"/>
            <w:snapToGrid/>
            <w:lang w:val="en-US" w:eastAsia="en-US"/>
          </w:rPr>
          <w:t>八、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行业未来发展机会</w:t>
        </w:r>
        <w:r>
          <w:tab/>
        </w:r>
        <w:r>
          <w:fldChar w:fldCharType="begin"/>
        </w:r>
        <w:r>
          <w:instrText xml:space="preserve"> PAGEREF _Toc6652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284" w:history="1">
        <w:r>
          <w:rPr>
            <w:rFonts w:eastAsia="微软雅黑" w:hint="eastAsia"/>
            <w:snapToGrid/>
            <w:lang w:val="en-US" w:eastAsia="en-US"/>
          </w:rPr>
          <w:t>(一)、在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行业中通过产品差异化获得商机</w:t>
        </w:r>
        <w:r>
          <w:tab/>
        </w:r>
        <w:r>
          <w:fldChar w:fldCharType="begin"/>
        </w:r>
        <w:r>
          <w:instrText xml:space="preserve"> PAGEREF _Toc21284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50" w:history="1">
        <w:r>
          <w:rPr>
            <w:rFonts w:eastAsia="微软雅黑" w:hint="eastAsia"/>
            <w:snapToGrid/>
            <w:lang w:val="en-US" w:eastAsia="zh-CN"/>
          </w:rPr>
          <w:t>(二)、借助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行业市场差异赢得商机</w:t>
        </w:r>
        <w:r>
          <w:tab/>
        </w:r>
        <w:r>
          <w:fldChar w:fldCharType="begin"/>
        </w:r>
        <w:r>
          <w:instrText xml:space="preserve"> PAGEREF _Toc13350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124" w:history="1">
        <w:r>
          <w:rPr>
            <w:rFonts w:eastAsia="微软雅黑" w:hint="eastAsia"/>
            <w:snapToGrid/>
            <w:lang w:val="en-US" w:eastAsia="zh-CN"/>
          </w:rPr>
          <w:t>(三)、借助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行业服务差异化抓住商机</w:t>
        </w:r>
        <w:r>
          <w:tab/>
        </w:r>
        <w:r>
          <w:fldChar w:fldCharType="begin"/>
        </w:r>
        <w:r>
          <w:instrText xml:space="preserve"> PAGEREF _Toc20124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055" w:history="1">
        <w:r>
          <w:rPr>
            <w:rFonts w:eastAsia="微软雅黑" w:hint="eastAsia"/>
            <w:snapToGrid/>
            <w:lang w:val="en-US" w:eastAsia="zh-CN"/>
          </w:rPr>
          <w:t>(四)、借助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行业客户差异化把握商机</w:t>
        </w:r>
        <w:r>
          <w:tab/>
        </w:r>
        <w:r>
          <w:fldChar w:fldCharType="begin"/>
        </w:r>
        <w:r>
          <w:instrText xml:space="preserve"> PAGEREF _Toc24055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617" w:history="1">
        <w:r>
          <w:rPr>
            <w:rFonts w:eastAsia="微软雅黑" w:hint="eastAsia"/>
            <w:snapToGrid/>
            <w:lang w:val="en-US" w:eastAsia="zh-CN"/>
          </w:rPr>
          <w:t>(五)、借助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行业渠道差异来寻求商机</w:t>
        </w:r>
        <w:r>
          <w:tab/>
        </w:r>
        <w:r>
          <w:fldChar w:fldCharType="begin"/>
        </w:r>
        <w:r>
          <w:instrText xml:space="preserve"> PAGEREF _Toc3617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3215" w:history="1">
        <w:r>
          <w:rPr>
            <w:rFonts w:eastAsia="微软雅黑" w:hint="eastAsia"/>
            <w:snapToGrid/>
            <w:lang w:val="en-US" w:eastAsia="en-US"/>
          </w:rPr>
          <w:t>九、2024-2029年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_Toc13215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452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_Toc28452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784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_Toc3784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394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_Toc30394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176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_Toc29176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077" w:history="1">
        <w:r>
          <w:rPr>
            <w:rFonts w:eastAsia="微软雅黑" w:hint="eastAsia"/>
            <w:snapToGrid/>
            <w:lang w:val="en-US" w:eastAsia="en-US"/>
          </w:rPr>
          <w:t>十、关于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_Toc4077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03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_Toc19503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7780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_Toc17780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1592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_Toc15922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724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_Toc6724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597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_Toc5979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68" w:history="1">
        <w:r>
          <w:rPr>
            <w:rFonts w:eastAsia="微软雅黑" w:hint="eastAsia"/>
            <w:snapToGrid/>
            <w:lang w:val="en-US" w:eastAsia="en-US"/>
          </w:rPr>
          <w:t>十一、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行业企业战略选择</w:t>
        </w:r>
        <w:r>
          <w:tab/>
        </w:r>
        <w:r>
          <w:fldChar w:fldCharType="begin"/>
        </w:r>
        <w:r>
          <w:instrText xml:space="preserve"> PAGEREF _Toc32668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769" w:history="1">
        <w:r>
          <w:rPr>
            <w:rFonts w:eastAsia="微软雅黑" w:hint="eastAsia"/>
            <w:snapToGrid/>
            <w:lang w:val="en-US" w:eastAsia="zh-CN"/>
          </w:rPr>
          <w:t>(一)、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行业SWOT分析</w:t>
        </w:r>
        <w:r>
          <w:tab/>
        </w:r>
        <w:r>
          <w:fldChar w:fldCharType="begin"/>
        </w:r>
        <w:r>
          <w:instrText xml:space="preserve"> PAGEREF _Toc11769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728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行业企业战略确定</w:t>
        </w:r>
        <w:r>
          <w:tab/>
        </w:r>
        <w:r>
          <w:fldChar w:fldCharType="begin"/>
        </w:r>
        <w:r>
          <w:instrText xml:space="preserve"> PAGEREF _Toc7287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003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行业PEST分析</w:t>
        </w:r>
        <w:r>
          <w:tab/>
        </w:r>
        <w:r>
          <w:fldChar w:fldCharType="begin"/>
        </w:r>
        <w:r>
          <w:instrText xml:space="preserve"> PAGEREF _Toc6003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113" w:history="1">
        <w:r>
          <w:rPr>
            <w:rFonts w:eastAsia="微软雅黑" w:hint="eastAsia"/>
            <w:snapToGrid/>
            <w:lang w:val="en-US" w:eastAsia="zh-CN"/>
          </w:rPr>
          <w:t>1、政策因素</w:t>
        </w:r>
        <w:r>
          <w:tab/>
        </w:r>
        <w:r>
          <w:fldChar w:fldCharType="begin"/>
        </w:r>
        <w:r>
          <w:instrText xml:space="preserve"> PAGEREF _Toc31113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9942" w:history="1">
        <w:r>
          <w:rPr>
            <w:rFonts w:eastAsia="微软雅黑" w:hint="eastAsia"/>
            <w:snapToGrid/>
            <w:lang w:val="en-US" w:eastAsia="zh-CN"/>
          </w:rPr>
          <w:t>2、经济因素</w:t>
        </w:r>
        <w:r>
          <w:tab/>
        </w:r>
        <w:r>
          <w:fldChar w:fldCharType="begin"/>
        </w:r>
        <w:r>
          <w:instrText xml:space="preserve"> PAGEREF _Toc9942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2310" w:history="1">
        <w:r>
          <w:rPr>
            <w:rFonts w:eastAsia="微软雅黑" w:hint="eastAsia"/>
            <w:snapToGrid/>
            <w:lang w:val="en-US" w:eastAsia="zh-CN"/>
          </w:rPr>
          <w:t>3、社会因素</w:t>
        </w:r>
        <w:r>
          <w:tab/>
        </w:r>
        <w:r>
          <w:fldChar w:fldCharType="begin"/>
        </w:r>
        <w:r>
          <w:instrText xml:space="preserve"> PAGEREF _Toc32310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84" w:history="1">
        <w:r>
          <w:rPr>
            <w:rFonts w:eastAsia="微软雅黑" w:hint="eastAsia"/>
            <w:snapToGrid/>
            <w:lang w:val="en-US" w:eastAsia="zh-CN"/>
          </w:rPr>
          <w:t>4、技术因素</w:t>
        </w:r>
        <w:r>
          <w:tab/>
        </w:r>
        <w:r>
          <w:fldChar w:fldCharType="begin"/>
        </w:r>
        <w:r>
          <w:instrText xml:space="preserve"> PAGEREF _Toc3184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0001" w:history="1">
        <w:r>
          <w:rPr>
            <w:rFonts w:eastAsia="微软雅黑" w:hint="eastAsia"/>
            <w:snapToGrid/>
            <w:lang w:val="en-US" w:eastAsia="en-US"/>
          </w:rPr>
          <w:t>十二、2024-2029年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行业竞争格局展望</w:t>
        </w:r>
        <w:r>
          <w:tab/>
        </w:r>
        <w:r>
          <w:fldChar w:fldCharType="begin"/>
        </w:r>
        <w:r>
          <w:instrText xml:space="preserve"> PAGEREF _Toc20001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7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探针卡</w:t>
        </w:r>
        <w:r>
          <w:rPr>
            <w:rFonts w:eastAsia="微软雅黑" w:hint="eastAsia"/>
            <w:snapToGrid/>
            <w:lang w:val="en-US" w:eastAsia="en-US"/>
          </w:rPr>
          <w:t>行业经济周期分析</w:t>
        </w:r>
        <w:r>
          <w:tab/>
        </w:r>
        <w:r>
          <w:fldChar w:fldCharType="begin"/>
        </w:r>
        <w:r>
          <w:instrText xml:space="preserve"> PAGEREF _Toc1957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56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探针卡</w:t>
        </w:r>
        <w:r>
          <w:rPr>
            <w:rFonts w:eastAsia="微软雅黑" w:hint="eastAsia"/>
            <w:snapToGrid/>
            <w:lang w:val="en-US" w:eastAsia="zh-CN"/>
          </w:rPr>
          <w:t>行业的增长与波动分析</w:t>
        </w:r>
        <w:r>
          <w:tab/>
        </w:r>
        <w:r>
          <w:fldChar w:fldCharType="begin"/>
        </w:r>
        <w:r>
          <w:instrText xml:space="preserve"> PAGEREF _Toc21567 \h </w:instrText>
        </w:r>
        <w:r>
          <w:fldChar w:fldCharType="separate"/>
        </w:r>
        <w:r>
          <w:t>37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https://d.book118.com/377052166166006024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377052166166006024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