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5DFC">
      <w:pPr>
        <w:widowControl/>
        <w:jc w:val="left"/>
        <w:rPr>
          <w:rFonts w:ascii="仿宋" w:eastAsia="仿宋" w:hAnsi="仿宋"/>
          <w:b/>
          <w:sz w:val="40"/>
        </w:rPr>
      </w:pPr>
      <w:bookmarkStart w:id="0" w:name="_GoBack"/>
      <w:bookmarkEnd w:id="0"/>
    </w:p>
    <w:p w:rsidR="00805DFC">
      <w:pPr>
        <w:widowControl/>
        <w:jc w:val="left"/>
        <w:rPr>
          <w:rFonts w:ascii="仿宋" w:eastAsia="仿宋" w:hAnsi="仿宋"/>
          <w:b/>
          <w:sz w:val="40"/>
        </w:rPr>
      </w:pPr>
    </w:p>
    <w:p w:rsidR="00805DFC">
      <w:pPr>
        <w:widowControl/>
        <w:jc w:val="left"/>
        <w:rPr>
          <w:rFonts w:ascii="仿宋" w:eastAsia="仿宋" w:hAnsi="仿宋"/>
          <w:b/>
          <w:sz w:val="40"/>
        </w:rPr>
      </w:pPr>
    </w:p>
    <w:p w:rsidR="00805DFC" w:rsidRPr="00805DF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5DFC">
        <w:rPr>
          <w:rFonts w:ascii="宋体" w:eastAsia="宋体" w:hAnsi="宋体" w:hint="eastAsia"/>
          <w:b/>
          <w:sz w:val="60"/>
        </w:rPr>
        <w:t>基因工程疫苗：重组抗原疫苗投资回报分析报告</w:t>
      </w:r>
    </w:p>
    <w:p w:rsidR="00805DFC" w:rsidP="00805DFC">
      <w:pPr>
        <w:widowControl/>
        <w:jc w:val="center"/>
        <w:rPr>
          <w:rFonts w:ascii="仿宋" w:eastAsia="仿宋" w:hAnsi="仿宋" w:hint="eastAsia"/>
          <w:b/>
          <w:sz w:val="40"/>
        </w:rPr>
      </w:pPr>
      <w:r w:rsidRPr="00805DFC">
        <w:rPr>
          <w:rFonts w:ascii="仿宋" w:eastAsia="仿宋" w:hAnsi="仿宋" w:hint="eastAsia"/>
          <w:b/>
          <w:sz w:val="40"/>
        </w:rPr>
        <w:t>目录</w:t>
      </w:r>
    </w:p>
    <w:p w:rsidR="00805DF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_Toc157929960 \h </w:instrText>
      </w:r>
      <w:r>
        <w:rPr>
          <w:noProof/>
        </w:rPr>
        <w:fldChar w:fldCharType="separate"/>
      </w:r>
      <w:r>
        <w:rPr>
          <w:noProof/>
        </w:rPr>
        <w:t>3</w:t>
      </w:r>
      <w:r>
        <w:rPr>
          <w:noProof/>
        </w:rPr>
        <w:fldChar w:fldCharType="end"/>
      </w:r>
    </w:p>
    <w:p w:rsidR="00805DFC">
      <w:pPr>
        <w:pStyle w:val="TOC1"/>
        <w:tabs>
          <w:tab w:val="right" w:leader="dot" w:pos="8296"/>
        </w:tabs>
        <w:rPr>
          <w:noProof/>
        </w:rPr>
      </w:pPr>
      <w:r>
        <w:rPr>
          <w:rFonts w:hint="eastAsia"/>
          <w:noProof/>
        </w:rPr>
        <w:t>一、基因工程疫苗：重组抗原疫苗项目建筑工程方案</w:t>
      </w:r>
      <w:r>
        <w:rPr>
          <w:noProof/>
        </w:rPr>
        <w:tab/>
      </w:r>
      <w:r>
        <w:rPr>
          <w:noProof/>
        </w:rPr>
        <w:fldChar w:fldCharType="begin"/>
      </w:r>
      <w:r>
        <w:rPr>
          <w:noProof/>
        </w:rPr>
        <w:instrText xml:space="preserve"> PAGEREF _Toc157929961 \h </w:instrText>
      </w:r>
      <w:r>
        <w:rPr>
          <w:noProof/>
        </w:rPr>
        <w:fldChar w:fldCharType="separate"/>
      </w:r>
      <w:r>
        <w:rPr>
          <w:noProof/>
        </w:rPr>
        <w:t>3</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_Toc157929962 \h </w:instrText>
      </w:r>
      <w:r>
        <w:rPr>
          <w:noProof/>
        </w:rPr>
        <w:fldChar w:fldCharType="separate"/>
      </w:r>
      <w:r>
        <w:rPr>
          <w:noProof/>
        </w:rPr>
        <w:t>3</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_Toc157929963 \h </w:instrText>
      </w:r>
      <w:r>
        <w:rPr>
          <w:noProof/>
        </w:rPr>
        <w:fldChar w:fldCharType="separate"/>
      </w:r>
      <w:r>
        <w:rPr>
          <w:noProof/>
        </w:rPr>
        <w:t>5</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_Toc157929964 \h </w:instrText>
      </w:r>
      <w:r>
        <w:rPr>
          <w:noProof/>
        </w:rPr>
        <w:fldChar w:fldCharType="separate"/>
      </w:r>
      <w:r>
        <w:rPr>
          <w:noProof/>
        </w:rPr>
        <w:t>6</w:t>
      </w:r>
      <w:r>
        <w:rPr>
          <w:noProof/>
        </w:rPr>
        <w:fldChar w:fldCharType="end"/>
      </w:r>
    </w:p>
    <w:p w:rsidR="00805DF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_Toc157929965 \h </w:instrText>
      </w:r>
      <w:r>
        <w:rPr>
          <w:noProof/>
        </w:rPr>
        <w:fldChar w:fldCharType="separate"/>
      </w:r>
      <w:r>
        <w:rPr>
          <w:noProof/>
        </w:rPr>
        <w:t>8</w:t>
      </w:r>
      <w:r>
        <w:rPr>
          <w:noProof/>
        </w:rPr>
        <w:fldChar w:fldCharType="end"/>
      </w:r>
    </w:p>
    <w:p w:rsidR="00805DF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_Toc157929966 \h </w:instrText>
      </w:r>
      <w:r>
        <w:rPr>
          <w:noProof/>
        </w:rPr>
        <w:fldChar w:fldCharType="separate"/>
      </w:r>
      <w:r>
        <w:rPr>
          <w:noProof/>
        </w:rPr>
        <w:t>9</w:t>
      </w:r>
      <w:r>
        <w:rPr>
          <w:noProof/>
        </w:rPr>
        <w:fldChar w:fldCharType="end"/>
      </w:r>
    </w:p>
    <w:p w:rsidR="00805DF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_Toc157929967 \h </w:instrText>
      </w:r>
      <w:r>
        <w:rPr>
          <w:noProof/>
        </w:rPr>
        <w:fldChar w:fldCharType="separate"/>
      </w:r>
      <w:r>
        <w:rPr>
          <w:noProof/>
        </w:rPr>
        <w:t>10</w:t>
      </w:r>
      <w:r>
        <w:rPr>
          <w:noProof/>
        </w:rPr>
        <w:fldChar w:fldCharType="end"/>
      </w:r>
    </w:p>
    <w:p w:rsidR="00805DFC">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_Toc157929968 \h </w:instrText>
      </w:r>
      <w:r>
        <w:rPr>
          <w:noProof/>
        </w:rPr>
        <w:fldChar w:fldCharType="separate"/>
      </w:r>
      <w:r>
        <w:rPr>
          <w:noProof/>
        </w:rPr>
        <w:t>13</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_Toc157929969 \h </w:instrText>
      </w:r>
      <w:r>
        <w:rPr>
          <w:noProof/>
        </w:rPr>
        <w:fldChar w:fldCharType="separate"/>
      </w:r>
      <w:r>
        <w:rPr>
          <w:noProof/>
        </w:rPr>
        <w:t>13</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_Toc157929970 \h </w:instrText>
      </w:r>
      <w:r>
        <w:rPr>
          <w:noProof/>
        </w:rPr>
        <w:fldChar w:fldCharType="separate"/>
      </w:r>
      <w:r>
        <w:rPr>
          <w:noProof/>
        </w:rPr>
        <w:t>16</w:t>
      </w:r>
      <w:r>
        <w:rPr>
          <w:noProof/>
        </w:rPr>
        <w:fldChar w:fldCharType="end"/>
      </w:r>
    </w:p>
    <w:p w:rsidR="00805DFC">
      <w:pPr>
        <w:pStyle w:val="TOC1"/>
        <w:tabs>
          <w:tab w:val="right" w:leader="dot" w:pos="8296"/>
        </w:tabs>
        <w:rPr>
          <w:noProof/>
        </w:rPr>
      </w:pPr>
      <w:r>
        <w:rPr>
          <w:rFonts w:hint="eastAsia"/>
          <w:noProof/>
        </w:rPr>
        <w:t>三、基因工程疫苗：重组抗原疫苗项目质量管理方案</w:t>
      </w:r>
      <w:r>
        <w:rPr>
          <w:noProof/>
        </w:rPr>
        <w:tab/>
      </w:r>
      <w:r>
        <w:rPr>
          <w:noProof/>
        </w:rPr>
        <w:fldChar w:fldCharType="begin"/>
      </w:r>
      <w:r>
        <w:rPr>
          <w:noProof/>
        </w:rPr>
        <w:instrText xml:space="preserve"> PAGEREF _Toc157929971 \h </w:instrText>
      </w:r>
      <w:r>
        <w:rPr>
          <w:noProof/>
        </w:rPr>
        <w:fldChar w:fldCharType="separate"/>
      </w:r>
      <w:r>
        <w:rPr>
          <w:noProof/>
        </w:rPr>
        <w:t>18</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_Toc157929972 \h </w:instrText>
      </w:r>
      <w:r>
        <w:rPr>
          <w:noProof/>
        </w:rPr>
        <w:fldChar w:fldCharType="separate"/>
      </w:r>
      <w:r>
        <w:rPr>
          <w:noProof/>
        </w:rPr>
        <w:t>18</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_Toc157929973 \h </w:instrText>
      </w:r>
      <w:r>
        <w:rPr>
          <w:noProof/>
        </w:rPr>
        <w:fldChar w:fldCharType="separate"/>
      </w:r>
      <w:r>
        <w:rPr>
          <w:noProof/>
        </w:rPr>
        <w:t>23</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_Toc157929974 \h </w:instrText>
      </w:r>
      <w:r>
        <w:rPr>
          <w:noProof/>
        </w:rPr>
        <w:fldChar w:fldCharType="separate"/>
      </w:r>
      <w:r>
        <w:rPr>
          <w:noProof/>
        </w:rPr>
        <w:t>25</w:t>
      </w:r>
      <w:r>
        <w:rPr>
          <w:noProof/>
        </w:rPr>
        <w:fldChar w:fldCharType="end"/>
      </w:r>
    </w:p>
    <w:p w:rsidR="00805DFC">
      <w:pPr>
        <w:pStyle w:val="TOC1"/>
        <w:tabs>
          <w:tab w:val="right" w:leader="dot" w:pos="8296"/>
        </w:tabs>
        <w:rPr>
          <w:noProof/>
        </w:rPr>
      </w:pPr>
      <w:r>
        <w:rPr>
          <w:rFonts w:hint="eastAsia"/>
          <w:noProof/>
        </w:rPr>
        <w:t>四、基因工程疫苗：重组抗原疫苗项目运营管理方案</w:t>
      </w:r>
      <w:r>
        <w:rPr>
          <w:noProof/>
        </w:rPr>
        <w:tab/>
      </w:r>
      <w:r>
        <w:rPr>
          <w:noProof/>
        </w:rPr>
        <w:fldChar w:fldCharType="begin"/>
      </w:r>
      <w:r>
        <w:rPr>
          <w:noProof/>
        </w:rPr>
        <w:instrText xml:space="preserve"> PAGEREF _Toc157929975 \h </w:instrText>
      </w:r>
      <w:r>
        <w:rPr>
          <w:noProof/>
        </w:rPr>
        <w:fldChar w:fldCharType="separate"/>
      </w:r>
      <w:r>
        <w:rPr>
          <w:noProof/>
        </w:rPr>
        <w:t>26</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_Toc157929976 \h </w:instrText>
      </w:r>
      <w:r>
        <w:rPr>
          <w:noProof/>
        </w:rPr>
        <w:fldChar w:fldCharType="separate"/>
      </w:r>
      <w:r>
        <w:rPr>
          <w:noProof/>
        </w:rPr>
        <w:t>26</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_Toc157929977 \h </w:instrText>
      </w:r>
      <w:r>
        <w:rPr>
          <w:noProof/>
        </w:rPr>
        <w:fldChar w:fldCharType="separate"/>
      </w:r>
      <w:r>
        <w:rPr>
          <w:noProof/>
        </w:rPr>
        <w:t>28</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_Toc157929978 \h </w:instrText>
      </w:r>
      <w:r>
        <w:rPr>
          <w:noProof/>
        </w:rPr>
        <w:fldChar w:fldCharType="separate"/>
      </w:r>
      <w:r>
        <w:rPr>
          <w:noProof/>
        </w:rPr>
        <w:t>31</w:t>
      </w:r>
      <w:r>
        <w:rPr>
          <w:noProof/>
        </w:rPr>
        <w:fldChar w:fldCharType="end"/>
      </w:r>
    </w:p>
    <w:p w:rsidR="00805DF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_Toc157929979 \h </w:instrText>
      </w:r>
      <w:r>
        <w:rPr>
          <w:noProof/>
        </w:rPr>
        <w:fldChar w:fldCharType="separate"/>
      </w:r>
      <w:r>
        <w:rPr>
          <w:noProof/>
        </w:rPr>
        <w:t>33</w:t>
      </w:r>
      <w:r>
        <w:rPr>
          <w:noProof/>
        </w:rPr>
        <w:fldChar w:fldCharType="end"/>
      </w:r>
    </w:p>
    <w:p w:rsidR="00805DF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_Toc157929980 \h </w:instrText>
      </w:r>
      <w:r>
        <w:rPr>
          <w:noProof/>
        </w:rPr>
        <w:fldChar w:fldCharType="separate"/>
      </w:r>
      <w:r>
        <w:rPr>
          <w:noProof/>
        </w:rPr>
        <w:t>35</w:t>
      </w:r>
      <w:r>
        <w:rPr>
          <w:noProof/>
        </w:rPr>
        <w:fldChar w:fldCharType="end"/>
      </w:r>
    </w:p>
    <w:p w:rsidR="00805DF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_Toc157929981 \h </w:instrText>
      </w:r>
      <w:r>
        <w:rPr>
          <w:noProof/>
        </w:rPr>
        <w:fldChar w:fldCharType="separate"/>
      </w:r>
      <w:r>
        <w:rPr>
          <w:noProof/>
        </w:rPr>
        <w:t>37</w:t>
      </w:r>
      <w:r>
        <w:rPr>
          <w:noProof/>
        </w:rPr>
        <w:fldChar w:fldCharType="end"/>
      </w:r>
    </w:p>
    <w:p w:rsidR="00805DF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_Toc157929982 \h </w:instrText>
      </w:r>
      <w:r>
        <w:rPr>
          <w:noProof/>
        </w:rPr>
        <w:fldChar w:fldCharType="separate"/>
      </w:r>
      <w:r>
        <w:rPr>
          <w:noProof/>
        </w:rPr>
        <w:t>40</w:t>
      </w:r>
      <w:r>
        <w:rPr>
          <w:noProof/>
        </w:rPr>
        <w:fldChar w:fldCharType="end"/>
      </w:r>
    </w:p>
    <w:p w:rsidR="00805DF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_Toc157929983 \h </w:instrText>
      </w:r>
      <w:r>
        <w:rPr>
          <w:noProof/>
        </w:rPr>
        <w:fldChar w:fldCharType="separate"/>
      </w:r>
      <w:r>
        <w:rPr>
          <w:noProof/>
        </w:rPr>
        <w:t>42</w:t>
      </w:r>
      <w:r>
        <w:rPr>
          <w:noProof/>
        </w:rPr>
        <w:fldChar w:fldCharType="end"/>
      </w:r>
    </w:p>
    <w:p w:rsidR="00805DFC">
      <w:pPr>
        <w:pStyle w:val="TOC1"/>
        <w:tabs>
          <w:tab w:val="right" w:leader="dot" w:pos="8296"/>
        </w:tabs>
        <w:rPr>
          <w:noProof/>
        </w:rPr>
      </w:pPr>
      <w:r>
        <w:rPr>
          <w:rFonts w:hint="eastAsia"/>
          <w:noProof/>
        </w:rPr>
        <w:t>五、基因工程疫苗：重组抗原疫苗项目经济评价分析</w:t>
      </w:r>
      <w:r>
        <w:rPr>
          <w:noProof/>
        </w:rPr>
        <w:tab/>
      </w:r>
      <w:r>
        <w:rPr>
          <w:noProof/>
        </w:rPr>
        <w:fldChar w:fldCharType="begin"/>
      </w:r>
      <w:r>
        <w:rPr>
          <w:noProof/>
        </w:rPr>
        <w:instrText xml:space="preserve"> PAGEREF _Toc157929984 \h </w:instrText>
      </w:r>
      <w:r>
        <w:rPr>
          <w:noProof/>
        </w:rPr>
        <w:fldChar w:fldCharType="separate"/>
      </w:r>
      <w:r>
        <w:rPr>
          <w:noProof/>
        </w:rPr>
        <w:t>44</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_Toc157929985 \h </w:instrText>
      </w:r>
      <w:r>
        <w:rPr>
          <w:noProof/>
        </w:rPr>
        <w:fldChar w:fldCharType="separate"/>
      </w:r>
      <w:r>
        <w:rPr>
          <w:noProof/>
        </w:rPr>
        <w:t>44</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、基因工程疫苗：重组抗原疫苗项目盈利能力分析</w:t>
      </w:r>
      <w:r>
        <w:rPr>
          <w:noProof/>
        </w:rPr>
        <w:tab/>
      </w:r>
      <w:r>
        <w:rPr>
          <w:noProof/>
        </w:rPr>
        <w:fldChar w:fldCharType="begin"/>
      </w:r>
      <w:r>
        <w:rPr>
          <w:noProof/>
        </w:rPr>
        <w:instrText xml:space="preserve"> PAGEREF _Toc157929986 \h </w:instrText>
      </w:r>
      <w:r>
        <w:rPr>
          <w:noProof/>
        </w:rPr>
        <w:fldChar w:fldCharType="separate"/>
      </w:r>
      <w:r>
        <w:rPr>
          <w:noProof/>
        </w:rPr>
        <w:t>45</w:t>
      </w:r>
      <w:r>
        <w:rPr>
          <w:noProof/>
        </w:rPr>
        <w:fldChar w:fldCharType="end"/>
      </w:r>
    </w:p>
    <w:p w:rsidR="00805DFC">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_Toc157929987 \h </w:instrText>
      </w:r>
      <w:r>
        <w:rPr>
          <w:noProof/>
        </w:rPr>
        <w:fldChar w:fldCharType="separate"/>
      </w:r>
      <w:r>
        <w:rPr>
          <w:noProof/>
        </w:rPr>
        <w:t>46</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_Toc157929988 \h </w:instrText>
      </w:r>
      <w:r>
        <w:rPr>
          <w:noProof/>
        </w:rPr>
        <w:fldChar w:fldCharType="separate"/>
      </w:r>
      <w:r>
        <w:rPr>
          <w:noProof/>
        </w:rPr>
        <w:t>46</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_Toc157929989 \h </w:instrText>
      </w:r>
      <w:r>
        <w:rPr>
          <w:noProof/>
        </w:rPr>
        <w:fldChar w:fldCharType="separate"/>
      </w:r>
      <w:r>
        <w:rPr>
          <w:noProof/>
        </w:rPr>
        <w:t>48</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、基因工程疫苗：重组抗原疫苗项目工艺技术设计方案</w:t>
      </w:r>
      <w:r>
        <w:rPr>
          <w:noProof/>
        </w:rPr>
        <w:tab/>
      </w:r>
      <w:r>
        <w:rPr>
          <w:noProof/>
        </w:rPr>
        <w:fldChar w:fldCharType="begin"/>
      </w:r>
      <w:r>
        <w:rPr>
          <w:noProof/>
        </w:rPr>
        <w:instrText xml:space="preserve"> PAGEREF _Toc157929990 \h </w:instrText>
      </w:r>
      <w:r>
        <w:rPr>
          <w:noProof/>
        </w:rPr>
        <w:fldChar w:fldCharType="separate"/>
      </w:r>
      <w:r>
        <w:rPr>
          <w:noProof/>
        </w:rPr>
        <w:t>49</w:t>
      </w:r>
      <w:r>
        <w:rPr>
          <w:noProof/>
        </w:rPr>
        <w:fldChar w:fldCharType="end"/>
      </w:r>
    </w:p>
    <w:p w:rsidR="00805DF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_Toc157929991 \h </w:instrText>
      </w:r>
      <w:r>
        <w:rPr>
          <w:noProof/>
        </w:rPr>
        <w:fldChar w:fldCharType="separate"/>
      </w:r>
      <w:r>
        <w:rPr>
          <w:noProof/>
        </w:rPr>
        <w:t>50</w:t>
      </w:r>
      <w:r>
        <w:rPr>
          <w:noProof/>
        </w:rPr>
        <w:fldChar w:fldCharType="end"/>
      </w:r>
    </w:p>
    <w:p w:rsidR="00805DF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_Toc157929992 \h </w:instrText>
      </w:r>
      <w:r>
        <w:rPr>
          <w:noProof/>
        </w:rPr>
        <w:fldChar w:fldCharType="separate"/>
      </w:r>
      <w:r>
        <w:rPr>
          <w:noProof/>
        </w:rPr>
        <w:t>51</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_Toc157929993 \h </w:instrText>
      </w:r>
      <w:r>
        <w:rPr>
          <w:noProof/>
        </w:rPr>
        <w:fldChar w:fldCharType="separate"/>
      </w:r>
      <w:r>
        <w:rPr>
          <w:noProof/>
        </w:rPr>
        <w:t>51</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、基因工程疫苗：重组抗原疫苗项目预期节能综合评价</w:t>
      </w:r>
      <w:r>
        <w:rPr>
          <w:noProof/>
        </w:rPr>
        <w:tab/>
      </w:r>
      <w:r>
        <w:rPr>
          <w:noProof/>
        </w:rPr>
        <w:fldChar w:fldCharType="begin"/>
      </w:r>
      <w:r>
        <w:rPr>
          <w:noProof/>
        </w:rPr>
        <w:instrText xml:space="preserve"> PAGEREF _Toc157929994 \h </w:instrText>
      </w:r>
      <w:r>
        <w:rPr>
          <w:noProof/>
        </w:rPr>
        <w:fldChar w:fldCharType="separate"/>
      </w:r>
      <w:r>
        <w:rPr>
          <w:noProof/>
        </w:rPr>
        <w:t>51</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、基因工程疫苗：重组抗原疫苗项目节能设计</w:t>
      </w:r>
      <w:r>
        <w:rPr>
          <w:noProof/>
        </w:rPr>
        <w:tab/>
      </w:r>
      <w:r>
        <w:rPr>
          <w:noProof/>
        </w:rPr>
        <w:fldChar w:fldCharType="begin"/>
      </w:r>
      <w:r>
        <w:rPr>
          <w:noProof/>
        </w:rPr>
        <w:instrText xml:space="preserve"> PAGEREF _Toc157929995 \h </w:instrText>
      </w:r>
      <w:r>
        <w:rPr>
          <w:noProof/>
        </w:rPr>
        <w:fldChar w:fldCharType="separate"/>
      </w:r>
      <w:r>
        <w:rPr>
          <w:noProof/>
        </w:rPr>
        <w:t>53</w:t>
      </w:r>
      <w:r>
        <w:rPr>
          <w:noProof/>
        </w:rPr>
        <w:fldChar w:fldCharType="end"/>
      </w:r>
    </w:p>
    <w:p w:rsidR="00805DF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_Toc157929996 \h </w:instrText>
      </w:r>
      <w:r>
        <w:rPr>
          <w:noProof/>
        </w:rPr>
        <w:fldChar w:fldCharType="separate"/>
      </w:r>
      <w:r>
        <w:rPr>
          <w:noProof/>
        </w:rPr>
        <w:t>55</w:t>
      </w:r>
      <w:r>
        <w:rPr>
          <w:noProof/>
        </w:rPr>
        <w:fldChar w:fldCharType="end"/>
      </w:r>
    </w:p>
    <w:p w:rsidR="00805DFC">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_Toc157929997 \h </w:instrText>
      </w:r>
      <w:r>
        <w:rPr>
          <w:noProof/>
        </w:rPr>
        <w:fldChar w:fldCharType="separate"/>
      </w:r>
      <w:r>
        <w:rPr>
          <w:noProof/>
        </w:rPr>
        <w:t>57</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、基因工程疫苗：重组抗原疫苗项目选址原则</w:t>
      </w:r>
      <w:r>
        <w:rPr>
          <w:noProof/>
        </w:rPr>
        <w:tab/>
      </w:r>
      <w:r>
        <w:rPr>
          <w:noProof/>
        </w:rPr>
        <w:fldChar w:fldCharType="begin"/>
      </w:r>
      <w:r>
        <w:rPr>
          <w:noProof/>
        </w:rPr>
        <w:instrText xml:space="preserve"> PAGEREF _Toc157929998 \h </w:instrText>
      </w:r>
      <w:r>
        <w:rPr>
          <w:noProof/>
        </w:rPr>
        <w:fldChar w:fldCharType="separate"/>
      </w:r>
      <w:r>
        <w:rPr>
          <w:noProof/>
        </w:rPr>
        <w:t>57</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、基因工程疫苗：重组抗原疫苗项目选址</w:t>
      </w:r>
      <w:r>
        <w:rPr>
          <w:noProof/>
        </w:rPr>
        <w:tab/>
      </w:r>
      <w:r>
        <w:rPr>
          <w:noProof/>
        </w:rPr>
        <w:fldChar w:fldCharType="begin"/>
      </w:r>
      <w:r>
        <w:rPr>
          <w:noProof/>
        </w:rPr>
        <w:instrText xml:space="preserve"> PAGEREF _Toc157929999 \h </w:instrText>
      </w:r>
      <w:r>
        <w:rPr>
          <w:noProof/>
        </w:rPr>
        <w:fldChar w:fldCharType="separate"/>
      </w:r>
      <w:r>
        <w:rPr>
          <w:noProof/>
        </w:rPr>
        <w:t>59</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_Toc157930000 \h </w:instrText>
      </w:r>
      <w:r>
        <w:rPr>
          <w:noProof/>
        </w:rPr>
        <w:fldChar w:fldCharType="separate"/>
      </w:r>
      <w:r>
        <w:rPr>
          <w:noProof/>
        </w:rPr>
        <w:t>60</w:t>
      </w:r>
      <w:r>
        <w:rPr>
          <w:noProof/>
        </w:rPr>
        <w:fldChar w:fldCharType="end"/>
      </w:r>
    </w:p>
    <w:p w:rsidR="00805DF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_Toc157930001 \h </w:instrText>
      </w:r>
      <w:r>
        <w:rPr>
          <w:noProof/>
        </w:rPr>
        <w:fldChar w:fldCharType="separate"/>
      </w:r>
      <w:r>
        <w:rPr>
          <w:noProof/>
        </w:rPr>
        <w:t>61</w:t>
      </w:r>
      <w:r>
        <w:rPr>
          <w:noProof/>
        </w:rPr>
        <w:fldChar w:fldCharType="end"/>
      </w:r>
    </w:p>
    <w:p w:rsidR="00805DF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_Toc157930002 \h </w:instrText>
      </w:r>
      <w:r>
        <w:rPr>
          <w:noProof/>
        </w:rPr>
        <w:fldChar w:fldCharType="separate"/>
      </w:r>
      <w:r>
        <w:rPr>
          <w:noProof/>
        </w:rPr>
        <w:t>63</w:t>
      </w:r>
      <w:r>
        <w:rPr>
          <w:noProof/>
        </w:rPr>
        <w:fldChar w:fldCharType="end"/>
      </w:r>
    </w:p>
    <w:p w:rsidR="00805DF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_Toc157930003 \h </w:instrText>
      </w:r>
      <w:r>
        <w:rPr>
          <w:noProof/>
        </w:rPr>
        <w:fldChar w:fldCharType="separate"/>
      </w:r>
      <w:r>
        <w:rPr>
          <w:noProof/>
        </w:rPr>
        <w:t>64</w:t>
      </w:r>
      <w:r>
        <w:rPr>
          <w:noProof/>
        </w:rPr>
        <w:fldChar w:fldCharType="end"/>
      </w:r>
    </w:p>
    <w:p w:rsidR="00805DF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_Toc157930004 \h </w:instrText>
      </w:r>
      <w:r>
        <w:rPr>
          <w:noProof/>
        </w:rPr>
        <w:fldChar w:fldCharType="separate"/>
      </w:r>
      <w:r>
        <w:rPr>
          <w:noProof/>
        </w:rPr>
        <w:t>66</w:t>
      </w:r>
      <w:r>
        <w:rPr>
          <w:noProof/>
        </w:rPr>
        <w:fldChar w:fldCharType="end"/>
      </w:r>
    </w:p>
    <w:p w:rsidR="00805DFC">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_Toc157930005 \h </w:instrText>
      </w:r>
      <w:r>
        <w:rPr>
          <w:noProof/>
        </w:rPr>
        <w:fldChar w:fldCharType="separate"/>
      </w:r>
      <w:r>
        <w:rPr>
          <w:noProof/>
        </w:rPr>
        <w:t>68</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_Toc157930006 \h </w:instrText>
      </w:r>
      <w:r>
        <w:rPr>
          <w:noProof/>
        </w:rPr>
        <w:fldChar w:fldCharType="separate"/>
      </w:r>
      <w:r>
        <w:rPr>
          <w:noProof/>
        </w:rPr>
        <w:t>68</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_Toc157930007 \h </w:instrText>
      </w:r>
      <w:r>
        <w:rPr>
          <w:noProof/>
        </w:rPr>
        <w:fldChar w:fldCharType="separate"/>
      </w:r>
      <w:r>
        <w:rPr>
          <w:noProof/>
        </w:rPr>
        <w:t>68</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_Toc157930008 \h </w:instrText>
      </w:r>
      <w:r>
        <w:rPr>
          <w:noProof/>
        </w:rPr>
        <w:fldChar w:fldCharType="separate"/>
      </w:r>
      <w:r>
        <w:rPr>
          <w:noProof/>
        </w:rPr>
        <w:t>69</w:t>
      </w:r>
      <w:r>
        <w:rPr>
          <w:noProof/>
        </w:rPr>
        <w:fldChar w:fldCharType="end"/>
      </w:r>
    </w:p>
    <w:p w:rsidR="00805DFC">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_Toc157930009 \h </w:instrText>
      </w:r>
      <w:r>
        <w:rPr>
          <w:noProof/>
        </w:rPr>
        <w:fldChar w:fldCharType="separate"/>
      </w:r>
      <w:r>
        <w:rPr>
          <w:noProof/>
        </w:rPr>
        <w:t>70</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_Toc157930010 \h </w:instrText>
      </w:r>
      <w:r>
        <w:rPr>
          <w:noProof/>
        </w:rPr>
        <w:fldChar w:fldCharType="separate"/>
      </w:r>
      <w:r>
        <w:rPr>
          <w:noProof/>
        </w:rPr>
        <w:t>70</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_Toc157930011 \h </w:instrText>
      </w:r>
      <w:r>
        <w:rPr>
          <w:noProof/>
        </w:rPr>
        <w:fldChar w:fldCharType="separate"/>
      </w:r>
      <w:r>
        <w:rPr>
          <w:noProof/>
        </w:rPr>
        <w:t>71</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_Toc157930012 \h </w:instrText>
      </w:r>
      <w:r>
        <w:rPr>
          <w:noProof/>
        </w:rPr>
        <w:fldChar w:fldCharType="separate"/>
      </w:r>
      <w:r>
        <w:rPr>
          <w:noProof/>
        </w:rPr>
        <w:t>73</w:t>
      </w:r>
      <w:r>
        <w:rPr>
          <w:noProof/>
        </w:rPr>
        <w:fldChar w:fldCharType="end"/>
      </w:r>
    </w:p>
    <w:p w:rsidR="00805DFC">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_Toc157930013 \h </w:instrText>
      </w:r>
      <w:r>
        <w:rPr>
          <w:noProof/>
        </w:rPr>
        <w:fldChar w:fldCharType="separate"/>
      </w:r>
      <w:r>
        <w:rPr>
          <w:noProof/>
        </w:rPr>
        <w:t>75</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_Toc157930014 \h </w:instrText>
      </w:r>
      <w:r>
        <w:rPr>
          <w:noProof/>
        </w:rPr>
        <w:fldChar w:fldCharType="separate"/>
      </w:r>
      <w:r>
        <w:rPr>
          <w:noProof/>
        </w:rPr>
        <w:t>75</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_Toc157930015 \h </w:instrText>
      </w:r>
      <w:r>
        <w:rPr>
          <w:noProof/>
        </w:rPr>
        <w:fldChar w:fldCharType="separate"/>
      </w:r>
      <w:r>
        <w:rPr>
          <w:noProof/>
        </w:rPr>
        <w:t>78</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_Toc157930016 \h </w:instrText>
      </w:r>
      <w:r>
        <w:rPr>
          <w:noProof/>
        </w:rPr>
        <w:fldChar w:fldCharType="separate"/>
      </w:r>
      <w:r>
        <w:rPr>
          <w:noProof/>
        </w:rPr>
        <w:t>79</w:t>
      </w:r>
      <w:r>
        <w:rPr>
          <w:noProof/>
        </w:rPr>
        <w:fldChar w:fldCharType="end"/>
      </w:r>
    </w:p>
    <w:p w:rsidR="00805DFC">
      <w:pPr>
        <w:pStyle w:val="TOC1"/>
        <w:tabs>
          <w:tab w:val="right" w:leader="dot" w:pos="8296"/>
        </w:tabs>
        <w:rPr>
          <w:noProof/>
        </w:rPr>
      </w:pPr>
      <w:r>
        <w:rPr>
          <w:rFonts w:hint="eastAsia"/>
          <w:noProof/>
        </w:rPr>
        <w:t>十二、基因工程疫苗：重组抗原疫苗项目执行风险与应对策略</w:t>
      </w:r>
      <w:r>
        <w:rPr>
          <w:noProof/>
        </w:rPr>
        <w:tab/>
      </w:r>
      <w:r>
        <w:rPr>
          <w:noProof/>
        </w:rPr>
        <w:fldChar w:fldCharType="begin"/>
      </w:r>
      <w:r>
        <w:rPr>
          <w:noProof/>
        </w:rPr>
        <w:instrText xml:space="preserve"> PAGEREF _Toc157930017 \h </w:instrText>
      </w:r>
      <w:r>
        <w:rPr>
          <w:noProof/>
        </w:rPr>
        <w:fldChar w:fldCharType="separate"/>
      </w:r>
      <w:r>
        <w:rPr>
          <w:noProof/>
        </w:rPr>
        <w:t>82</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、基因工程疫苗：重组抗原疫苗项目执行风险识别</w:t>
      </w:r>
      <w:r>
        <w:rPr>
          <w:noProof/>
        </w:rPr>
        <w:tab/>
      </w:r>
      <w:r>
        <w:rPr>
          <w:noProof/>
        </w:rPr>
        <w:fldChar w:fldCharType="begin"/>
      </w:r>
      <w:r>
        <w:rPr>
          <w:noProof/>
        </w:rPr>
        <w:instrText xml:space="preserve"> PAGEREF _Toc157930018 \h </w:instrText>
      </w:r>
      <w:r>
        <w:rPr>
          <w:noProof/>
        </w:rPr>
        <w:fldChar w:fldCharType="separate"/>
      </w:r>
      <w:r>
        <w:rPr>
          <w:noProof/>
        </w:rPr>
        <w:t>82</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_Toc157930019 \h </w:instrText>
      </w:r>
      <w:r>
        <w:rPr>
          <w:noProof/>
        </w:rPr>
        <w:fldChar w:fldCharType="separate"/>
      </w:r>
      <w:r>
        <w:rPr>
          <w:noProof/>
        </w:rPr>
        <w:t>83</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_Toc157930020 \h </w:instrText>
      </w:r>
      <w:r>
        <w:rPr>
          <w:noProof/>
        </w:rPr>
        <w:fldChar w:fldCharType="separate"/>
      </w:r>
      <w:r>
        <w:rPr>
          <w:noProof/>
        </w:rPr>
        <w:t>85</w:t>
      </w:r>
      <w:r>
        <w:rPr>
          <w:noProof/>
        </w:rPr>
        <w:fldChar w:fldCharType="end"/>
      </w:r>
    </w:p>
    <w:p w:rsidR="00805DFC">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_Toc157930021 \h </w:instrText>
      </w:r>
      <w:r>
        <w:rPr>
          <w:noProof/>
        </w:rPr>
        <w:fldChar w:fldCharType="separate"/>
      </w:r>
      <w:r>
        <w:rPr>
          <w:noProof/>
        </w:rPr>
        <w:t>86</w:t>
      </w:r>
      <w:r>
        <w:rPr>
          <w:noProof/>
        </w:rPr>
        <w:fldChar w:fldCharType="end"/>
      </w:r>
    </w:p>
    <w:p w:rsidR="00805DF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_Toc157930022 \h </w:instrText>
      </w:r>
      <w:r>
        <w:rPr>
          <w:noProof/>
        </w:rPr>
        <w:fldChar w:fldCharType="separate"/>
      </w:r>
      <w:r>
        <w:rPr>
          <w:noProof/>
        </w:rPr>
        <w:t>86</w:t>
      </w:r>
      <w:r>
        <w:rPr>
          <w:noProof/>
        </w:rPr>
        <w:fldChar w:fldCharType="end"/>
      </w:r>
    </w:p>
    <w:p w:rsidR="00805DF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_Toc157930023 \h </w:instrText>
      </w:r>
      <w:r>
        <w:rPr>
          <w:noProof/>
        </w:rPr>
        <w:fldChar w:fldCharType="separate"/>
      </w:r>
      <w:r>
        <w:rPr>
          <w:noProof/>
        </w:rPr>
        <w:t>87</w:t>
      </w:r>
      <w:r>
        <w:rPr>
          <w:noProof/>
        </w:rPr>
        <w:fldChar w:fldCharType="end"/>
      </w:r>
    </w:p>
    <w:p w:rsidR="00805DF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_Toc157930024 \h </w:instrText>
      </w:r>
      <w:r>
        <w:rPr>
          <w:noProof/>
        </w:rPr>
        <w:fldChar w:fldCharType="separate"/>
      </w:r>
      <w:r>
        <w:rPr>
          <w:noProof/>
        </w:rPr>
        <w:t>89</w:t>
      </w:r>
      <w:r>
        <w:rPr>
          <w:noProof/>
        </w:rPr>
        <w:fldChar w:fldCharType="end"/>
      </w:r>
    </w:p>
    <w:p w:rsidR="00805DFC" w:rsidP="00805DF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05DFC" w:rsidP="00805DFC">
      <w:pPr>
        <w:pStyle w:val="Heading1"/>
        <w:jc w:val="center"/>
        <w:rPr>
          <w:rFonts w:hint="eastAsia"/>
        </w:rPr>
      </w:pPr>
      <w:bookmarkStart w:id="1" w:name="_Toc157929960"/>
      <w:r w:rsidRPr="00805DFC">
        <w:rPr>
          <w:rFonts w:hint="eastAsia"/>
        </w:rPr>
        <w:t>序言</w:t>
      </w:r>
      <w:bookmarkEnd w:id="1"/>
    </w:p>
    <w:p w:rsidR="00805DFC" w:rsidP="00805DFC">
      <w:pPr>
        <w:ind w:firstLine="560" w:firstLineChars="200"/>
        <w:rPr>
          <w:rFonts w:ascii="仿宋" w:eastAsia="仿宋" w:hAnsi="仿宋" w:hint="eastAsia"/>
          <w:sz w:val="28"/>
        </w:rPr>
      </w:pPr>
      <w:r w:rsidRPr="00805DF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05DFC" w:rsidP="00805DFC">
      <w:pPr>
        <w:pStyle w:val="Heading1"/>
        <w:rPr>
          <w:rFonts w:hint="eastAsia"/>
        </w:rPr>
      </w:pPr>
      <w:bookmarkStart w:id="2" w:name="_Toc157929961"/>
      <w:r w:rsidRPr="00805DFC">
        <w:rPr>
          <w:rFonts w:hint="eastAsia"/>
        </w:rPr>
        <w:t>一、基因工程疫苗：重组抗原疫苗项目建筑工程方案</w:t>
      </w:r>
      <w:bookmarkEnd w:id="2"/>
    </w:p>
    <w:p w:rsidR="00805DFC" w:rsidP="00805DFC">
      <w:pPr>
        <w:pStyle w:val="Heading2"/>
        <w:rPr>
          <w:rFonts w:hint="eastAsia"/>
        </w:rPr>
      </w:pPr>
      <w:bookmarkStart w:id="3" w:name="_Toc157929962"/>
      <w:r w:rsidRPr="00805DFC">
        <w:rPr>
          <w:rFonts w:hint="eastAsia"/>
        </w:rPr>
        <w:t>(</w:t>
      </w:r>
      <w:r w:rsidRPr="00805DFC">
        <w:rPr>
          <w:rFonts w:hint="eastAsia"/>
        </w:rPr>
        <w:t>一</w:t>
      </w:r>
      <w:r w:rsidRPr="00805DFC">
        <w:rPr>
          <w:rFonts w:hint="eastAsia"/>
        </w:rPr>
        <w:t>)</w:t>
      </w:r>
      <w:r w:rsidRPr="00805DFC">
        <w:rPr>
          <w:rFonts w:hint="eastAsia"/>
        </w:rPr>
        <w:t>、土建工程方案</w:t>
      </w:r>
      <w:bookmarkEnd w:id="3"/>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土建工程方案是为实现建设基因工程疫苗：重组抗原疫苗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工程设计</w:t>
      </w:r>
    </w:p>
    <w:p w:rsidR="00805DFC" w:rsidRPr="00805DFC" w:rsidP="00805DF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05DF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工程设计在土建工程方案中占据至关重要的地位，包括建筑、结构、电气和给排水等专业的设计。综合考虑地理环境、用途要求、安全性能和经济性等因素，通过科学布局和设计，确保基因工程疫苗：</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重组抗原疫苗项目具备良好的结构和功能。同时，遵循相关法规和标准，保障设计的合法性和可行性。</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施工组织</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材料选择</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4. 工期安排</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05DFC" w:rsidP="00805DF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05DFC">
        <w:rPr>
          <w:rFonts w:ascii="仿宋" w:eastAsia="仿宋" w:hAnsi="仿宋" w:hint="eastAsia"/>
          <w:sz w:val="28"/>
        </w:rPr>
        <w:t>土建工程方案的制定和实施对于基因工程疫苗：重组抗原疫苗项目的成功推进至关重要。只有通过科学合理的规划和有序实施，基因工程疫苗：重组抗原疫苗项目才能确保高效、安全、经济地完成，达到预期的建设目标。因此，在进行土建工程基因工程疫苗：重组抗原疫苗项目时，应充分关注土建工程方案的编制和执行，不断总结经验教训，不断提升管理和技术水平，以适应不断变化的建设需求。</w:t>
      </w:r>
    </w:p>
    <w:p w:rsidR="00805DFC" w:rsidP="00805DFC">
      <w:pPr>
        <w:pStyle w:val="Heading2"/>
      </w:pPr>
      <w:bookmarkStart w:id="4" w:name="_Toc157929963"/>
      <w:r w:rsidRPr="00805DFC">
        <w:t>(</w:t>
      </w:r>
      <w:r w:rsidRPr="00805DFC">
        <w:t>二</w:t>
      </w:r>
      <w:r w:rsidRPr="00805DFC">
        <w:t>)</w:t>
      </w:r>
      <w:r w:rsidRPr="00805DFC">
        <w:t>、厂房建设方案</w:t>
      </w:r>
      <w:bookmarkEnd w:id="4"/>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结构设计</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施工组织</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材料选择</w:t>
      </w:r>
    </w:p>
    <w:p w:rsidR="00805DFC" w:rsidRPr="00805DFC" w:rsidP="00805DF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5DF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4. 工期安排</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5. 设备配置</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05DFC" w:rsidP="00805DFC">
      <w:pPr>
        <w:ind w:firstLine="560" w:firstLineChars="200"/>
        <w:rPr>
          <w:rFonts w:ascii="仿宋" w:eastAsia="仿宋" w:hAnsi="仿宋" w:hint="eastAsia"/>
          <w:sz w:val="28"/>
        </w:rPr>
      </w:pPr>
      <w:r w:rsidRPr="00805DF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05DFC" w:rsidP="00805DFC">
      <w:pPr>
        <w:pStyle w:val="Heading2"/>
      </w:pPr>
      <w:bookmarkStart w:id="5" w:name="_Toc157929964"/>
      <w:r w:rsidRPr="00805DFC">
        <w:t>(</w:t>
      </w:r>
      <w:r w:rsidRPr="00805DFC">
        <w:t>三</w:t>
      </w:r>
      <w:r w:rsidRPr="00805DFC">
        <w:t>)</w:t>
      </w:r>
      <w:r w:rsidRPr="00805DFC">
        <w:t>、仓库建设方案</w:t>
      </w:r>
      <w:bookmarkEnd w:id="5"/>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结构设计</w:t>
      </w:r>
    </w:p>
    <w:p w:rsidR="00805DFC" w:rsidRPr="00805DFC" w:rsidP="00805DF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5DFC">
        <w:rPr>
          <w:rFonts w:ascii="仿宋" w:eastAsia="仿宋" w:hAnsi="仿宋" w:hint="eastAsia"/>
          <w:sz w:val="28"/>
        </w:rPr>
        <w:t>在仓库建设方案中，结构设计是关键的一环。仓库的结构设计应考虑货物种类、存储方式、货架布局等因素，以确保货物的安全存放</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施工组织</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材料选择</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4. 设备配置</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5. 环境规划</w:t>
      </w:r>
    </w:p>
    <w:p w:rsidR="00805DFC" w:rsidRPr="00805DFC" w:rsidP="00805DF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5DF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法规，确保仓库的安全性。</w:t>
      </w:r>
    </w:p>
    <w:p w:rsidR="00805DFC" w:rsidP="00805DFC">
      <w:pPr>
        <w:ind w:firstLine="560" w:firstLineChars="200"/>
        <w:rPr>
          <w:rFonts w:ascii="仿宋" w:eastAsia="仿宋" w:hAnsi="仿宋" w:hint="eastAsia"/>
          <w:sz w:val="28"/>
        </w:rPr>
      </w:pPr>
      <w:r w:rsidRPr="00805DF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05DFC" w:rsidP="00805DFC">
      <w:pPr>
        <w:pStyle w:val="Heading2"/>
      </w:pPr>
      <w:bookmarkStart w:id="6" w:name="_Toc157929965"/>
      <w:r w:rsidRPr="00805DFC">
        <w:t>(</w:t>
      </w:r>
      <w:r w:rsidRPr="00805DFC">
        <w:t>四</w:t>
      </w:r>
      <w:r w:rsidRPr="00805DFC">
        <w:t>)</w:t>
      </w:r>
      <w:r w:rsidRPr="00805DFC">
        <w:t>、办公及生活服务设施建设方案</w:t>
      </w:r>
      <w:bookmarkEnd w:id="6"/>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办公空间设计： 确保合理的布局，考虑通风、采光、隔音等因素，提高员工的工作效率和舒适度。</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生活服务设施规划： 设计食堂、休息区、健身房等设施，满足员工在工作间隙和下班后的各种需求。</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信息技术设备： 规划网络设施、计算设备以及公司业务相关的软硬件工具，确保员工高效完成工作。</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4. 安全与环保设施： 考虑消防设备、安全通道、紧急疏散计划，以及环保设施，创造安全可持续的工作环境。</w:t>
      </w:r>
    </w:p>
    <w:p w:rsidR="00805DFC" w:rsidRPr="00805DFC" w:rsidP="00805DFC">
      <w:pPr>
        <w:ind w:firstLine="560" w:firstLineChars="200"/>
        <w:rPr>
          <w:rFonts w:ascii="仿宋" w:eastAsia="仿宋" w:hAnsi="仿宋"/>
          <w:sz w:val="28"/>
        </w:rPr>
      </w:pPr>
      <w:r w:rsidRPr="00805DFC">
        <w:rPr>
          <w:rFonts w:ascii="仿宋" w:eastAsia="仿宋" w:hAnsi="仿宋" w:hint="eastAsia"/>
          <w:sz w:val="28"/>
        </w:rPr>
        <w:t>5. 员工培训和发展设施： 设计培训室、图书馆、在线学习平台等，提供学习和发展的机会，促进员工专业素养和职业发展。</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6. 工位设置与布局： 通过科学的工位设置和布局，提高员工之间的协作效率，创造良好的工作氛围。</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7. 会议室规划： 设计合适大小和设备齐全的会议室，以支持各类内外部会议和团队协作。</w:t>
      </w:r>
    </w:p>
    <w:p w:rsidR="00805DFC" w:rsidRPr="00805DFC" w:rsidP="00805DF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5DFC">
        <w:rPr>
          <w:rFonts w:ascii="仿宋" w:eastAsia="仿宋" w:hAnsi="仿宋" w:hint="eastAsia"/>
          <w:sz w:val="28"/>
        </w:rPr>
        <w:t>8. 休息区设计： 创造宜人的休息环境，为员工提供放松身心的</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空间，提高工作效能。</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9. 饮食服务设施： 提供多样化的饮食选择，满足员工口味，促进团队交流和员工满意度。</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10. 健康管理设施： 设计健身房、健康检测区等，关注员工身心健康，提高整体团队健康水平。</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11. 员工社交空间： 创建社交区域，促进员工之间的交流，增进团队凝聚力和合作精神。</w:t>
      </w:r>
    </w:p>
    <w:p w:rsidR="00805DFC" w:rsidP="00805DFC">
      <w:pPr>
        <w:ind w:firstLine="560" w:firstLineChars="200"/>
        <w:rPr>
          <w:rFonts w:ascii="仿宋" w:eastAsia="仿宋" w:hAnsi="仿宋" w:hint="eastAsia"/>
          <w:sz w:val="28"/>
        </w:rPr>
      </w:pPr>
      <w:r w:rsidRPr="00805DFC">
        <w:rPr>
          <w:rFonts w:ascii="仿宋" w:eastAsia="仿宋" w:hAnsi="仿宋" w:hint="eastAsia"/>
          <w:sz w:val="28"/>
        </w:rPr>
        <w:t>12. 绿色建筑和可持续设施： 采用环保材料，设计节能照明系统，倡导绿色出行，助力企业可持续发展。</w:t>
      </w:r>
    </w:p>
    <w:p w:rsidR="00805DFC" w:rsidP="00805DFC">
      <w:pPr>
        <w:pStyle w:val="Heading2"/>
      </w:pPr>
      <w:bookmarkStart w:id="7" w:name="_Toc157929966"/>
      <w:r w:rsidRPr="00805DFC">
        <w:t>(</w:t>
      </w:r>
      <w:r w:rsidRPr="00805DFC">
        <w:t>五</w:t>
      </w:r>
      <w:r w:rsidRPr="00805DFC">
        <w:t>)</w:t>
      </w:r>
      <w:r w:rsidRPr="00805DFC">
        <w:t>、总图布置方案</w:t>
      </w:r>
      <w:bookmarkEnd w:id="7"/>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整体规划考虑因素： 在确定总体布局方案时，需要充分考虑地理位置、基因工程疫苗：重组抗原疫苗项目规模、市场需求和人力资源等关键因素，确保科学合理。</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成本节约策略： 通过优化物流运输和产品流通，合理利用现有设施，降低成本，确保基因工程疫苗：重组抗原疫苗项目经济可行性。</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生产效率提升： 通过科学运营和管理，提高生产效率和产品质量，确保基因工程疫苗：重组抗原疫苗项目能够顺利运行并满足市场需求。</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详细布局设计</w:t>
      </w:r>
    </w:p>
    <w:p w:rsidR="00805DFC" w:rsidRPr="00805DFC" w:rsidP="00805DF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5DFC">
        <w:rPr>
          <w:rFonts w:ascii="仿宋" w:eastAsia="仿宋" w:hAnsi="仿宋" w:hint="eastAsia"/>
          <w:sz w:val="28"/>
        </w:rPr>
        <w:t>1. 生产线布局规划： 确保生产线的合理布局，考虑生产线长度、</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机器设备配置、工人数量和空间要求等因素，优化生产流程。</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储存设施合理布局： 设计原材料、半成品和成品储存区的合理布局，方便物流运输和库存管理，确保供应链畅通。</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办公室和员工区域设计： 打造符合现代标准的办公室和员工区域布局，提升员工的工作和生活体验。</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4. 能源供应设施规划： 设计合理的能源供应设施布局，确保电力、燃气和水等能源的有效供应，满足生产需求。</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实施与管理方案</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技术管理策略： 通过不断改进和优化技术流程，提高生产效率和产品质量，保持技术领先地位。</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人力资源管理计划： 招聘、培训员工，并建立有效的人力资源管理体系，提高员工工作效率和满意度。</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基因工程疫苗：重组抗原疫苗项目管理体系建设： 制定科学的基因工程疫苗：重组抗原疫苗项目计划、预算和资源分配，确保基因工程疫苗：重组抗原疫苗项目按时完成，达到预期效果。</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4. 质量管理体系实施： 建立质量控制系统，进行质量检查，确保产品符合标准和顾客需求，提高产品竞争力。</w:t>
      </w:r>
    </w:p>
    <w:p w:rsidR="00805DFC" w:rsidP="00805DFC">
      <w:pPr>
        <w:ind w:firstLine="560" w:firstLineChars="200"/>
        <w:rPr>
          <w:rFonts w:ascii="仿宋" w:eastAsia="仿宋" w:hAnsi="仿宋" w:hint="eastAsia"/>
          <w:sz w:val="28"/>
        </w:rPr>
      </w:pPr>
      <w:r w:rsidRPr="00805DFC">
        <w:rPr>
          <w:rFonts w:ascii="仿宋" w:eastAsia="仿宋" w:hAnsi="仿宋" w:hint="eastAsia"/>
          <w:sz w:val="28"/>
        </w:rPr>
        <w:t>综合考虑总体布局方案、详细布局设计和实施与管理方案，确保基因工程疫苗：重组抗原疫苗项目全面成功实现。</w:t>
      </w:r>
    </w:p>
    <w:p w:rsidR="00805DFC" w:rsidP="00805DFC">
      <w:pPr>
        <w:pStyle w:val="Heading2"/>
      </w:pPr>
      <w:bookmarkStart w:id="8" w:name="_Toc157929967"/>
      <w:r w:rsidRPr="00805DFC">
        <w:t>(</w:t>
      </w:r>
      <w:r w:rsidRPr="00805DFC">
        <w:t>六</w:t>
      </w:r>
      <w:r w:rsidRPr="00805DFC">
        <w:t>)</w:t>
      </w:r>
      <w:r w:rsidRPr="00805DFC">
        <w:t>、建筑工程数字化方案</w:t>
      </w:r>
      <w:bookmarkEnd w:id="8"/>
    </w:p>
    <w:p w:rsidR="00805DFC" w:rsidRPr="00805DFC" w:rsidP="00805DF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5DFC">
        <w:rPr>
          <w:rFonts w:ascii="仿宋" w:eastAsia="仿宋" w:hAnsi="仿宋" w:hint="eastAsia"/>
          <w:sz w:val="28"/>
        </w:rPr>
        <w:t>（一）数字化方案规划</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基因工程疫苗：重组抗原疫苗项目背景分析</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在构建数字化方案之前，对基因工程疫苗：重组抗原疫苗项目规模、性质以及可用预算进行深入分析，确保方案的制定与基因工程疫苗：重组抗原疫苗项目的实际需求相契合。</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技术现状评估</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深入了解建筑工程领域的数字化技术现状，关注行业最新趋势，以确保选择的数字化方案在技术上保持领先地位。</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利益相关方沟通</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与基因工程疫苗：重组抗原疫苗项目中的各利益相关方进行充分沟通，包括业主、设计师、施工方等，以了解各方需求和期望，使得数字化方案更加贴近实际应用。</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（二）数字化工具选择</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建模软件选择</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选择适用于建筑工程的三维建模软件，如XXX等，以提高设计效率和精度，从而推动数字化设计的实施。</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基因工程疫苗：重组抗原疫苗项目管理工具</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采用专业的基因工程疫苗：重组抗原疫苗项目管理工具，例如XXX，以确保基因工程疫苗：重组抗原疫苗项目计划、进度追踪和资源管理的高效执行。</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BIM技术应用</w:t>
      </w:r>
    </w:p>
    <w:p w:rsidR="00805DFC" w:rsidRPr="00805DFC" w:rsidP="00805DF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5DFC">
        <w:rPr>
          <w:rFonts w:ascii="仿宋" w:eastAsia="仿宋" w:hAnsi="仿宋" w:hint="eastAsia"/>
          <w:sz w:val="28"/>
        </w:rPr>
        <w:t>引入BIM技术，全面实现建筑设计、施工和运营的数字化管理，以促进信息共享和提高协同效率，从而推动基因工程疫苗：重组抗原</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疫苗项目数字化的全面实施。</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（三）数字化流程优化</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设计协同优化</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通过数字化工具实现设计团队的高效协同工作，提高设计效率，减少信息流失和误差，确保设计的高质量完成。</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施工过程数字化</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引入数字化施工管理系统，实现施工计划、进度监控、质量检查等过程的数字化管理，以提高施工效率和质量控制水平。</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数据集成与共享</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建立数据集成平台，实现各个环节数据的无缝传递和共享，以减少信息孤岛，提高整体工程效益，推动数字化流程的顺畅实施。</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（四）技术培训与支持</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团队培训计划</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制定详细的数字化工具培训计划，确保基因工程疫苗：重组抗原疫苗项目团队成员具备使用相关工具的必要技能，提高整体数字化水平。</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技术支持体系</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建立完善的数字化方案技术支持体系，包括在线支持和培训资料库，以保证在使用过程中能够及时解决技术问题。</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持续改进机制</w:t>
      </w:r>
    </w:p>
    <w:p w:rsidR="00805DFC" w:rsidRPr="00805DFC" w:rsidP="00805DF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05DFC">
        <w:rPr>
          <w:rFonts w:ascii="仿宋" w:eastAsia="仿宋" w:hAnsi="仿宋" w:hint="eastAsia"/>
          <w:sz w:val="28"/>
        </w:rPr>
        <w:t>设立数字化方案的持续改进机制，及时收集用户反馈和技术更新，不断优化数字化工程流程，确保数字化方案处于行业领先地位。</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（五）风险管理与安全保障</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数据安全策略</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制定严格的数据安全策略，采用加密技术和权限管理等手段，确保基因工程疫苗：重组抗原疫苗项目信息不受到未授权访问和泄露，提高数据安全性。</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应急预案制定</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制定数字化方案的应急预案，对可能发生的技术故障、数据丢失等情况进行预测和应对，保障基因工程疫苗：重组抗原疫苗项目的正常运行。</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法规遵循</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05DFC" w:rsidP="00805DFC">
      <w:pPr>
        <w:ind w:firstLine="560" w:firstLineChars="200"/>
        <w:rPr>
          <w:rFonts w:ascii="仿宋" w:eastAsia="仿宋" w:hAnsi="仿宋" w:hint="eastAsia"/>
          <w:sz w:val="28"/>
        </w:rPr>
      </w:pPr>
      <w:r w:rsidRPr="00805DFC">
        <w:rPr>
          <w:rFonts w:ascii="仿宋" w:eastAsia="仿宋" w:hAnsi="仿宋" w:hint="eastAsia"/>
          <w:sz w:val="28"/>
        </w:rPr>
        <w:t>通过以上方面的详细规划，建立全面的建筑工程数字化方案，将有助于基因工程疫苗：重组抗原疫苗项目更高效、智能地迎接数字时代的挑战。</w:t>
      </w:r>
    </w:p>
    <w:p w:rsidR="00805DFC" w:rsidP="00805DFC">
      <w:pPr>
        <w:pStyle w:val="Heading1"/>
        <w:rPr>
          <w:rFonts w:hint="eastAsia"/>
        </w:rPr>
      </w:pPr>
      <w:bookmarkStart w:id="9" w:name="_Toc157929968"/>
      <w:r w:rsidRPr="00805DFC">
        <w:rPr>
          <w:rFonts w:hint="eastAsia"/>
        </w:rPr>
        <w:t>二、企业管理方案</w:t>
      </w:r>
      <w:bookmarkEnd w:id="9"/>
    </w:p>
    <w:p w:rsidR="00805DFC" w:rsidP="00805DFC">
      <w:pPr>
        <w:pStyle w:val="Heading2"/>
        <w:rPr>
          <w:rFonts w:hint="eastAsia"/>
        </w:rPr>
      </w:pPr>
      <w:bookmarkStart w:id="10" w:name="_Toc157929969"/>
      <w:r w:rsidRPr="00805DFC">
        <w:rPr>
          <w:rFonts w:hint="eastAsia"/>
        </w:rPr>
        <w:t>(</w:t>
      </w:r>
      <w:r w:rsidRPr="00805DFC">
        <w:rPr>
          <w:rFonts w:hint="eastAsia"/>
        </w:rPr>
        <w:t>一</w:t>
      </w:r>
      <w:r w:rsidRPr="00805DFC">
        <w:rPr>
          <w:rFonts w:hint="eastAsia"/>
        </w:rPr>
        <w:t>)</w:t>
      </w:r>
      <w:r w:rsidRPr="00805DFC">
        <w:rPr>
          <w:rFonts w:hint="eastAsia"/>
        </w:rPr>
        <w:t>、企业管理体系</w:t>
      </w:r>
      <w:bookmarkEnd w:id="10"/>
    </w:p>
    <w:p w:rsidR="00805DFC" w:rsidRPr="00805DFC" w:rsidP="00805DF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5DFC">
        <w:rPr>
          <w:rFonts w:ascii="仿宋" w:eastAsia="仿宋" w:hAnsi="仿宋" w:hint="eastAsia"/>
          <w:sz w:val="28"/>
        </w:rPr>
        <w:t>企业管理体系是指企业为实现组织目标而建立的一系列相互关联、相互影响的管理要素、管理方法和管理手段的有机整体。这一体</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系包括组织结构、管理流程、政策与规程、人力资源管理、财务管理等多个方面，以确保企业能够高效运转、适应环境变化并实现长期可持续发展。下面是企业管理体系的关键要素：</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一、组织结构与体系</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组织结构设计： 确定企业内部各部门、团队和岗位之间的关系，建立清晰的组织结构，以实现工作分工、协作和沟通的有效性。</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决策层次： 规定决策的层级结构，确保信息能够迅速准确地传达和决策能够迅速实施。</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二、管理流程与方法</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业务流程设计： 制定标准的业务流程，确保企业的核心业务能够高效有序地进行。</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基因工程疫苗：重组抗原疫苗项目管理方法： 采用适当的基因工程疫苗：重组抗原疫苗项目管理方法，确保基因工程疫苗：重组抗原疫苗项目按时按质完成。</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质量管理体系： 实施质量管理体系，确保产品或服务符合规定标准，提高客户满意度。</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三、政策与规程</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企业政策： 制定企业整体发展的方向和原则，确保所有业务活动符合企业的核心价值观。</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规章制度： 制定各项规章制度，规范员工行为，确保企业内部秩序和文化的一致性。</w:t>
      </w:r>
    </w:p>
    <w:p w:rsidR="00805DFC" w:rsidRPr="00805DFC" w:rsidP="00805DF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5DFC">
        <w:rPr>
          <w:rFonts w:ascii="仿宋" w:eastAsia="仿宋" w:hAnsi="仿宋" w:hint="eastAsia"/>
          <w:sz w:val="28"/>
        </w:rPr>
        <w:t xml:space="preserve"> 四、人力资源管理</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招聘与培训： 制定招聘计划，确保企业拥有足够的人力资源。提供培训机会，提升员工技能水平。</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绩效考核： 设立科学的绩效考核体系，激励员工的积极性和创造性。</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员工发展： 提供员工职业发展通道，激发员工对企业的忠诚度。</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五、财务管理</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财务规划： 制定财务计划，确保企业有足够的资金支持日常运营和发展。</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会计体系： 建立健全的会计体系，确保财务报表准确、透明。</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六、信息化管理系统</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信息系统建设： 采用现代信息技术，建设适应企业发展的信息系统，提高信息的获取和利用效率。</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数据安全： 确保企业的数据安全，采取适当的信息安全措施。</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七、市场与客户管理</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市场开发与营销： 制定市场开发计划，提高企业在市场上的知名度和竞争力。</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客户关系管理： 建立客户档案，提供个性化服务，提高客户满意度。</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八、创新与持续改进</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创新体系： 鼓励员工提出创新建议，建立创新激励机制。</w:t>
      </w:r>
    </w:p>
    <w:p w:rsidR="00805DFC" w:rsidRPr="00805DFC" w:rsidP="00805DF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5DFC">
        <w:rPr>
          <w:rFonts w:ascii="仿宋" w:eastAsia="仿宋" w:hAnsi="仿宋" w:hint="eastAsia"/>
          <w:sz w:val="28"/>
        </w:rPr>
        <w:t>2. 持续改进： 定期进行业务流程改进，提高工作效率和质量。</w:t>
      </w:r>
    </w:p>
    <w:p w:rsidR="00805DFC" w:rsidP="00805DFC">
      <w:pPr>
        <w:ind w:firstLine="560" w:firstLineChars="200"/>
        <w:rPr>
          <w:rFonts w:ascii="仿宋" w:eastAsia="仿宋" w:hAnsi="仿宋" w:hint="eastAsia"/>
          <w:sz w:val="28"/>
        </w:rPr>
      </w:pPr>
      <w:r w:rsidRPr="00805DF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05DFC" w:rsidP="00805DFC">
      <w:pPr>
        <w:pStyle w:val="Heading2"/>
      </w:pPr>
      <w:bookmarkStart w:id="11" w:name="_Toc157929970"/>
      <w:r w:rsidRPr="00805DFC">
        <w:t>(</w:t>
      </w:r>
      <w:r w:rsidRPr="00805DFC">
        <w:t>二</w:t>
      </w:r>
      <w:r w:rsidRPr="00805DFC">
        <w:t>)</w:t>
      </w:r>
      <w:r w:rsidRPr="00805DFC">
        <w:t>、信息管理与信息系统</w:t>
      </w:r>
      <w:bookmarkEnd w:id="11"/>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一、信息管理</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概念与定义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信息管理是通过对信息资源进行规划、组织、存储、传递和控制，以实现信息的有效利用和价值最大化的一种综合性管理活动。</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重要性与目标</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信息价值: 信息是企业最重要的资源之一，对企业的决策、创新和发展至关重要。</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目标: 实现信息的高效流通、及时更新、准确可靠，提高决策的科学性和准确性。</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信息管理的基本要素</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信息策划: 制定信息发展的战略和规划。</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信息组织: 构建信息资源的组织结构。</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信息存储: 制定信息存储的规范和标准。</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信息传递: 通过各种手段和渠道进行信息传递。</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信息控制: 对信息进行监控和管理。</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二、信息系统</w:t>
      </w:r>
    </w:p>
    <w:p w:rsidR="00805DFC" w:rsidRPr="00805DFC" w:rsidP="00805DF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05DFC">
        <w:rPr>
          <w:rFonts w:ascii="仿宋" w:eastAsia="仿宋" w:hAnsi="仿宋" w:hint="eastAsia"/>
          <w:sz w:val="28"/>
        </w:rPr>
        <w:t>1. 概念与定义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信息系统是由硬件、软件、数据、人员、过程等多个要素组成的，用于收集、存储、处理、分析和传递信息的系统。</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组成要素</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硬件: 包括计算机、服务器、网络设备等。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软件: 包括操作系统、应用软件、数据库管理系统等。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数据: 信息系统的基础，包括结构化数据和非结构化数据。</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人员: 系统管理员、用户、开发人员等。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过程: 系统运行和管理的各个流程和方法。</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信息系统的功能</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数据采集和输入: 通过各种手段获取数据。</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数据存储: 将数据存储在数据库或其他媒体中。</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数据处理和分析: 对数据进行处理和分析，生成有用的信息。</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信息传递: 将信息传递给需要的人员或系统。</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决策支持: 提供决策所需的信息。</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三、信息管理与信息系统的关系</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互为支持关系</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信息管理支持信息系统： 信息管理为信息系统提供了规范和战略，确保信息系统能够更好地为企业服务。</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信息系统支持信息管理： 信息系统通过高效的数据处理和分析功能，为信息管理提供了技术支持，使信息更易于管理和利用。</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协同作用</w:t>
      </w:r>
    </w:p>
    <w:p w:rsidR="00805DFC" w:rsidRPr="00805DFC" w:rsidP="00805DF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05DFC">
        <w:rPr>
          <w:rFonts w:ascii="仿宋" w:eastAsia="仿宋" w:hAnsi="仿宋" w:hint="eastAsia"/>
          <w:sz w:val="28"/>
        </w:rPr>
        <w:t>共同目标: 信息管理与信息系统的共同目标是确保信息的高效</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管理和利用，为企业的决策提供支持。</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协同作用: 信息管理与信息系统协同工作，推动企业信息化建设，提高信息资源的价值。</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四、信息管理与信息系统的挑战与应对措施</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挑战</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技术更新快: 信息技术发展迅速，更新换代较快。</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数据安全问题: 面临数据泄露、信息安全等风险。</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信息过载: 大量信息导致信息过载，难以有效利用。</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应对措施</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持续学习: 不断学习新的信息技术，保持信息系统的先进性。</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强化安全措施: 制定完善的信息安全政策，使用先进的安全技术。</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信息筛选与分类: 建立信息分类体系，优先关注关键信息，减少信息过载。</w:t>
      </w:r>
    </w:p>
    <w:p w:rsidR="00805DFC" w:rsidP="00805DFC">
      <w:pPr>
        <w:ind w:firstLine="560" w:firstLineChars="200"/>
        <w:rPr>
          <w:rFonts w:ascii="仿宋" w:eastAsia="仿宋" w:hAnsi="仿宋" w:hint="eastAsia"/>
          <w:sz w:val="28"/>
        </w:rPr>
      </w:pPr>
      <w:r w:rsidRPr="00805DF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05DFC" w:rsidP="00805DFC">
      <w:pPr>
        <w:pStyle w:val="Heading1"/>
        <w:rPr>
          <w:rFonts w:hint="eastAsia"/>
        </w:rPr>
      </w:pPr>
      <w:bookmarkStart w:id="12" w:name="_Toc157929971"/>
      <w:r w:rsidRPr="00805DFC">
        <w:rPr>
          <w:rFonts w:hint="eastAsia"/>
        </w:rPr>
        <w:t>三、基因工程疫苗：重组抗原疫苗项目质量管理方案</w:t>
      </w:r>
      <w:bookmarkEnd w:id="12"/>
    </w:p>
    <w:p w:rsidR="00805DFC" w:rsidP="00805DFC">
      <w:pPr>
        <w:pStyle w:val="Heading2"/>
        <w:rPr>
          <w:rFonts w:hint="eastAsia"/>
        </w:rPr>
      </w:pPr>
      <w:bookmarkStart w:id="13" w:name="_Toc157929972"/>
      <w:r w:rsidRPr="00805DFC">
        <w:rPr>
          <w:rFonts w:hint="eastAsia"/>
        </w:rPr>
        <w:t>(</w:t>
      </w:r>
      <w:r w:rsidRPr="00805DFC">
        <w:rPr>
          <w:rFonts w:hint="eastAsia"/>
        </w:rPr>
        <w:t>一</w:t>
      </w:r>
      <w:r w:rsidRPr="00805DFC">
        <w:rPr>
          <w:rFonts w:hint="eastAsia"/>
        </w:rPr>
        <w:t>)</w:t>
      </w:r>
      <w:r w:rsidRPr="00805DFC">
        <w:rPr>
          <w:rFonts w:hint="eastAsia"/>
        </w:rPr>
        <w:t>、全面质量管理</w:t>
      </w:r>
      <w:bookmarkEnd w:id="13"/>
    </w:p>
    <w:p w:rsidR="00805DFC" w:rsidRPr="00805DFC" w:rsidP="00805DF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05DFC">
        <w:rPr>
          <w:rFonts w:ascii="仿宋" w:eastAsia="仿宋" w:hAnsi="仿宋" w:hint="eastAsia"/>
          <w:sz w:val="28"/>
        </w:rPr>
        <w:t>（一）全面质量管理的概念</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概念解析</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特点</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（二）全面质量管理的原则</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顾客导向</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全员参与</w:t>
      </w:r>
    </w:p>
    <w:p w:rsidR="00805DFC" w:rsidRPr="00805DFC" w:rsidP="00805DF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05DF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过程管理</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4. 持续改进</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持续改进是全面质量管理的核心之一。企业应该不断寻求改进的机会，包括改进产品质量、生产过程、管理方法等，从而提高企业的绩效。</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5. 数据驱动</w:t>
      </w:r>
    </w:p>
    <w:p w:rsidR="00805DFC" w:rsidRPr="00805DFC" w:rsidP="00805DFC">
      <w:pPr>
        <w:ind w:firstLine="560" w:firstLineChars="200"/>
        <w:rPr>
          <w:rFonts w:ascii="仿宋" w:eastAsia="仿宋" w:hAnsi="仿宋"/>
          <w:sz w:val="28"/>
        </w:rPr>
      </w:pPr>
      <w:r w:rsidRPr="00805DF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（三）全面质量管理的实施步骤</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制定质量政策和目标</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企业应该明确质量政策和目标，将顾客满意度置于首位，确定质量改进的具体目标，为全面质量管理的实施提供清晰的指导方向。</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2. 规划质量管理体系</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质量成本分析</w:t>
      </w:r>
    </w:p>
    <w:p w:rsidR="00805DFC" w:rsidRPr="00805DFC" w:rsidP="00805DF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05DFC">
        <w:rPr>
          <w:rFonts w:ascii="仿宋" w:eastAsia="仿宋" w:hAnsi="仿宋" w:hint="eastAsia"/>
          <w:sz w:val="28"/>
        </w:rPr>
        <w:t>企业应该对质量管理活动所产生的成本进行分析，包括内部失败</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成本、外部失败成本、预防成本和评估成本，以便合理配置资源，降低成本，提高效益。</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4. 质量培训与教育</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全面质量管理需要员工具备相关的知识和技能，因此企业需要加强对员工的质量培训和教育，提升员工的质量意识和专业素养。</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5. 制定质量控制计划</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企业应该制定相应的质量控制计划，包括质量标准、检验方法、质量控制点等，确保产品在生产过程中能够达到预期的质量要求。</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6. 实施全面质量管理</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（四）全面质量管理在智能化设备基因工程疫苗：重组抗原疫苗项目中的应用</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在智能化设备基因工程疫苗：重组抗原疫苗项目中，全面质量管理发挥着至关重要的作用。通过下面几个方面的实际应用，可以更好地理解全面质量管理在基因工程疫苗：重组抗原疫苗项目中的意义：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1. 工艺优化和改进： 利用全面质量管理原则，基因工程疫苗：重组抗原疫苗项目团队能够深入了解生产工艺，通过全员参与的方式发现潜在的工艺问题，并不断进行持续改进，提高智能化设备的生产效率和质量水平。</w:t>
      </w:r>
    </w:p>
    <w:p w:rsidR="00805DFC" w:rsidRPr="00805DFC" w:rsidP="00805DF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05DFC">
        <w:rPr>
          <w:rFonts w:ascii="仿宋" w:eastAsia="仿宋" w:hAnsi="仿宋" w:hint="eastAsia"/>
          <w:sz w:val="28"/>
        </w:rPr>
        <w:t>2. 全员培训与技能提升： 全面质量管理注重全员参与，基因工</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程疫苗：重组抗原疫苗项目团队通过质量培训和技能提升计划，确保每位成员具备必要的知识和技能，以更好地适应智能化设备制造的高标准要求。</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3. 数据驱动的质量决策： 强调以数据为依据的全面质量管理原则，在智能化设备基因工程疫苗：重组抗原疫苗项目中可以通过数据分析实时监测生产过程，准确评估产品质量，迅速做出质量决策，确保产品达到预期标准。</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4. 顾客导向的产品设计： 通过深入了解顾客需求，智能化设备基因工程疫苗：重组抗原疫苗项目可以在产品设计阶段就充分考虑顾客的期望，以顾客满意度为导向，打造更符合市场需求的智能化产品。</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5. 持续改进和创新： 全面质量管理强调持续改进，对于智能化设备基因工程疫苗：重组抗原疫苗项目而言，这意味着不断追求技术创新，优化生产流程，引入先进技术，从而提升产品质量和市场竞争力。</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通过将全面质量管理的理念融入智能化设备基因工程疫苗：重组抗原疫苗项目的方方面面，基因工程疫苗：重组抗原疫苗项目团队可以更好地应对市场变化、提高生产效率、降低成本，并在竞争激烈的行业中取得持续的成功。</w:t>
      </w:r>
    </w:p>
    <w:p w:rsidR="00805DFC" w:rsidP="00805DF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05DF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基因工程疫苗：重组抗原疫苗项目能够更好地适应快速发展的科技环境，为企业的可持续发展打下</w:t>
      </w:r>
    </w:p>
    <w:p w:rsidR="00805DFC" w:rsidP="00805DFC">
      <w:pPr>
        <w:ind w:firstLine="560" w:firstLineChars="200"/>
        <w:rPr>
          <w:rFonts w:ascii="仿宋" w:eastAsia="仿宋" w:hAnsi="仿宋" w:hint="eastAsia"/>
          <w:sz w:val="28"/>
        </w:rPr>
      </w:pPr>
      <w:r w:rsidRPr="00805DFC">
        <w:rPr>
          <w:rFonts w:ascii="仿宋" w:eastAsia="仿宋" w:hAnsi="仿宋" w:hint="eastAsia"/>
          <w:sz w:val="28"/>
        </w:rPr>
        <w:t>坚实基础。</w:t>
      </w:r>
    </w:p>
    <w:p w:rsidR="00805DFC" w:rsidP="00805DFC">
      <w:pPr>
        <w:pStyle w:val="Heading2"/>
      </w:pPr>
      <w:bookmarkStart w:id="14" w:name="_Toc157929973"/>
      <w:r w:rsidRPr="00805DFC">
        <w:t>(</w:t>
      </w:r>
      <w:r w:rsidRPr="00805DFC">
        <w:t>二</w:t>
      </w:r>
      <w:r w:rsidRPr="00805DFC">
        <w:t>)</w:t>
      </w:r>
      <w:r w:rsidRPr="00805DFC">
        <w:t>、质量成本管理</w:t>
      </w:r>
      <w:bookmarkEnd w:id="14"/>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在基因工程疫苗：重组抗原疫苗项目执行过程中，质量成本管理是一项关键的活动，旨在全面规划、控制和管理因质量问题而产生的各项成本。在基因工程疫苗：重组抗原疫苗项目中，质量成本管理对于提升产品质量、降低生产成本以及增强竞争力具有重要意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1. 质量成本的定义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2. 质量成本管理的概念</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3. 质量成本管理分类</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预防成本： 投入在预防产品不合格活动上的费用，包括质量培训、工艺设计等。</w:t>
      </w:r>
    </w:p>
    <w:p w:rsidR="00805DFC" w:rsidRPr="00805DFC" w:rsidP="00805DFC">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05DFC">
        <w:rPr>
          <w:rFonts w:ascii="仿宋" w:eastAsia="仿宋" w:hAnsi="仿宋"/>
          <w:sz w:val="28"/>
        </w:rPr>
        <w:t xml:space="preserve">  </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评估成本： 用于检验和测试产品以确保符合质量标准的成本，包括检验设备、测试材料等。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内部失误成本： 由于产品不合格而产生的内部成本，包括返工、报废、维修等费用。</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外部失误成本： 由不合格产品引起的外部损失，包括退货、赔偿、声誉受损等。</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4. 质量成本管理的应用</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持续改进： 不断改进产品设计、生产工艺、质量管理体系，降低质量成本，提高产品合格率，满足客户需求，提升市场竞争力。</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5. 质量成本管理的优势</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降低生产成本： 通过降低内外部失误成本，提高产品合格率，从而降低生产成本。</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提高产品质量： 促使企业从源头上预防产品质量问题的发生，全员参与质量管理，提高产品质量水平。</w:t>
      </w:r>
    </w:p>
    <w:p w:rsidR="00805DFC" w:rsidRPr="00805DFC" w:rsidP="00805DFC">
      <w:pPr>
        <w:ind w:firstLine="560" w:firstLineChars="200"/>
        <w:rPr>
          <w:rFonts w:ascii="仿宋" w:eastAsia="仿宋" w:hAnsi="仿宋" w:hint="eastAsia"/>
          <w:sz w:val="28"/>
        </w:rPr>
      </w:pPr>
      <w:r w:rsidRPr="00805DFC">
        <w:rPr>
          <w:rFonts w:ascii="仿宋" w:eastAsia="仿宋" w:hAnsi="仿宋" w:hint="eastAsia"/>
          <w:sz w:val="28"/>
        </w:rPr>
        <w:t xml:space="preserve"> 增强市场竞争力： 通过优化质量成本管理，提高产品性价比，提升品牌形象，增强市场竞争力。</w:t>
      </w:r>
      <w:r w:rsidRPr="00805DFC">
        <w:rPr>
          <w:rFonts w:ascii="仿宋" w:eastAsia="仿宋" w:hAnsi="仿宋" w:hint="eastAsia"/>
          <w:sz w:val="28"/>
        </w:rPr>
        <w:br/>
      </w:r>
      <w:r w:rsidRPr="00805DF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https://d.book118.com/377114140163006051</w:t>
        </w:r>
      </w:hyperlink>
    </w:p>
    <w:p w:rsidR="00805DFC" w:rsidRPr="00805DFC" w:rsidP="00805DF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05D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05DF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05DF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805DF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5DF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05DF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05DF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05DF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05DF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05DF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05DF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05DF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05DF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05DF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05DF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05DF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05DF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05DF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05DF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05DF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05DF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05DF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05DF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05DF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5DF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P="003C55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05DF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rsidRPr="00805DFC" w:rsidP="00805DFC">
    <w:pPr>
      <w:pStyle w:val="Header"/>
      <w:rPr>
        <w:rFonts w:ascii="仿宋" w:eastAsia="仿宋" w:hAnsi="仿宋"/>
      </w:rPr>
    </w:pPr>
    <w:r w:rsidRPr="00805DFC">
      <w:rPr>
        <w:rFonts w:ascii="仿宋" w:eastAsia="仿宋" w:hAnsi="仿宋" w:hint="eastAsia"/>
      </w:rPr>
      <w:t>基因工程疫苗：重组抗原疫苗投资回报分析报告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D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DFC"/>
    <w:rsid w:val="003C550A"/>
    <w:rsid w:val="00805DF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05DF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05DF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05DFC"/>
    <w:rPr>
      <w:b/>
      <w:bCs/>
      <w:kern w:val="44"/>
      <w:sz w:val="44"/>
      <w:szCs w:val="44"/>
    </w:rPr>
  </w:style>
  <w:style w:type="character" w:customStyle="1" w:styleId="2Char">
    <w:name w:val="标题 2 Char"/>
    <w:basedOn w:val="DefaultParagraphFont"/>
    <w:link w:val="Heading2"/>
    <w:uiPriority w:val="9"/>
    <w:rsid w:val="00805DF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05D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05DFC"/>
    <w:rPr>
      <w:sz w:val="18"/>
      <w:szCs w:val="18"/>
    </w:rPr>
  </w:style>
  <w:style w:type="paragraph" w:styleId="Footer">
    <w:name w:val="footer"/>
    <w:basedOn w:val="Normal"/>
    <w:link w:val="Char0"/>
    <w:uiPriority w:val="99"/>
    <w:unhideWhenUsed/>
    <w:rsid w:val="00805DF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05DFC"/>
    <w:rPr>
      <w:sz w:val="18"/>
      <w:szCs w:val="18"/>
    </w:rPr>
  </w:style>
  <w:style w:type="character" w:styleId="PageNumber">
    <w:name w:val="page number"/>
    <w:basedOn w:val="DefaultParagraphFont"/>
    <w:uiPriority w:val="99"/>
    <w:semiHidden/>
    <w:unhideWhenUsed/>
    <w:rsid w:val="00805DFC"/>
  </w:style>
  <w:style w:type="paragraph" w:styleId="TOC1">
    <w:name w:val="toc 1"/>
    <w:basedOn w:val="Normal"/>
    <w:next w:val="Normal"/>
    <w:autoRedefine/>
    <w:uiPriority w:val="39"/>
    <w:unhideWhenUsed/>
    <w:rsid w:val="00805DFC"/>
  </w:style>
  <w:style w:type="paragraph" w:styleId="TOC2">
    <w:name w:val="toc 2"/>
    <w:basedOn w:val="Normal"/>
    <w:next w:val="Normal"/>
    <w:autoRedefine/>
    <w:uiPriority w:val="39"/>
    <w:unhideWhenUsed/>
    <w:rsid w:val="00805DF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711414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6594</Words>
  <Characters>37589</Characters>
  <Application>Microsoft Office Word</Application>
  <DocSecurity>0</DocSecurity>
  <Lines>313</Lines>
  <Paragraphs>88</Paragraphs>
  <ScaleCrop>false</ScaleCrop>
  <Company>Microsoft</Company>
  <LinksUpToDate>false</LinksUpToDate>
  <CharactersWithSpaces>44095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2024-02-04T01:05:00Z</dcterms:created>
  <dcterms:modified xsi:type="dcterms:W3CDTF">2024-02-04T01:05:00Z</dcterms:modified>
</cp:coreProperties>
</file>