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4"/>
        </w:rPr>
      </w:pPr>
    </w:p>
    <w:p>
      <w:pPr>
        <w:spacing w:before="60"/>
        <w:ind w:left="0" w:right="1283" w:firstLine="0"/>
        <w:jc w:val="right"/>
        <w:rPr>
          <w:b/>
          <w:sz w:val="28"/>
        </w:rPr>
      </w:pPr>
      <w:r>
        <w:drawing>
          <wp:anchor distT="0" distB="0" distL="0" distR="0" simplePos="0" relativeHeight="251658240" behindDoc="0" locked="0" layoutInCell="1" allowOverlap="1">
            <wp:simplePos x="0" y="0"/>
            <wp:positionH relativeFrom="page">
              <wp:posOffset>4783328</wp:posOffset>
            </wp:positionH>
            <wp:positionV relativeFrom="paragraph">
              <wp:posOffset>208057</wp:posOffset>
            </wp:positionV>
            <wp:extent cx="796213" cy="39750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796213" cy="397509"/>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1025" type="#_x0000_t202" style="width:77pt;height:27.25pt;margin-top:-13.98pt;margin-left:58.58pt;mso-position-horizontal-relative:page;position:absolute;z-index:251659264" filled="f" stroked="f">
            <v:textbox inset="0,0,0,0">
              <w:txbxContent>
                <w:tbl>
                  <w:tblPr>
                    <w:tblStyle w:val="TableNormal"/>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54"/>
                    <w:gridCol w:w="886"/>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271"/>
                      <w:jc w:val="left"/>
                    </w:trPr>
                    <w:tc>
                      <w:tcPr>
                        <w:tcW w:w="654" w:type="dxa"/>
                      </w:tcPr>
                      <w:p>
                        <w:pPr>
                          <w:pStyle w:val="TableParagraph"/>
                          <w:spacing w:before="0" w:line="233" w:lineRule="exact"/>
                          <w:ind w:left="200"/>
                          <w:rPr>
                            <w:rFonts w:ascii="Times New Roman"/>
                            <w:sz w:val="21"/>
                          </w:rPr>
                        </w:pPr>
                        <w:r>
                          <w:rPr>
                            <w:rFonts w:ascii="Times New Roman"/>
                            <w:sz w:val="21"/>
                          </w:rPr>
                          <w:t>ICS</w:t>
                        </w:r>
                      </w:p>
                    </w:tc>
                    <w:tc>
                      <w:tcPr>
                        <w:tcW w:w="886" w:type="dxa"/>
                      </w:tcPr>
                      <w:p>
                        <w:pPr>
                          <w:pStyle w:val="TableParagraph"/>
                          <w:spacing w:before="0" w:line="252" w:lineRule="exact"/>
                          <w:ind w:left="55"/>
                          <w:rPr>
                            <w:rFonts w:ascii="黑体"/>
                            <w:sz w:val="21"/>
                          </w:rPr>
                        </w:pPr>
                        <w:r>
                          <w:rPr>
                            <w:rFonts w:ascii="黑体"/>
                            <w:sz w:val="21"/>
                          </w:rPr>
                          <w:t>03.200</w:t>
                        </w:r>
                      </w:p>
                    </w:tc>
                  </w:tr>
                  <w:tr>
                    <w:tblPrEx>
                      <w:tblW w:w="0" w:type="auto"/>
                      <w:jc w:val="left"/>
                      <w:tblInd w:w="7" w:type="dxa"/>
                      <w:tblLayout w:type="fixed"/>
                      <w:tblCellMar>
                        <w:top w:w="0" w:type="dxa"/>
                        <w:left w:w="0" w:type="dxa"/>
                        <w:bottom w:w="0" w:type="dxa"/>
                        <w:right w:w="0" w:type="dxa"/>
                      </w:tblCellMar>
                      <w:tblLook w:val="01E0"/>
                    </w:tblPrEx>
                    <w:trPr>
                      <w:trHeight w:val="272"/>
                      <w:jc w:val="left"/>
                    </w:trPr>
                    <w:tc>
                      <w:tcPr>
                        <w:tcW w:w="654" w:type="dxa"/>
                      </w:tcPr>
                      <w:p>
                        <w:pPr>
                          <w:pStyle w:val="TableParagraph"/>
                          <w:spacing w:before="30" w:line="222" w:lineRule="exact"/>
                          <w:ind w:left="200"/>
                          <w:rPr>
                            <w:rFonts w:ascii="Times New Roman"/>
                            <w:sz w:val="21"/>
                          </w:rPr>
                        </w:pPr>
                        <w:r>
                          <w:rPr>
                            <w:rFonts w:ascii="Times New Roman"/>
                            <w:sz w:val="21"/>
                          </w:rPr>
                          <w:t>CCS</w:t>
                        </w:r>
                      </w:p>
                    </w:tc>
                    <w:tc>
                      <w:tcPr>
                        <w:tcW w:w="886" w:type="dxa"/>
                      </w:tcPr>
                      <w:p>
                        <w:pPr>
                          <w:pStyle w:val="TableParagraph"/>
                          <w:spacing w:before="33" w:line="220" w:lineRule="exact"/>
                          <w:ind w:left="55"/>
                          <w:rPr>
                            <w:rFonts w:ascii="黑体"/>
                            <w:sz w:val="21"/>
                          </w:rPr>
                        </w:pPr>
                        <w:r>
                          <w:rPr>
                            <w:rFonts w:ascii="黑体"/>
                            <w:sz w:val="21"/>
                          </w:rPr>
                          <w:t>A 12</w:t>
                        </w:r>
                      </w:p>
                    </w:tc>
                  </w:tr>
                </w:tbl>
                <w:p>
                  <w:pPr>
                    <w:pStyle w:val="BodyText"/>
                  </w:pPr>
                </w:p>
              </w:txbxContent>
            </v:textbox>
          </v:shape>
        </w:pict>
      </w:r>
      <w:r>
        <w:rPr>
          <w:rFonts w:ascii="Times New Roman"/>
          <w:b/>
          <w:w w:val="130"/>
          <w:sz w:val="96"/>
        </w:rPr>
        <w:t>52</w:t>
      </w:r>
      <w:r>
        <w:rPr>
          <w:b/>
          <w:w w:val="128"/>
          <w:sz w:val="28"/>
        </w:rPr>
        <w:t xml:space="preserve"> </w:t>
      </w:r>
    </w:p>
    <w:p>
      <w:pPr>
        <w:tabs>
          <w:tab w:val="left" w:pos="2590"/>
          <w:tab w:val="left" w:pos="4117"/>
          <w:tab w:val="left" w:pos="5644"/>
          <w:tab w:val="left" w:pos="7170"/>
          <w:tab w:val="left" w:pos="8697"/>
          <w:tab w:val="left" w:pos="10223"/>
        </w:tabs>
        <w:spacing w:before="253"/>
        <w:ind w:left="1064" w:right="0" w:firstLine="0"/>
        <w:jc w:val="left"/>
        <w:rPr>
          <w:rFonts w:ascii="黑体" w:eastAsia="黑体" w:hint="eastAsia"/>
          <w:sz w:val="48"/>
        </w:rPr>
      </w:pPr>
      <w:r>
        <w:rPr>
          <w:rFonts w:ascii="黑体" w:eastAsia="黑体" w:hint="eastAsia"/>
          <w:sz w:val="48"/>
        </w:rPr>
        <w:t>贵</w:t>
        <w:tab/>
        <w:t>州</w:t>
        <w:tab/>
        <w:t>省</w:t>
        <w:tab/>
        <w:t>地</w:t>
        <w:tab/>
        <w:t>方</w:t>
        <w:tab/>
        <w:t>标</w:t>
        <w:tab/>
        <w:t>准</w:t>
      </w:r>
    </w:p>
    <w:p>
      <w:pPr>
        <w:pStyle w:val="Heading2"/>
        <w:spacing w:before="341"/>
        <w:ind w:right="868"/>
      </w:pPr>
      <w:r>
        <w:t>DB52/T</w:t>
      </w:r>
      <w:r>
        <w:rPr>
          <w:spacing w:val="-5"/>
        </w:rPr>
        <w:t xml:space="preserve"> </w:t>
      </w:r>
      <w:r>
        <w:t>1755—2023</w:t>
      </w:r>
    </w:p>
    <w:p>
      <w:pPr>
        <w:pStyle w:val="BodyText"/>
        <w:rPr>
          <w:rFonts w:ascii="黑体"/>
          <w:sz w:val="20"/>
        </w:rPr>
      </w:pPr>
    </w:p>
    <w:p>
      <w:pPr>
        <w:pStyle w:val="BodyText"/>
        <w:spacing w:before="4"/>
        <w:rPr>
          <w:rFonts w:ascii="黑体"/>
          <w:sz w:val="28"/>
        </w:rPr>
      </w:pPr>
      <w:r>
        <w:pict>
          <v:shape id="_x0000_s1026" style="width:481.85pt;height:0.1pt;margin-top:20.54pt;margin-left:70.9pt;mso-position-horizontal-relative:page;mso-wrap-distance-left:0;mso-wrap-distance-right:0;position:absolute;z-index:-251655168" coordorigin="1418,411" coordsize="9637,0" path="m1418,411l11055,411e" filled="f" stroked="t" strokecolor="black" strokeweight="0.75pt">
            <v:stroke dashstyle="solid"/>
            <v:path arrowok="t"/>
            <w10:wrap type="topAndBottom"/>
          </v:shape>
        </w:pict>
      </w:r>
    </w:p>
    <w:p>
      <w:pPr>
        <w:pStyle w:val="BodyText"/>
        <w:rPr>
          <w:rFonts w:ascii="黑体"/>
          <w:sz w:val="28"/>
        </w:rPr>
      </w:pPr>
    </w:p>
    <w:p>
      <w:pPr>
        <w:pStyle w:val="BodyText"/>
        <w:rPr>
          <w:rFonts w:ascii="黑体"/>
          <w:sz w:val="28"/>
        </w:rPr>
      </w:pPr>
    </w:p>
    <w:p>
      <w:pPr>
        <w:pStyle w:val="BodyText"/>
        <w:rPr>
          <w:rFonts w:ascii="黑体"/>
          <w:sz w:val="28"/>
        </w:rPr>
      </w:pPr>
    </w:p>
    <w:p>
      <w:pPr>
        <w:pStyle w:val="BodyText"/>
        <w:rPr>
          <w:rFonts w:ascii="黑体"/>
          <w:sz w:val="28"/>
        </w:rPr>
      </w:pPr>
    </w:p>
    <w:p>
      <w:pPr>
        <w:pStyle w:val="BodyText"/>
        <w:rPr>
          <w:rFonts w:ascii="黑体"/>
          <w:sz w:val="28"/>
        </w:rPr>
      </w:pPr>
    </w:p>
    <w:p>
      <w:pPr>
        <w:pStyle w:val="BodyText"/>
        <w:spacing w:before="5"/>
        <w:rPr>
          <w:rFonts w:ascii="黑体"/>
          <w:sz w:val="28"/>
        </w:rPr>
      </w:pPr>
    </w:p>
    <w:p>
      <w:pPr>
        <w:pStyle w:val="Title"/>
      </w:pPr>
      <w:r>
        <w:t>山地旅游示范区建设规范</w:t>
      </w:r>
    </w:p>
    <w:p>
      <w:pPr>
        <w:pStyle w:val="Heading2"/>
        <w:spacing w:before="372"/>
        <w:ind w:left="584"/>
        <w:jc w:val="center"/>
      </w:pPr>
      <w:r>
        <w:pict>
          <v:group id="_x0000_s1027" style="width:560pt;height:384pt;margin-top:57.24pt;margin-left:17pt;mso-position-horizontal-relative:page;position:absolute;z-index:251660288" coordorigin="340,1145" coordsize="11200,7680">
            <v:line id="_x0000_s1028" style="position:absolute" from="1417,7458" to="11054,7458" stroked="t" strokecolor="black" strokeweight="0.75pt">
              <v:stroke dashstyle="solid"/>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width:11200;height:7680;left:340;position:absolute;top:1144" stroked="f">
              <v:imagedata r:id="rId5" o:title=""/>
            </v:shape>
          </v:group>
        </w:pict>
      </w:r>
      <w:r>
        <w:t>Standards for the construction of mountain tourrism demonstration area</w:t>
      </w: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spacing w:before="5"/>
        <w:rPr>
          <w:rFonts w:ascii="黑体"/>
          <w:sz w:val="14"/>
        </w:rPr>
      </w:pPr>
      <w:r>
        <w:pict>
          <v:group id="_x0000_s1030" style="width:484.45pt;height:73.35pt;margin-top:11.2pt;margin-left:70.92pt;mso-position-horizontal-relative:page;mso-wrap-distance-left:0;mso-wrap-distance-right:0;position:absolute;z-index:-251654144" coordorigin="1418,224" coordsize="9689,1467">
            <v:shape id="_x0000_s1031" type="#_x0000_t202" style="width:2331;height:280;left:1418;position:absolute;top:224" filled="f" stroked="f">
              <v:textbox inset="0,0,0,0">
                <w:txbxContent>
                  <w:p>
                    <w:pPr>
                      <w:spacing w:before="0" w:line="280" w:lineRule="exact"/>
                      <w:ind w:left="0" w:right="0" w:firstLine="0"/>
                      <w:jc w:val="left"/>
                      <w:rPr>
                        <w:rFonts w:ascii="黑体" w:eastAsia="黑体" w:hint="eastAsia"/>
                        <w:sz w:val="28"/>
                      </w:rPr>
                    </w:pPr>
                    <w:r>
                      <w:rPr>
                        <w:rFonts w:ascii="黑体" w:eastAsia="黑体" w:hint="eastAsia"/>
                        <w:sz w:val="28"/>
                      </w:rPr>
                      <w:t>2023</w:t>
                    </w:r>
                    <w:r>
                      <w:rPr>
                        <w:rFonts w:ascii="黑体" w:eastAsia="黑体" w:hint="eastAsia"/>
                        <w:spacing w:val="-48"/>
                        <w:sz w:val="28"/>
                      </w:rPr>
                      <w:t xml:space="preserve"> - </w:t>
                    </w:r>
                    <w:r>
                      <w:rPr>
                        <w:rFonts w:ascii="黑体" w:eastAsia="黑体" w:hint="eastAsia"/>
                        <w:sz w:val="28"/>
                      </w:rPr>
                      <w:t>10</w:t>
                    </w:r>
                    <w:r>
                      <w:rPr>
                        <w:rFonts w:ascii="黑体" w:eastAsia="黑体" w:hint="eastAsia"/>
                        <w:spacing w:val="-48"/>
                        <w:sz w:val="28"/>
                      </w:rPr>
                      <w:t xml:space="preserve"> - </w:t>
                    </w:r>
                    <w:r>
                      <w:rPr>
                        <w:rFonts w:ascii="黑体" w:eastAsia="黑体" w:hint="eastAsia"/>
                        <w:sz w:val="28"/>
                      </w:rPr>
                      <w:t>26</w:t>
                    </w:r>
                    <w:r>
                      <w:rPr>
                        <w:rFonts w:ascii="黑体" w:eastAsia="黑体" w:hint="eastAsia"/>
                        <w:spacing w:val="-24"/>
                        <w:sz w:val="28"/>
                      </w:rPr>
                      <w:t xml:space="preserve"> 发布</w:t>
                    </w:r>
                  </w:p>
                </w:txbxContent>
              </v:textbox>
            </v:shape>
            <v:shape id="_x0000_s1032" type="#_x0000_t202" style="width:2330;height:280;left:8776;position:absolute;top:224" filled="f" stroked="f">
              <v:textbox inset="0,0,0,0">
                <w:txbxContent>
                  <w:p>
                    <w:pPr>
                      <w:spacing w:before="0" w:line="280" w:lineRule="exact"/>
                      <w:ind w:left="0" w:right="0" w:firstLine="0"/>
                      <w:jc w:val="left"/>
                      <w:rPr>
                        <w:rFonts w:ascii="黑体" w:eastAsia="黑体" w:hint="eastAsia"/>
                        <w:sz w:val="28"/>
                      </w:rPr>
                    </w:pPr>
                    <w:r>
                      <w:rPr>
                        <w:rFonts w:ascii="黑体" w:eastAsia="黑体" w:hint="eastAsia"/>
                        <w:sz w:val="28"/>
                      </w:rPr>
                      <w:t>2024</w:t>
                    </w:r>
                    <w:r>
                      <w:rPr>
                        <w:rFonts w:ascii="黑体" w:eastAsia="黑体" w:hint="eastAsia"/>
                        <w:spacing w:val="-48"/>
                        <w:sz w:val="28"/>
                      </w:rPr>
                      <w:t xml:space="preserve"> - </w:t>
                    </w:r>
                    <w:r>
                      <w:rPr>
                        <w:rFonts w:ascii="黑体" w:eastAsia="黑体" w:hint="eastAsia"/>
                        <w:sz w:val="28"/>
                      </w:rPr>
                      <w:t>04</w:t>
                    </w:r>
                    <w:r>
                      <w:rPr>
                        <w:rFonts w:ascii="黑体" w:eastAsia="黑体" w:hint="eastAsia"/>
                        <w:spacing w:val="-48"/>
                        <w:sz w:val="28"/>
                      </w:rPr>
                      <w:t xml:space="preserve"> - </w:t>
                    </w:r>
                    <w:r>
                      <w:rPr>
                        <w:rFonts w:ascii="黑体" w:eastAsia="黑体" w:hint="eastAsia"/>
                        <w:sz w:val="28"/>
                      </w:rPr>
                      <w:t>01</w:t>
                    </w:r>
                    <w:r>
                      <w:rPr>
                        <w:rFonts w:ascii="黑体" w:eastAsia="黑体" w:hint="eastAsia"/>
                        <w:spacing w:val="-24"/>
                        <w:sz w:val="28"/>
                      </w:rPr>
                      <w:t xml:space="preserve"> 实施</w:t>
                    </w:r>
                  </w:p>
                </w:txbxContent>
              </v:textbox>
            </v:shape>
            <v:shape id="_x0000_s1033" type="#_x0000_t202" style="width:2820;height:280;left:4050;position:absolute;top:1410" filled="f" stroked="f">
              <v:textbox inset="0,0,0,0">
                <w:txbxContent>
                  <w:p>
                    <w:pPr>
                      <w:spacing w:before="0" w:line="280" w:lineRule="exact"/>
                      <w:ind w:left="0" w:right="0" w:firstLine="0"/>
                      <w:jc w:val="left"/>
                      <w:rPr>
                        <w:rFonts w:ascii="黑体" w:eastAsia="黑体" w:hint="eastAsia"/>
                        <w:sz w:val="28"/>
                      </w:rPr>
                    </w:pPr>
                    <w:r>
                      <w:rPr>
                        <w:rFonts w:ascii="黑体" w:eastAsia="黑体" w:hint="eastAsia"/>
                        <w:sz w:val="28"/>
                      </w:rPr>
                      <w:t>贵州省市场监督管理局</w:t>
                    </w:r>
                  </w:p>
                </w:txbxContent>
              </v:textbox>
            </v:shape>
            <v:shape id="_x0000_s1034" type="#_x0000_t202" style="width:750;height:280;left:7409;position:absolute;top:1410" filled="f" stroked="f">
              <v:textbox inset="0,0,0,0">
                <w:txbxContent>
                  <w:p>
                    <w:pPr>
                      <w:spacing w:before="0" w:line="280" w:lineRule="exact"/>
                      <w:ind w:left="0" w:right="0" w:firstLine="0"/>
                      <w:jc w:val="left"/>
                      <w:rPr>
                        <w:rFonts w:ascii="黑体" w:eastAsia="黑体" w:hint="eastAsia"/>
                        <w:sz w:val="28"/>
                      </w:rPr>
                    </w:pPr>
                    <w:r>
                      <w:rPr>
                        <w:rFonts w:ascii="黑体" w:eastAsia="黑体" w:hint="eastAsia"/>
                        <w:sz w:val="28"/>
                      </w:rPr>
                      <w:t>发 布</w:t>
                    </w:r>
                  </w:p>
                </w:txbxContent>
              </v:textbox>
            </v:shape>
            <w10:wrap type="topAndBottom"/>
          </v:group>
        </w:pict>
      </w:r>
    </w:p>
    <w:p>
      <w:pPr>
        <w:pStyle w:val="BodyText"/>
        <w:rPr>
          <w:rFonts w:ascii="黑体"/>
          <w:sz w:val="20"/>
        </w:rPr>
      </w:pPr>
    </w:p>
    <w:p>
      <w:pPr>
        <w:pStyle w:val="BodyText"/>
        <w:rPr>
          <w:rFonts w:ascii="黑体"/>
          <w:sz w:val="20"/>
        </w:rPr>
      </w:pPr>
    </w:p>
    <w:p>
      <w:pPr>
        <w:pStyle w:val="BodyText"/>
        <w:rPr>
          <w:rFonts w:ascii="黑体"/>
          <w:sz w:val="20"/>
        </w:rPr>
      </w:pPr>
    </w:p>
    <w:p>
      <w:pPr>
        <w:pStyle w:val="BodyText"/>
        <w:spacing w:before="9"/>
        <w:rPr>
          <w:rFonts w:ascii="黑体"/>
          <w:sz w:val="17"/>
        </w:rPr>
      </w:pPr>
    </w:p>
    <w:p>
      <w:pPr>
        <w:pStyle w:val="BodyText"/>
        <w:rPr>
          <w:rFonts w:ascii="黑体"/>
          <w:sz w:val="2"/>
        </w:rPr>
      </w:pPr>
    </w:p>
    <w:p>
      <w:pPr>
        <w:pStyle w:val="BodyText"/>
        <w:rPr>
          <w:rFonts w:ascii="黑体"/>
          <w:sz w:val="2"/>
        </w:rPr>
        <w:sectPr>
          <w:type w:val="continuous"/>
          <w:pgSz w:w="11910" w:h="16840"/>
          <w:pgMar w:top="560" w:right="260" w:bottom="0" w:left="240" w:header="708" w:footer="708"/>
          <w:cols w:space="708"/>
        </w:sectPr>
      </w:pPr>
    </w:p>
    <w:p>
      <w:pPr>
        <w:pStyle w:val="BodyText"/>
        <w:rPr>
          <w:rFonts w:ascii="黑体"/>
          <w:sz w:val="2"/>
        </w:rPr>
      </w:pPr>
    </w:p>
    <w:p>
      <w:pPr>
        <w:pStyle w:val="BodyText"/>
        <w:rPr>
          <w:rFonts w:ascii="黑体"/>
          <w:sz w:val="2"/>
        </w:rPr>
      </w:pPr>
    </w:p>
    <w:p>
      <w:pPr>
        <w:spacing w:before="0"/>
        <w:ind w:left="1178" w:right="0" w:firstLine="0"/>
        <w:jc w:val="left"/>
        <w:rPr>
          <w:sz w:val="2"/>
        </w:rPr>
      </w:pPr>
      <w:r>
        <w:rPr>
          <w:w w:val="102"/>
          <w:sz w:val="2"/>
        </w:rPr>
        <w:t xml:space="preserve"> </w:t>
      </w:r>
    </w:p>
    <w:p>
      <w:pPr>
        <w:spacing w:after="0"/>
        <w:jc w:val="left"/>
        <w:rPr>
          <w:sz w:val="2"/>
        </w:rPr>
        <w:sectPr>
          <w:type w:val="nextPage"/>
          <w:pgSz w:w="11910" w:h="16840"/>
          <w:pgMar w:top="560" w:right="260" w:bottom="0" w:left="240" w:header="708" w:footer="708"/>
          <w:pgNumType w:start="2"/>
          <w:cols w:space="708"/>
          <w:titlePg w:val="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7"/>
        </w:rPr>
      </w:pPr>
    </w:p>
    <w:p>
      <w:pPr>
        <w:pStyle w:val="BodyText"/>
        <w:ind w:left="2860"/>
        <w:rPr>
          <w:sz w:val="20"/>
        </w:rPr>
      </w:pPr>
      <w:r>
        <w:rPr>
          <w:sz w:val="20"/>
        </w:rPr>
        <w:drawing>
          <wp:inline distT="0" distB="0" distL="0" distR="0">
            <wp:extent cx="4028503" cy="2533650"/>
            <wp:effectExtent l="0" t="0" r="0" b="0"/>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png"/>
                    <pic:cNvPicPr/>
                  </pic:nvPicPr>
                  <pic:blipFill>
                    <a:blip xmlns:r="http://schemas.openxmlformats.org/officeDocument/2006/relationships" r:embed="rId6" cstate="print"/>
                    <a:stretch>
                      <a:fillRect/>
                    </a:stretch>
                  </pic:blipFill>
                  <pic:spPr>
                    <a:xfrm>
                      <a:off x="0" y="0"/>
                      <a:ext cx="4028503" cy="2533650"/>
                    </a:xfrm>
                    <a:prstGeom prst="rect">
                      <a:avLst/>
                    </a:prstGeom>
                  </pic:spPr>
                </pic:pic>
              </a:graphicData>
            </a:graphic>
          </wp:inline>
        </w:drawing>
      </w:r>
    </w:p>
    <w:p>
      <w:pPr>
        <w:spacing w:after="0"/>
        <w:rPr>
          <w:sz w:val="20"/>
        </w:rPr>
        <w:sectPr>
          <w:pgSz w:w="11910" w:h="16840"/>
          <w:pgMar w:top="1580" w:right="260" w:bottom="280" w:left="240" w:header="708" w:footer="708"/>
          <w:pgNumType w:start="3"/>
          <w:cols w:space="708"/>
        </w:sectPr>
      </w:pPr>
    </w:p>
    <w:p>
      <w:pPr>
        <w:pStyle w:val="BodyText"/>
        <w:rPr>
          <w:sz w:val="16"/>
        </w:rPr>
      </w:pPr>
    </w:p>
    <w:p>
      <w:pPr>
        <w:pStyle w:val="Heading1"/>
        <w:tabs>
          <w:tab w:val="left" w:pos="1265"/>
        </w:tabs>
      </w:pPr>
      <w:r>
        <w:t>目</w:t>
        <w:tab/>
        <w:t>次</w:t>
      </w:r>
    </w:p>
    <w:p>
      <w:pPr>
        <w:pStyle w:val="BodyText"/>
        <w:rPr>
          <w:rFonts w:ascii="黑体"/>
          <w:sz w:val="32"/>
        </w:rPr>
      </w:pPr>
    </w:p>
    <w:p>
      <w:pPr>
        <w:pStyle w:val="BodyText"/>
        <w:tabs>
          <w:tab w:val="left" w:leader="dot" w:pos="10215"/>
        </w:tabs>
        <w:spacing w:before="277"/>
        <w:ind w:left="1178"/>
      </w:pPr>
      <w:r>
        <w:t>前言</w:t>
      </w:r>
      <w:r>
        <w:rPr>
          <w:rFonts w:ascii="Times New Roman" w:eastAsia="Times New Roman"/>
        </w:rPr>
        <w:tab/>
      </w:r>
      <w:r>
        <w:t>II</w:t>
      </w:r>
    </w:p>
    <w:p>
      <w:pPr>
        <w:pStyle w:val="BodyText"/>
        <w:tabs>
          <w:tab w:val="left" w:leader="dot" w:pos="10321"/>
        </w:tabs>
        <w:spacing w:before="131"/>
        <w:ind w:left="1178"/>
      </w:pPr>
      <w:r>
        <w:t>1</w:t>
      </w:r>
      <w:r>
        <w:rPr>
          <w:spacing w:val="104"/>
        </w:rPr>
        <w:t xml:space="preserve"> </w:t>
      </w:r>
      <w:r>
        <w:t>范围</w:t>
      </w:r>
      <w:r>
        <w:rPr>
          <w:rFonts w:ascii="Times New Roman" w:eastAsia="Times New Roman"/>
        </w:rPr>
        <w:tab/>
      </w:r>
      <w:r>
        <w:t>1</w:t>
      </w:r>
    </w:p>
    <w:p>
      <w:pPr>
        <w:pStyle w:val="BodyText"/>
        <w:tabs>
          <w:tab w:val="left" w:leader="dot" w:pos="10321"/>
        </w:tabs>
        <w:spacing w:before="130"/>
        <w:ind w:left="1178"/>
      </w:pPr>
      <w:r>
        <w:t>2</w:t>
      </w:r>
      <w:r>
        <w:rPr>
          <w:spacing w:val="102"/>
        </w:rPr>
        <w:t xml:space="preserve"> </w:t>
      </w:r>
      <w:r>
        <w:t>规范性引用文件</w:t>
      </w:r>
      <w:r>
        <w:rPr>
          <w:rFonts w:ascii="Times New Roman" w:eastAsia="Times New Roman"/>
        </w:rPr>
        <w:tab/>
      </w:r>
      <w:r>
        <w:t>1</w:t>
      </w:r>
    </w:p>
    <w:p>
      <w:pPr>
        <w:pStyle w:val="BodyText"/>
        <w:tabs>
          <w:tab w:val="left" w:leader="dot" w:pos="10321"/>
        </w:tabs>
        <w:spacing w:before="132"/>
        <w:ind w:left="1178"/>
      </w:pPr>
      <w:r>
        <w:t>3</w:t>
      </w:r>
      <w:r>
        <w:rPr>
          <w:spacing w:val="102"/>
        </w:rPr>
        <w:t xml:space="preserve"> </w:t>
      </w:r>
      <w:r>
        <w:t>术语和定义</w:t>
      </w:r>
      <w:r>
        <w:rPr>
          <w:rFonts w:ascii="Times New Roman" w:eastAsia="Times New Roman"/>
        </w:rPr>
        <w:tab/>
      </w:r>
      <w:r>
        <w:t>1</w:t>
      </w:r>
    </w:p>
    <w:p>
      <w:pPr>
        <w:pStyle w:val="BodyText"/>
        <w:tabs>
          <w:tab w:val="left" w:leader="dot" w:pos="10321"/>
        </w:tabs>
        <w:spacing w:before="130"/>
        <w:ind w:left="1178"/>
      </w:pPr>
      <w:r>
        <w:t>4</w:t>
      </w:r>
      <w:r>
        <w:rPr>
          <w:spacing w:val="104"/>
        </w:rPr>
        <w:t xml:space="preserve"> </w:t>
      </w:r>
      <w:r>
        <w:t>总体要求</w:t>
      </w:r>
      <w:r>
        <w:rPr>
          <w:rFonts w:ascii="Times New Roman" w:eastAsia="Times New Roman"/>
        </w:rPr>
        <w:tab/>
      </w:r>
      <w:r>
        <w:t>2</w:t>
      </w:r>
    </w:p>
    <w:p>
      <w:pPr>
        <w:pStyle w:val="BodyText"/>
        <w:tabs>
          <w:tab w:val="left" w:leader="dot" w:pos="10321"/>
        </w:tabs>
        <w:spacing w:before="131"/>
        <w:ind w:left="1178"/>
      </w:pPr>
      <w:r>
        <w:t>5</w:t>
      </w:r>
      <w:r>
        <w:rPr>
          <w:spacing w:val="104"/>
        </w:rPr>
        <w:t xml:space="preserve"> </w:t>
      </w:r>
      <w:r>
        <w:t>规划</w:t>
      </w:r>
      <w:r>
        <w:rPr>
          <w:rFonts w:ascii="Times New Roman" w:eastAsia="Times New Roman"/>
        </w:rPr>
        <w:tab/>
      </w:r>
      <w:r>
        <w:t>2</w:t>
      </w:r>
    </w:p>
    <w:p>
      <w:pPr>
        <w:pStyle w:val="BodyText"/>
        <w:tabs>
          <w:tab w:val="left" w:leader="dot" w:pos="10321"/>
        </w:tabs>
        <w:spacing w:before="132"/>
        <w:ind w:left="1178"/>
      </w:pPr>
      <w:r>
        <w:t>6</w:t>
      </w:r>
      <w:r>
        <w:rPr>
          <w:spacing w:val="104"/>
        </w:rPr>
        <w:t xml:space="preserve"> </w:t>
      </w:r>
      <w:r>
        <w:t>环境</w:t>
      </w:r>
      <w:r>
        <w:rPr>
          <w:rFonts w:ascii="Times New Roman" w:eastAsia="Times New Roman"/>
        </w:rPr>
        <w:tab/>
      </w:r>
      <w:r>
        <w:t>3</w:t>
      </w:r>
    </w:p>
    <w:p>
      <w:pPr>
        <w:pStyle w:val="BodyText"/>
        <w:tabs>
          <w:tab w:val="left" w:leader="dot" w:pos="10321"/>
        </w:tabs>
        <w:spacing w:before="130"/>
        <w:ind w:left="1178"/>
      </w:pPr>
      <w:r>
        <w:t>7</w:t>
      </w:r>
      <w:r>
        <w:rPr>
          <w:spacing w:val="104"/>
        </w:rPr>
        <w:t xml:space="preserve"> </w:t>
      </w:r>
      <w:r>
        <w:t>基础设施</w:t>
      </w:r>
      <w:r>
        <w:rPr>
          <w:rFonts w:ascii="Times New Roman" w:eastAsia="Times New Roman"/>
        </w:rPr>
        <w:tab/>
      </w:r>
      <w:r>
        <w:t>3</w:t>
      </w:r>
    </w:p>
    <w:p>
      <w:pPr>
        <w:pStyle w:val="BodyText"/>
        <w:tabs>
          <w:tab w:val="left" w:leader="dot" w:pos="10321"/>
        </w:tabs>
        <w:spacing w:before="131"/>
        <w:ind w:left="1178"/>
      </w:pPr>
      <w:r>
        <w:t>8</w:t>
      </w:r>
      <w:r>
        <w:rPr>
          <w:spacing w:val="104"/>
        </w:rPr>
        <w:t xml:space="preserve"> </w:t>
      </w:r>
      <w:r>
        <w:t>服务设施</w:t>
      </w:r>
      <w:r>
        <w:rPr>
          <w:rFonts w:ascii="Times New Roman" w:eastAsia="Times New Roman"/>
        </w:rPr>
        <w:tab/>
      </w:r>
      <w:r>
        <w:t>4</w:t>
      </w:r>
    </w:p>
    <w:p>
      <w:pPr>
        <w:pStyle w:val="BodyText"/>
        <w:tabs>
          <w:tab w:val="left" w:leader="dot" w:pos="10321"/>
        </w:tabs>
        <w:spacing w:before="131"/>
        <w:ind w:left="1178"/>
      </w:pPr>
      <w:r>
        <w:t>9</w:t>
      </w:r>
      <w:r>
        <w:rPr>
          <w:spacing w:val="104"/>
        </w:rPr>
        <w:t xml:space="preserve"> </w:t>
      </w:r>
      <w:r>
        <w:t>会议设施</w:t>
      </w:r>
      <w:r>
        <w:rPr>
          <w:rFonts w:ascii="Times New Roman" w:eastAsia="Times New Roman"/>
        </w:rPr>
        <w:tab/>
      </w:r>
      <w:r>
        <w:t>4</w:t>
      </w:r>
    </w:p>
    <w:p>
      <w:pPr>
        <w:pStyle w:val="BodyText"/>
        <w:tabs>
          <w:tab w:val="left" w:leader="dot" w:pos="10321"/>
        </w:tabs>
        <w:spacing w:before="131"/>
        <w:ind w:left="1178"/>
      </w:pPr>
      <w:r>
        <w:t>10</w:t>
      </w:r>
      <w:r>
        <w:rPr>
          <w:spacing w:val="103"/>
        </w:rPr>
        <w:t xml:space="preserve"> </w:t>
      </w:r>
      <w:r>
        <w:t>运营管理</w:t>
      </w:r>
      <w:r>
        <w:rPr>
          <w:rFonts w:ascii="Times New Roman" w:eastAsia="Times New Roman"/>
        </w:rPr>
        <w:tab/>
      </w:r>
      <w:r>
        <w:t>6</w:t>
      </w:r>
    </w:p>
    <w:p>
      <w:pPr>
        <w:pStyle w:val="BodyText"/>
        <w:tabs>
          <w:tab w:val="left" w:leader="dot" w:pos="10321"/>
        </w:tabs>
        <w:spacing w:before="130"/>
        <w:ind w:left="1178"/>
      </w:pPr>
      <w:r>
        <w:t>11</w:t>
      </w:r>
      <w:r>
        <w:rPr>
          <w:spacing w:val="103"/>
        </w:rPr>
        <w:t xml:space="preserve"> </w:t>
      </w:r>
      <w:r>
        <w:t>评价与检查</w:t>
      </w:r>
      <w:r>
        <w:rPr>
          <w:rFonts w:ascii="Times New Roman" w:eastAsia="Times New Roman"/>
        </w:rPr>
        <w:tab/>
      </w:r>
      <w:r>
        <w:t>7</w:t>
      </w:r>
    </w:p>
    <w:p>
      <w:pPr>
        <w:pStyle w:val="BodyText"/>
        <w:tabs>
          <w:tab w:val="left" w:leader="dot" w:pos="10321"/>
        </w:tabs>
        <w:spacing w:before="132"/>
        <w:ind w:left="1178"/>
      </w:pPr>
      <w:r>
        <w:drawing>
          <wp:anchor distT="0" distB="0" distL="0" distR="0" simplePos="0" relativeHeight="251663360" behindDoc="0" locked="0" layoutInCell="1" allowOverlap="1">
            <wp:simplePos x="0" y="0"/>
            <wp:positionH relativeFrom="page">
              <wp:posOffset>215900</wp:posOffset>
            </wp:positionH>
            <wp:positionV relativeFrom="paragraph">
              <wp:posOffset>366267</wp:posOffset>
            </wp:positionV>
            <wp:extent cx="7112000" cy="4876800"/>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t>附录</w:t>
      </w:r>
      <w:r>
        <w:rPr>
          <w:spacing w:val="-53"/>
        </w:rPr>
        <w:t xml:space="preserve"> </w:t>
      </w:r>
      <w:r>
        <w:t>A（规范性）</w:t>
      </w:r>
      <w:r>
        <w:rPr>
          <w:spacing w:val="103"/>
        </w:rPr>
        <w:t xml:space="preserve"> </w:t>
      </w:r>
      <w:r>
        <w:t>山地旅游示范区建设评价细则</w:t>
      </w:r>
      <w:r>
        <w:rPr>
          <w:rFonts w:ascii="Times New Roman" w:eastAsia="Times New Roman"/>
        </w:rPr>
        <w:tab/>
      </w:r>
      <w:r>
        <w:t>9</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15"/>
        </w:rPr>
      </w:pPr>
      <w:r>
        <w:pict>
          <v:shape id="_x0000_s1035" type="#_x0000_t202" style="width:10pt;height:9pt;margin-top:11.99pt;margin-left:522.84pt;mso-position-horizontal-relative:page;mso-wrap-distance-left:0;mso-wrap-distance-right:0;position:absolute;z-index:-251652096" filled="f" stroked="f">
            <v:textbox inset="0,0,0,0">
              <w:txbxContent>
                <w:p>
                  <w:pPr>
                    <w:spacing w:before="0" w:line="180" w:lineRule="exact"/>
                    <w:ind w:left="0" w:right="0" w:firstLine="0"/>
                    <w:jc w:val="left"/>
                    <w:rPr>
                      <w:sz w:val="18"/>
                    </w:rPr>
                  </w:pPr>
                  <w:r>
                    <w:rPr>
                      <w:sz w:val="18"/>
                    </w:rPr>
                    <w:t xml:space="preserve">I </w:t>
                  </w:r>
                </w:p>
              </w:txbxContent>
            </v:textbox>
            <w10:wrap type="topAndBottom"/>
          </v:shape>
        </w:pict>
      </w:r>
    </w:p>
    <w:p>
      <w:pPr>
        <w:spacing w:after="0"/>
        <w:rPr>
          <w:sz w:val="15"/>
        </w:rPr>
        <w:sectPr>
          <w:headerReference w:type="default" r:id="rId7"/>
          <w:pgSz w:w="11910" w:h="16840"/>
          <w:pgMar w:top="1640" w:right="260" w:bottom="280" w:left="240" w:header="1448" w:footer="0"/>
          <w:pgNumType w:start="4"/>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7"/>
        </w:rPr>
      </w:pPr>
    </w:p>
    <w:p>
      <w:pPr>
        <w:pStyle w:val="BodyText"/>
        <w:ind w:left="2860"/>
        <w:rPr>
          <w:sz w:val="20"/>
        </w:rPr>
      </w:pPr>
      <w:r>
        <w:rPr>
          <w:sz w:val="20"/>
        </w:rPr>
        <w:drawing>
          <wp:inline distT="0" distB="0" distL="0" distR="0">
            <wp:extent cx="4028503" cy="2533650"/>
            <wp:effectExtent l="0" t="0" r="0" b="0"/>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png"/>
                    <pic:cNvPicPr/>
                  </pic:nvPicPr>
                  <pic:blipFill>
                    <a:blip xmlns:r="http://schemas.openxmlformats.org/officeDocument/2006/relationships" r:embed="rId6" cstate="print"/>
                    <a:stretch>
                      <a:fillRect/>
                    </a:stretch>
                  </pic:blipFill>
                  <pic:spPr>
                    <a:xfrm>
                      <a:off x="0" y="0"/>
                      <a:ext cx="4028503" cy="2533650"/>
                    </a:xfrm>
                    <a:prstGeom prst="rect">
                      <a:avLst/>
                    </a:prstGeom>
                  </pic:spPr>
                </pic:pic>
              </a:graphicData>
            </a:graphic>
          </wp:inline>
        </w:drawing>
      </w:r>
    </w:p>
    <w:p>
      <w:pPr>
        <w:spacing w:after="0"/>
        <w:rPr>
          <w:sz w:val="20"/>
        </w:rPr>
        <w:sectPr>
          <w:headerReference w:type="even" r:id="rId8"/>
          <w:headerReference w:type="default" r:id="rId9"/>
          <w:pgSz w:w="11910" w:h="16840"/>
          <w:pgMar w:top="1600" w:right="258" w:bottom="280" w:left="240" w:header="0" w:footer="0"/>
          <w:pgNumType w:start="5"/>
          <w:cols w:space="708"/>
        </w:sectPr>
      </w:pPr>
    </w:p>
    <w:p>
      <w:pPr>
        <w:pStyle w:val="BodyText"/>
        <w:spacing w:before="11"/>
        <w:rPr>
          <w:sz w:val="15"/>
        </w:rPr>
      </w:pPr>
      <w:r>
        <w:drawing>
          <wp:anchor distT="0" distB="0" distL="0" distR="0" simplePos="0" relativeHeight="251665408" behindDoc="0" locked="0" layoutInCell="1" allowOverlap="1">
            <wp:simplePos x="0" y="0"/>
            <wp:positionH relativeFrom="page">
              <wp:posOffset>215900</wp:posOffset>
            </wp:positionH>
            <wp:positionV relativeFrom="page">
              <wp:posOffset>5245100</wp:posOffset>
            </wp:positionV>
            <wp:extent cx="7112000" cy="4876800"/>
            <wp:effectExtent l="0" t="0" r="0" b="0"/>
            <wp:wrapNone/>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p>
    <w:p>
      <w:pPr>
        <w:pStyle w:val="Heading1"/>
        <w:tabs>
          <w:tab w:val="left" w:pos="1684"/>
        </w:tabs>
        <w:ind w:left="724"/>
      </w:pPr>
      <w:r>
        <w:t>前</w:t>
        <w:tab/>
        <w:t>言</w:t>
      </w:r>
    </w:p>
    <w:p>
      <w:pPr>
        <w:pStyle w:val="BodyText"/>
        <w:spacing w:before="7"/>
        <w:rPr>
          <w:rFonts w:ascii="黑体"/>
          <w:sz w:val="46"/>
        </w:rPr>
      </w:pPr>
    </w:p>
    <w:p>
      <w:pPr>
        <w:pStyle w:val="BodyText"/>
        <w:spacing w:line="278" w:lineRule="auto"/>
        <w:ind w:left="1178" w:right="872" w:firstLine="420"/>
      </w:pPr>
      <w:r>
        <w:t xml:space="preserve">本文件按照GB/T 1.1—2020《标准化工作导则 第1部分：标准化文件的结构和起草规则》的规定起草。 </w:t>
      </w:r>
    </w:p>
    <w:p>
      <w:pPr>
        <w:pStyle w:val="BodyText"/>
        <w:spacing w:line="278" w:lineRule="auto"/>
        <w:ind w:left="1598" w:right="6342"/>
      </w:pPr>
      <w:r>
        <w:t xml:space="preserve">本文件由黔西南州人民政府提出。  本文件由贵州省文化和旅游厅归口。 </w:t>
      </w:r>
    </w:p>
    <w:p>
      <w:pPr>
        <w:pStyle w:val="BodyText"/>
        <w:spacing w:line="278" w:lineRule="auto"/>
        <w:ind w:left="1598" w:right="882"/>
      </w:pPr>
      <w:r>
        <w:t xml:space="preserve">本文件起草单位：贵州大学、贵阳城市职业学院、黔西南州市场监督管理局、黔西南州文化体育广电旅游局、兴义民族师范学院。 </w:t>
      </w:r>
    </w:p>
    <w:p>
      <w:pPr>
        <w:pStyle w:val="BodyText"/>
        <w:spacing w:line="278" w:lineRule="auto"/>
        <w:ind w:left="1598" w:right="882"/>
      </w:pPr>
      <w:r>
        <w:t xml:space="preserve">本文件主要起草人：刘彩清、晏智、代晓岚、程世红、陈卫华、王海英、何丹、贺登位、李显、许礼静、黄廷梅。 </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3"/>
        </w:rPr>
      </w:pPr>
      <w:r>
        <w:pict>
          <v:shape id="_x0000_s1036" type="#_x0000_t202" style="width:14.5pt;height:9pt;margin-top:16.94pt;margin-left:518.28pt;mso-position-horizontal-relative:page;mso-wrap-distance-left:0;mso-wrap-distance-right:0;position:absolute;z-index:-251650048" filled="f" stroked="f">
            <v:textbox inset="0,0,0,0">
              <w:txbxContent>
                <w:p>
                  <w:pPr>
                    <w:spacing w:before="0" w:line="180" w:lineRule="exact"/>
                    <w:ind w:left="0" w:right="0" w:firstLine="0"/>
                    <w:jc w:val="left"/>
                    <w:rPr>
                      <w:sz w:val="18"/>
                    </w:rPr>
                  </w:pPr>
                  <w:r>
                    <w:rPr>
                      <w:sz w:val="18"/>
                    </w:rPr>
                    <w:t xml:space="preserve">II </w:t>
                  </w:r>
                </w:p>
              </w:txbxContent>
            </v:textbox>
            <w10:wrap type="topAndBottom"/>
          </v:shape>
        </w:pict>
      </w:r>
    </w:p>
    <w:p>
      <w:pPr>
        <w:spacing w:after="0"/>
        <w:rPr>
          <w:sz w:val="23"/>
        </w:rPr>
        <w:sectPr>
          <w:headerReference w:type="even" r:id="rId10"/>
          <w:headerReference w:type="default" r:id="rId11"/>
          <w:pgSz w:w="11910" w:h="16840"/>
          <w:pgMar w:top="1640" w:right="258" w:bottom="280" w:left="240" w:header="1448" w:footer="0"/>
          <w:pgNumType w:start="6"/>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7"/>
        </w:rPr>
      </w:pPr>
    </w:p>
    <w:p>
      <w:pPr>
        <w:pStyle w:val="BodyText"/>
        <w:ind w:left="2860"/>
        <w:rPr>
          <w:sz w:val="20"/>
        </w:rPr>
      </w:pPr>
      <w:r>
        <w:rPr>
          <w:sz w:val="20"/>
        </w:rPr>
        <w:drawing>
          <wp:inline distT="0" distB="0" distL="0" distR="0">
            <wp:extent cx="4028503" cy="2533650"/>
            <wp:effectExtent l="0" t="0" r="0" b="0"/>
            <wp:docPr id="1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3.png"/>
                    <pic:cNvPicPr/>
                  </pic:nvPicPr>
                  <pic:blipFill>
                    <a:blip xmlns:r="http://schemas.openxmlformats.org/officeDocument/2006/relationships" r:embed="rId6" cstate="print"/>
                    <a:stretch>
                      <a:fillRect/>
                    </a:stretch>
                  </pic:blipFill>
                  <pic:spPr>
                    <a:xfrm>
                      <a:off x="0" y="0"/>
                      <a:ext cx="4028503" cy="2533650"/>
                    </a:xfrm>
                    <a:prstGeom prst="rect">
                      <a:avLst/>
                    </a:prstGeom>
                  </pic:spPr>
                </pic:pic>
              </a:graphicData>
            </a:graphic>
          </wp:inline>
        </w:drawing>
      </w:r>
    </w:p>
    <w:p>
      <w:pPr>
        <w:spacing w:after="0"/>
        <w:rPr>
          <w:sz w:val="20"/>
        </w:rPr>
        <w:sectPr>
          <w:headerReference w:type="even" r:id="rId12"/>
          <w:headerReference w:type="default" r:id="rId13"/>
          <w:pgSz w:w="11910" w:h="16840"/>
          <w:pgMar w:top="1600" w:right="258" w:bottom="280" w:left="240" w:header="0" w:footer="0"/>
          <w:pgNumType w:start="7"/>
          <w:cols w:space="708"/>
        </w:sectPr>
      </w:pPr>
    </w:p>
    <w:p>
      <w:pPr>
        <w:pStyle w:val="BodyText"/>
        <w:rPr>
          <w:sz w:val="20"/>
        </w:rPr>
      </w:pPr>
    </w:p>
    <w:p>
      <w:pPr>
        <w:pStyle w:val="BodyText"/>
        <w:spacing w:before="1"/>
        <w:rPr>
          <w:sz w:val="15"/>
        </w:rPr>
      </w:pPr>
    </w:p>
    <w:p>
      <w:pPr>
        <w:pStyle w:val="Heading1"/>
        <w:ind w:left="306"/>
      </w:pPr>
      <w:r>
        <w:t>山地旅游示范区建设规范</w:t>
      </w:r>
    </w:p>
    <w:p>
      <w:pPr>
        <w:pStyle w:val="BodyText"/>
        <w:rPr>
          <w:rFonts w:ascii="黑体"/>
          <w:sz w:val="20"/>
        </w:rPr>
      </w:pPr>
    </w:p>
    <w:p>
      <w:pPr>
        <w:pStyle w:val="BodyText"/>
        <w:spacing w:before="11"/>
        <w:rPr>
          <w:rFonts w:ascii="黑体"/>
          <w:sz w:val="28"/>
        </w:rPr>
      </w:pPr>
    </w:p>
    <w:p>
      <w:pPr>
        <w:pStyle w:val="ListParagraph"/>
        <w:numPr>
          <w:ilvl w:val="0"/>
          <w:numId w:val="4"/>
        </w:numPr>
        <w:tabs>
          <w:tab w:val="left" w:pos="1495"/>
        </w:tabs>
        <w:spacing w:before="71" w:after="0" w:line="240" w:lineRule="auto"/>
        <w:ind w:left="1494" w:right="0" w:hanging="317"/>
        <w:jc w:val="left"/>
        <w:rPr>
          <w:rFonts w:ascii="黑体" w:eastAsia="黑体" w:hint="eastAsia"/>
          <w:sz w:val="21"/>
        </w:rPr>
      </w:pPr>
      <w:r>
        <w:rPr>
          <w:rFonts w:ascii="黑体" w:eastAsia="黑体" w:hint="eastAsia"/>
          <w:sz w:val="21"/>
        </w:rPr>
        <w:t>范围</w:t>
      </w:r>
    </w:p>
    <w:p>
      <w:pPr>
        <w:pStyle w:val="BodyText"/>
        <w:spacing w:before="8"/>
        <w:rPr>
          <w:rFonts w:ascii="黑体"/>
          <w:sz w:val="27"/>
        </w:rPr>
      </w:pPr>
    </w:p>
    <w:p>
      <w:pPr>
        <w:pStyle w:val="BodyText"/>
        <w:spacing w:before="1" w:line="278" w:lineRule="auto"/>
        <w:ind w:left="1178" w:right="871" w:firstLine="420"/>
      </w:pPr>
      <w:r>
        <w:drawing>
          <wp:anchor distT="0" distB="0" distL="0" distR="0" simplePos="0" relativeHeight="251668480" behindDoc="1" locked="0" layoutInCell="1" allowOverlap="1">
            <wp:simplePos x="0" y="0"/>
            <wp:positionH relativeFrom="page">
              <wp:posOffset>1890141</wp:posOffset>
            </wp:positionH>
            <wp:positionV relativeFrom="paragraph">
              <wp:posOffset>389079</wp:posOffset>
            </wp:positionV>
            <wp:extent cx="3780266" cy="4971151"/>
            <wp:effectExtent l="0" t="0" r="0" b="0"/>
            <wp:wrapNone/>
            <wp:docPr id="1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4.png"/>
                    <pic:cNvPicPr/>
                  </pic:nvPicPr>
                  <pic:blipFill>
                    <a:blip xmlns:r="http://schemas.openxmlformats.org/officeDocument/2006/relationships" r:embed="rId14" cstate="print"/>
                    <a:stretch>
                      <a:fillRect/>
                    </a:stretch>
                  </pic:blipFill>
                  <pic:spPr>
                    <a:xfrm>
                      <a:off x="0" y="0"/>
                      <a:ext cx="3780266" cy="4971151"/>
                    </a:xfrm>
                    <a:prstGeom prst="rect">
                      <a:avLst/>
                    </a:prstGeom>
                  </pic:spPr>
                </pic:pic>
              </a:graphicData>
            </a:graphic>
          </wp:anchor>
        </w:drawing>
      </w:r>
      <w:r>
        <w:rPr>
          <w:spacing w:val="-7"/>
        </w:rPr>
        <w:t>本文件规定了山地旅游示范区建设的总体要求、规划、环境、基础设施、服务设施、运营管理、认</w:t>
      </w:r>
      <w:r>
        <w:t xml:space="preserve">定与检查。 </w:t>
      </w:r>
    </w:p>
    <w:p>
      <w:pPr>
        <w:pStyle w:val="BodyText"/>
        <w:spacing w:line="269" w:lineRule="exact"/>
        <w:ind w:left="1598"/>
      </w:pPr>
      <w:r>
        <w:t xml:space="preserve">本文件适用于山地旅游示范区的建设和管理。 </w:t>
      </w:r>
    </w:p>
    <w:p>
      <w:pPr>
        <w:pStyle w:val="BodyText"/>
        <w:spacing w:before="10"/>
        <w:rPr>
          <w:sz w:val="27"/>
        </w:rPr>
      </w:pPr>
    </w:p>
    <w:p>
      <w:pPr>
        <w:pStyle w:val="ListParagraph"/>
        <w:numPr>
          <w:ilvl w:val="0"/>
          <w:numId w:val="4"/>
        </w:numPr>
        <w:tabs>
          <w:tab w:val="left" w:pos="1495"/>
        </w:tabs>
        <w:spacing w:before="0" w:after="0" w:line="240" w:lineRule="auto"/>
        <w:ind w:left="1494" w:right="0" w:hanging="317"/>
        <w:jc w:val="left"/>
        <w:rPr>
          <w:rFonts w:ascii="黑体" w:eastAsia="黑体" w:hint="eastAsia"/>
          <w:sz w:val="21"/>
        </w:rPr>
      </w:pPr>
      <w:r>
        <w:rPr>
          <w:rFonts w:ascii="黑体" w:eastAsia="黑体" w:hint="eastAsia"/>
          <w:sz w:val="21"/>
        </w:rPr>
        <w:t>规范性引用文件</w:t>
      </w:r>
    </w:p>
    <w:p>
      <w:pPr>
        <w:pStyle w:val="BodyText"/>
        <w:spacing w:before="7"/>
        <w:rPr>
          <w:rFonts w:ascii="黑体"/>
          <w:sz w:val="27"/>
        </w:rPr>
      </w:pPr>
    </w:p>
    <w:p>
      <w:pPr>
        <w:pStyle w:val="BodyText"/>
        <w:spacing w:before="1" w:line="278" w:lineRule="auto"/>
        <w:ind w:left="1178" w:right="767" w:firstLine="420"/>
      </w:pPr>
      <w:r>
        <w:rPr>
          <w:spacing w:val="-8"/>
        </w:rPr>
        <w:t xml:space="preserve">下列文件中的内容通过文中的规范性引用而构成本文件必不可少的条款。其中，注日期的引用文件， </w:t>
      </w:r>
      <w:r>
        <w:rPr>
          <w:spacing w:val="-4"/>
        </w:rPr>
        <w:t>仅该日期对应的版本适用于本文件；不注日期的引用文件，其最新版本</w:t>
      </w:r>
      <w:r>
        <w:t>（包括所有的修改单</w:t>
      </w:r>
      <w:r>
        <w:rPr>
          <w:spacing w:val="-24"/>
        </w:rPr>
        <w:t>）</w:t>
      </w:r>
      <w:r>
        <w:t xml:space="preserve">适用于本文件。 </w:t>
      </w:r>
    </w:p>
    <w:p>
      <w:pPr>
        <w:pStyle w:val="BodyText"/>
        <w:spacing w:line="278" w:lineRule="auto"/>
        <w:ind w:left="1598" w:right="6445"/>
      </w:pPr>
      <w:r>
        <w:t xml:space="preserve">GB 3095—2012 环境空气质量标准GB 3096—2008  声环境质量标准 </w:t>
      </w:r>
    </w:p>
    <w:p>
      <w:pPr>
        <w:pStyle w:val="BodyText"/>
        <w:spacing w:line="269" w:lineRule="exact"/>
        <w:ind w:left="1598"/>
      </w:pPr>
      <w:r>
        <w:t xml:space="preserve">GB 3838—2002 地表水环境质量标准 </w:t>
      </w:r>
    </w:p>
    <w:p>
      <w:pPr>
        <w:pStyle w:val="BodyText"/>
        <w:spacing w:before="42" w:line="278" w:lineRule="auto"/>
        <w:ind w:left="1598" w:right="5605"/>
      </w:pPr>
      <w:r>
        <w:pict>
          <v:group id="_x0000_s1037" style="width:461.95pt;height:369.3pt;margin-top:34.8pt;margin-left:70.92pt;mso-position-horizontal-relative:page;mso-wrap-distance-left:0;mso-wrap-distance-right:0;position:absolute;z-index:-251646976" coordorigin="1418,696" coordsize="9239,7386">
            <v:shape id="_x0000_s1038" type="#_x0000_t202" style="width:7999;height:4890;left:1838;position:absolute;top:695" filled="f" stroked="f">
              <v:textbox inset="0,0,0,0">
                <w:txbxContent>
                  <w:p>
                    <w:pPr>
                      <w:spacing w:before="0" w:line="240" w:lineRule="exact"/>
                      <w:ind w:left="0" w:right="0" w:firstLine="0"/>
                      <w:jc w:val="left"/>
                      <w:rPr>
                        <w:sz w:val="21"/>
                      </w:rPr>
                    </w:pPr>
                    <w:r>
                      <w:rPr>
                        <w:sz w:val="21"/>
                      </w:rPr>
                      <w:t xml:space="preserve">GB/T 10001.1  公共信息图形符号 第1部分：通用符号 </w:t>
                    </w:r>
                  </w:p>
                  <w:p>
                    <w:pPr>
                      <w:spacing w:before="43" w:line="278" w:lineRule="auto"/>
                      <w:ind w:left="0" w:right="2434" w:firstLine="0"/>
                      <w:jc w:val="left"/>
                      <w:rPr>
                        <w:sz w:val="21"/>
                      </w:rPr>
                    </w:pPr>
                    <w:r>
                      <w:rPr>
                        <w:sz w:val="21"/>
                      </w:rPr>
                      <w:t xml:space="preserve">GB/T 10001.2 公共信息图形符号 第2部分：旅游休闲符号GB/T 14934  消毒餐（饮）具 </w:t>
                    </w:r>
                  </w:p>
                  <w:p>
                    <w:pPr>
                      <w:spacing w:before="0" w:line="269" w:lineRule="exact"/>
                      <w:ind w:left="0" w:right="0" w:firstLine="0"/>
                      <w:jc w:val="left"/>
                      <w:rPr>
                        <w:sz w:val="21"/>
                      </w:rPr>
                    </w:pPr>
                    <w:r>
                      <w:rPr>
                        <w:sz w:val="21"/>
                      </w:rPr>
                      <w:t xml:space="preserve">GB 18483 饮食业油烟排放标准 </w:t>
                    </w:r>
                  </w:p>
                  <w:p>
                    <w:pPr>
                      <w:spacing w:before="43"/>
                      <w:ind w:left="0" w:right="0" w:firstLine="0"/>
                      <w:jc w:val="left"/>
                      <w:rPr>
                        <w:sz w:val="21"/>
                      </w:rPr>
                    </w:pPr>
                    <w:r>
                      <w:rPr>
                        <w:sz w:val="21"/>
                      </w:rPr>
                      <w:t xml:space="preserve">GB/T 18973  旅游厕所质量要求与评定 </w:t>
                    </w:r>
                  </w:p>
                  <w:p>
                    <w:pPr>
                      <w:spacing w:before="43" w:line="278" w:lineRule="auto"/>
                      <w:ind w:left="0" w:right="3062" w:firstLine="0"/>
                      <w:jc w:val="left"/>
                      <w:rPr>
                        <w:sz w:val="21"/>
                      </w:rPr>
                    </w:pPr>
                    <w:r>
                      <w:rPr>
                        <w:sz w:val="21"/>
                      </w:rPr>
                      <w:t xml:space="preserve">GB/T 26353 旅游娱乐场所基础设施管理及服务规范GB/T 26355  旅游景区服务指南 </w:t>
                    </w:r>
                  </w:p>
                  <w:p>
                    <w:pPr>
                      <w:spacing w:before="0" w:line="278" w:lineRule="auto"/>
                      <w:ind w:left="0" w:right="3692" w:firstLine="0"/>
                      <w:jc w:val="left"/>
                      <w:rPr>
                        <w:sz w:val="21"/>
                      </w:rPr>
                    </w:pPr>
                    <w:r>
                      <w:rPr>
                        <w:sz w:val="21"/>
                      </w:rPr>
                      <w:t xml:space="preserve">GB/T 26360 旅游电子商务网站建设技术规范GB 37487 公共场所卫生管理规范 </w:t>
                    </w:r>
                  </w:p>
                  <w:p>
                    <w:pPr>
                      <w:spacing w:before="0" w:line="269" w:lineRule="exact"/>
                      <w:ind w:left="0" w:right="0" w:firstLine="0"/>
                      <w:jc w:val="left"/>
                      <w:rPr>
                        <w:sz w:val="21"/>
                      </w:rPr>
                    </w:pPr>
                    <w:r>
                      <w:rPr>
                        <w:sz w:val="21"/>
                      </w:rPr>
                      <w:t xml:space="preserve">GB 37488 公共场所卫生指标及限值要求 </w:t>
                    </w:r>
                  </w:p>
                  <w:p>
                    <w:pPr>
                      <w:spacing w:before="42" w:line="278" w:lineRule="auto"/>
                      <w:ind w:left="0" w:right="3064" w:firstLine="0"/>
                      <w:jc w:val="left"/>
                      <w:rPr>
                        <w:sz w:val="21"/>
                      </w:rPr>
                    </w:pPr>
                    <w:r>
                      <w:rPr>
                        <w:sz w:val="21"/>
                      </w:rPr>
                      <w:t xml:space="preserve">GB 37489.1 公共场所设计卫生规范 第1部分：总则LB/T 007 绿色旅游饭店 </w:t>
                    </w:r>
                  </w:p>
                  <w:p>
                    <w:pPr>
                      <w:spacing w:before="0" w:line="278" w:lineRule="auto"/>
                      <w:ind w:left="0" w:right="2747" w:firstLine="0"/>
                      <w:jc w:val="left"/>
                      <w:rPr>
                        <w:sz w:val="21"/>
                      </w:rPr>
                    </w:pPr>
                    <w:r>
                      <w:rPr>
                        <w:sz w:val="21"/>
                      </w:rPr>
                      <w:t xml:space="preserve">DB52/T 1089 旅游服务中心建设、服务与等级评价规范DB52/T 1161 贵州省旅游购物场所等级划分与评定DB52/T 1401.4 山地旅游 第4部分：旅游步道等级划分 </w:t>
                    </w:r>
                  </w:p>
                  <w:p>
                    <w:pPr>
                      <w:spacing w:before="0" w:line="239" w:lineRule="exact"/>
                      <w:ind w:left="0" w:right="0" w:firstLine="0"/>
                      <w:jc w:val="left"/>
                      <w:rPr>
                        <w:sz w:val="21"/>
                      </w:rPr>
                    </w:pPr>
                    <w:r>
                      <w:rPr>
                        <w:sz w:val="21"/>
                      </w:rPr>
                      <w:t xml:space="preserve">DB52/T 1401.10 山地旅游 第10部分：文化主题酒店设施与服务质量等级划分与评定 </w:t>
                    </w:r>
                  </w:p>
                </w:txbxContent>
              </v:textbox>
            </v:shape>
            <v:shape id="_x0000_s1039" type="#_x0000_t202" style="width:1386;height:210;left:1418;position:absolute;top:6001" filled="f" stroked="f">
              <v:textbox inset="0,0,0,0">
                <w:txbxContent>
                  <w:p>
                    <w:pPr>
                      <w:spacing w:before="0" w:line="210" w:lineRule="exact"/>
                      <w:ind w:left="0" w:right="0" w:firstLine="0"/>
                      <w:jc w:val="left"/>
                      <w:rPr>
                        <w:rFonts w:ascii="黑体" w:eastAsia="黑体" w:hint="eastAsia"/>
                        <w:sz w:val="21"/>
                      </w:rPr>
                    </w:pPr>
                    <w:r>
                      <w:rPr>
                        <w:rFonts w:ascii="黑体" w:eastAsia="黑体" w:hint="eastAsia"/>
                        <w:sz w:val="21"/>
                      </w:rPr>
                      <w:t>3 术语和定义</w:t>
                    </w:r>
                  </w:p>
                </w:txbxContent>
              </v:textbox>
            </v:shape>
            <v:shape id="_x0000_s1040" type="#_x0000_t202" style="width:3065;height:210;left:1838;position:absolute;top:6624" filled="f" stroked="f">
              <v:textbox inset="0,0,0,0">
                <w:txbxContent>
                  <w:p>
                    <w:pPr>
                      <w:spacing w:before="0" w:line="210" w:lineRule="exact"/>
                      <w:ind w:left="0" w:right="0" w:firstLine="0"/>
                      <w:jc w:val="left"/>
                      <w:rPr>
                        <w:sz w:val="21"/>
                      </w:rPr>
                    </w:pPr>
                    <w:r>
                      <w:rPr>
                        <w:sz w:val="21"/>
                      </w:rPr>
                      <w:t xml:space="preserve">下列术语和定义适用于本文件。 </w:t>
                    </w:r>
                  </w:p>
                </w:txbxContent>
              </v:textbox>
            </v:shape>
            <v:shape id="_x0000_s1041" type="#_x0000_t202" style="width:125;height:210;left:1838;position:absolute;top:7560" filled="f" stroked="f">
              <v:textbox inset="0,0,0,0">
                <w:txbxContent>
                  <w:p>
                    <w:pPr>
                      <w:spacing w:before="0" w:line="210" w:lineRule="exact"/>
                      <w:ind w:left="0" w:right="0" w:firstLine="0"/>
                      <w:jc w:val="left"/>
                      <w:rPr>
                        <w:sz w:val="21"/>
                      </w:rPr>
                    </w:pPr>
                    <w:r>
                      <w:rPr>
                        <w:sz w:val="21"/>
                      </w:rPr>
                      <w:t xml:space="preserve"> </w:t>
                    </w:r>
                  </w:p>
                </w:txbxContent>
              </v:textbox>
            </v:shape>
            <v:shape id="_x0000_s1042" type="#_x0000_t202" style="width:200;height:180;left:10456;position:absolute;top:7901" filled="f" stroked="f">
              <v:textbox inset="0,0,0,0">
                <w:txbxContent>
                  <w:p>
                    <w:pPr>
                      <w:spacing w:before="0" w:line="180" w:lineRule="exact"/>
                      <w:ind w:left="0" w:right="0" w:firstLine="0"/>
                      <w:jc w:val="left"/>
                      <w:rPr>
                        <w:sz w:val="18"/>
                      </w:rPr>
                    </w:pPr>
                    <w:r>
                      <w:rPr>
                        <w:sz w:val="18"/>
                      </w:rPr>
                      <w:t xml:space="preserve">1 </w:t>
                    </w:r>
                  </w:p>
                </w:txbxContent>
              </v:textbox>
            </v:shape>
            <w10:wrap type="topAndBottom"/>
          </v:group>
        </w:pict>
      </w:r>
      <w:r>
        <w:drawing>
          <wp:anchor distT="0" distB="0" distL="0" distR="0" simplePos="0" relativeHeight="251667456" behindDoc="0" locked="0" layoutInCell="1" allowOverlap="1">
            <wp:simplePos x="0" y="0"/>
            <wp:positionH relativeFrom="page">
              <wp:posOffset>215900</wp:posOffset>
            </wp:positionH>
            <wp:positionV relativeFrom="paragraph">
              <wp:posOffset>421131</wp:posOffset>
            </wp:positionV>
            <wp:extent cx="7112000" cy="4876800"/>
            <wp:effectExtent l="0" t="0" r="0" b="0"/>
            <wp:wrapNone/>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t xml:space="preserve">GB 5768 道路交通标志和标线（所有部分） GB 8978  污水综合排放标准 </w:t>
      </w:r>
    </w:p>
    <w:p>
      <w:pPr>
        <w:spacing w:after="0" w:line="278" w:lineRule="auto"/>
        <w:sectPr>
          <w:headerReference w:type="even" r:id="rId15"/>
          <w:headerReference w:type="default" r:id="rId16"/>
          <w:pgSz w:w="11910" w:h="16840"/>
          <w:pgMar w:top="1640" w:right="260" w:bottom="280" w:left="240" w:header="1448" w:footer="0"/>
          <w:pgNumType w:start="8"/>
          <w:cols w:space="708"/>
        </w:sectPr>
      </w:pPr>
    </w:p>
    <w:p>
      <w:pPr>
        <w:pStyle w:val="BodyText"/>
        <w:rPr>
          <w:sz w:val="8"/>
        </w:rPr>
      </w:pPr>
    </w:p>
    <w:p>
      <w:pPr>
        <w:pStyle w:val="BodyText"/>
        <w:spacing w:before="70"/>
        <w:ind w:left="894"/>
        <w:rPr>
          <w:rFonts w:ascii="黑体"/>
        </w:rPr>
      </w:pPr>
      <w:r>
        <w:rPr>
          <w:rFonts w:ascii="黑体"/>
        </w:rPr>
        <w:t>3.1</w:t>
      </w:r>
    </w:p>
    <w:p>
      <w:pPr>
        <w:pStyle w:val="BodyText"/>
        <w:spacing w:before="1"/>
        <w:rPr>
          <w:rFonts w:ascii="黑体"/>
          <w:sz w:val="10"/>
        </w:rPr>
      </w:pPr>
    </w:p>
    <w:p>
      <w:pPr>
        <w:pStyle w:val="BodyText"/>
        <w:spacing w:before="70"/>
        <w:ind w:left="1314"/>
        <w:rPr>
          <w:rFonts w:ascii="黑体" w:eastAsia="黑体" w:hint="eastAsia"/>
        </w:rPr>
      </w:pPr>
      <w:r>
        <w:rPr>
          <w:rFonts w:ascii="黑体" w:eastAsia="黑体" w:hint="eastAsia"/>
        </w:rPr>
        <w:t>山地旅游区 mountain tourism area</w:t>
      </w:r>
    </w:p>
    <w:p>
      <w:pPr>
        <w:pStyle w:val="BodyText"/>
        <w:spacing w:before="7"/>
        <w:rPr>
          <w:rFonts w:ascii="黑体"/>
          <w:sz w:val="15"/>
        </w:rPr>
      </w:pPr>
    </w:p>
    <w:p>
      <w:pPr>
        <w:pStyle w:val="BodyText"/>
        <w:ind w:left="1314"/>
      </w:pPr>
      <w:r>
        <w:t xml:space="preserve">具有明确地域界限，以开展山地旅游活动为目的的特定旅游区域。 </w:t>
      </w:r>
    </w:p>
    <w:p>
      <w:pPr>
        <w:pStyle w:val="BodyText"/>
        <w:spacing w:before="1"/>
        <w:rPr>
          <w:sz w:val="10"/>
        </w:rPr>
      </w:pPr>
    </w:p>
    <w:p>
      <w:pPr>
        <w:pStyle w:val="BodyText"/>
        <w:spacing w:before="70"/>
        <w:ind w:left="894"/>
        <w:rPr>
          <w:rFonts w:ascii="黑体"/>
        </w:rPr>
      </w:pPr>
      <w:r>
        <w:rPr>
          <w:rFonts w:ascii="黑体"/>
        </w:rPr>
        <w:t>3.2</w:t>
      </w:r>
    </w:p>
    <w:p>
      <w:pPr>
        <w:pStyle w:val="BodyText"/>
        <w:rPr>
          <w:rFonts w:ascii="黑体"/>
          <w:sz w:val="10"/>
        </w:rPr>
      </w:pPr>
    </w:p>
    <w:p>
      <w:pPr>
        <w:pStyle w:val="BodyText"/>
        <w:spacing w:before="71"/>
        <w:ind w:left="1314"/>
        <w:rPr>
          <w:rFonts w:ascii="黑体" w:eastAsia="黑体" w:hint="eastAsia"/>
        </w:rPr>
      </w:pPr>
      <w:r>
        <w:rPr>
          <w:rFonts w:ascii="黑体" w:eastAsia="黑体" w:hint="eastAsia"/>
        </w:rPr>
        <w:t>山地旅游示范区 mountain tourism demonstration area</w:t>
      </w:r>
    </w:p>
    <w:p>
      <w:pPr>
        <w:pStyle w:val="BodyText"/>
        <w:spacing w:before="7"/>
        <w:rPr>
          <w:rFonts w:ascii="黑体"/>
          <w:sz w:val="15"/>
        </w:rPr>
      </w:pPr>
    </w:p>
    <w:p>
      <w:pPr>
        <w:pStyle w:val="BodyText"/>
        <w:ind w:left="1314"/>
      </w:pPr>
      <w:r>
        <w:t xml:space="preserve">山地旅游区中管理规范，具有示范效应的典型山地旅游区。 </w:t>
      </w:r>
    </w:p>
    <w:p>
      <w:pPr>
        <w:pStyle w:val="BodyText"/>
        <w:spacing w:before="10"/>
        <w:rPr>
          <w:sz w:val="27"/>
        </w:rPr>
      </w:pPr>
    </w:p>
    <w:p>
      <w:pPr>
        <w:pStyle w:val="ListParagraph"/>
        <w:numPr>
          <w:ilvl w:val="0"/>
          <w:numId w:val="2"/>
        </w:numPr>
        <w:tabs>
          <w:tab w:val="left" w:pos="1210"/>
        </w:tabs>
        <w:spacing w:before="0" w:after="0" w:line="240" w:lineRule="auto"/>
        <w:ind w:left="1209" w:right="0" w:hanging="316"/>
        <w:jc w:val="left"/>
        <w:rPr>
          <w:rFonts w:ascii="黑体" w:eastAsia="黑体" w:hint="eastAsia"/>
          <w:sz w:val="21"/>
        </w:rPr>
      </w:pPr>
      <w:r>
        <w:rPr>
          <w:rFonts w:ascii="黑体" w:eastAsia="黑体" w:hint="eastAsia"/>
          <w:sz w:val="21"/>
        </w:rPr>
        <w:t>总体要求</w:t>
      </w:r>
    </w:p>
    <w:p>
      <w:pPr>
        <w:pStyle w:val="BodyText"/>
        <w:spacing w:before="1"/>
        <w:rPr>
          <w:rFonts w:ascii="黑体"/>
          <w:sz w:val="22"/>
        </w:rPr>
      </w:pPr>
    </w:p>
    <w:p>
      <w:pPr>
        <w:pStyle w:val="ListParagraph"/>
        <w:numPr>
          <w:ilvl w:val="1"/>
          <w:numId w:val="2"/>
        </w:numPr>
        <w:tabs>
          <w:tab w:val="left" w:pos="1420"/>
        </w:tabs>
        <w:spacing w:before="71" w:after="0" w:line="240" w:lineRule="auto"/>
        <w:ind w:left="1420" w:right="0" w:hanging="526"/>
        <w:jc w:val="left"/>
        <w:rPr>
          <w:sz w:val="21"/>
        </w:rPr>
      </w:pPr>
      <w:r>
        <w:rPr>
          <w:sz w:val="21"/>
        </w:rPr>
        <w:t xml:space="preserve">山地旅游资源应具有较强的独特性、珍稀性和较高的观赏游憩价值。 </w:t>
      </w:r>
    </w:p>
    <w:p>
      <w:pPr>
        <w:pStyle w:val="ListParagraph"/>
        <w:numPr>
          <w:ilvl w:val="1"/>
          <w:numId w:val="2"/>
        </w:numPr>
        <w:tabs>
          <w:tab w:val="left" w:pos="1420"/>
        </w:tabs>
        <w:spacing w:before="43" w:after="0" w:line="240" w:lineRule="auto"/>
        <w:ind w:left="1420" w:right="0" w:hanging="526"/>
        <w:jc w:val="left"/>
        <w:rPr>
          <w:sz w:val="21"/>
        </w:rPr>
      </w:pPr>
      <w:r>
        <w:rPr>
          <w:sz w:val="21"/>
        </w:rPr>
        <w:t xml:space="preserve">对示范区内已被破坏的山地环境，积极修复，且应尽量与周边环境保持一致性和协调性。 </w:t>
      </w:r>
    </w:p>
    <w:p>
      <w:pPr>
        <w:pStyle w:val="ListParagraph"/>
        <w:numPr>
          <w:ilvl w:val="1"/>
          <w:numId w:val="2"/>
        </w:numPr>
        <w:tabs>
          <w:tab w:val="left" w:pos="1420"/>
        </w:tabs>
        <w:spacing w:before="43" w:after="0" w:line="240" w:lineRule="auto"/>
        <w:ind w:left="1420" w:right="0" w:hanging="526"/>
        <w:jc w:val="left"/>
        <w:rPr>
          <w:sz w:val="21"/>
        </w:rPr>
      </w:pPr>
      <w:r>
        <w:rPr>
          <w:sz w:val="21"/>
        </w:rPr>
        <w:t xml:space="preserve">从整体协调和优化利用出发，选择合理的资源利用方式，满足多层次旅游者的需求。 </w:t>
      </w:r>
    </w:p>
    <w:p>
      <w:pPr>
        <w:pStyle w:val="ListParagraph"/>
        <w:numPr>
          <w:ilvl w:val="1"/>
          <w:numId w:val="2"/>
        </w:numPr>
        <w:tabs>
          <w:tab w:val="left" w:pos="1420"/>
        </w:tabs>
        <w:spacing w:before="43" w:after="0" w:line="240" w:lineRule="auto"/>
        <w:ind w:left="1420" w:right="0" w:hanging="526"/>
        <w:jc w:val="left"/>
        <w:rPr>
          <w:sz w:val="21"/>
        </w:rPr>
      </w:pPr>
      <w:r>
        <w:rPr>
          <w:sz w:val="21"/>
        </w:rPr>
        <w:t xml:space="preserve">尊重地方文化特色，保证地方文化受到恰当的对待。 </w:t>
      </w:r>
    </w:p>
    <w:p>
      <w:pPr>
        <w:pStyle w:val="ListParagraph"/>
        <w:numPr>
          <w:ilvl w:val="1"/>
          <w:numId w:val="2"/>
        </w:numPr>
        <w:tabs>
          <w:tab w:val="left" w:pos="1420"/>
        </w:tabs>
        <w:spacing w:before="43" w:after="0" w:line="240" w:lineRule="auto"/>
        <w:ind w:left="1420" w:right="0" w:hanging="526"/>
        <w:jc w:val="left"/>
        <w:rPr>
          <w:sz w:val="21"/>
        </w:rPr>
      </w:pPr>
      <w:r>
        <w:rPr>
          <w:sz w:val="21"/>
        </w:rPr>
        <w:t xml:space="preserve">设立相应的监测机制，动态监测资源利用与保护。 </w:t>
      </w:r>
    </w:p>
    <w:p>
      <w:pPr>
        <w:pStyle w:val="BodyText"/>
        <w:spacing w:before="3"/>
        <w:rPr>
          <w:sz w:val="22"/>
        </w:rPr>
      </w:pPr>
    </w:p>
    <w:p>
      <w:pPr>
        <w:pStyle w:val="ListParagraph"/>
        <w:numPr>
          <w:ilvl w:val="0"/>
          <w:numId w:val="2"/>
        </w:numPr>
        <w:tabs>
          <w:tab w:val="left" w:pos="1210"/>
        </w:tabs>
        <w:spacing w:before="71" w:after="0" w:line="240" w:lineRule="auto"/>
        <w:ind w:left="1209" w:right="0" w:hanging="316"/>
        <w:jc w:val="left"/>
        <w:rPr>
          <w:rFonts w:ascii="黑体" w:eastAsia="黑体" w:hint="eastAsia"/>
          <w:sz w:val="21"/>
        </w:rPr>
      </w:pPr>
      <w:r>
        <w:rPr>
          <w:rFonts w:ascii="黑体" w:eastAsia="黑体" w:hint="eastAsia"/>
          <w:sz w:val="21"/>
        </w:rPr>
        <w:t>规划</w:t>
      </w:r>
    </w:p>
    <w:p>
      <w:pPr>
        <w:pStyle w:val="BodyText"/>
        <w:spacing w:before="1"/>
        <w:rPr>
          <w:rFonts w:ascii="黑体"/>
          <w:sz w:val="22"/>
        </w:rPr>
      </w:pPr>
    </w:p>
    <w:p>
      <w:pPr>
        <w:pStyle w:val="ListParagraph"/>
        <w:numPr>
          <w:ilvl w:val="1"/>
          <w:numId w:val="2"/>
        </w:numPr>
        <w:tabs>
          <w:tab w:val="left" w:pos="1420"/>
        </w:tabs>
        <w:spacing w:before="71" w:after="0" w:line="240" w:lineRule="auto"/>
        <w:ind w:left="1420" w:right="0" w:hanging="526"/>
        <w:jc w:val="left"/>
        <w:rPr>
          <w:rFonts w:ascii="黑体" w:eastAsia="黑体" w:hint="eastAsia"/>
          <w:sz w:val="21"/>
        </w:rPr>
      </w:pPr>
      <w:r>
        <w:rPr>
          <w:rFonts w:ascii="黑体" w:eastAsia="黑体" w:hint="eastAsia"/>
          <w:sz w:val="21"/>
        </w:rPr>
        <w:t>规划原则</w:t>
      </w:r>
    </w:p>
    <w:p>
      <w:pPr>
        <w:pStyle w:val="BodyText"/>
        <w:rPr>
          <w:rFonts w:ascii="黑体"/>
          <w:sz w:val="10"/>
        </w:rPr>
      </w:pPr>
    </w:p>
    <w:p>
      <w:pPr>
        <w:pStyle w:val="ListParagraph"/>
        <w:numPr>
          <w:ilvl w:val="2"/>
          <w:numId w:val="2"/>
        </w:numPr>
        <w:tabs>
          <w:tab w:val="left" w:pos="1630"/>
        </w:tabs>
        <w:spacing w:before="71" w:after="0" w:line="240" w:lineRule="auto"/>
        <w:ind w:left="1630" w:right="0" w:hanging="736"/>
        <w:jc w:val="left"/>
        <w:rPr>
          <w:sz w:val="21"/>
        </w:rPr>
      </w:pPr>
      <w:r>
        <w:drawing>
          <wp:anchor distT="0" distB="0" distL="0" distR="0" simplePos="0" relativeHeight="251670528" behindDoc="0" locked="0" layoutInCell="1" allowOverlap="1">
            <wp:simplePos x="0" y="0"/>
            <wp:positionH relativeFrom="page">
              <wp:posOffset>215900</wp:posOffset>
            </wp:positionH>
            <wp:positionV relativeFrom="paragraph">
              <wp:posOffset>-34670</wp:posOffset>
            </wp:positionV>
            <wp:extent cx="7112000" cy="4876800"/>
            <wp:effectExtent l="0" t="0" r="0" b="0"/>
            <wp:wrapNone/>
            <wp:docPr id="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rPr>
          <w:sz w:val="21"/>
        </w:rPr>
        <w:t xml:space="preserve">坚持政府引导、以人为本、因地制宜的原则。 </w:t>
      </w:r>
    </w:p>
    <w:p>
      <w:pPr>
        <w:pStyle w:val="ListParagraph"/>
        <w:numPr>
          <w:ilvl w:val="2"/>
          <w:numId w:val="2"/>
        </w:numPr>
        <w:tabs>
          <w:tab w:val="left" w:pos="1630"/>
        </w:tabs>
        <w:spacing w:before="43" w:after="0" w:line="240" w:lineRule="auto"/>
        <w:ind w:left="1630" w:right="0" w:hanging="736"/>
        <w:jc w:val="left"/>
        <w:rPr>
          <w:sz w:val="21"/>
        </w:rPr>
      </w:pPr>
      <w:r>
        <w:rPr>
          <w:sz w:val="21"/>
        </w:rPr>
        <w:t xml:space="preserve">坚持“多规合一”，统筹发展的原则。 </w:t>
      </w:r>
    </w:p>
    <w:p>
      <w:pPr>
        <w:pStyle w:val="ListParagraph"/>
        <w:numPr>
          <w:ilvl w:val="2"/>
          <w:numId w:val="2"/>
        </w:numPr>
        <w:tabs>
          <w:tab w:val="left" w:pos="1630"/>
        </w:tabs>
        <w:spacing w:before="43" w:after="0" w:line="240" w:lineRule="auto"/>
        <w:ind w:left="1630" w:right="0" w:hanging="736"/>
        <w:jc w:val="left"/>
        <w:rPr>
          <w:sz w:val="21"/>
        </w:rPr>
      </w:pPr>
      <w:r>
        <w:rPr>
          <w:sz w:val="21"/>
        </w:rPr>
        <w:t xml:space="preserve">坚持生态优先，绿色发展的原则。 </w:t>
      </w:r>
    </w:p>
    <w:p>
      <w:pPr>
        <w:pStyle w:val="ListParagraph"/>
        <w:numPr>
          <w:ilvl w:val="2"/>
          <w:numId w:val="2"/>
        </w:numPr>
        <w:tabs>
          <w:tab w:val="left" w:pos="1630"/>
        </w:tabs>
        <w:spacing w:before="43" w:after="0" w:line="240" w:lineRule="auto"/>
        <w:ind w:left="1630" w:right="0" w:hanging="736"/>
        <w:jc w:val="left"/>
        <w:rPr>
          <w:sz w:val="21"/>
        </w:rPr>
      </w:pPr>
      <w:r>
        <w:rPr>
          <w:sz w:val="21"/>
        </w:rPr>
        <w:t xml:space="preserve">坚持国际视野，开放发展的原则。 </w:t>
      </w:r>
    </w:p>
    <w:p>
      <w:pPr>
        <w:pStyle w:val="BodyText"/>
        <w:rPr>
          <w:sz w:val="10"/>
        </w:rPr>
      </w:pPr>
    </w:p>
    <w:p>
      <w:pPr>
        <w:pStyle w:val="ListParagraph"/>
        <w:numPr>
          <w:ilvl w:val="1"/>
          <w:numId w:val="2"/>
        </w:numPr>
        <w:tabs>
          <w:tab w:val="left" w:pos="1420"/>
        </w:tabs>
        <w:spacing w:before="71" w:after="0" w:line="240" w:lineRule="auto"/>
        <w:ind w:left="1420" w:right="0" w:hanging="526"/>
        <w:jc w:val="left"/>
        <w:rPr>
          <w:rFonts w:ascii="黑体" w:eastAsia="黑体" w:hint="eastAsia"/>
          <w:sz w:val="21"/>
        </w:rPr>
      </w:pPr>
      <w:r>
        <w:rPr>
          <w:rFonts w:ascii="黑体" w:eastAsia="黑体" w:hint="eastAsia"/>
          <w:sz w:val="21"/>
        </w:rPr>
        <w:t>规划要求</w:t>
      </w:r>
    </w:p>
    <w:p>
      <w:pPr>
        <w:pStyle w:val="BodyText"/>
        <w:rPr>
          <w:rFonts w:ascii="黑体"/>
          <w:sz w:val="10"/>
        </w:rPr>
      </w:pPr>
    </w:p>
    <w:p>
      <w:pPr>
        <w:pStyle w:val="ListParagraph"/>
        <w:numPr>
          <w:ilvl w:val="2"/>
          <w:numId w:val="2"/>
        </w:numPr>
        <w:tabs>
          <w:tab w:val="left" w:pos="1630"/>
        </w:tabs>
        <w:spacing w:before="70" w:after="0" w:line="240" w:lineRule="auto"/>
        <w:ind w:left="1630" w:right="0" w:hanging="736"/>
        <w:jc w:val="left"/>
        <w:rPr>
          <w:sz w:val="21"/>
        </w:rPr>
      </w:pPr>
      <w:r>
        <w:rPr>
          <w:sz w:val="21"/>
        </w:rPr>
        <w:t xml:space="preserve">尊重自然环境，体现山地运动文化特点。 </w:t>
      </w:r>
    </w:p>
    <w:p>
      <w:pPr>
        <w:pStyle w:val="ListParagraph"/>
        <w:numPr>
          <w:ilvl w:val="2"/>
          <w:numId w:val="2"/>
        </w:numPr>
        <w:tabs>
          <w:tab w:val="left" w:pos="1630"/>
        </w:tabs>
        <w:spacing w:before="43" w:after="0" w:line="278" w:lineRule="auto"/>
        <w:ind w:left="894" w:right="1157" w:firstLine="0"/>
        <w:jc w:val="left"/>
        <w:rPr>
          <w:sz w:val="21"/>
        </w:rPr>
      </w:pPr>
      <w:r>
        <w:rPr>
          <w:spacing w:val="-1"/>
          <w:sz w:val="21"/>
        </w:rPr>
        <w:t>应符合、衔接所属区域的社会经济发展规划、国土空间规划、城市总体规划、旅游总体规划等</w:t>
      </w:r>
      <w:r>
        <w:rPr>
          <w:sz w:val="21"/>
        </w:rPr>
        <w:t xml:space="preserve">相关规划的要求。 </w:t>
      </w:r>
    </w:p>
    <w:p>
      <w:pPr>
        <w:pStyle w:val="ListParagraph"/>
        <w:numPr>
          <w:ilvl w:val="2"/>
          <w:numId w:val="2"/>
        </w:numPr>
        <w:tabs>
          <w:tab w:val="left" w:pos="1630"/>
        </w:tabs>
        <w:spacing w:before="0" w:after="0" w:line="269" w:lineRule="exact"/>
        <w:ind w:left="1630" w:right="0" w:hanging="736"/>
        <w:jc w:val="left"/>
        <w:rPr>
          <w:sz w:val="21"/>
        </w:rPr>
      </w:pPr>
      <w:r>
        <w:rPr>
          <w:sz w:val="21"/>
        </w:rPr>
        <w:t xml:space="preserve">规划审批应符合相应的审批程序，规划实施严格有效。 </w:t>
      </w:r>
    </w:p>
    <w:p>
      <w:pPr>
        <w:pStyle w:val="ListParagraph"/>
        <w:numPr>
          <w:ilvl w:val="2"/>
          <w:numId w:val="2"/>
        </w:numPr>
        <w:tabs>
          <w:tab w:val="left" w:pos="1630"/>
        </w:tabs>
        <w:spacing w:before="43" w:after="0" w:line="278" w:lineRule="auto"/>
        <w:ind w:left="894" w:right="1157" w:firstLine="0"/>
        <w:jc w:val="left"/>
        <w:rPr>
          <w:sz w:val="21"/>
        </w:rPr>
      </w:pPr>
      <w:r>
        <w:rPr>
          <w:spacing w:val="-1"/>
          <w:sz w:val="21"/>
        </w:rPr>
        <w:t>尊重和展示地方山地旅游特色，尊重地方传统文化和现代文化；建筑设施应与自然环境保持协</w:t>
      </w:r>
      <w:r>
        <w:rPr>
          <w:sz w:val="21"/>
        </w:rPr>
        <w:t xml:space="preserve">调。 </w:t>
      </w:r>
    </w:p>
    <w:p>
      <w:pPr>
        <w:pStyle w:val="ListParagraph"/>
        <w:numPr>
          <w:ilvl w:val="2"/>
          <w:numId w:val="2"/>
        </w:numPr>
        <w:tabs>
          <w:tab w:val="left" w:pos="1630"/>
        </w:tabs>
        <w:spacing w:before="0" w:after="0" w:line="278" w:lineRule="auto"/>
        <w:ind w:left="894" w:right="1157" w:firstLine="0"/>
        <w:jc w:val="left"/>
        <w:rPr>
          <w:sz w:val="21"/>
        </w:rPr>
      </w:pPr>
      <w:r>
        <w:rPr>
          <w:spacing w:val="-1"/>
          <w:sz w:val="21"/>
        </w:rPr>
        <w:t xml:space="preserve">打造品质优良的山地旅游产品，突出山地旅游氛围和特色，提供山地旅游体验和个性化服务， </w:t>
      </w:r>
      <w:r>
        <w:rPr>
          <w:sz w:val="21"/>
        </w:rPr>
        <w:t xml:space="preserve">培育山地旅游品牌。 </w:t>
      </w:r>
    </w:p>
    <w:p>
      <w:pPr>
        <w:pStyle w:val="ListParagraph"/>
        <w:numPr>
          <w:ilvl w:val="2"/>
          <w:numId w:val="2"/>
        </w:numPr>
        <w:tabs>
          <w:tab w:val="left" w:pos="1630"/>
        </w:tabs>
        <w:spacing w:before="0" w:after="0" w:line="269" w:lineRule="exact"/>
        <w:ind w:left="1630" w:right="0" w:hanging="736"/>
        <w:jc w:val="left"/>
        <w:rPr>
          <w:sz w:val="21"/>
        </w:rPr>
      </w:pPr>
      <w:r>
        <w:rPr>
          <w:sz w:val="21"/>
        </w:rPr>
        <w:t xml:space="preserve">合理安排山地旅游产业布局，科学配置山地旅游产业要素，系统构建山地旅游产业集聚空间。 </w:t>
      </w:r>
    </w:p>
    <w:p>
      <w:pPr>
        <w:pStyle w:val="BodyText"/>
        <w:rPr>
          <w:sz w:val="10"/>
        </w:rPr>
      </w:pPr>
    </w:p>
    <w:p>
      <w:pPr>
        <w:pStyle w:val="ListParagraph"/>
        <w:numPr>
          <w:ilvl w:val="1"/>
          <w:numId w:val="2"/>
        </w:numPr>
        <w:tabs>
          <w:tab w:val="left" w:pos="1420"/>
        </w:tabs>
        <w:spacing w:before="71" w:after="0" w:line="240" w:lineRule="auto"/>
        <w:ind w:left="1420" w:right="0" w:hanging="526"/>
        <w:jc w:val="left"/>
        <w:rPr>
          <w:rFonts w:ascii="黑体" w:eastAsia="黑体" w:hint="eastAsia"/>
          <w:sz w:val="21"/>
        </w:rPr>
      </w:pPr>
      <w:r>
        <w:rPr>
          <w:rFonts w:ascii="黑体" w:eastAsia="黑体" w:hint="eastAsia"/>
          <w:sz w:val="21"/>
        </w:rPr>
        <w:t>规划内容</w:t>
      </w:r>
    </w:p>
    <w:p>
      <w:pPr>
        <w:pStyle w:val="BodyText"/>
        <w:rPr>
          <w:rFonts w:ascii="黑体"/>
          <w:sz w:val="10"/>
        </w:rPr>
      </w:pPr>
    </w:p>
    <w:p>
      <w:pPr>
        <w:pStyle w:val="ListParagraph"/>
        <w:numPr>
          <w:ilvl w:val="2"/>
          <w:numId w:val="2"/>
        </w:numPr>
        <w:tabs>
          <w:tab w:val="left" w:pos="1630"/>
        </w:tabs>
        <w:spacing w:before="71" w:after="0" w:line="278" w:lineRule="auto"/>
        <w:ind w:left="894" w:right="1157" w:firstLine="0"/>
        <w:jc w:val="left"/>
        <w:rPr>
          <w:sz w:val="21"/>
        </w:rPr>
      </w:pPr>
      <w:r>
        <w:rPr>
          <w:spacing w:val="-1"/>
          <w:sz w:val="21"/>
        </w:rPr>
        <w:t>规划内容应包括环境现状评估、市场评估、生态环境容量、生态环境影响因素识别、山地旅游</w:t>
      </w:r>
      <w:r>
        <w:rPr>
          <w:sz w:val="21"/>
        </w:rPr>
        <w:t xml:space="preserve">规划、社区协调规划、生态环境影响控制。 </w:t>
      </w:r>
    </w:p>
    <w:p>
      <w:pPr>
        <w:pStyle w:val="ListParagraph"/>
        <w:numPr>
          <w:ilvl w:val="2"/>
          <w:numId w:val="2"/>
        </w:numPr>
        <w:tabs>
          <w:tab w:val="left" w:pos="1630"/>
        </w:tabs>
        <w:spacing w:before="0" w:after="0" w:line="240" w:lineRule="auto"/>
        <w:ind w:left="1630" w:right="0" w:hanging="736"/>
        <w:jc w:val="left"/>
        <w:rPr>
          <w:sz w:val="21"/>
        </w:rPr>
      </w:pPr>
      <w:r>
        <w:rPr>
          <w:sz w:val="21"/>
        </w:rPr>
        <w:t xml:space="preserve">规划审批应符合相应的审批程序。 </w:t>
      </w:r>
    </w:p>
    <w:p>
      <w:pPr>
        <w:pStyle w:val="BodyText"/>
        <w:spacing w:before="43"/>
        <w:ind w:left="894"/>
      </w:pPr>
      <w:r>
        <w:t xml:space="preserve"> </w:t>
      </w:r>
    </w:p>
    <w:p>
      <w:pPr>
        <w:pStyle w:val="BodyText"/>
        <w:rPr>
          <w:sz w:val="20"/>
        </w:rPr>
      </w:pPr>
    </w:p>
    <w:p>
      <w:pPr>
        <w:pStyle w:val="BodyText"/>
        <w:spacing w:before="3"/>
        <w:rPr>
          <w:sz w:val="19"/>
        </w:rPr>
      </w:pPr>
    </w:p>
    <w:p>
      <w:pPr>
        <w:spacing w:before="75"/>
        <w:ind w:left="1091" w:right="0" w:firstLine="0"/>
        <w:jc w:val="left"/>
        <w:rPr>
          <w:sz w:val="18"/>
        </w:rPr>
      </w:pPr>
      <w:r>
        <w:rPr>
          <w:sz w:val="18"/>
        </w:rPr>
        <w:t xml:space="preserve">2 </w:t>
      </w:r>
    </w:p>
    <w:p>
      <w:pPr>
        <w:spacing w:after="0"/>
        <w:jc w:val="left"/>
        <w:rPr>
          <w:sz w:val="18"/>
        </w:rPr>
        <w:sectPr>
          <w:headerReference w:type="even" r:id="rId17"/>
          <w:headerReference w:type="default" r:id="rId18"/>
          <w:pgSz w:w="11910" w:h="16840"/>
          <w:pgMar w:top="1640" w:right="260" w:bottom="280" w:left="240" w:header="1448" w:footer="0"/>
          <w:pgNumType w:start="9"/>
          <w:cols w:space="708"/>
        </w:sectPr>
      </w:pPr>
    </w:p>
    <w:p>
      <w:pPr>
        <w:pStyle w:val="BodyText"/>
        <w:spacing w:before="1"/>
        <w:rPr>
          <w:sz w:val="8"/>
        </w:rPr>
      </w:pPr>
    </w:p>
    <w:p>
      <w:pPr>
        <w:pStyle w:val="ListParagraph"/>
        <w:numPr>
          <w:ilvl w:val="0"/>
          <w:numId w:val="2"/>
        </w:numPr>
        <w:tabs>
          <w:tab w:val="left" w:pos="1495"/>
        </w:tabs>
        <w:spacing w:before="71" w:after="0" w:line="240" w:lineRule="auto"/>
        <w:ind w:left="1494" w:right="0" w:hanging="317"/>
        <w:jc w:val="left"/>
        <w:rPr>
          <w:rFonts w:ascii="黑体" w:eastAsia="黑体" w:hint="eastAsia"/>
          <w:sz w:val="21"/>
        </w:rPr>
      </w:pPr>
      <w:r>
        <w:rPr>
          <w:rFonts w:ascii="黑体" w:eastAsia="黑体" w:hint="eastAsia"/>
          <w:sz w:val="21"/>
        </w:rPr>
        <w:t>环境</w:t>
      </w:r>
    </w:p>
    <w:p>
      <w:pPr>
        <w:pStyle w:val="BodyText"/>
        <w:spacing w:before="1"/>
        <w:rPr>
          <w:rFonts w:ascii="黑体"/>
          <w:sz w:val="22"/>
        </w:rPr>
      </w:pPr>
    </w:p>
    <w:p>
      <w:pPr>
        <w:pStyle w:val="ListParagraph"/>
        <w:numPr>
          <w:ilvl w:val="1"/>
          <w:numId w:val="2"/>
        </w:numPr>
        <w:tabs>
          <w:tab w:val="left" w:pos="1705"/>
        </w:tabs>
        <w:spacing w:before="71" w:after="0" w:line="240" w:lineRule="auto"/>
        <w:ind w:left="1704" w:right="0" w:hanging="527"/>
        <w:jc w:val="left"/>
        <w:rPr>
          <w:rFonts w:ascii="黑体" w:eastAsia="黑体" w:hint="eastAsia"/>
          <w:sz w:val="21"/>
        </w:rPr>
      </w:pPr>
      <w:r>
        <w:rPr>
          <w:rFonts w:ascii="黑体" w:eastAsia="黑体" w:hint="eastAsia"/>
          <w:sz w:val="21"/>
        </w:rPr>
        <w:t>生态环境</w:t>
      </w:r>
    </w:p>
    <w:p>
      <w:pPr>
        <w:pStyle w:val="BodyText"/>
        <w:rPr>
          <w:rFonts w:ascii="黑体"/>
          <w:sz w:val="10"/>
        </w:rPr>
      </w:pPr>
    </w:p>
    <w:p>
      <w:pPr>
        <w:pStyle w:val="ListParagraph"/>
        <w:numPr>
          <w:ilvl w:val="2"/>
          <w:numId w:val="2"/>
        </w:numPr>
        <w:tabs>
          <w:tab w:val="left" w:pos="1915"/>
        </w:tabs>
        <w:spacing w:before="71" w:after="0" w:line="278" w:lineRule="auto"/>
        <w:ind w:left="1178" w:right="871" w:firstLine="0"/>
        <w:jc w:val="left"/>
        <w:rPr>
          <w:sz w:val="21"/>
        </w:rPr>
      </w:pPr>
      <w:r>
        <w:rPr>
          <w:spacing w:val="-1"/>
          <w:sz w:val="21"/>
        </w:rPr>
        <w:t>生态环境质量优良，山地资源景观面貌保护良好，规划科学，布局合理，未造成对生态环境的</w:t>
      </w:r>
      <w:r>
        <w:rPr>
          <w:sz w:val="21"/>
        </w:rPr>
        <w:t xml:space="preserve">破坏。 </w:t>
      </w:r>
    </w:p>
    <w:p>
      <w:pPr>
        <w:pStyle w:val="ListParagraph"/>
        <w:numPr>
          <w:ilvl w:val="2"/>
          <w:numId w:val="2"/>
        </w:numPr>
        <w:tabs>
          <w:tab w:val="left" w:pos="1915"/>
        </w:tabs>
        <w:spacing w:before="0" w:after="0" w:line="269" w:lineRule="exact"/>
        <w:ind w:left="1914" w:right="0" w:hanging="737"/>
        <w:jc w:val="left"/>
        <w:rPr>
          <w:sz w:val="21"/>
        </w:rPr>
      </w:pPr>
      <w:r>
        <w:rPr>
          <w:spacing w:val="-5"/>
          <w:sz w:val="21"/>
        </w:rPr>
        <w:t xml:space="preserve">空气质量良好，常年应达到 </w:t>
      </w:r>
      <w:r>
        <w:rPr>
          <w:sz w:val="21"/>
        </w:rPr>
        <w:t>GB 3095—2012</w:t>
      </w:r>
      <w:r>
        <w:rPr>
          <w:spacing w:val="-9"/>
          <w:sz w:val="21"/>
        </w:rPr>
        <w:t xml:space="preserve"> 规定的一级。 </w:t>
      </w:r>
    </w:p>
    <w:p>
      <w:pPr>
        <w:pStyle w:val="ListParagraph"/>
        <w:numPr>
          <w:ilvl w:val="2"/>
          <w:numId w:val="2"/>
        </w:numPr>
        <w:tabs>
          <w:tab w:val="left" w:pos="1915"/>
        </w:tabs>
        <w:spacing w:before="43" w:after="0" w:line="240" w:lineRule="auto"/>
        <w:ind w:left="1914" w:right="0" w:hanging="737"/>
        <w:jc w:val="left"/>
        <w:rPr>
          <w:sz w:val="21"/>
        </w:rPr>
      </w:pPr>
      <w:r>
        <w:rPr>
          <w:spacing w:val="-7"/>
          <w:sz w:val="21"/>
        </w:rPr>
        <w:t xml:space="preserve">噪声质量应达到 </w:t>
      </w:r>
      <w:r>
        <w:rPr>
          <w:sz w:val="21"/>
        </w:rPr>
        <w:t>GB 3096—2008</w:t>
      </w:r>
      <w:r>
        <w:rPr>
          <w:spacing w:val="-9"/>
          <w:sz w:val="21"/>
        </w:rPr>
        <w:t xml:space="preserve"> 的一类标准。 </w:t>
      </w:r>
    </w:p>
    <w:p>
      <w:pPr>
        <w:pStyle w:val="ListParagraph"/>
        <w:numPr>
          <w:ilvl w:val="2"/>
          <w:numId w:val="2"/>
        </w:numPr>
        <w:tabs>
          <w:tab w:val="left" w:pos="1915"/>
        </w:tabs>
        <w:spacing w:before="43" w:after="0" w:line="240" w:lineRule="auto"/>
        <w:ind w:left="1914" w:right="0" w:hanging="737"/>
        <w:jc w:val="left"/>
        <w:rPr>
          <w:sz w:val="21"/>
        </w:rPr>
      </w:pPr>
      <w:r>
        <w:rPr>
          <w:spacing w:val="-4"/>
          <w:sz w:val="21"/>
        </w:rPr>
        <w:t xml:space="preserve">地表水水体清澈，质量应达到或高于 </w:t>
      </w:r>
      <w:r>
        <w:rPr>
          <w:sz w:val="21"/>
        </w:rPr>
        <w:t>GB 3838—2002</w:t>
      </w:r>
      <w:r>
        <w:rPr>
          <w:spacing w:val="-22"/>
          <w:sz w:val="21"/>
        </w:rPr>
        <w:t xml:space="preserve"> 规定的 </w:t>
      </w:r>
      <w:r>
        <w:rPr>
          <w:sz w:val="21"/>
        </w:rPr>
        <w:t>1</w:t>
      </w:r>
      <w:r>
        <w:rPr>
          <w:spacing w:val="-18"/>
          <w:sz w:val="21"/>
        </w:rPr>
        <w:t xml:space="preserve"> 类。 </w:t>
      </w:r>
    </w:p>
    <w:p>
      <w:pPr>
        <w:pStyle w:val="ListParagraph"/>
        <w:numPr>
          <w:ilvl w:val="2"/>
          <w:numId w:val="2"/>
        </w:numPr>
        <w:tabs>
          <w:tab w:val="left" w:pos="1915"/>
        </w:tabs>
        <w:spacing w:before="43" w:after="0" w:line="278" w:lineRule="auto"/>
        <w:ind w:left="1178" w:right="869" w:firstLine="0"/>
        <w:jc w:val="left"/>
        <w:rPr>
          <w:sz w:val="21"/>
        </w:rPr>
      </w:pPr>
      <w:r>
        <w:drawing>
          <wp:anchor distT="0" distB="0" distL="0" distR="0" simplePos="0" relativeHeight="251672576" behindDoc="1" locked="0" layoutInCell="1" allowOverlap="1">
            <wp:simplePos x="0" y="0"/>
            <wp:positionH relativeFrom="page">
              <wp:posOffset>1890141</wp:posOffset>
            </wp:positionH>
            <wp:positionV relativeFrom="paragraph">
              <wp:posOffset>40845</wp:posOffset>
            </wp:positionV>
            <wp:extent cx="3780266" cy="4971151"/>
            <wp:effectExtent l="0" t="0" r="0" b="0"/>
            <wp:wrapNone/>
            <wp:docPr id="1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4.png"/>
                    <pic:cNvPicPr/>
                  </pic:nvPicPr>
                  <pic:blipFill>
                    <a:blip xmlns:r="http://schemas.openxmlformats.org/officeDocument/2006/relationships" r:embed="rId14" cstate="print"/>
                    <a:stretch>
                      <a:fillRect/>
                    </a:stretch>
                  </pic:blipFill>
                  <pic:spPr>
                    <a:xfrm>
                      <a:off x="0" y="0"/>
                      <a:ext cx="3780266" cy="4971151"/>
                    </a:xfrm>
                    <a:prstGeom prst="rect">
                      <a:avLst/>
                    </a:prstGeom>
                  </pic:spPr>
                </pic:pic>
              </a:graphicData>
            </a:graphic>
          </wp:anchor>
        </w:drawing>
      </w:r>
      <w:r>
        <w:rPr>
          <w:spacing w:val="-1"/>
          <w:sz w:val="21"/>
        </w:rPr>
        <w:t>节约并合理使用水资源，提高水资源的综合利用率；水资源的取用量不应对社区生活和自然生</w:t>
      </w:r>
      <w:r>
        <w:rPr>
          <w:sz w:val="21"/>
        </w:rPr>
        <w:t xml:space="preserve">态系统造成大的不利影响，确保示范区内水源安全、洁净。 </w:t>
      </w:r>
    </w:p>
    <w:p>
      <w:pPr>
        <w:pStyle w:val="ListParagraph"/>
        <w:numPr>
          <w:ilvl w:val="2"/>
          <w:numId w:val="2"/>
        </w:numPr>
        <w:tabs>
          <w:tab w:val="left" w:pos="1915"/>
        </w:tabs>
        <w:spacing w:before="0" w:after="0" w:line="269" w:lineRule="exact"/>
        <w:ind w:left="1914" w:right="0" w:hanging="737"/>
        <w:jc w:val="left"/>
        <w:rPr>
          <w:sz w:val="21"/>
        </w:rPr>
      </w:pPr>
      <w:r>
        <w:rPr>
          <w:spacing w:val="-3"/>
          <w:sz w:val="21"/>
        </w:rPr>
        <w:t xml:space="preserve">接待设施应使用节水设计，总生活用水量不超过每天 </w:t>
      </w:r>
      <w:r>
        <w:rPr>
          <w:sz w:val="21"/>
        </w:rPr>
        <w:t xml:space="preserve">250L/人，宜安装独立的饮水系统。 </w:t>
      </w:r>
    </w:p>
    <w:p>
      <w:pPr>
        <w:pStyle w:val="BodyText"/>
        <w:rPr>
          <w:sz w:val="10"/>
        </w:rPr>
      </w:pPr>
    </w:p>
    <w:p>
      <w:pPr>
        <w:pStyle w:val="ListParagraph"/>
        <w:numPr>
          <w:ilvl w:val="1"/>
          <w:numId w:val="2"/>
        </w:numPr>
        <w:tabs>
          <w:tab w:val="left" w:pos="1705"/>
        </w:tabs>
        <w:spacing w:before="70" w:after="0" w:line="240" w:lineRule="auto"/>
        <w:ind w:left="1704" w:right="0" w:hanging="527"/>
        <w:jc w:val="left"/>
        <w:rPr>
          <w:rFonts w:ascii="黑体" w:eastAsia="黑体" w:hint="eastAsia"/>
          <w:sz w:val="21"/>
        </w:rPr>
      </w:pPr>
      <w:r>
        <w:rPr>
          <w:rFonts w:ascii="黑体" w:eastAsia="黑体" w:hint="eastAsia"/>
          <w:sz w:val="21"/>
        </w:rPr>
        <w:t>人文环境</w:t>
      </w:r>
    </w:p>
    <w:p>
      <w:pPr>
        <w:pStyle w:val="BodyText"/>
        <w:spacing w:before="1"/>
        <w:rPr>
          <w:rFonts w:ascii="黑体"/>
          <w:sz w:val="10"/>
        </w:rPr>
      </w:pPr>
    </w:p>
    <w:p>
      <w:pPr>
        <w:pStyle w:val="ListParagraph"/>
        <w:numPr>
          <w:ilvl w:val="2"/>
          <w:numId w:val="2"/>
        </w:numPr>
        <w:tabs>
          <w:tab w:val="left" w:pos="1915"/>
        </w:tabs>
        <w:spacing w:before="70" w:after="0" w:line="240" w:lineRule="auto"/>
        <w:ind w:left="1914" w:right="0" w:hanging="737"/>
        <w:jc w:val="left"/>
        <w:rPr>
          <w:sz w:val="21"/>
        </w:rPr>
      </w:pPr>
      <w:r>
        <w:rPr>
          <w:sz w:val="21"/>
        </w:rPr>
        <w:t xml:space="preserve">建筑美观、格局合理，体现地域文化特色，与自然环境相协调。 </w:t>
      </w:r>
    </w:p>
    <w:p>
      <w:pPr>
        <w:pStyle w:val="ListParagraph"/>
        <w:numPr>
          <w:ilvl w:val="2"/>
          <w:numId w:val="2"/>
        </w:numPr>
        <w:tabs>
          <w:tab w:val="left" w:pos="1915"/>
        </w:tabs>
        <w:spacing w:before="43" w:after="0" w:line="240" w:lineRule="auto"/>
        <w:ind w:left="1914" w:right="0" w:hanging="737"/>
        <w:jc w:val="left"/>
        <w:rPr>
          <w:sz w:val="21"/>
        </w:rPr>
      </w:pPr>
      <w:r>
        <w:rPr>
          <w:sz w:val="21"/>
        </w:rPr>
        <w:t xml:space="preserve">地方非物质文化传承有序、地方民宿文化展现充分，具有浓郁的人文气息。 </w:t>
      </w:r>
    </w:p>
    <w:p>
      <w:pPr>
        <w:pStyle w:val="ListParagraph"/>
        <w:numPr>
          <w:ilvl w:val="2"/>
          <w:numId w:val="2"/>
        </w:numPr>
        <w:tabs>
          <w:tab w:val="left" w:pos="1915"/>
        </w:tabs>
        <w:spacing w:before="43" w:after="0" w:line="240" w:lineRule="auto"/>
        <w:ind w:left="1914" w:right="0" w:hanging="737"/>
        <w:jc w:val="left"/>
        <w:rPr>
          <w:sz w:val="21"/>
        </w:rPr>
      </w:pPr>
      <w:r>
        <w:rPr>
          <w:sz w:val="21"/>
        </w:rPr>
        <w:t xml:space="preserve">本地居民友好、好客、热情。 </w:t>
      </w:r>
    </w:p>
    <w:p>
      <w:pPr>
        <w:pStyle w:val="BodyText"/>
        <w:rPr>
          <w:sz w:val="10"/>
        </w:rPr>
      </w:pPr>
    </w:p>
    <w:p>
      <w:pPr>
        <w:pStyle w:val="ListParagraph"/>
        <w:numPr>
          <w:ilvl w:val="1"/>
          <w:numId w:val="2"/>
        </w:numPr>
        <w:tabs>
          <w:tab w:val="left" w:pos="1705"/>
        </w:tabs>
        <w:spacing w:before="71" w:after="0" w:line="240" w:lineRule="auto"/>
        <w:ind w:left="1704" w:right="0" w:hanging="527"/>
        <w:jc w:val="left"/>
        <w:rPr>
          <w:rFonts w:ascii="黑体" w:eastAsia="黑体" w:hint="eastAsia"/>
          <w:sz w:val="21"/>
        </w:rPr>
      </w:pPr>
      <w:r>
        <w:rPr>
          <w:rFonts w:ascii="黑体" w:eastAsia="黑体" w:hint="eastAsia"/>
          <w:sz w:val="21"/>
        </w:rPr>
        <w:t>卫生环境</w:t>
      </w:r>
    </w:p>
    <w:p>
      <w:pPr>
        <w:pStyle w:val="BodyText"/>
        <w:rPr>
          <w:rFonts w:ascii="黑体"/>
          <w:sz w:val="10"/>
        </w:rPr>
      </w:pPr>
    </w:p>
    <w:p>
      <w:pPr>
        <w:pStyle w:val="BodyText"/>
        <w:spacing w:before="71" w:line="278" w:lineRule="auto"/>
        <w:ind w:left="1178" w:right="795" w:firstLine="420"/>
      </w:pPr>
      <w:r>
        <w:drawing>
          <wp:anchor distT="0" distB="0" distL="0" distR="0" simplePos="0" relativeHeight="251671552" behindDoc="0" locked="0" layoutInCell="1" allowOverlap="1">
            <wp:simplePos x="0" y="0"/>
            <wp:positionH relativeFrom="page">
              <wp:posOffset>215900</wp:posOffset>
            </wp:positionH>
            <wp:positionV relativeFrom="paragraph">
              <wp:posOffset>460882</wp:posOffset>
            </wp:positionV>
            <wp:extent cx="7112000" cy="4876800"/>
            <wp:effectExtent l="0" t="0" r="0" b="0"/>
            <wp:wrapNone/>
            <wp:docPr id="2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t>各类场所卫生指标应符合GB 37487、GB 37488、GB 37489.1</w:t>
      </w:r>
      <w:r>
        <w:rPr>
          <w:spacing w:val="-1"/>
        </w:rPr>
        <w:t>的规定。设有专职岗位，负责日常环境</w:t>
      </w:r>
      <w:r>
        <w:t xml:space="preserve">卫生管理。 </w:t>
      </w:r>
    </w:p>
    <w:p>
      <w:pPr>
        <w:pStyle w:val="BodyText"/>
        <w:spacing w:before="5"/>
        <w:rPr>
          <w:sz w:val="24"/>
        </w:rPr>
      </w:pPr>
    </w:p>
    <w:p>
      <w:pPr>
        <w:pStyle w:val="ListParagraph"/>
        <w:numPr>
          <w:ilvl w:val="0"/>
          <w:numId w:val="2"/>
        </w:numPr>
        <w:tabs>
          <w:tab w:val="left" w:pos="1495"/>
        </w:tabs>
        <w:spacing w:before="1" w:after="0" w:line="240" w:lineRule="auto"/>
        <w:ind w:left="1494" w:right="0" w:hanging="317"/>
        <w:jc w:val="left"/>
        <w:rPr>
          <w:rFonts w:ascii="黑体" w:eastAsia="黑体" w:hint="eastAsia"/>
          <w:sz w:val="21"/>
        </w:rPr>
      </w:pPr>
      <w:r>
        <w:rPr>
          <w:rFonts w:ascii="黑体" w:eastAsia="黑体" w:hint="eastAsia"/>
          <w:sz w:val="21"/>
        </w:rPr>
        <w:t>基础设施</w:t>
      </w:r>
    </w:p>
    <w:p>
      <w:pPr>
        <w:pStyle w:val="BodyText"/>
        <w:spacing w:before="1"/>
        <w:rPr>
          <w:rFonts w:ascii="黑体"/>
          <w:sz w:val="22"/>
        </w:rPr>
      </w:pPr>
    </w:p>
    <w:p>
      <w:pPr>
        <w:pStyle w:val="ListParagraph"/>
        <w:numPr>
          <w:ilvl w:val="1"/>
          <w:numId w:val="2"/>
        </w:numPr>
        <w:tabs>
          <w:tab w:val="left" w:pos="1705"/>
        </w:tabs>
        <w:spacing w:before="70" w:after="0" w:line="240" w:lineRule="auto"/>
        <w:ind w:left="1704" w:right="0" w:hanging="527"/>
        <w:jc w:val="left"/>
        <w:rPr>
          <w:rFonts w:ascii="黑体" w:eastAsia="黑体" w:hint="eastAsia"/>
          <w:sz w:val="21"/>
        </w:rPr>
      </w:pPr>
      <w:r>
        <w:rPr>
          <w:rFonts w:ascii="黑体" w:eastAsia="黑体" w:hint="eastAsia"/>
          <w:sz w:val="21"/>
        </w:rPr>
        <w:t>道路交通</w:t>
      </w:r>
    </w:p>
    <w:p>
      <w:pPr>
        <w:pStyle w:val="BodyText"/>
        <w:spacing w:before="1"/>
        <w:rPr>
          <w:rFonts w:ascii="黑体"/>
          <w:sz w:val="10"/>
        </w:rPr>
      </w:pPr>
    </w:p>
    <w:p>
      <w:pPr>
        <w:pStyle w:val="ListParagraph"/>
        <w:numPr>
          <w:ilvl w:val="2"/>
          <w:numId w:val="2"/>
        </w:numPr>
        <w:tabs>
          <w:tab w:val="left" w:pos="1915"/>
        </w:tabs>
        <w:spacing w:before="70" w:after="0" w:line="240" w:lineRule="auto"/>
        <w:ind w:left="1914" w:right="0" w:hanging="737"/>
        <w:jc w:val="left"/>
        <w:rPr>
          <w:sz w:val="21"/>
        </w:rPr>
      </w:pPr>
      <w:r>
        <w:rPr>
          <w:sz w:val="21"/>
        </w:rPr>
        <w:t xml:space="preserve">可进入性良好，交通设施完善，进出安全便捷，内外交通接驳顺畅。 </w:t>
      </w:r>
    </w:p>
    <w:p>
      <w:pPr>
        <w:pStyle w:val="ListParagraph"/>
        <w:numPr>
          <w:ilvl w:val="2"/>
          <w:numId w:val="2"/>
        </w:numPr>
        <w:tabs>
          <w:tab w:val="left" w:pos="1915"/>
        </w:tabs>
        <w:spacing w:before="43" w:after="0" w:line="278" w:lineRule="auto"/>
        <w:ind w:left="1178" w:right="871" w:firstLine="0"/>
        <w:jc w:val="left"/>
        <w:rPr>
          <w:sz w:val="21"/>
        </w:rPr>
      </w:pPr>
      <w:r>
        <w:rPr>
          <w:spacing w:val="-1"/>
          <w:sz w:val="21"/>
        </w:rPr>
        <w:t>应合理设计旅游运输路线与旅游路线，建设适宜山地旅游活动的多级别道路系统，宜采用自行</w:t>
      </w:r>
      <w:r>
        <w:rPr>
          <w:spacing w:val="-3"/>
          <w:sz w:val="21"/>
        </w:rPr>
        <w:t xml:space="preserve">车和徒步等非机动交通方式，具体要求应符合 </w:t>
      </w:r>
      <w:r>
        <w:rPr>
          <w:sz w:val="21"/>
        </w:rPr>
        <w:t xml:space="preserve">DB52/T 1401.4。 </w:t>
      </w:r>
    </w:p>
    <w:p>
      <w:pPr>
        <w:pStyle w:val="ListParagraph"/>
        <w:numPr>
          <w:ilvl w:val="2"/>
          <w:numId w:val="2"/>
        </w:numPr>
        <w:tabs>
          <w:tab w:val="left" w:pos="1915"/>
        </w:tabs>
        <w:spacing w:before="0" w:after="0" w:line="269" w:lineRule="exact"/>
        <w:ind w:left="1914" w:right="0" w:hanging="737"/>
        <w:jc w:val="left"/>
        <w:rPr>
          <w:sz w:val="21"/>
        </w:rPr>
      </w:pPr>
      <w:r>
        <w:rPr>
          <w:spacing w:val="-7"/>
          <w:sz w:val="21"/>
        </w:rPr>
        <w:t xml:space="preserve">道路交通标识正确规范，设计美观，道路交通标志和标线应符合 </w:t>
      </w:r>
      <w:r>
        <w:rPr>
          <w:sz w:val="21"/>
        </w:rPr>
        <w:t>GB</w:t>
      </w:r>
      <w:r>
        <w:rPr>
          <w:spacing w:val="-53"/>
          <w:sz w:val="21"/>
        </w:rPr>
        <w:t xml:space="preserve"> </w:t>
      </w:r>
      <w:r>
        <w:rPr>
          <w:spacing w:val="-5"/>
          <w:sz w:val="21"/>
        </w:rPr>
        <w:t>5768（</w:t>
      </w:r>
      <w:r>
        <w:rPr>
          <w:sz w:val="21"/>
        </w:rPr>
        <w:t>所有部分</w:t>
      </w:r>
      <w:r>
        <w:rPr>
          <w:spacing w:val="-24"/>
          <w:sz w:val="21"/>
        </w:rPr>
        <w:t>）</w:t>
      </w:r>
      <w:r>
        <w:rPr>
          <w:sz w:val="21"/>
        </w:rPr>
        <w:t xml:space="preserve">的规定。 </w:t>
      </w:r>
    </w:p>
    <w:p>
      <w:pPr>
        <w:pStyle w:val="ListParagraph"/>
        <w:numPr>
          <w:ilvl w:val="2"/>
          <w:numId w:val="2"/>
        </w:numPr>
        <w:tabs>
          <w:tab w:val="left" w:pos="1915"/>
        </w:tabs>
        <w:spacing w:before="43" w:after="0" w:line="240" w:lineRule="auto"/>
        <w:ind w:left="1914" w:right="0" w:hanging="737"/>
        <w:jc w:val="left"/>
        <w:rPr>
          <w:sz w:val="21"/>
        </w:rPr>
      </w:pPr>
      <w:r>
        <w:rPr>
          <w:sz w:val="21"/>
        </w:rPr>
        <w:t xml:space="preserve">旅游步道设置合理，宜普遍采用生态性材料，线路设计符合生态和审美原则。 </w:t>
      </w:r>
    </w:p>
    <w:p>
      <w:pPr>
        <w:pStyle w:val="ListParagraph"/>
        <w:numPr>
          <w:ilvl w:val="2"/>
          <w:numId w:val="2"/>
        </w:numPr>
        <w:tabs>
          <w:tab w:val="left" w:pos="1915"/>
        </w:tabs>
        <w:spacing w:before="43" w:after="0" w:line="240" w:lineRule="auto"/>
        <w:ind w:left="1914" w:right="0" w:hanging="737"/>
        <w:jc w:val="left"/>
        <w:rPr>
          <w:sz w:val="21"/>
        </w:rPr>
      </w:pPr>
      <w:r>
        <w:rPr>
          <w:sz w:val="21"/>
        </w:rPr>
        <w:t xml:space="preserve">应有与景观环境相协调的专用停车场，布局合理，规模适度，管理规范。 </w:t>
      </w:r>
    </w:p>
    <w:p>
      <w:pPr>
        <w:pStyle w:val="ListParagraph"/>
        <w:numPr>
          <w:ilvl w:val="2"/>
          <w:numId w:val="2"/>
        </w:numPr>
        <w:tabs>
          <w:tab w:val="left" w:pos="1915"/>
        </w:tabs>
        <w:spacing w:before="43" w:after="0" w:line="240" w:lineRule="auto"/>
        <w:ind w:left="1914" w:right="0" w:hanging="737"/>
        <w:jc w:val="left"/>
        <w:rPr>
          <w:sz w:val="21"/>
        </w:rPr>
      </w:pPr>
      <w:r>
        <w:rPr>
          <w:sz w:val="21"/>
        </w:rPr>
        <w:t xml:space="preserve">做好旅游旺季停车疏导工作，示范区内部停车场宜根据需要对外开放。 </w:t>
      </w:r>
    </w:p>
    <w:p>
      <w:pPr>
        <w:pStyle w:val="BodyText"/>
        <w:rPr>
          <w:sz w:val="10"/>
        </w:rPr>
      </w:pPr>
    </w:p>
    <w:p>
      <w:pPr>
        <w:pStyle w:val="ListParagraph"/>
        <w:numPr>
          <w:ilvl w:val="1"/>
          <w:numId w:val="2"/>
        </w:numPr>
        <w:tabs>
          <w:tab w:val="left" w:pos="1705"/>
        </w:tabs>
        <w:spacing w:before="71" w:after="0" w:line="240" w:lineRule="auto"/>
        <w:ind w:left="1704" w:right="0" w:hanging="527"/>
        <w:jc w:val="left"/>
        <w:rPr>
          <w:rFonts w:ascii="黑体" w:eastAsia="黑体" w:hint="eastAsia"/>
          <w:sz w:val="21"/>
        </w:rPr>
      </w:pPr>
      <w:r>
        <w:rPr>
          <w:rFonts w:ascii="黑体" w:eastAsia="黑体" w:hint="eastAsia"/>
          <w:sz w:val="21"/>
        </w:rPr>
        <w:t>供电、有线无线通讯、电视与邮政设施</w:t>
      </w:r>
    </w:p>
    <w:p>
      <w:pPr>
        <w:pStyle w:val="BodyText"/>
        <w:rPr>
          <w:rFonts w:ascii="黑体"/>
          <w:sz w:val="10"/>
        </w:rPr>
      </w:pPr>
    </w:p>
    <w:p>
      <w:pPr>
        <w:pStyle w:val="ListParagraph"/>
        <w:numPr>
          <w:ilvl w:val="2"/>
          <w:numId w:val="2"/>
        </w:numPr>
        <w:tabs>
          <w:tab w:val="left" w:pos="1915"/>
        </w:tabs>
        <w:spacing w:before="71" w:after="0" w:line="278" w:lineRule="auto"/>
        <w:ind w:left="1178" w:right="871" w:firstLine="0"/>
        <w:jc w:val="left"/>
        <w:rPr>
          <w:sz w:val="21"/>
        </w:rPr>
      </w:pPr>
      <w:r>
        <w:rPr>
          <w:spacing w:val="-1"/>
          <w:sz w:val="21"/>
        </w:rPr>
        <w:t>示范区内应保证供电、有线无线通讯、广播电视的覆盖，其设施的设立不影响景观质量，位置</w:t>
      </w:r>
      <w:r>
        <w:rPr>
          <w:sz w:val="21"/>
        </w:rPr>
        <w:t xml:space="preserve">设置合理，与示范区内容相协调。 </w:t>
      </w:r>
    </w:p>
    <w:p>
      <w:pPr>
        <w:pStyle w:val="ListParagraph"/>
        <w:numPr>
          <w:ilvl w:val="2"/>
          <w:numId w:val="2"/>
        </w:numPr>
        <w:tabs>
          <w:tab w:val="left" w:pos="1915"/>
        </w:tabs>
        <w:spacing w:before="0" w:after="0" w:line="269" w:lineRule="exact"/>
        <w:ind w:left="1914" w:right="0" w:hanging="737"/>
        <w:jc w:val="left"/>
        <w:rPr>
          <w:sz w:val="21"/>
        </w:rPr>
      </w:pPr>
      <w:r>
        <w:rPr>
          <w:sz w:val="21"/>
        </w:rPr>
        <w:t xml:space="preserve">示范区内应具备布局合理的邮政设施，可提供与示范区主题相符的邮政纪念服务。 </w:t>
      </w:r>
    </w:p>
    <w:p>
      <w:pPr>
        <w:pStyle w:val="BodyText"/>
        <w:rPr>
          <w:sz w:val="10"/>
        </w:rPr>
      </w:pPr>
    </w:p>
    <w:p>
      <w:pPr>
        <w:pStyle w:val="ListParagraph"/>
        <w:numPr>
          <w:ilvl w:val="1"/>
          <w:numId w:val="2"/>
        </w:numPr>
        <w:tabs>
          <w:tab w:val="left" w:pos="1705"/>
        </w:tabs>
        <w:spacing w:before="70" w:after="0" w:line="240" w:lineRule="auto"/>
        <w:ind w:left="1704" w:right="0" w:hanging="527"/>
        <w:jc w:val="left"/>
        <w:rPr>
          <w:rFonts w:ascii="黑体" w:eastAsia="黑体" w:hint="eastAsia"/>
          <w:sz w:val="21"/>
        </w:rPr>
      </w:pPr>
      <w:r>
        <w:rPr>
          <w:rFonts w:ascii="黑体" w:eastAsia="黑体" w:hint="eastAsia"/>
          <w:sz w:val="21"/>
        </w:rPr>
        <w:t>环卫设施</w:t>
      </w:r>
    </w:p>
    <w:p>
      <w:pPr>
        <w:pStyle w:val="BodyText"/>
        <w:spacing w:before="1"/>
        <w:rPr>
          <w:rFonts w:ascii="黑体"/>
          <w:sz w:val="10"/>
        </w:rPr>
      </w:pPr>
    </w:p>
    <w:p>
      <w:pPr>
        <w:pStyle w:val="ListParagraph"/>
        <w:numPr>
          <w:ilvl w:val="2"/>
          <w:numId w:val="2"/>
        </w:numPr>
        <w:tabs>
          <w:tab w:val="left" w:pos="1915"/>
        </w:tabs>
        <w:spacing w:before="71" w:after="0" w:line="278" w:lineRule="auto"/>
        <w:ind w:left="1178" w:right="871" w:firstLine="0"/>
        <w:jc w:val="both"/>
        <w:rPr>
          <w:sz w:val="21"/>
        </w:rPr>
      </w:pPr>
      <w:r>
        <w:rPr>
          <w:spacing w:val="-1"/>
          <w:sz w:val="21"/>
        </w:rPr>
        <w:t>示范区内主要街区、旅游集散服务中心以及旅游餐饮、旅游购物等旅游服务场所设立的厕所分</w:t>
      </w:r>
      <w:r>
        <w:rPr>
          <w:spacing w:val="-21"/>
          <w:sz w:val="21"/>
        </w:rPr>
        <w:t xml:space="preserve">布合理，厕位数量满足需要，标志统一，美观醒目，建筑风格与周边环境相协调；设置应符合 </w:t>
      </w:r>
      <w:r>
        <w:rPr>
          <w:sz w:val="21"/>
        </w:rPr>
        <w:t>GB/T</w:t>
      </w:r>
      <w:r>
        <w:rPr>
          <w:spacing w:val="-50"/>
          <w:sz w:val="21"/>
        </w:rPr>
        <w:t xml:space="preserve"> </w:t>
      </w:r>
      <w:r>
        <w:rPr>
          <w:spacing w:val="-4"/>
          <w:sz w:val="21"/>
        </w:rPr>
        <w:t xml:space="preserve">18973 </w:t>
      </w:r>
      <w:r>
        <w:rPr>
          <w:sz w:val="21"/>
        </w:rPr>
        <w:t xml:space="preserve">的规定。 </w:t>
      </w:r>
    </w:p>
    <w:p>
      <w:pPr>
        <w:pStyle w:val="ListParagraph"/>
        <w:numPr>
          <w:ilvl w:val="2"/>
          <w:numId w:val="2"/>
        </w:numPr>
        <w:tabs>
          <w:tab w:val="left" w:pos="1915"/>
        </w:tabs>
        <w:spacing w:before="0" w:after="0" w:line="269" w:lineRule="exact"/>
        <w:ind w:left="1914" w:right="0" w:hanging="737"/>
        <w:jc w:val="both"/>
        <w:rPr>
          <w:sz w:val="21"/>
        </w:rPr>
      </w:pPr>
      <w:r>
        <w:rPr>
          <w:spacing w:val="-2"/>
          <w:sz w:val="21"/>
        </w:rPr>
        <w:t xml:space="preserve">示范区内垃圾桶布局合理，数量充足，分类设置；垃圾无害处理率应达到 </w:t>
      </w:r>
      <w:r>
        <w:rPr>
          <w:sz w:val="21"/>
        </w:rPr>
        <w:t xml:space="preserve">100%。 </w:t>
      </w:r>
    </w:p>
    <w:p>
      <w:pPr>
        <w:pStyle w:val="BodyText"/>
        <w:spacing w:before="12"/>
        <w:rPr>
          <w:sz w:val="14"/>
        </w:rPr>
      </w:pPr>
    </w:p>
    <w:p>
      <w:pPr>
        <w:spacing w:before="74"/>
        <w:ind w:left="0" w:right="1007" w:firstLine="0"/>
        <w:jc w:val="right"/>
        <w:rPr>
          <w:sz w:val="18"/>
        </w:rPr>
      </w:pPr>
      <w:r>
        <w:rPr>
          <w:sz w:val="18"/>
        </w:rPr>
        <w:t xml:space="preserve">3 </w:t>
      </w:r>
    </w:p>
    <w:p>
      <w:pPr>
        <w:spacing w:after="0"/>
        <w:jc w:val="right"/>
        <w:rPr>
          <w:sz w:val="18"/>
        </w:rPr>
        <w:sectPr>
          <w:headerReference w:type="even" r:id="rId19"/>
          <w:headerReference w:type="default" r:id="rId20"/>
          <w:pgSz w:w="11910" w:h="16840"/>
          <w:pgMar w:top="1640" w:right="260" w:bottom="280" w:left="240" w:header="1448" w:footer="0"/>
          <w:pgNumType w:start="10"/>
          <w:cols w:space="708"/>
        </w:sectPr>
      </w:pPr>
    </w:p>
    <w:p>
      <w:pPr>
        <w:pStyle w:val="BodyText"/>
        <w:rPr>
          <w:sz w:val="8"/>
        </w:rPr>
      </w:pPr>
    </w:p>
    <w:p>
      <w:pPr>
        <w:pStyle w:val="ListParagraph"/>
        <w:numPr>
          <w:ilvl w:val="2"/>
          <w:numId w:val="2"/>
        </w:numPr>
        <w:tabs>
          <w:tab w:val="left" w:pos="1630"/>
        </w:tabs>
        <w:spacing w:before="70" w:after="0" w:line="240" w:lineRule="auto"/>
        <w:ind w:left="1630" w:right="0" w:hanging="736"/>
        <w:jc w:val="left"/>
        <w:rPr>
          <w:sz w:val="21"/>
        </w:rPr>
      </w:pPr>
      <w:r>
        <w:rPr>
          <w:sz w:val="21"/>
        </w:rPr>
        <w:t xml:space="preserve">垃圾及时收集、清理，实现垃圾的分类回收，防止视觉污染。 </w:t>
      </w:r>
    </w:p>
    <w:p>
      <w:pPr>
        <w:pStyle w:val="ListParagraph"/>
        <w:numPr>
          <w:ilvl w:val="2"/>
          <w:numId w:val="2"/>
        </w:numPr>
        <w:tabs>
          <w:tab w:val="left" w:pos="1630"/>
        </w:tabs>
        <w:spacing w:before="43" w:after="0" w:line="240" w:lineRule="auto"/>
        <w:ind w:left="1630" w:right="0" w:hanging="736"/>
        <w:jc w:val="left"/>
        <w:rPr>
          <w:sz w:val="21"/>
        </w:rPr>
      </w:pPr>
      <w:r>
        <w:rPr>
          <w:sz w:val="21"/>
        </w:rPr>
        <w:t xml:space="preserve">废弃电池、污油等危险废物专门回收。 </w:t>
      </w:r>
    </w:p>
    <w:p>
      <w:pPr>
        <w:pStyle w:val="ListParagraph"/>
        <w:numPr>
          <w:ilvl w:val="2"/>
          <w:numId w:val="2"/>
        </w:numPr>
        <w:tabs>
          <w:tab w:val="left" w:pos="1630"/>
        </w:tabs>
        <w:spacing w:before="43" w:after="0" w:line="240" w:lineRule="auto"/>
        <w:ind w:left="1630" w:right="0" w:hanging="736"/>
        <w:jc w:val="left"/>
        <w:rPr>
          <w:sz w:val="21"/>
        </w:rPr>
      </w:pPr>
      <w:r>
        <w:rPr>
          <w:sz w:val="21"/>
        </w:rPr>
        <w:t xml:space="preserve">区分吸烟区与非吸烟区，吸烟区内通风良好，配有消防设备，且管理到位。 </w:t>
      </w:r>
    </w:p>
    <w:p>
      <w:pPr>
        <w:pStyle w:val="ListParagraph"/>
        <w:numPr>
          <w:ilvl w:val="2"/>
          <w:numId w:val="2"/>
        </w:numPr>
        <w:tabs>
          <w:tab w:val="left" w:pos="1630"/>
        </w:tabs>
        <w:spacing w:before="44" w:after="0" w:line="240" w:lineRule="auto"/>
        <w:ind w:left="1630" w:right="0" w:hanging="736"/>
        <w:jc w:val="left"/>
        <w:rPr>
          <w:sz w:val="21"/>
        </w:rPr>
      </w:pPr>
      <w:r>
        <w:rPr>
          <w:spacing w:val="-5"/>
          <w:sz w:val="21"/>
        </w:rPr>
        <w:t xml:space="preserve">生活烟气的排放应符合 </w:t>
      </w:r>
      <w:r>
        <w:rPr>
          <w:sz w:val="21"/>
        </w:rPr>
        <w:t>GB 18483</w:t>
      </w:r>
      <w:r>
        <w:rPr>
          <w:spacing w:val="-12"/>
          <w:sz w:val="21"/>
        </w:rPr>
        <w:t xml:space="preserve"> 的要求。 </w:t>
      </w:r>
    </w:p>
    <w:p>
      <w:pPr>
        <w:pStyle w:val="BodyText"/>
        <w:rPr>
          <w:sz w:val="10"/>
        </w:rPr>
      </w:pPr>
    </w:p>
    <w:p>
      <w:pPr>
        <w:pStyle w:val="ListParagraph"/>
        <w:numPr>
          <w:ilvl w:val="1"/>
          <w:numId w:val="2"/>
        </w:numPr>
        <w:tabs>
          <w:tab w:val="left" w:pos="1420"/>
        </w:tabs>
        <w:spacing w:before="70" w:after="0" w:line="240" w:lineRule="auto"/>
        <w:ind w:left="1420" w:right="0" w:hanging="526"/>
        <w:jc w:val="left"/>
        <w:rPr>
          <w:rFonts w:ascii="黑体" w:eastAsia="黑体" w:hint="eastAsia"/>
          <w:sz w:val="21"/>
        </w:rPr>
      </w:pPr>
      <w:r>
        <w:rPr>
          <w:rFonts w:ascii="黑体" w:eastAsia="黑体" w:hint="eastAsia"/>
          <w:sz w:val="21"/>
        </w:rPr>
        <w:t>给排水设施</w:t>
      </w:r>
    </w:p>
    <w:p>
      <w:pPr>
        <w:pStyle w:val="BodyText"/>
        <w:spacing w:before="1"/>
        <w:rPr>
          <w:rFonts w:ascii="黑体"/>
          <w:sz w:val="10"/>
        </w:rPr>
      </w:pPr>
    </w:p>
    <w:p>
      <w:pPr>
        <w:pStyle w:val="ListParagraph"/>
        <w:numPr>
          <w:ilvl w:val="2"/>
          <w:numId w:val="2"/>
        </w:numPr>
        <w:tabs>
          <w:tab w:val="left" w:pos="1630"/>
        </w:tabs>
        <w:spacing w:before="70" w:after="0" w:line="278" w:lineRule="auto"/>
        <w:ind w:left="894" w:right="1157" w:firstLine="0"/>
        <w:jc w:val="left"/>
        <w:rPr>
          <w:sz w:val="21"/>
        </w:rPr>
      </w:pPr>
      <w:r>
        <w:rPr>
          <w:spacing w:val="-1"/>
          <w:sz w:val="21"/>
        </w:rPr>
        <w:t>给排水系统完善，能满足生产生活用水、景观绿化用水、消防用水及其他用水需求；实现雨污</w:t>
      </w:r>
      <w:r>
        <w:rPr>
          <w:sz w:val="21"/>
        </w:rPr>
        <w:t xml:space="preserve">分流，污水集中处理。 </w:t>
      </w:r>
    </w:p>
    <w:p>
      <w:pPr>
        <w:pStyle w:val="ListParagraph"/>
        <w:numPr>
          <w:ilvl w:val="2"/>
          <w:numId w:val="2"/>
        </w:numPr>
        <w:tabs>
          <w:tab w:val="left" w:pos="1630"/>
        </w:tabs>
        <w:spacing w:before="0" w:after="0" w:line="269" w:lineRule="exact"/>
        <w:ind w:left="1630" w:right="0" w:hanging="736"/>
        <w:jc w:val="left"/>
        <w:rPr>
          <w:sz w:val="21"/>
        </w:rPr>
      </w:pPr>
      <w:r>
        <w:rPr>
          <w:spacing w:val="-2"/>
          <w:sz w:val="21"/>
        </w:rPr>
        <w:t xml:space="preserve">提高污水处理能力和水资源的循环利用率，污水排放应符合 </w:t>
      </w:r>
      <w:r>
        <w:rPr>
          <w:sz w:val="21"/>
        </w:rPr>
        <w:t>GB 8978</w:t>
      </w:r>
      <w:r>
        <w:rPr>
          <w:spacing w:val="-12"/>
          <w:sz w:val="21"/>
        </w:rPr>
        <w:t xml:space="preserve"> 的规定。 </w:t>
      </w:r>
    </w:p>
    <w:p>
      <w:pPr>
        <w:pStyle w:val="BodyText"/>
        <w:rPr>
          <w:sz w:val="10"/>
        </w:rPr>
      </w:pPr>
    </w:p>
    <w:p>
      <w:pPr>
        <w:pStyle w:val="ListParagraph"/>
        <w:numPr>
          <w:ilvl w:val="1"/>
          <w:numId w:val="2"/>
        </w:numPr>
        <w:tabs>
          <w:tab w:val="left" w:pos="1420"/>
        </w:tabs>
        <w:spacing w:before="71" w:after="0" w:line="240" w:lineRule="auto"/>
        <w:ind w:left="1420" w:right="0" w:hanging="526"/>
        <w:jc w:val="left"/>
        <w:rPr>
          <w:rFonts w:ascii="黑体" w:eastAsia="黑体" w:hint="eastAsia"/>
          <w:sz w:val="21"/>
        </w:rPr>
      </w:pPr>
      <w:r>
        <w:rPr>
          <w:rFonts w:ascii="黑体" w:eastAsia="黑体" w:hint="eastAsia"/>
          <w:sz w:val="21"/>
        </w:rPr>
        <w:t>安全设施</w:t>
      </w:r>
    </w:p>
    <w:p>
      <w:pPr>
        <w:pStyle w:val="BodyText"/>
        <w:rPr>
          <w:rFonts w:ascii="黑体"/>
          <w:sz w:val="10"/>
        </w:rPr>
      </w:pPr>
    </w:p>
    <w:p>
      <w:pPr>
        <w:pStyle w:val="ListParagraph"/>
        <w:numPr>
          <w:ilvl w:val="2"/>
          <w:numId w:val="2"/>
        </w:numPr>
        <w:tabs>
          <w:tab w:val="left" w:pos="1630"/>
        </w:tabs>
        <w:spacing w:before="71" w:after="0" w:line="240" w:lineRule="auto"/>
        <w:ind w:left="1630" w:right="0" w:hanging="736"/>
        <w:jc w:val="left"/>
        <w:rPr>
          <w:sz w:val="21"/>
        </w:rPr>
      </w:pPr>
      <w:r>
        <w:rPr>
          <w:sz w:val="21"/>
        </w:rPr>
        <w:t xml:space="preserve">特种游览设施设备安全保障措施健全有效。 </w:t>
      </w:r>
    </w:p>
    <w:p>
      <w:pPr>
        <w:pStyle w:val="ListParagraph"/>
        <w:numPr>
          <w:ilvl w:val="2"/>
          <w:numId w:val="2"/>
        </w:numPr>
        <w:tabs>
          <w:tab w:val="left" w:pos="1630"/>
        </w:tabs>
        <w:spacing w:before="43" w:after="0" w:line="240" w:lineRule="auto"/>
        <w:ind w:left="1630" w:right="0" w:hanging="736"/>
        <w:jc w:val="left"/>
        <w:rPr>
          <w:sz w:val="21"/>
        </w:rPr>
      </w:pPr>
      <w:r>
        <w:rPr>
          <w:sz w:val="21"/>
        </w:rPr>
        <w:t xml:space="preserve">交通、景点、游览、娱乐等设备完好，运行正常，无安全隐患。 </w:t>
      </w:r>
    </w:p>
    <w:p>
      <w:pPr>
        <w:pStyle w:val="ListParagraph"/>
        <w:numPr>
          <w:ilvl w:val="2"/>
          <w:numId w:val="2"/>
        </w:numPr>
        <w:tabs>
          <w:tab w:val="left" w:pos="1630"/>
        </w:tabs>
        <w:spacing w:before="43" w:after="0" w:line="240" w:lineRule="auto"/>
        <w:ind w:left="1630" w:right="0" w:hanging="736"/>
        <w:jc w:val="left"/>
        <w:rPr>
          <w:sz w:val="21"/>
        </w:rPr>
      </w:pPr>
      <w:r>
        <w:rPr>
          <w:sz w:val="21"/>
        </w:rPr>
        <w:t xml:space="preserve">消防设备齐全、完好、有效。 </w:t>
      </w:r>
    </w:p>
    <w:p>
      <w:pPr>
        <w:pStyle w:val="BodyText"/>
        <w:spacing w:before="10"/>
        <w:rPr>
          <w:sz w:val="27"/>
        </w:rPr>
      </w:pPr>
    </w:p>
    <w:p>
      <w:pPr>
        <w:pStyle w:val="ListParagraph"/>
        <w:numPr>
          <w:ilvl w:val="0"/>
          <w:numId w:val="2"/>
        </w:numPr>
        <w:tabs>
          <w:tab w:val="left" w:pos="1210"/>
        </w:tabs>
        <w:spacing w:before="0" w:after="0" w:line="240" w:lineRule="auto"/>
        <w:ind w:left="1209" w:right="0" w:hanging="316"/>
        <w:jc w:val="left"/>
        <w:rPr>
          <w:rFonts w:ascii="黑体" w:eastAsia="黑体" w:hint="eastAsia"/>
          <w:sz w:val="21"/>
        </w:rPr>
      </w:pPr>
      <w:r>
        <w:rPr>
          <w:rFonts w:ascii="黑体" w:eastAsia="黑体" w:hint="eastAsia"/>
          <w:sz w:val="21"/>
        </w:rPr>
        <w:t>服务设施</w:t>
      </w:r>
    </w:p>
    <w:p>
      <w:pPr>
        <w:pStyle w:val="BodyText"/>
        <w:spacing w:before="1"/>
        <w:rPr>
          <w:rFonts w:ascii="黑体"/>
          <w:sz w:val="22"/>
        </w:rPr>
      </w:pPr>
    </w:p>
    <w:p>
      <w:pPr>
        <w:pStyle w:val="ListParagraph"/>
        <w:numPr>
          <w:ilvl w:val="1"/>
          <w:numId w:val="2"/>
        </w:numPr>
        <w:tabs>
          <w:tab w:val="left" w:pos="1420"/>
        </w:tabs>
        <w:spacing w:before="71" w:after="0" w:line="240" w:lineRule="auto"/>
        <w:ind w:left="1420" w:right="0" w:hanging="526"/>
        <w:jc w:val="left"/>
        <w:rPr>
          <w:rFonts w:ascii="黑体" w:eastAsia="黑体" w:hint="eastAsia"/>
          <w:sz w:val="21"/>
        </w:rPr>
      </w:pPr>
      <w:r>
        <w:rPr>
          <w:rFonts w:ascii="黑体" w:eastAsia="黑体" w:hint="eastAsia"/>
          <w:sz w:val="21"/>
        </w:rPr>
        <w:t>游客中心</w:t>
      </w:r>
    </w:p>
    <w:p>
      <w:pPr>
        <w:pStyle w:val="BodyText"/>
        <w:rPr>
          <w:rFonts w:ascii="黑体"/>
          <w:sz w:val="10"/>
        </w:rPr>
      </w:pPr>
    </w:p>
    <w:p>
      <w:pPr>
        <w:pStyle w:val="ListParagraph"/>
        <w:numPr>
          <w:ilvl w:val="2"/>
          <w:numId w:val="2"/>
        </w:numPr>
        <w:tabs>
          <w:tab w:val="left" w:pos="1630"/>
        </w:tabs>
        <w:spacing w:before="71" w:after="0" w:line="240" w:lineRule="auto"/>
        <w:ind w:left="1630" w:right="0" w:hanging="736"/>
        <w:jc w:val="left"/>
        <w:rPr>
          <w:sz w:val="21"/>
        </w:rPr>
      </w:pPr>
      <w:r>
        <w:rPr>
          <w:sz w:val="21"/>
        </w:rPr>
        <w:t xml:space="preserve">应设置在地质稳定、地势平坦、便于接入基础设施的地区。 </w:t>
      </w:r>
    </w:p>
    <w:p>
      <w:pPr>
        <w:pStyle w:val="ListParagraph"/>
        <w:numPr>
          <w:ilvl w:val="2"/>
          <w:numId w:val="2"/>
        </w:numPr>
        <w:tabs>
          <w:tab w:val="left" w:pos="1630"/>
        </w:tabs>
        <w:spacing w:before="43" w:after="0" w:line="278" w:lineRule="auto"/>
        <w:ind w:left="894" w:right="1157" w:firstLine="0"/>
        <w:jc w:val="left"/>
        <w:rPr>
          <w:sz w:val="21"/>
        </w:rPr>
      </w:pPr>
      <w:r>
        <w:drawing>
          <wp:anchor distT="0" distB="0" distL="0" distR="0" simplePos="0" relativeHeight="251673600" behindDoc="0" locked="0" layoutInCell="1" allowOverlap="1">
            <wp:simplePos x="0" y="0"/>
            <wp:positionH relativeFrom="page">
              <wp:posOffset>215900</wp:posOffset>
            </wp:positionH>
            <wp:positionV relativeFrom="paragraph">
              <wp:posOffset>244983</wp:posOffset>
            </wp:positionV>
            <wp:extent cx="7112000" cy="4876800"/>
            <wp:effectExtent l="0" t="0" r="0" b="0"/>
            <wp:wrapNone/>
            <wp:docPr id="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rPr>
          <w:sz w:val="21"/>
        </w:rPr>
        <w:t>建筑外观（造型、色调、材质等）</w:t>
      </w:r>
      <w:r>
        <w:rPr>
          <w:spacing w:val="-1"/>
          <w:sz w:val="21"/>
        </w:rPr>
        <w:t>应突出山地特色和地方特色，并与地域和自然景观环境相协</w:t>
      </w:r>
      <w:r>
        <w:rPr>
          <w:sz w:val="21"/>
        </w:rPr>
        <w:t xml:space="preserve">调。 </w:t>
      </w:r>
    </w:p>
    <w:p>
      <w:pPr>
        <w:pStyle w:val="ListParagraph"/>
        <w:numPr>
          <w:ilvl w:val="2"/>
          <w:numId w:val="2"/>
        </w:numPr>
        <w:tabs>
          <w:tab w:val="left" w:pos="1630"/>
        </w:tabs>
        <w:spacing w:before="0" w:after="0" w:line="240" w:lineRule="auto"/>
        <w:ind w:left="1630" w:right="0" w:hanging="736"/>
        <w:jc w:val="left"/>
        <w:rPr>
          <w:sz w:val="21"/>
        </w:rPr>
      </w:pPr>
      <w:r>
        <w:rPr>
          <w:spacing w:val="-3"/>
          <w:sz w:val="21"/>
        </w:rPr>
        <w:t xml:space="preserve">建筑应有醒目的标识和名称，建筑物附近 </w:t>
      </w:r>
      <w:r>
        <w:rPr>
          <w:sz w:val="21"/>
        </w:rPr>
        <w:t>200</w:t>
      </w:r>
      <w:r>
        <w:rPr>
          <w:spacing w:val="-36"/>
          <w:sz w:val="21"/>
        </w:rPr>
        <w:t xml:space="preserve"> </w:t>
      </w:r>
      <w:r>
        <w:rPr>
          <w:sz w:val="21"/>
        </w:rPr>
        <w:t>m</w:t>
      </w:r>
      <w:r>
        <w:rPr>
          <w:spacing w:val="-8"/>
          <w:sz w:val="21"/>
        </w:rPr>
        <w:t xml:space="preserve"> 范围内宜设置引导路标。 </w:t>
      </w:r>
    </w:p>
    <w:p>
      <w:pPr>
        <w:pStyle w:val="ListParagraph"/>
        <w:numPr>
          <w:ilvl w:val="2"/>
          <w:numId w:val="2"/>
        </w:numPr>
        <w:tabs>
          <w:tab w:val="left" w:pos="1630"/>
        </w:tabs>
        <w:spacing w:before="43" w:after="0" w:line="240" w:lineRule="auto"/>
        <w:ind w:left="1630" w:right="0" w:hanging="736"/>
        <w:jc w:val="left"/>
        <w:rPr>
          <w:sz w:val="21"/>
        </w:rPr>
      </w:pPr>
      <w:r>
        <w:rPr>
          <w:spacing w:val="-6"/>
          <w:sz w:val="21"/>
        </w:rPr>
        <w:t xml:space="preserve">游客中心建设应符合 </w:t>
      </w:r>
      <w:r>
        <w:rPr>
          <w:sz w:val="21"/>
        </w:rPr>
        <w:t>DB52/T 1089</w:t>
      </w:r>
      <w:r>
        <w:rPr>
          <w:spacing w:val="-12"/>
          <w:sz w:val="21"/>
        </w:rPr>
        <w:t xml:space="preserve"> 的规定。 </w:t>
      </w:r>
    </w:p>
    <w:p>
      <w:pPr>
        <w:pStyle w:val="ListParagraph"/>
        <w:numPr>
          <w:ilvl w:val="2"/>
          <w:numId w:val="2"/>
        </w:numPr>
        <w:tabs>
          <w:tab w:val="left" w:pos="1630"/>
        </w:tabs>
        <w:spacing w:before="43" w:after="0" w:line="278" w:lineRule="auto"/>
        <w:ind w:left="894" w:right="1157" w:firstLine="0"/>
        <w:jc w:val="left"/>
        <w:rPr>
          <w:sz w:val="21"/>
        </w:rPr>
      </w:pPr>
      <w:r>
        <w:rPr>
          <w:spacing w:val="-1"/>
          <w:sz w:val="21"/>
        </w:rPr>
        <w:t>应配备为特殊人群的服务设施，包括轮椅、婴儿车、拐杖等辅助代步工具或器械，并放置在醒</w:t>
      </w:r>
      <w:r>
        <w:rPr>
          <w:sz w:val="21"/>
        </w:rPr>
        <w:t xml:space="preserve">目的位置，方便使用。 </w:t>
      </w:r>
    </w:p>
    <w:p>
      <w:pPr>
        <w:pStyle w:val="ListParagraph"/>
        <w:numPr>
          <w:ilvl w:val="1"/>
          <w:numId w:val="2"/>
        </w:numPr>
        <w:tabs>
          <w:tab w:val="left" w:pos="1420"/>
        </w:tabs>
        <w:spacing w:before="155" w:after="0" w:line="240" w:lineRule="auto"/>
        <w:ind w:left="1420" w:right="0" w:hanging="526"/>
        <w:jc w:val="left"/>
        <w:rPr>
          <w:rFonts w:ascii="黑体" w:eastAsia="黑体" w:hint="eastAsia"/>
          <w:sz w:val="21"/>
        </w:rPr>
      </w:pPr>
      <w:r>
        <w:rPr>
          <w:rFonts w:ascii="黑体" w:eastAsia="黑体" w:hint="eastAsia"/>
          <w:sz w:val="21"/>
        </w:rPr>
        <w:t>会议设施</w:t>
      </w:r>
    </w:p>
    <w:p>
      <w:pPr>
        <w:pStyle w:val="BodyText"/>
        <w:spacing w:before="1"/>
        <w:rPr>
          <w:rFonts w:ascii="黑体"/>
          <w:sz w:val="10"/>
        </w:rPr>
      </w:pPr>
    </w:p>
    <w:p>
      <w:pPr>
        <w:pStyle w:val="ListParagraph"/>
        <w:numPr>
          <w:ilvl w:val="2"/>
          <w:numId w:val="2"/>
        </w:numPr>
        <w:tabs>
          <w:tab w:val="left" w:pos="1630"/>
        </w:tabs>
        <w:spacing w:before="70" w:after="0" w:line="278" w:lineRule="auto"/>
        <w:ind w:left="894" w:right="1049" w:firstLine="0"/>
        <w:jc w:val="left"/>
        <w:rPr>
          <w:sz w:val="21"/>
        </w:rPr>
      </w:pPr>
      <w:r>
        <w:rPr>
          <w:spacing w:val="-21"/>
          <w:sz w:val="21"/>
        </w:rPr>
        <w:t>应拥有现代化会议设施，包括会议中心和商务饭店，应拥有不同功能、规模和风格的会议厅</w:t>
      </w:r>
      <w:r>
        <w:rPr>
          <w:sz w:val="21"/>
        </w:rPr>
        <w:t>（室</w:t>
      </w:r>
      <w:r>
        <w:rPr>
          <w:spacing w:val="-104"/>
          <w:sz w:val="21"/>
        </w:rPr>
        <w:t>）</w:t>
      </w:r>
      <w:r>
        <w:rPr>
          <w:spacing w:val="-13"/>
          <w:sz w:val="21"/>
        </w:rPr>
        <w:t>、</w:t>
      </w:r>
      <w:r>
        <w:rPr>
          <w:sz w:val="21"/>
        </w:rPr>
        <w:t xml:space="preserve">多功能厅、宴会厅等。 </w:t>
      </w:r>
    </w:p>
    <w:p>
      <w:pPr>
        <w:pStyle w:val="ListParagraph"/>
        <w:numPr>
          <w:ilvl w:val="2"/>
          <w:numId w:val="2"/>
        </w:numPr>
        <w:tabs>
          <w:tab w:val="left" w:pos="1630"/>
        </w:tabs>
        <w:spacing w:before="0" w:after="0" w:line="269" w:lineRule="exact"/>
        <w:ind w:left="1630" w:right="0" w:hanging="736"/>
        <w:jc w:val="left"/>
        <w:rPr>
          <w:sz w:val="21"/>
        </w:rPr>
      </w:pPr>
      <w:r>
        <w:rPr>
          <w:sz w:val="21"/>
        </w:rPr>
        <w:t xml:space="preserve">应配备先进的多媒体声像、同声传译设备。 </w:t>
      </w:r>
    </w:p>
    <w:p>
      <w:pPr>
        <w:pStyle w:val="ListParagraph"/>
        <w:numPr>
          <w:ilvl w:val="2"/>
          <w:numId w:val="2"/>
        </w:numPr>
        <w:tabs>
          <w:tab w:val="left" w:pos="1630"/>
        </w:tabs>
        <w:spacing w:before="43" w:after="0" w:line="240" w:lineRule="auto"/>
        <w:ind w:left="1630" w:right="0" w:hanging="736"/>
        <w:jc w:val="left"/>
        <w:rPr>
          <w:sz w:val="21"/>
        </w:rPr>
      </w:pPr>
      <w:r>
        <w:rPr>
          <w:sz w:val="21"/>
        </w:rPr>
        <w:t xml:space="preserve">会展中心、商务饭店具备承担举办不同级别会议活动的能力。 </w:t>
      </w:r>
    </w:p>
    <w:p>
      <w:pPr>
        <w:pStyle w:val="BodyText"/>
        <w:rPr>
          <w:sz w:val="10"/>
        </w:rPr>
      </w:pPr>
    </w:p>
    <w:p>
      <w:pPr>
        <w:pStyle w:val="ListParagraph"/>
        <w:numPr>
          <w:ilvl w:val="1"/>
          <w:numId w:val="2"/>
        </w:numPr>
        <w:tabs>
          <w:tab w:val="left" w:pos="1420"/>
        </w:tabs>
        <w:spacing w:before="71" w:after="0" w:line="240" w:lineRule="auto"/>
        <w:ind w:left="1420" w:right="0" w:hanging="526"/>
        <w:jc w:val="left"/>
        <w:rPr>
          <w:rFonts w:ascii="黑体" w:eastAsia="黑体" w:hint="eastAsia"/>
          <w:sz w:val="21"/>
        </w:rPr>
      </w:pPr>
      <w:r>
        <w:rPr>
          <w:rFonts w:ascii="黑体" w:eastAsia="黑体" w:hint="eastAsia"/>
          <w:sz w:val="21"/>
        </w:rPr>
        <w:t>旅游饭店设施</w:t>
      </w:r>
    </w:p>
    <w:p>
      <w:pPr>
        <w:pStyle w:val="BodyText"/>
        <w:rPr>
          <w:rFonts w:ascii="黑体"/>
          <w:sz w:val="10"/>
        </w:rPr>
      </w:pPr>
    </w:p>
    <w:p>
      <w:pPr>
        <w:pStyle w:val="ListParagraph"/>
        <w:numPr>
          <w:ilvl w:val="2"/>
          <w:numId w:val="2"/>
        </w:numPr>
        <w:tabs>
          <w:tab w:val="left" w:pos="1630"/>
        </w:tabs>
        <w:spacing w:before="71" w:after="0" w:line="278" w:lineRule="auto"/>
        <w:ind w:left="894" w:right="1157" w:firstLine="0"/>
        <w:jc w:val="left"/>
        <w:rPr>
          <w:sz w:val="21"/>
        </w:rPr>
      </w:pPr>
      <w:r>
        <w:rPr>
          <w:spacing w:val="-1"/>
          <w:sz w:val="21"/>
        </w:rPr>
        <w:t>旅游饭店设施类别多样，结构合理，客房数量、档次基本满足国内外旅游者需求，具体要求应</w:t>
      </w:r>
      <w:r>
        <w:rPr>
          <w:spacing w:val="-18"/>
          <w:sz w:val="21"/>
        </w:rPr>
        <w:t xml:space="preserve">符合 </w:t>
      </w:r>
      <w:r>
        <w:rPr>
          <w:sz w:val="21"/>
        </w:rPr>
        <w:t>DB52/T 1401.10</w:t>
      </w:r>
      <w:r>
        <w:rPr>
          <w:spacing w:val="-12"/>
          <w:sz w:val="21"/>
        </w:rPr>
        <w:t xml:space="preserve"> 的规定。 </w:t>
      </w:r>
    </w:p>
    <w:p>
      <w:pPr>
        <w:pStyle w:val="ListParagraph"/>
        <w:numPr>
          <w:ilvl w:val="2"/>
          <w:numId w:val="2"/>
        </w:numPr>
        <w:tabs>
          <w:tab w:val="left" w:pos="1630"/>
        </w:tabs>
        <w:spacing w:before="0" w:after="0" w:line="278" w:lineRule="auto"/>
        <w:ind w:left="894" w:right="1157" w:firstLine="0"/>
        <w:jc w:val="left"/>
        <w:rPr>
          <w:sz w:val="21"/>
        </w:rPr>
      </w:pPr>
      <w:r>
        <w:rPr>
          <w:spacing w:val="-1"/>
          <w:sz w:val="21"/>
        </w:rPr>
        <w:t>住宿设施应突出山地特色和少数民族特色，有条件的应配备山地特色、民族特色主题酒店、民</w:t>
      </w:r>
      <w:r>
        <w:rPr>
          <w:sz w:val="21"/>
        </w:rPr>
        <w:t xml:space="preserve">宿等。 </w:t>
      </w:r>
    </w:p>
    <w:p>
      <w:pPr>
        <w:pStyle w:val="ListParagraph"/>
        <w:numPr>
          <w:ilvl w:val="2"/>
          <w:numId w:val="2"/>
        </w:numPr>
        <w:tabs>
          <w:tab w:val="left" w:pos="1630"/>
        </w:tabs>
        <w:spacing w:before="0" w:after="0" w:line="269" w:lineRule="exact"/>
        <w:ind w:left="1630" w:right="0" w:hanging="736"/>
        <w:jc w:val="left"/>
        <w:rPr>
          <w:sz w:val="21"/>
        </w:rPr>
      </w:pPr>
      <w:r>
        <w:rPr>
          <w:spacing w:val="-3"/>
          <w:sz w:val="21"/>
        </w:rPr>
        <w:t xml:space="preserve">宜发展绿色旅游饭店，绿色旅游饭店应符合 </w:t>
      </w:r>
      <w:r>
        <w:rPr>
          <w:sz w:val="21"/>
        </w:rPr>
        <w:t>LB/T 007</w:t>
      </w:r>
      <w:r>
        <w:rPr>
          <w:spacing w:val="-9"/>
          <w:sz w:val="21"/>
        </w:rPr>
        <w:t xml:space="preserve"> 标准的规定。 </w:t>
      </w:r>
    </w:p>
    <w:p>
      <w:pPr>
        <w:pStyle w:val="BodyText"/>
        <w:spacing w:before="43"/>
        <w:ind w:left="894"/>
      </w:pPr>
      <w:r>
        <w:t xml:space="preserve"> </w:t>
      </w:r>
    </w:p>
    <w:p>
      <w:pPr>
        <w:pStyle w:val="BodyText"/>
        <w:spacing w:before="43"/>
        <w:ind w:left="894"/>
      </w:pPr>
      <w:r>
        <w:t xml:space="preserve"> </w:t>
      </w:r>
    </w:p>
    <w:p>
      <w:pPr>
        <w:pStyle w:val="BodyText"/>
        <w:rPr>
          <w:sz w:val="10"/>
        </w:rPr>
      </w:pPr>
    </w:p>
    <w:p>
      <w:pPr>
        <w:pStyle w:val="ListParagraph"/>
        <w:numPr>
          <w:ilvl w:val="1"/>
          <w:numId w:val="2"/>
        </w:numPr>
        <w:tabs>
          <w:tab w:val="left" w:pos="1420"/>
        </w:tabs>
        <w:spacing w:before="71" w:after="0" w:line="240" w:lineRule="auto"/>
        <w:ind w:left="1420" w:right="0" w:hanging="526"/>
        <w:jc w:val="left"/>
        <w:rPr>
          <w:rFonts w:ascii="黑体" w:eastAsia="黑体" w:hint="eastAsia"/>
          <w:sz w:val="21"/>
        </w:rPr>
      </w:pPr>
      <w:r>
        <w:rPr>
          <w:rFonts w:ascii="黑体" w:eastAsia="黑体" w:hint="eastAsia"/>
          <w:sz w:val="21"/>
        </w:rPr>
        <w:t>餐饮设施</w:t>
      </w:r>
    </w:p>
    <w:p>
      <w:pPr>
        <w:pStyle w:val="BodyText"/>
        <w:rPr>
          <w:rFonts w:ascii="黑体"/>
          <w:sz w:val="10"/>
        </w:rPr>
      </w:pPr>
    </w:p>
    <w:p>
      <w:pPr>
        <w:pStyle w:val="ListParagraph"/>
        <w:numPr>
          <w:ilvl w:val="2"/>
          <w:numId w:val="2"/>
        </w:numPr>
        <w:tabs>
          <w:tab w:val="left" w:pos="1630"/>
        </w:tabs>
        <w:spacing w:before="70" w:after="0" w:line="240" w:lineRule="auto"/>
        <w:ind w:left="1630" w:right="0" w:hanging="736"/>
        <w:jc w:val="left"/>
        <w:rPr>
          <w:sz w:val="21"/>
        </w:rPr>
      </w:pPr>
      <w:r>
        <w:rPr>
          <w:spacing w:val="-12"/>
          <w:sz w:val="21"/>
        </w:rPr>
        <w:t xml:space="preserve">餐饮设施规模应与游客接待量相匹配，位置、类型、档次分布合理；餐饮场所应符合 </w:t>
      </w:r>
      <w:r>
        <w:rPr>
          <w:sz w:val="21"/>
        </w:rPr>
        <w:t>GB</w:t>
      </w:r>
      <w:r>
        <w:rPr>
          <w:spacing w:val="-54"/>
          <w:sz w:val="21"/>
        </w:rPr>
        <w:t xml:space="preserve"> </w:t>
      </w:r>
      <w:r>
        <w:rPr>
          <w:sz w:val="21"/>
        </w:rPr>
        <w:t>37487、</w:t>
      </w:r>
    </w:p>
    <w:p>
      <w:pPr>
        <w:spacing w:before="111"/>
        <w:ind w:left="1091" w:right="0" w:firstLine="0"/>
        <w:jc w:val="left"/>
        <w:rPr>
          <w:sz w:val="18"/>
        </w:rPr>
      </w:pPr>
      <w:r>
        <w:rPr>
          <w:sz w:val="18"/>
        </w:rPr>
        <w:t xml:space="preserve">4 </w:t>
      </w:r>
    </w:p>
    <w:p>
      <w:pPr>
        <w:spacing w:after="0"/>
        <w:jc w:val="left"/>
        <w:rPr>
          <w:sz w:val="18"/>
        </w:rPr>
        <w:sectPr>
          <w:headerReference w:type="even" r:id="rId21"/>
          <w:headerReference w:type="default" r:id="rId22"/>
          <w:pgSz w:w="11910" w:h="16840"/>
          <w:pgMar w:top="1640" w:right="260" w:bottom="280" w:left="240" w:header="1448" w:footer="0"/>
          <w:pgNumType w:start="11"/>
          <w:cols w:space="708"/>
        </w:sectPr>
      </w:pPr>
    </w:p>
    <w:p>
      <w:pPr>
        <w:pStyle w:val="BodyText"/>
        <w:rPr>
          <w:sz w:val="8"/>
        </w:rPr>
      </w:pPr>
    </w:p>
    <w:p>
      <w:pPr>
        <w:pStyle w:val="BodyText"/>
        <w:spacing w:before="70"/>
        <w:ind w:left="1177"/>
      </w:pPr>
      <w:r>
        <w:t xml:space="preserve">GB 37488、GB 37489.1 的要求。 </w:t>
      </w:r>
    </w:p>
    <w:p>
      <w:pPr>
        <w:pStyle w:val="ListParagraph"/>
        <w:numPr>
          <w:ilvl w:val="2"/>
          <w:numId w:val="2"/>
        </w:numPr>
        <w:tabs>
          <w:tab w:val="left" w:pos="1916"/>
        </w:tabs>
        <w:spacing w:before="43" w:after="0" w:line="240" w:lineRule="auto"/>
        <w:ind w:left="1915" w:right="0" w:hanging="739"/>
        <w:jc w:val="left"/>
        <w:rPr>
          <w:sz w:val="21"/>
        </w:rPr>
      </w:pPr>
      <w:r>
        <w:rPr>
          <w:spacing w:val="-2"/>
          <w:sz w:val="21"/>
        </w:rPr>
        <w:t xml:space="preserve">应提供具有山地民族特色、品质优良的个性化菜品。 </w:t>
      </w:r>
    </w:p>
    <w:p>
      <w:pPr>
        <w:pStyle w:val="BodyText"/>
        <w:spacing w:before="1"/>
        <w:rPr>
          <w:sz w:val="10"/>
        </w:rPr>
      </w:pPr>
    </w:p>
    <w:p>
      <w:pPr>
        <w:pStyle w:val="ListParagraph"/>
        <w:numPr>
          <w:ilvl w:val="1"/>
          <w:numId w:val="2"/>
        </w:numPr>
        <w:tabs>
          <w:tab w:val="left" w:pos="1703"/>
        </w:tabs>
        <w:spacing w:before="70" w:after="0" w:line="240" w:lineRule="auto"/>
        <w:ind w:left="1702" w:right="0" w:hanging="526"/>
        <w:jc w:val="left"/>
        <w:rPr>
          <w:rFonts w:ascii="黑体" w:eastAsia="黑体" w:hint="eastAsia"/>
          <w:sz w:val="21"/>
        </w:rPr>
      </w:pPr>
      <w:r>
        <w:rPr>
          <w:rFonts w:ascii="黑体" w:eastAsia="黑体" w:hint="eastAsia"/>
          <w:sz w:val="21"/>
        </w:rPr>
        <w:t>购物设施</w:t>
      </w:r>
    </w:p>
    <w:p>
      <w:pPr>
        <w:pStyle w:val="BodyText"/>
        <w:spacing w:before="7"/>
        <w:rPr>
          <w:rFonts w:ascii="黑体"/>
          <w:sz w:val="15"/>
        </w:rPr>
      </w:pPr>
    </w:p>
    <w:p>
      <w:pPr>
        <w:pStyle w:val="ListParagraph"/>
        <w:numPr>
          <w:ilvl w:val="2"/>
          <w:numId w:val="2"/>
        </w:numPr>
        <w:tabs>
          <w:tab w:val="left" w:pos="1916"/>
        </w:tabs>
        <w:spacing w:before="0" w:after="0" w:line="240" w:lineRule="auto"/>
        <w:ind w:left="1915" w:right="0" w:hanging="739"/>
        <w:jc w:val="left"/>
        <w:rPr>
          <w:sz w:val="21"/>
        </w:rPr>
      </w:pPr>
      <w:r>
        <w:rPr>
          <w:spacing w:val="-12"/>
          <w:sz w:val="21"/>
        </w:rPr>
        <w:t xml:space="preserve">布局合理，注重山地特色和民族特色，本地产品开发度高，管理有序，建设应符合 </w:t>
      </w:r>
      <w:r>
        <w:rPr>
          <w:sz w:val="21"/>
        </w:rPr>
        <w:t>DB52/T</w:t>
      </w:r>
      <w:r>
        <w:rPr>
          <w:spacing w:val="-53"/>
          <w:sz w:val="21"/>
        </w:rPr>
        <w:t xml:space="preserve"> </w:t>
      </w:r>
      <w:r>
        <w:rPr>
          <w:sz w:val="21"/>
        </w:rPr>
        <w:t>1161</w:t>
      </w:r>
    </w:p>
    <w:p>
      <w:pPr>
        <w:pStyle w:val="BodyText"/>
        <w:spacing w:before="43"/>
        <w:ind w:left="1177"/>
      </w:pPr>
      <w:r>
        <w:t xml:space="preserve">的规定。 </w:t>
      </w:r>
    </w:p>
    <w:p>
      <w:pPr>
        <w:spacing w:after="0"/>
        <w:sectPr>
          <w:headerReference w:type="even" r:id="rId23"/>
          <w:headerReference w:type="default" r:id="rId24"/>
          <w:pgSz w:w="11910" w:h="16840"/>
          <w:pgMar w:top="1640" w:right="258" w:bottom="280" w:left="240" w:header="1448" w:footer="0"/>
          <w:pgNumType w:start="12"/>
          <w:cols w:space="708"/>
        </w:sectPr>
      </w:pPr>
    </w:p>
    <w:p>
      <w:pPr>
        <w:pStyle w:val="ListParagraph"/>
        <w:numPr>
          <w:ilvl w:val="2"/>
          <w:numId w:val="2"/>
        </w:numPr>
        <w:tabs>
          <w:tab w:val="left" w:pos="1704"/>
        </w:tabs>
        <w:spacing w:before="43" w:after="0" w:line="240" w:lineRule="auto"/>
        <w:ind w:left="1703" w:right="0" w:hanging="527"/>
        <w:jc w:val="left"/>
        <w:rPr>
          <w:rFonts w:ascii="黑体"/>
          <w:sz w:val="21"/>
        </w:rPr>
      </w:pPr>
    </w:p>
    <w:p>
      <w:pPr>
        <w:pStyle w:val="BodyText"/>
        <w:spacing w:before="43"/>
        <w:ind w:left="1177"/>
      </w:pPr>
      <w:r>
        <w:t xml:space="preserve">链。 </w:t>
      </w:r>
    </w:p>
    <w:p>
      <w:pPr>
        <w:pStyle w:val="ListParagraph"/>
        <w:numPr>
          <w:ilvl w:val="2"/>
          <w:numId w:val="2"/>
        </w:numPr>
        <w:tabs>
          <w:tab w:val="left" w:pos="1704"/>
        </w:tabs>
        <w:spacing w:before="43" w:after="0" w:line="240" w:lineRule="auto"/>
        <w:ind w:left="1703" w:right="0" w:hanging="527"/>
        <w:jc w:val="left"/>
        <w:rPr>
          <w:rFonts w:ascii="黑体"/>
          <w:sz w:val="21"/>
        </w:rPr>
      </w:pPr>
    </w:p>
    <w:p>
      <w:pPr>
        <w:pStyle w:val="BodyText"/>
        <w:spacing w:before="43"/>
        <w:ind w:left="173"/>
      </w:pPr>
      <w:r>
        <w:br w:type="column"/>
      </w:r>
      <w:r>
        <w:t>示范区外围土特产品生产规模化，工艺品和纪念品经营形成设计、生产、销售等产品链和产业</w:t>
      </w:r>
    </w:p>
    <w:p>
      <w:pPr>
        <w:pStyle w:val="BodyText"/>
        <w:spacing w:before="9"/>
        <w:rPr>
          <w:sz w:val="27"/>
        </w:rPr>
      </w:pPr>
    </w:p>
    <w:p>
      <w:pPr>
        <w:pStyle w:val="BodyText"/>
        <w:ind w:left="172"/>
      </w:pPr>
      <w:r>
        <w:drawing>
          <wp:anchor distT="0" distB="0" distL="0" distR="0" simplePos="0" relativeHeight="251674624" behindDoc="1" locked="0" layoutInCell="1" allowOverlap="1">
            <wp:simplePos x="0" y="0"/>
            <wp:positionH relativeFrom="page">
              <wp:posOffset>1889823</wp:posOffset>
            </wp:positionH>
            <wp:positionV relativeFrom="paragraph">
              <wp:posOffset>112988</wp:posOffset>
            </wp:positionV>
            <wp:extent cx="3779656" cy="4970349"/>
            <wp:effectExtent l="0" t="0" r="0" b="0"/>
            <wp:wrapNone/>
            <wp:docPr id="2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4.png"/>
                    <pic:cNvPicPr/>
                  </pic:nvPicPr>
                  <pic:blipFill>
                    <a:blip xmlns:r="http://schemas.openxmlformats.org/officeDocument/2006/relationships" r:embed="rId14" cstate="print"/>
                    <a:stretch>
                      <a:fillRect/>
                    </a:stretch>
                  </pic:blipFill>
                  <pic:spPr>
                    <a:xfrm>
                      <a:off x="0" y="0"/>
                      <a:ext cx="3779656" cy="4970349"/>
                    </a:xfrm>
                    <a:prstGeom prst="rect">
                      <a:avLst/>
                    </a:prstGeom>
                  </pic:spPr>
                </pic:pic>
              </a:graphicData>
            </a:graphic>
          </wp:anchor>
        </w:drawing>
      </w:r>
      <w:r>
        <w:t xml:space="preserve">购物接待、交通、安全、收银等设施安全齐备。 </w:t>
      </w:r>
    </w:p>
    <w:p>
      <w:pPr>
        <w:spacing w:after="0"/>
        <w:sectPr>
          <w:headerReference w:type="even" r:id="rId25"/>
          <w:headerReference w:type="default" r:id="rId26"/>
          <w:type w:val="continuous"/>
          <w:pgSz w:w="11910" w:h="16840"/>
          <w:pgMar w:top="560" w:right="258" w:bottom="0" w:left="240" w:header="708" w:footer="708"/>
          <w:pgNumType w:start="13"/>
          <w:cols w:num="2" w:space="708" w:equalWidth="0">
            <w:col w:w="1703" w:space="40"/>
            <w:col w:w="9669" w:space="0"/>
          </w:cols>
        </w:sectPr>
      </w:pPr>
    </w:p>
    <w:p>
      <w:pPr>
        <w:pStyle w:val="BodyText"/>
        <w:rPr>
          <w:sz w:val="10"/>
        </w:rPr>
      </w:pPr>
    </w:p>
    <w:p>
      <w:pPr>
        <w:pStyle w:val="ListParagraph"/>
        <w:numPr>
          <w:ilvl w:val="1"/>
          <w:numId w:val="2"/>
        </w:numPr>
        <w:tabs>
          <w:tab w:val="left" w:pos="1703"/>
        </w:tabs>
        <w:spacing w:before="71" w:after="0" w:line="240" w:lineRule="auto"/>
        <w:ind w:left="1702" w:right="0" w:hanging="526"/>
        <w:jc w:val="left"/>
        <w:rPr>
          <w:rFonts w:ascii="黑体" w:eastAsia="黑体" w:hint="eastAsia"/>
          <w:sz w:val="21"/>
        </w:rPr>
      </w:pPr>
      <w:r>
        <w:rPr>
          <w:rFonts w:ascii="黑体" w:eastAsia="黑体" w:hint="eastAsia"/>
          <w:sz w:val="21"/>
        </w:rPr>
        <w:t>文娱设施</w:t>
      </w:r>
    </w:p>
    <w:p>
      <w:pPr>
        <w:pStyle w:val="BodyText"/>
        <w:spacing w:before="6"/>
        <w:rPr>
          <w:rFonts w:ascii="黑体"/>
          <w:sz w:val="15"/>
        </w:rPr>
      </w:pPr>
    </w:p>
    <w:p>
      <w:pPr>
        <w:pStyle w:val="ListParagraph"/>
        <w:numPr>
          <w:ilvl w:val="2"/>
          <w:numId w:val="2"/>
        </w:numPr>
        <w:tabs>
          <w:tab w:val="left" w:pos="1916"/>
        </w:tabs>
        <w:spacing w:before="0" w:after="0" w:line="240" w:lineRule="auto"/>
        <w:ind w:left="1915" w:right="0" w:hanging="739"/>
        <w:jc w:val="left"/>
        <w:rPr>
          <w:sz w:val="21"/>
        </w:rPr>
      </w:pPr>
      <w:r>
        <w:rPr>
          <w:spacing w:val="-3"/>
          <w:sz w:val="21"/>
        </w:rPr>
        <w:t>可根据当地特点适度开展具有地方和民族特色的娱乐活动。</w:t>
      </w:r>
      <w:r>
        <w:rPr>
          <w:sz w:val="21"/>
        </w:rPr>
        <w:t xml:space="preserve"> </w:t>
      </w:r>
    </w:p>
    <w:p>
      <w:pPr>
        <w:pStyle w:val="ListParagraph"/>
        <w:numPr>
          <w:ilvl w:val="2"/>
          <w:numId w:val="2"/>
        </w:numPr>
        <w:tabs>
          <w:tab w:val="left" w:pos="1916"/>
        </w:tabs>
        <w:spacing w:before="43" w:after="0" w:line="240" w:lineRule="auto"/>
        <w:ind w:left="1915" w:right="0" w:hanging="739"/>
        <w:jc w:val="left"/>
        <w:rPr>
          <w:sz w:val="21"/>
        </w:rPr>
      </w:pPr>
      <w:r>
        <w:rPr>
          <w:spacing w:val="-3"/>
          <w:sz w:val="21"/>
        </w:rPr>
        <w:t xml:space="preserve">娱乐活动场地选址不应破坏当地环境，项目内容应尊重当地风俗。 </w:t>
      </w:r>
    </w:p>
    <w:p>
      <w:pPr>
        <w:pStyle w:val="BodyText"/>
        <w:rPr>
          <w:sz w:val="10"/>
        </w:rPr>
      </w:pPr>
    </w:p>
    <w:p>
      <w:pPr>
        <w:pStyle w:val="ListParagraph"/>
        <w:numPr>
          <w:ilvl w:val="1"/>
          <w:numId w:val="2"/>
        </w:numPr>
        <w:tabs>
          <w:tab w:val="left" w:pos="1703"/>
        </w:tabs>
        <w:spacing w:before="71" w:after="0" w:line="240" w:lineRule="auto"/>
        <w:ind w:left="1702" w:right="0" w:hanging="526"/>
        <w:jc w:val="left"/>
        <w:rPr>
          <w:rFonts w:ascii="黑体" w:eastAsia="黑体" w:hint="eastAsia"/>
          <w:sz w:val="21"/>
        </w:rPr>
      </w:pPr>
      <w:r>
        <w:rPr>
          <w:rFonts w:ascii="黑体" w:eastAsia="黑体" w:hint="eastAsia"/>
          <w:sz w:val="21"/>
        </w:rPr>
        <w:t>导览设施</w:t>
      </w:r>
    </w:p>
    <w:p>
      <w:pPr>
        <w:pStyle w:val="BodyText"/>
        <w:spacing w:before="7"/>
        <w:rPr>
          <w:rFonts w:ascii="黑体"/>
          <w:sz w:val="15"/>
        </w:rPr>
      </w:pPr>
    </w:p>
    <w:p>
      <w:pPr>
        <w:pStyle w:val="ListParagraph"/>
        <w:numPr>
          <w:ilvl w:val="2"/>
          <w:numId w:val="2"/>
        </w:numPr>
        <w:tabs>
          <w:tab w:val="left" w:pos="1916"/>
        </w:tabs>
        <w:spacing w:before="0" w:after="0" w:line="240" w:lineRule="auto"/>
        <w:ind w:left="1915" w:right="0" w:hanging="739"/>
        <w:jc w:val="left"/>
        <w:rPr>
          <w:sz w:val="21"/>
        </w:rPr>
      </w:pPr>
      <w:r>
        <w:rPr>
          <w:spacing w:val="-3"/>
          <w:sz w:val="21"/>
        </w:rPr>
        <w:t xml:space="preserve">设施完善，包括全景图、导览图、指示牌、公共信息标识、提示牌、警示牌等。 </w:t>
      </w:r>
    </w:p>
    <w:p>
      <w:pPr>
        <w:pStyle w:val="ListParagraph"/>
        <w:numPr>
          <w:ilvl w:val="2"/>
          <w:numId w:val="2"/>
        </w:numPr>
        <w:tabs>
          <w:tab w:val="left" w:pos="1916"/>
        </w:tabs>
        <w:spacing w:before="43" w:after="0" w:line="240" w:lineRule="auto"/>
        <w:ind w:left="1915" w:right="0" w:hanging="739"/>
        <w:jc w:val="left"/>
        <w:rPr>
          <w:sz w:val="21"/>
        </w:rPr>
      </w:pPr>
      <w:r>
        <w:rPr>
          <w:spacing w:val="-3"/>
          <w:sz w:val="21"/>
        </w:rPr>
        <w:t>公共信息图形符号的指示牌设置合理，设计精美，特色鲜明，突出示范区主题，有艺术感和文</w:t>
      </w:r>
    </w:p>
    <w:p>
      <w:pPr>
        <w:pStyle w:val="BodyText"/>
        <w:spacing w:before="43"/>
        <w:ind w:left="1177"/>
      </w:pPr>
      <w:r>
        <w:t xml:space="preserve">化气息。 </w:t>
      </w:r>
    </w:p>
    <w:p>
      <w:pPr>
        <w:pStyle w:val="ListParagraph"/>
        <w:numPr>
          <w:ilvl w:val="2"/>
          <w:numId w:val="2"/>
        </w:numPr>
        <w:tabs>
          <w:tab w:val="left" w:pos="1916"/>
        </w:tabs>
        <w:spacing w:before="43" w:after="0" w:line="240" w:lineRule="auto"/>
        <w:ind w:left="1915" w:right="0" w:hanging="739"/>
        <w:jc w:val="left"/>
        <w:rPr>
          <w:sz w:val="21"/>
        </w:rPr>
      </w:pPr>
      <w:r>
        <w:rPr>
          <w:spacing w:val="-1"/>
          <w:sz w:val="21"/>
        </w:rPr>
        <w:t xml:space="preserve">应具有两种以上中外文对照。 </w:t>
      </w:r>
    </w:p>
    <w:p>
      <w:pPr>
        <w:pStyle w:val="ListParagraph"/>
        <w:numPr>
          <w:ilvl w:val="2"/>
          <w:numId w:val="2"/>
        </w:numPr>
        <w:tabs>
          <w:tab w:val="left" w:pos="1916"/>
        </w:tabs>
        <w:spacing w:before="43" w:after="0" w:line="240" w:lineRule="auto"/>
        <w:ind w:left="1915" w:right="0" w:hanging="739"/>
        <w:jc w:val="left"/>
        <w:rPr>
          <w:sz w:val="21"/>
        </w:rPr>
      </w:pPr>
      <w:r>
        <w:rPr>
          <w:spacing w:val="-7"/>
          <w:sz w:val="21"/>
        </w:rPr>
        <w:t xml:space="preserve">图形符号应符合 </w:t>
      </w:r>
      <w:r>
        <w:rPr>
          <w:sz w:val="21"/>
        </w:rPr>
        <w:t>GB/T 10001.1</w:t>
      </w:r>
      <w:r>
        <w:rPr>
          <w:spacing w:val="-10"/>
          <w:sz w:val="21"/>
        </w:rPr>
        <w:t xml:space="preserve"> 的规定。 </w:t>
      </w:r>
    </w:p>
    <w:p>
      <w:pPr>
        <w:pStyle w:val="BodyText"/>
        <w:rPr>
          <w:sz w:val="10"/>
        </w:rPr>
      </w:pPr>
    </w:p>
    <w:p>
      <w:pPr>
        <w:pStyle w:val="ListParagraph"/>
        <w:numPr>
          <w:ilvl w:val="1"/>
          <w:numId w:val="2"/>
        </w:numPr>
        <w:tabs>
          <w:tab w:val="left" w:pos="1703"/>
        </w:tabs>
        <w:spacing w:before="71" w:after="0" w:line="240" w:lineRule="auto"/>
        <w:ind w:left="1702" w:right="0" w:hanging="526"/>
        <w:jc w:val="left"/>
        <w:rPr>
          <w:rFonts w:ascii="黑体" w:eastAsia="黑体" w:hint="eastAsia"/>
          <w:sz w:val="21"/>
        </w:rPr>
      </w:pPr>
      <w:r>
        <w:drawing>
          <wp:anchor distT="0" distB="0" distL="0" distR="0" simplePos="0" relativeHeight="251675648" behindDoc="0" locked="0" layoutInCell="1" allowOverlap="1">
            <wp:simplePos x="0" y="0"/>
            <wp:positionH relativeFrom="page">
              <wp:posOffset>215900</wp:posOffset>
            </wp:positionH>
            <wp:positionV relativeFrom="paragraph">
              <wp:posOffset>64945</wp:posOffset>
            </wp:positionV>
            <wp:extent cx="7112000" cy="4876800"/>
            <wp:effectExtent l="0" t="0" r="0" b="0"/>
            <wp:wrapNone/>
            <wp:docPr id="2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rPr>
          <w:rFonts w:ascii="黑体" w:eastAsia="黑体" w:hint="eastAsia"/>
          <w:sz w:val="21"/>
        </w:rPr>
        <w:t>智慧旅游设施</w:t>
      </w:r>
    </w:p>
    <w:p>
      <w:pPr>
        <w:pStyle w:val="BodyText"/>
        <w:spacing w:before="6"/>
        <w:rPr>
          <w:rFonts w:ascii="黑体"/>
          <w:sz w:val="15"/>
        </w:rPr>
      </w:pPr>
    </w:p>
    <w:p>
      <w:pPr>
        <w:pStyle w:val="ListParagraph"/>
        <w:numPr>
          <w:ilvl w:val="2"/>
          <w:numId w:val="2"/>
        </w:numPr>
        <w:tabs>
          <w:tab w:val="left" w:pos="1916"/>
        </w:tabs>
        <w:spacing w:before="0" w:after="0" w:line="240" w:lineRule="auto"/>
        <w:ind w:left="1915" w:right="0" w:hanging="739"/>
        <w:jc w:val="left"/>
        <w:rPr>
          <w:sz w:val="21"/>
        </w:rPr>
      </w:pPr>
      <w:r>
        <w:rPr>
          <w:spacing w:val="-3"/>
          <w:sz w:val="21"/>
        </w:rPr>
        <w:t>应建设独立域名示范区网站，确保访问速度快、信息全面、更新及时。</w:t>
      </w:r>
      <w:r>
        <w:rPr>
          <w:sz w:val="21"/>
        </w:rPr>
        <w:t xml:space="preserve"> </w:t>
      </w:r>
    </w:p>
    <w:p>
      <w:pPr>
        <w:pStyle w:val="ListParagraph"/>
        <w:numPr>
          <w:ilvl w:val="2"/>
          <w:numId w:val="2"/>
        </w:numPr>
        <w:tabs>
          <w:tab w:val="left" w:pos="1916"/>
        </w:tabs>
        <w:spacing w:before="43" w:after="0" w:line="240" w:lineRule="auto"/>
        <w:ind w:left="1915" w:right="0" w:hanging="739"/>
        <w:jc w:val="left"/>
        <w:rPr>
          <w:sz w:val="21"/>
        </w:rPr>
      </w:pPr>
      <w:r>
        <w:rPr>
          <w:spacing w:val="-5"/>
          <w:sz w:val="21"/>
        </w:rPr>
        <w:t xml:space="preserve">应建立智慧旅游网上服务平台，包括官方旅游网站、微信、微博、手机旅游 </w:t>
      </w:r>
      <w:r>
        <w:rPr>
          <w:sz w:val="21"/>
        </w:rPr>
        <w:t>APP</w:t>
      </w:r>
      <w:r>
        <w:rPr>
          <w:spacing w:val="-9"/>
          <w:sz w:val="21"/>
        </w:rPr>
        <w:t xml:space="preserve"> 软件等，或旅</w:t>
      </w:r>
    </w:p>
    <w:p>
      <w:pPr>
        <w:pStyle w:val="BodyText"/>
        <w:spacing w:before="43" w:line="278" w:lineRule="auto"/>
        <w:ind w:left="1177" w:right="868"/>
        <w:jc w:val="both"/>
      </w:pPr>
      <w:r>
        <w:rPr>
          <w:spacing w:val="-10"/>
        </w:rPr>
        <w:t>游服务线上总入口，提供游客行前、行中、行后各类线上导览、咨询、导购、导航、在线预订、移动支</w:t>
      </w:r>
      <w:r>
        <w:rPr>
          <w:spacing w:val="-11"/>
        </w:rPr>
        <w:t xml:space="preserve">付、旅游信息推送、旅游宣传、在线投诉、分项评价等功能；与国内外大型旅游电商合作，开通电子商务。 </w:t>
      </w:r>
    </w:p>
    <w:p>
      <w:pPr>
        <w:pStyle w:val="ListParagraph"/>
        <w:numPr>
          <w:ilvl w:val="2"/>
          <w:numId w:val="2"/>
        </w:numPr>
        <w:tabs>
          <w:tab w:val="left" w:pos="1916"/>
        </w:tabs>
        <w:spacing w:before="0" w:after="0" w:line="240" w:lineRule="auto"/>
        <w:ind w:left="1915" w:right="0" w:hanging="739"/>
        <w:jc w:val="left"/>
        <w:rPr>
          <w:sz w:val="21"/>
        </w:rPr>
      </w:pPr>
      <w:r>
        <w:rPr>
          <w:spacing w:val="-1"/>
          <w:sz w:val="21"/>
        </w:rPr>
        <w:t xml:space="preserve">宜开发适用于手机终端的信息化服务。 </w:t>
      </w:r>
    </w:p>
    <w:p>
      <w:pPr>
        <w:pStyle w:val="ListParagraph"/>
        <w:numPr>
          <w:ilvl w:val="2"/>
          <w:numId w:val="2"/>
        </w:numPr>
        <w:tabs>
          <w:tab w:val="left" w:pos="1916"/>
        </w:tabs>
        <w:spacing w:before="43" w:after="0" w:line="240" w:lineRule="auto"/>
        <w:ind w:left="1915" w:right="0" w:hanging="739"/>
        <w:jc w:val="left"/>
        <w:rPr>
          <w:sz w:val="21"/>
        </w:rPr>
      </w:pPr>
      <w:r>
        <w:rPr>
          <w:spacing w:val="-1"/>
          <w:sz w:val="21"/>
        </w:rPr>
        <w:t xml:space="preserve">网站、电话、服务中心均能提供预约服务。 </w:t>
      </w:r>
    </w:p>
    <w:p>
      <w:pPr>
        <w:pStyle w:val="BodyText"/>
        <w:rPr>
          <w:sz w:val="10"/>
        </w:rPr>
      </w:pPr>
    </w:p>
    <w:p>
      <w:pPr>
        <w:spacing w:after="0"/>
        <w:rPr>
          <w:sz w:val="10"/>
        </w:rPr>
        <w:sectPr>
          <w:headerReference w:type="even" r:id="rId27"/>
          <w:headerReference w:type="default" r:id="rId28"/>
          <w:type w:val="continuous"/>
          <w:pgSz w:w="11910" w:h="16840"/>
          <w:pgMar w:top="560" w:right="258" w:bottom="0" w:left="240" w:header="708" w:footer="708"/>
          <w:pgNumType w:start="14"/>
          <w:cols w:space="708"/>
        </w:sectPr>
      </w:pPr>
    </w:p>
    <w:p>
      <w:pPr>
        <w:pStyle w:val="ListParagraph"/>
        <w:numPr>
          <w:ilvl w:val="1"/>
          <w:numId w:val="2"/>
        </w:numPr>
        <w:tabs>
          <w:tab w:val="left" w:pos="1494"/>
        </w:tabs>
        <w:spacing w:before="70" w:after="0" w:line="240" w:lineRule="auto"/>
        <w:ind w:left="1493" w:right="0" w:hanging="317"/>
        <w:jc w:val="left"/>
        <w:rPr>
          <w:rFonts w:ascii="黑体"/>
          <w:sz w:val="21"/>
        </w:rPr>
      </w:pPr>
    </w:p>
    <w:p>
      <w:pPr>
        <w:pStyle w:val="BodyText"/>
        <w:spacing w:before="7"/>
        <w:rPr>
          <w:rFonts w:ascii="黑体"/>
          <w:sz w:val="15"/>
        </w:rPr>
      </w:pPr>
    </w:p>
    <w:p>
      <w:pPr>
        <w:pStyle w:val="BodyText"/>
        <w:ind w:left="1177"/>
        <w:rPr>
          <w:rFonts w:ascii="黑体"/>
        </w:rPr>
      </w:pPr>
      <w:r>
        <w:rPr>
          <w:rFonts w:ascii="黑体"/>
          <w:w w:val="95"/>
        </w:rPr>
        <w:t>8.9.1</w:t>
      </w:r>
    </w:p>
    <w:p>
      <w:pPr>
        <w:pStyle w:val="BodyText"/>
        <w:spacing w:before="43"/>
        <w:ind w:left="1177"/>
      </w:pPr>
      <w:r>
        <w:t xml:space="preserve">达。 </w:t>
      </w:r>
    </w:p>
    <w:p>
      <w:pPr>
        <w:pStyle w:val="BodyText"/>
        <w:spacing w:before="43"/>
        <w:jc w:val="right"/>
        <w:rPr>
          <w:rFonts w:ascii="黑体"/>
        </w:rPr>
      </w:pPr>
      <w:r>
        <w:rPr>
          <w:rFonts w:ascii="黑体"/>
        </w:rPr>
        <w:t>8.9.2</w:t>
      </w:r>
    </w:p>
    <w:p>
      <w:pPr>
        <w:pStyle w:val="BodyText"/>
        <w:spacing w:before="43"/>
        <w:jc w:val="right"/>
        <w:rPr>
          <w:rFonts w:ascii="黑体"/>
        </w:rPr>
      </w:pPr>
      <w:r>
        <w:rPr>
          <w:rFonts w:ascii="黑体"/>
        </w:rPr>
        <w:t>8.9.3</w:t>
      </w:r>
    </w:p>
    <w:p>
      <w:pPr>
        <w:pStyle w:val="BodyText"/>
        <w:spacing w:before="43"/>
        <w:jc w:val="right"/>
        <w:rPr>
          <w:rFonts w:ascii="黑体"/>
        </w:rPr>
      </w:pPr>
      <w:r>
        <w:rPr>
          <w:rFonts w:ascii="黑体"/>
        </w:rPr>
        <w:t>8.9.4</w:t>
      </w:r>
    </w:p>
    <w:p>
      <w:pPr>
        <w:pStyle w:val="BodyText"/>
        <w:spacing w:before="43"/>
        <w:jc w:val="right"/>
        <w:rPr>
          <w:rFonts w:ascii="黑体"/>
        </w:rPr>
      </w:pPr>
      <w:r>
        <w:rPr>
          <w:rFonts w:ascii="黑体"/>
        </w:rPr>
        <w:t>8.9.5</w:t>
      </w:r>
    </w:p>
    <w:p>
      <w:pPr>
        <w:pStyle w:val="BodyText"/>
        <w:spacing w:before="71"/>
        <w:ind w:left="-40"/>
        <w:rPr>
          <w:rFonts w:ascii="黑体" w:eastAsia="黑体" w:hint="eastAsia"/>
        </w:rPr>
      </w:pPr>
      <w:r>
        <w:br w:type="column"/>
      </w:r>
      <w:r>
        <w:rPr>
          <w:rFonts w:ascii="黑体" w:eastAsia="黑体" w:hint="eastAsia"/>
        </w:rPr>
        <w:t>解说设施</w:t>
      </w:r>
    </w:p>
    <w:p>
      <w:pPr>
        <w:pStyle w:val="BodyText"/>
        <w:spacing w:before="6"/>
        <w:rPr>
          <w:rFonts w:ascii="黑体"/>
          <w:sz w:val="15"/>
        </w:rPr>
      </w:pPr>
    </w:p>
    <w:p>
      <w:pPr>
        <w:pStyle w:val="BodyText"/>
        <w:ind w:left="172"/>
      </w:pPr>
      <w:r>
        <w:t>示范区应对解说内容和解说方式有整体规划，提供多种解说机会和解说方式，确保信息有效传</w:t>
      </w:r>
    </w:p>
    <w:p>
      <w:pPr>
        <w:pStyle w:val="BodyText"/>
        <w:spacing w:before="9"/>
        <w:rPr>
          <w:sz w:val="27"/>
        </w:rPr>
      </w:pPr>
    </w:p>
    <w:p>
      <w:pPr>
        <w:pStyle w:val="BodyText"/>
        <w:spacing w:line="278" w:lineRule="auto"/>
        <w:ind w:left="172" w:right="3932"/>
      </w:pPr>
      <w:r>
        <w:t xml:space="preserve">公众信息资料特色鲜明，新颖有趣，内容准确，适时更新。导游员（讲解员）应持证上岗，普通话达标率 100%。 </w:t>
      </w:r>
    </w:p>
    <w:p>
      <w:pPr>
        <w:pStyle w:val="BodyText"/>
        <w:spacing w:line="269" w:lineRule="exact"/>
        <w:ind w:left="172"/>
      </w:pPr>
      <w:r>
        <w:t xml:space="preserve">应根据游客群体的具体情况配备少数民族导游和数量适当的外语导游。 </w:t>
      </w:r>
    </w:p>
    <w:p>
      <w:pPr>
        <w:pStyle w:val="BodyText"/>
        <w:spacing w:before="43"/>
        <w:ind w:left="172"/>
      </w:pPr>
      <w:r>
        <w:t>解说内容科学、准确、生动有趣，通俗易懂，强化山地知识讲解，确保当地文化信息的解释明</w:t>
      </w:r>
    </w:p>
    <w:p>
      <w:pPr>
        <w:spacing w:after="0"/>
        <w:sectPr>
          <w:headerReference w:type="even" r:id="rId29"/>
          <w:headerReference w:type="default" r:id="rId30"/>
          <w:type w:val="continuous"/>
          <w:pgSz w:w="11910" w:h="16840"/>
          <w:pgMar w:top="560" w:right="258" w:bottom="0" w:left="240" w:header="708" w:footer="708"/>
          <w:pgNumType w:start="15"/>
          <w:cols w:num="2" w:space="708" w:equalWidth="0">
            <w:col w:w="1703" w:space="40"/>
            <w:col w:w="9669" w:space="0"/>
          </w:cols>
        </w:sectPr>
      </w:pPr>
    </w:p>
    <w:p>
      <w:pPr>
        <w:pStyle w:val="BodyText"/>
        <w:spacing w:before="43"/>
        <w:ind w:left="1177"/>
      </w:pPr>
      <w:r>
        <w:t xml:space="preserve">确无误。 </w:t>
      </w:r>
    </w:p>
    <w:p>
      <w:pPr>
        <w:pStyle w:val="BodyText"/>
        <w:spacing w:before="43"/>
        <w:ind w:left="1177"/>
      </w:pPr>
      <w:r>
        <w:rPr>
          <w:rFonts w:ascii="黑体" w:eastAsia="黑体" w:hint="eastAsia"/>
        </w:rPr>
        <w:t xml:space="preserve">8.9.6 </w:t>
      </w:r>
      <w:r>
        <w:t xml:space="preserve">内容编写应充分听取当地旅游专家和文化学者的意见。 </w:t>
      </w:r>
    </w:p>
    <w:p>
      <w:pPr>
        <w:pStyle w:val="BodyText"/>
        <w:spacing w:before="6"/>
        <w:rPr>
          <w:sz w:val="15"/>
        </w:rPr>
      </w:pPr>
    </w:p>
    <w:p>
      <w:pPr>
        <w:pStyle w:val="ListParagraph"/>
        <w:numPr>
          <w:ilvl w:val="1"/>
          <w:numId w:val="2"/>
        </w:numPr>
        <w:tabs>
          <w:tab w:val="left" w:pos="1810"/>
        </w:tabs>
        <w:spacing w:before="0" w:after="0" w:line="240" w:lineRule="auto"/>
        <w:ind w:left="1809" w:right="0" w:hanging="633"/>
        <w:jc w:val="left"/>
        <w:rPr>
          <w:rFonts w:ascii="黑体" w:eastAsia="黑体" w:hint="eastAsia"/>
          <w:sz w:val="21"/>
        </w:rPr>
      </w:pPr>
      <w:r>
        <w:rPr>
          <w:rFonts w:ascii="黑体" w:eastAsia="黑体" w:hint="eastAsia"/>
          <w:sz w:val="21"/>
        </w:rPr>
        <w:t>医疗及救护设施</w:t>
      </w:r>
    </w:p>
    <w:p>
      <w:pPr>
        <w:pStyle w:val="BodyText"/>
        <w:spacing w:before="7"/>
        <w:rPr>
          <w:rFonts w:ascii="黑体"/>
          <w:sz w:val="15"/>
        </w:rPr>
      </w:pPr>
    </w:p>
    <w:p>
      <w:pPr>
        <w:pStyle w:val="ListParagraph"/>
        <w:numPr>
          <w:ilvl w:val="2"/>
          <w:numId w:val="2"/>
        </w:numPr>
        <w:tabs>
          <w:tab w:val="left" w:pos="2020"/>
        </w:tabs>
        <w:spacing w:before="0" w:after="0" w:line="240" w:lineRule="auto"/>
        <w:ind w:left="2019" w:right="0" w:hanging="843"/>
        <w:jc w:val="left"/>
        <w:rPr>
          <w:sz w:val="21"/>
        </w:rPr>
      </w:pPr>
      <w:r>
        <w:rPr>
          <w:spacing w:val="-3"/>
          <w:sz w:val="21"/>
        </w:rPr>
        <w:t>应设有救援设施与保障机制，公布紧急救援电话号码，确保游客能方便地使用救助请求设施，</w:t>
      </w:r>
    </w:p>
    <w:p>
      <w:pPr>
        <w:pStyle w:val="BodyText"/>
        <w:spacing w:before="43"/>
        <w:ind w:left="1177"/>
      </w:pPr>
      <w:r>
        <w:t xml:space="preserve">能及时处理游客发出的求助信号。 </w:t>
      </w:r>
    </w:p>
    <w:p>
      <w:pPr>
        <w:pStyle w:val="BodyText"/>
        <w:spacing w:before="12"/>
        <w:rPr>
          <w:sz w:val="14"/>
        </w:rPr>
      </w:pPr>
    </w:p>
    <w:p>
      <w:pPr>
        <w:spacing w:before="75"/>
        <w:ind w:left="0" w:right="1006" w:firstLine="0"/>
        <w:jc w:val="right"/>
        <w:rPr>
          <w:sz w:val="18"/>
        </w:rPr>
      </w:pPr>
      <w:r>
        <w:rPr>
          <w:sz w:val="18"/>
        </w:rPr>
        <w:t xml:space="preserve">5 </w:t>
      </w:r>
    </w:p>
    <w:p>
      <w:pPr>
        <w:spacing w:after="0"/>
        <w:jc w:val="right"/>
        <w:rPr>
          <w:sz w:val="18"/>
        </w:rPr>
      </w:pPr>
      <w:r>
        <w:rPr>
          <w:sz w:val="18"/>
        </w:rPr>
        <w:br/>
      </w:r>
      <w:r>
        <w:rPr>
          <w:sz w:val="18"/>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31" w:history="1">
        <w:r>
          <w:rPr>
            <w:rFonts w:ascii="SimSun" w:eastAsia="SimSun" w:hAnsi="SimSun" w:cs="SimSun"/>
            <w:b/>
            <w:bCs/>
            <w:color w:val="0000EE"/>
            <w:sz w:val="30"/>
            <w:szCs w:val="30"/>
            <w:u w:val="single" w:color="0000EE"/>
          </w:rPr>
          <w:t>https://d.book118.com/377123046002006030</w:t>
        </w:r>
      </w:hyperlink>
    </w:p>
    <w:p>
      <w:pPr>
        <w:spacing w:after="0"/>
        <w:jc w:val="right"/>
        <w:rPr>
          <w:sz w:val="18"/>
        </w:rPr>
      </w:pPr>
    </w:p>
    <w:sectPr>
      <w:headerReference w:type="even" r:id="rId32"/>
      <w:headerReference w:type="default" r:id="rId33"/>
      <w:type w:val="continuous"/>
      <w:pgSz w:w="11910" w:h="16840"/>
      <w:pgMar w:top="560" w:right="258" w:bottom="0" w:left="240" w:header="708" w:footer="708"/>
      <w:pgNumType w:start="16"/>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91.3pt;height:12.5pt;margin-top:71.32pt;margin-left:448.4pt;mso-position-horizontal-relative:page;mso-position-vertical-relative:page;position:absolute;z-index:-251658240" filled="f" stroked="f">
          <v:textbox inset="0,0,0,0">
            <w:txbxContent>
              <w:p>
                <w:pPr>
                  <w:pStyle w:val="BodyText"/>
                  <w:spacing w:line="250" w:lineRule="exact"/>
                  <w:ind w:left="20"/>
                  <w:rPr>
                    <w:rFonts w:ascii="黑体" w:hAnsi="黑体"/>
                  </w:rPr>
                </w:pPr>
                <w:r>
                  <w:rPr>
                    <w:rFonts w:ascii="黑体" w:hAnsi="黑体"/>
                  </w:rPr>
                  <w:t>DB52/T 1755</w:t>
                </w:r>
                <w:r>
                  <w:t>—</w:t>
                </w:r>
                <w:r>
                  <w:rPr>
                    <w:rFonts w:ascii="黑体" w:hAnsi="黑体"/>
                  </w:rPr>
                  <w:t>2023</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91.3pt;height:12.5pt;margin-top:71.32pt;margin-left:448.4pt;mso-position-horizontal-relative:page;mso-position-vertical-relative:page;position:absolute;z-index:-251657216" filled="f" stroked="f">
          <v:textbox inset="0,0,0,0">
            <w:txbxContent>
              <w:p>
                <w:pPr>
                  <w:pStyle w:val="BodyText"/>
                  <w:spacing w:line="250" w:lineRule="exact"/>
                  <w:ind w:left="20"/>
                  <w:rPr>
                    <w:rFonts w:ascii="黑体" w:hAnsi="黑体"/>
                  </w:rPr>
                </w:pPr>
                <w:r>
                  <w:rPr>
                    <w:rFonts w:ascii="黑体" w:hAnsi="黑体"/>
                  </w:rPr>
                  <w:t>DB52/T 1755</w:t>
                </w:r>
                <w:r>
                  <w:t>—</w:t>
                </w:r>
                <w:r>
                  <w:rPr>
                    <w:rFonts w:ascii="黑体" w:hAnsi="黑体"/>
                  </w:rPr>
                  <w:t>2023</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91.3pt;height:12.5pt;margin-top:71.4pt;margin-left:448.4pt;mso-position-horizontal-relative:page;mso-position-vertical-relative:page;position:absolute;z-index:-251656192" filled="f" stroked="f">
          <v:textbox inset="0,0,0,0">
            <w:txbxContent>
              <w:p>
                <w:pPr>
                  <w:pStyle w:val="BodyText"/>
                  <w:spacing w:line="250" w:lineRule="exact"/>
                  <w:ind w:left="20"/>
                  <w:rPr>
                    <w:rFonts w:ascii="黑体" w:hAnsi="黑体"/>
                  </w:rPr>
                </w:pPr>
                <w:r>
                  <w:rPr>
                    <w:rFonts w:ascii="黑体" w:hAnsi="黑体"/>
                  </w:rPr>
                  <w:t>DB52/T 1755</w:t>
                </w:r>
                <w:r>
                  <w:t>—</w:t>
                </w:r>
                <w:r>
                  <w:rPr>
                    <w:rFonts w:ascii="黑体" w:hAnsi="黑体"/>
                  </w:rPr>
                  <w:t>2023</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91.3pt;height:12.5pt;margin-top:71.4pt;margin-left:448.4pt;mso-position-horizontal-relative:page;mso-position-vertical-relative:page;position:absolute;z-index:-251655168" filled="f" stroked="f">
          <v:textbox inset="0,0,0,0">
            <w:txbxContent>
              <w:p>
                <w:pPr>
                  <w:pStyle w:val="BodyText"/>
                  <w:spacing w:line="250" w:lineRule="exact"/>
                  <w:ind w:left="20"/>
                  <w:rPr>
                    <w:rFonts w:ascii="黑体" w:hAnsi="黑体"/>
                  </w:rPr>
                </w:pPr>
                <w:r>
                  <w:rPr>
                    <w:rFonts w:ascii="黑体" w:hAnsi="黑体"/>
                  </w:rPr>
                  <w:t>DB52/T 1755</w:t>
                </w:r>
                <w:r>
                  <w:t>—</w:t>
                </w:r>
                <w:r>
                  <w:rPr>
                    <w:rFonts w:ascii="黑体" w:hAnsi="黑体"/>
                  </w:rPr>
                  <w:t>2023</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91.25pt;height:12.5pt;margin-top:71.4pt;margin-left:55.7pt;mso-position-horizontal-relative:page;mso-position-vertical-relative:page;position:absolute;z-index:-251653120" filled="f" stroked="f">
          <v:textbox inset="0,0,0,0">
            <w:txbxContent>
              <w:p>
                <w:pPr>
                  <w:pStyle w:val="BodyText"/>
                  <w:spacing w:line="250" w:lineRule="exact"/>
                  <w:ind w:left="20"/>
                  <w:rPr>
                    <w:rFonts w:ascii="黑体" w:hAnsi="黑体"/>
                  </w:rPr>
                </w:pPr>
                <w:r>
                  <w:rPr>
                    <w:rFonts w:ascii="黑体" w:hAnsi="黑体"/>
                  </w:rPr>
                  <w:t>DB52/T 1755</w:t>
                </w:r>
                <w:r>
                  <w:t>—</w:t>
                </w:r>
                <w:r>
                  <w:rPr>
                    <w:rFonts w:ascii="黑体" w:hAnsi="黑体"/>
                  </w:rPr>
                  <w:t>2023</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91.25pt;height:12.5pt;margin-top:71.4pt;margin-left:448.46pt;mso-position-horizontal-relative:page;mso-position-vertical-relative:page;position:absolute;z-index:-251654144" filled="f" stroked="f">
          <v:textbox inset="0,0,0,0">
            <w:txbxContent>
              <w:p>
                <w:pPr>
                  <w:pStyle w:val="BodyText"/>
                  <w:spacing w:line="250" w:lineRule="exact"/>
                  <w:ind w:left="20"/>
                  <w:rPr>
                    <w:rFonts w:ascii="黑体" w:hAnsi="黑体"/>
                  </w:rPr>
                </w:pPr>
                <w:r>
                  <w:rPr>
                    <w:rFonts w:ascii="黑体" w:hAnsi="黑体"/>
                  </w:rPr>
                  <w:t>DB52/T 1755</w:t>
                </w:r>
                <w:r>
                  <w:t>—</w:t>
                </w:r>
                <w:r>
                  <w:rPr>
                    <w:rFonts w:ascii="黑体" w:hAnsi="黑体"/>
                  </w:rPr>
                  <w:t>2023</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91.25pt;height:12.5pt;margin-top:71.4pt;margin-left:55.7pt;mso-position-horizontal-relative:page;mso-position-vertical-relative:page;position:absolute;z-index:-251651072" filled="f" stroked="f">
          <v:textbox inset="0,0,0,0">
            <w:txbxContent>
              <w:p>
                <w:pPr>
                  <w:pStyle w:val="BodyText"/>
                  <w:spacing w:line="250" w:lineRule="exact"/>
                  <w:ind w:left="20"/>
                  <w:rPr>
                    <w:rFonts w:ascii="黑体" w:hAnsi="黑体"/>
                  </w:rPr>
                </w:pPr>
                <w:r>
                  <w:rPr>
                    <w:rFonts w:ascii="黑体" w:hAnsi="黑体"/>
                  </w:rPr>
                  <w:t>DB52/T 1755</w:t>
                </w:r>
                <w:r>
                  <w:t>—</w:t>
                </w:r>
                <w:r>
                  <w:rPr>
                    <w:rFonts w:ascii="黑体" w:hAnsi="黑体"/>
                  </w:rPr>
                  <w:t>2023</w:t>
                </w:r>
              </w:p>
            </w:txbxContent>
          </v:textbox>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91.25pt;height:12.5pt;margin-top:71.4pt;margin-left:448.46pt;mso-position-horizontal-relative:page;mso-position-vertical-relative:page;position:absolute;z-index:-251652096" filled="f" stroked="f">
          <v:textbox inset="0,0,0,0">
            <w:txbxContent>
              <w:p>
                <w:pPr>
                  <w:pStyle w:val="BodyText"/>
                  <w:spacing w:line="250" w:lineRule="exact"/>
                  <w:ind w:left="20"/>
                  <w:rPr>
                    <w:rFonts w:ascii="黑体" w:hAnsi="黑体"/>
                  </w:rPr>
                </w:pPr>
                <w:r>
                  <w:rPr>
                    <w:rFonts w:ascii="黑体" w:hAnsi="黑体"/>
                  </w:rPr>
                  <w:t>DB52/T 1755</w:t>
                </w:r>
                <w:r>
                  <w:t>—</w:t>
                </w:r>
                <w:r>
                  <w:rPr>
                    <w:rFonts w:ascii="黑体" w:hAnsi="黑体"/>
                  </w:rPr>
                  <w:t>2023</w:t>
                </w:r>
              </w:p>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91.25pt;height:12.5pt;margin-top:71.4pt;margin-left:55.7pt;mso-position-horizontal-relative:page;mso-position-vertical-relative:page;position:absolute;z-index:-251649024" filled="f" stroked="f">
          <v:textbox inset="0,0,0,0">
            <w:txbxContent>
              <w:p>
                <w:pPr>
                  <w:pStyle w:val="BodyText"/>
                  <w:spacing w:line="250" w:lineRule="exact"/>
                  <w:ind w:left="20"/>
                  <w:rPr>
                    <w:rFonts w:ascii="黑体" w:hAnsi="黑体"/>
                  </w:rPr>
                </w:pPr>
                <w:r>
                  <w:rPr>
                    <w:rFonts w:ascii="黑体" w:hAnsi="黑体"/>
                  </w:rPr>
                  <w:t>DB52/T 1755</w:t>
                </w:r>
                <w:r>
                  <w:t>—</w:t>
                </w:r>
                <w:r>
                  <w:rPr>
                    <w:rFonts w:ascii="黑体" w:hAnsi="黑体"/>
                  </w:rPr>
                  <w:t>2023</w:t>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91.25pt;height:12.5pt;margin-top:71.4pt;margin-left:448.46pt;mso-position-horizontal-relative:page;mso-position-vertical-relative:page;position:absolute;z-index:-251650048" filled="f" stroked="f">
          <v:textbox inset="0,0,0,0">
            <w:txbxContent>
              <w:p>
                <w:pPr>
                  <w:pStyle w:val="BodyText"/>
                  <w:spacing w:line="250" w:lineRule="exact"/>
                  <w:ind w:left="20"/>
                  <w:rPr>
                    <w:rFonts w:ascii="黑体" w:hAnsi="黑体"/>
                  </w:rPr>
                </w:pPr>
                <w:r>
                  <w:rPr>
                    <w:rFonts w:ascii="黑体" w:hAnsi="黑体"/>
                  </w:rPr>
                  <w:t>DB52/T 1755</w:t>
                </w:r>
                <w:r>
                  <w:t>—</w:t>
                </w:r>
                <w:r>
                  <w:rPr>
                    <w:rFonts w:ascii="黑体" w:hAnsi="黑体"/>
                  </w:rPr>
                  <w:t>2023</w:t>
                </w:r>
              </w:p>
            </w:txbxContent>
          </v:textbox>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91.25pt;height:12.5pt;margin-top:71.4pt;margin-left:55.7pt;mso-position-horizontal-relative:page;mso-position-vertical-relative:page;position:absolute;z-index:-251646976" filled="f" stroked="f">
          <v:textbox inset="0,0,0,0">
            <w:txbxContent>
              <w:p>
                <w:pPr>
                  <w:pStyle w:val="BodyText"/>
                  <w:spacing w:line="250" w:lineRule="exact"/>
                  <w:ind w:left="20"/>
                  <w:rPr>
                    <w:rFonts w:ascii="黑体" w:hAnsi="黑体"/>
                  </w:rPr>
                </w:pPr>
                <w:r>
                  <w:rPr>
                    <w:rFonts w:ascii="黑体" w:hAnsi="黑体"/>
                  </w:rPr>
                  <w:t>DB52/T 1755</w:t>
                </w:r>
                <w:r>
                  <w:t>—</w:t>
                </w:r>
                <w:r>
                  <w:rPr>
                    <w:rFonts w:ascii="黑体" w:hAnsi="黑体"/>
                  </w:rPr>
                  <w:t>2023</w:t>
                </w:r>
              </w:p>
            </w:txbxContent>
          </v:textbox>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91.25pt;height:12.5pt;margin-top:71.4pt;margin-left:448.46pt;mso-position-horizontal-relative:page;mso-position-vertical-relative:page;position:absolute;z-index:-251648000" filled="f" stroked="f">
          <v:textbox inset="0,0,0,0">
            <w:txbxContent>
              <w:p>
                <w:pPr>
                  <w:pStyle w:val="BodyText"/>
                  <w:spacing w:line="250" w:lineRule="exact"/>
                  <w:ind w:left="20"/>
                  <w:rPr>
                    <w:rFonts w:ascii="黑体" w:hAnsi="黑体"/>
                  </w:rPr>
                </w:pPr>
                <w:r>
                  <w:rPr>
                    <w:rFonts w:ascii="黑体" w:hAnsi="黑体"/>
                  </w:rPr>
                  <w:t>DB52/T 1755</w:t>
                </w:r>
                <w:r>
                  <w:t>—</w:t>
                </w:r>
                <w:r>
                  <w:rPr>
                    <w:rFonts w:ascii="黑体" w:hAnsi="黑体"/>
                  </w:rPr>
                  <w:t>2023</w:t>
                </w:r>
              </w:p>
            </w:txbxContent>
          </v:textbox>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91.25pt;height:12.5pt;margin-top:71.4pt;margin-left:55.7pt;mso-position-horizontal-relative:page;mso-position-vertical-relative:page;position:absolute;z-index:-251644928" filled="f" stroked="f">
          <v:textbox inset="0,0,0,0">
            <w:txbxContent>
              <w:p>
                <w:pPr>
                  <w:pStyle w:val="BodyText"/>
                  <w:spacing w:line="250" w:lineRule="exact"/>
                  <w:ind w:left="20"/>
                  <w:rPr>
                    <w:rFonts w:ascii="黑体" w:hAnsi="黑体"/>
                  </w:rPr>
                </w:pPr>
                <w:r>
                  <w:rPr>
                    <w:rFonts w:ascii="黑体" w:hAnsi="黑体"/>
                  </w:rPr>
                  <w:t>DB52/T 1755</w:t>
                </w:r>
                <w:r>
                  <w:t>—</w:t>
                </w:r>
                <w:r>
                  <w:rPr>
                    <w:rFonts w:ascii="黑体" w:hAnsi="黑体"/>
                  </w:rPr>
                  <w:t>2023</w:t>
                </w:r>
              </w:p>
            </w:txbxContent>
          </v:textbox>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width:91.25pt;height:12.5pt;margin-top:71.4pt;margin-left:448.46pt;mso-position-horizontal-relative:page;mso-position-vertical-relative:page;position:absolute;z-index:-251645952" filled="f" stroked="f">
          <v:textbox inset="0,0,0,0">
            <w:txbxContent>
              <w:p>
                <w:pPr>
                  <w:pStyle w:val="BodyText"/>
                  <w:spacing w:line="250" w:lineRule="exact"/>
                  <w:ind w:left="20"/>
                  <w:rPr>
                    <w:rFonts w:ascii="黑体" w:hAnsi="黑体"/>
                  </w:rPr>
                </w:pPr>
                <w:r>
                  <w:rPr>
                    <w:rFonts w:ascii="黑体" w:hAnsi="黑体"/>
                  </w:rPr>
                  <w:t>DB52/T 1755</w:t>
                </w:r>
                <w:r>
                  <w:t>—</w:t>
                </w:r>
                <w:r>
                  <w:rPr>
                    <w:rFonts w:ascii="黑体" w:hAnsi="黑体"/>
                  </w:rPr>
                  <w:t>2023</w:t>
                </w:r>
              </w:p>
            </w:txbxContent>
          </v:textbox>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91.25pt;height:12.5pt;margin-top:71.4pt;margin-left:55.7pt;mso-position-horizontal-relative:page;mso-position-vertical-relative:page;position:absolute;z-index:-251642880" filled="f" stroked="f">
          <v:textbox inset="0,0,0,0">
            <w:txbxContent>
              <w:p>
                <w:pPr>
                  <w:pStyle w:val="BodyText"/>
                  <w:spacing w:line="250" w:lineRule="exact"/>
                  <w:ind w:left="20"/>
                  <w:rPr>
                    <w:rFonts w:ascii="黑体" w:hAnsi="黑体"/>
                  </w:rPr>
                </w:pPr>
                <w:r>
                  <w:rPr>
                    <w:rFonts w:ascii="黑体" w:hAnsi="黑体"/>
                  </w:rPr>
                  <w:t>DB52/T 1755</w:t>
                </w:r>
                <w:r>
                  <w:t>—</w:t>
                </w:r>
                <w:r>
                  <w:rPr>
                    <w:rFonts w:ascii="黑体" w:hAnsi="黑体"/>
                  </w:rPr>
                  <w:t>2023</w:t>
                </w:r>
              </w:p>
            </w:txbxContent>
          </v:textbox>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3" type="#_x0000_t202" style="width:91.25pt;height:12.5pt;margin-top:71.4pt;margin-left:448.46pt;mso-position-horizontal-relative:page;mso-position-vertical-relative:page;position:absolute;z-index:-251643904" filled="f" stroked="f">
          <v:textbox inset="0,0,0,0">
            <w:txbxContent>
              <w:p>
                <w:pPr>
                  <w:pStyle w:val="BodyText"/>
                  <w:spacing w:line="250" w:lineRule="exact"/>
                  <w:ind w:left="20"/>
                  <w:rPr>
                    <w:rFonts w:ascii="黑体" w:hAnsi="黑体"/>
                  </w:rPr>
                </w:pPr>
                <w:r>
                  <w:rPr>
                    <w:rFonts w:ascii="黑体" w:hAnsi="黑体"/>
                  </w:rPr>
                  <w:t>DB52/T 1755</w:t>
                </w:r>
                <w:r>
                  <w:t>—</w:t>
                </w:r>
                <w:r>
                  <w:rPr>
                    <w:rFonts w:ascii="黑体" w:hAnsi="黑体"/>
                  </w:rPr>
                  <w:t>2023</w:t>
                </w:r>
              </w:p>
            </w:txbxContent>
          </v:textbox>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91.25pt;height:12.5pt;margin-top:71.4pt;margin-left:55.7pt;mso-position-horizontal-relative:page;mso-position-vertical-relative:page;position:absolute;z-index:-251640832" filled="f" stroked="f">
          <v:textbox inset="0,0,0,0">
            <w:txbxContent>
              <w:p>
                <w:pPr>
                  <w:pStyle w:val="BodyText"/>
                  <w:spacing w:line="250" w:lineRule="exact"/>
                  <w:ind w:left="20"/>
                  <w:rPr>
                    <w:rFonts w:ascii="黑体" w:hAnsi="黑体"/>
                  </w:rPr>
                </w:pPr>
                <w:r>
                  <w:rPr>
                    <w:rFonts w:ascii="黑体" w:hAnsi="黑体"/>
                  </w:rPr>
                  <w:t>DB52/T 1755</w:t>
                </w:r>
                <w:r>
                  <w:t>—</w:t>
                </w:r>
                <w:r>
                  <w:rPr>
                    <w:rFonts w:ascii="黑体" w:hAnsi="黑体"/>
                  </w:rPr>
                  <w:t>2023</w:t>
                </w:r>
              </w:p>
            </w:txbxContent>
          </v:textbox>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5" type="#_x0000_t202" style="width:91.25pt;height:12.5pt;margin-top:71.4pt;margin-left:448.46pt;mso-position-horizontal-relative:page;mso-position-vertical-relative:page;position:absolute;z-index:-251641856" filled="f" stroked="f">
          <v:textbox inset="0,0,0,0">
            <w:txbxContent>
              <w:p>
                <w:pPr>
                  <w:pStyle w:val="BodyText"/>
                  <w:spacing w:line="250" w:lineRule="exact"/>
                  <w:ind w:left="20"/>
                  <w:rPr>
                    <w:rFonts w:ascii="黑体" w:hAnsi="黑体"/>
                  </w:rPr>
                </w:pPr>
                <w:r>
                  <w:rPr>
                    <w:rFonts w:ascii="黑体" w:hAnsi="黑体"/>
                  </w:rPr>
                  <w:t>DB52/T 1755</w:t>
                </w:r>
                <w:r>
                  <w:t>—</w:t>
                </w:r>
                <w:r>
                  <w:rPr>
                    <w:rFonts w:ascii="黑体" w:hAnsi="黑体"/>
                  </w:rPr>
                  <w:t>2023</w:t>
                </w:r>
              </w:p>
            </w:txbxContent>
          </v:textbox>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8" type="#_x0000_t202" style="width:91.25pt;height:12.5pt;margin-top:71.4pt;margin-left:55.7pt;mso-position-horizontal-relative:page;mso-position-vertical-relative:page;position:absolute;z-index:-251638784" filled="f" stroked="f">
          <v:textbox inset="0,0,0,0">
            <w:txbxContent>
              <w:p>
                <w:pPr>
                  <w:pStyle w:val="BodyText"/>
                  <w:spacing w:line="250" w:lineRule="exact"/>
                  <w:ind w:left="20"/>
                  <w:rPr>
                    <w:rFonts w:ascii="黑体" w:hAnsi="黑体"/>
                  </w:rPr>
                </w:pPr>
                <w:r>
                  <w:rPr>
                    <w:rFonts w:ascii="黑体" w:hAnsi="黑体"/>
                  </w:rPr>
                  <w:t>DB52/T 1755</w:t>
                </w:r>
                <w:r>
                  <w:t>—</w:t>
                </w:r>
                <w:r>
                  <w:rPr>
                    <w:rFonts w:ascii="黑体" w:hAnsi="黑体"/>
                  </w:rPr>
                  <w:t>2023</w:t>
                </w:r>
              </w:p>
            </w:txbxContent>
          </v:textbox>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7" type="#_x0000_t202" style="width:91.25pt;height:12.5pt;margin-top:71.4pt;margin-left:448.46pt;mso-position-horizontal-relative:page;mso-position-vertical-relative:page;position:absolute;z-index:-251639808" filled="f" stroked="f">
          <v:textbox inset="0,0,0,0">
            <w:txbxContent>
              <w:p>
                <w:pPr>
                  <w:pStyle w:val="BodyText"/>
                  <w:spacing w:line="250" w:lineRule="exact"/>
                  <w:ind w:left="20"/>
                  <w:rPr>
                    <w:rFonts w:ascii="黑体" w:hAnsi="黑体"/>
                  </w:rPr>
                </w:pPr>
                <w:r>
                  <w:rPr>
                    <w:rFonts w:ascii="黑体" w:hAnsi="黑体"/>
                  </w:rPr>
                  <w:t>DB52/T 1755</w:t>
                </w:r>
                <w:r>
                  <w:t>—</w:t>
                </w:r>
                <w:r>
                  <w:rPr>
                    <w:rFonts w:ascii="黑体" w:hAnsi="黑体"/>
                  </w:rPr>
                  <w:t>2023</w:t>
                </w:r>
              </w:p>
            </w:txbxContent>
          </v:textbox>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0" type="#_x0000_t202" style="width:91.25pt;height:12.5pt;margin-top:71.4pt;margin-left:55.7pt;mso-position-horizontal-relative:page;mso-position-vertical-relative:page;position:absolute;z-index:-251636736" filled="f" stroked="f">
          <v:textbox inset="0,0,0,0">
            <w:txbxContent>
              <w:p>
                <w:pPr>
                  <w:pStyle w:val="BodyText"/>
                  <w:spacing w:line="250" w:lineRule="exact"/>
                  <w:ind w:left="20"/>
                  <w:rPr>
                    <w:rFonts w:ascii="黑体" w:hAnsi="黑体"/>
                  </w:rPr>
                </w:pPr>
                <w:r>
                  <w:rPr>
                    <w:rFonts w:ascii="黑体" w:hAnsi="黑体"/>
                  </w:rPr>
                  <w:t>DB52/T 1755</w:t>
                </w:r>
                <w:r>
                  <w:t>—</w:t>
                </w:r>
                <w:r>
                  <w:rPr>
                    <w:rFonts w:ascii="黑体" w:hAnsi="黑体"/>
                  </w:rPr>
                  <w:t>2023</w:t>
                </w:r>
              </w:p>
            </w:txbxContent>
          </v:textbox>
        </v:shape>
      </w:pic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9" type="#_x0000_t202" style="width:91.25pt;height:12.5pt;margin-top:71.4pt;margin-left:448.46pt;mso-position-horizontal-relative:page;mso-position-vertical-relative:page;position:absolute;z-index:-251637760" filled="f" stroked="f">
          <v:textbox inset="0,0,0,0">
            <w:txbxContent>
              <w:p>
                <w:pPr>
                  <w:pStyle w:val="BodyText"/>
                  <w:spacing w:line="250" w:lineRule="exact"/>
                  <w:ind w:left="20"/>
                  <w:rPr>
                    <w:rFonts w:ascii="黑体" w:hAnsi="黑体"/>
                  </w:rPr>
                </w:pPr>
                <w:r>
                  <w:rPr>
                    <w:rFonts w:ascii="黑体" w:hAnsi="黑体"/>
                  </w:rPr>
                  <w:t>DB52/T 1755</w:t>
                </w:r>
                <w:r>
                  <w:t>—</w:t>
                </w:r>
                <w:r>
                  <w:rPr>
                    <w:rFonts w:ascii="黑体" w:hAnsi="黑体"/>
                  </w:rPr>
                  <w:t>2023</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77D1B6"/>
    <w:multiLevelType w:val="hybridMultilevel"/>
    <w:tmpl w:val="00000000"/>
    <w:lvl w:ilvl="0">
      <w:start w:val="1"/>
      <w:numFmt w:val="decimal"/>
      <w:lvlText w:val="%1"/>
      <w:lvlJc w:val="left"/>
      <w:pPr>
        <w:ind w:left="1494" w:hanging="316"/>
        <w:jc w:val="left"/>
      </w:pPr>
      <w:rPr>
        <w:rFonts w:ascii="黑体" w:eastAsia="黑体" w:hAnsi="黑体" w:cs="黑体" w:hint="default"/>
        <w:w w:val="100"/>
        <w:sz w:val="21"/>
        <w:szCs w:val="21"/>
        <w:lang w:val="en-US" w:eastAsia="en-US" w:bidi="ar-SA"/>
      </w:rPr>
    </w:lvl>
    <w:lvl w:ilvl="1">
      <w:start w:val="0"/>
      <w:numFmt w:val="bullet"/>
      <w:lvlText w:val="•"/>
      <w:lvlJc w:val="left"/>
      <w:pPr>
        <w:ind w:left="2490" w:hanging="316"/>
      </w:pPr>
      <w:rPr>
        <w:rFonts w:hint="default"/>
        <w:lang w:val="en-US" w:eastAsia="en-US" w:bidi="ar-SA"/>
      </w:rPr>
    </w:lvl>
    <w:lvl w:ilvl="2">
      <w:start w:val="0"/>
      <w:numFmt w:val="bullet"/>
      <w:lvlText w:val="•"/>
      <w:lvlJc w:val="left"/>
      <w:pPr>
        <w:ind w:left="3481" w:hanging="316"/>
      </w:pPr>
      <w:rPr>
        <w:rFonts w:hint="default"/>
        <w:lang w:val="en-US" w:eastAsia="en-US" w:bidi="ar-SA"/>
      </w:rPr>
    </w:lvl>
    <w:lvl w:ilvl="3">
      <w:start w:val="0"/>
      <w:numFmt w:val="bullet"/>
      <w:lvlText w:val="•"/>
      <w:lvlJc w:val="left"/>
      <w:pPr>
        <w:ind w:left="4471" w:hanging="316"/>
      </w:pPr>
      <w:rPr>
        <w:rFonts w:hint="default"/>
        <w:lang w:val="en-US" w:eastAsia="en-US" w:bidi="ar-SA"/>
      </w:rPr>
    </w:lvl>
    <w:lvl w:ilvl="4">
      <w:start w:val="0"/>
      <w:numFmt w:val="bullet"/>
      <w:lvlText w:val="•"/>
      <w:lvlJc w:val="left"/>
      <w:pPr>
        <w:ind w:left="5462" w:hanging="316"/>
      </w:pPr>
      <w:rPr>
        <w:rFonts w:hint="default"/>
        <w:lang w:val="en-US" w:eastAsia="en-US" w:bidi="ar-SA"/>
      </w:rPr>
    </w:lvl>
    <w:lvl w:ilvl="5">
      <w:start w:val="0"/>
      <w:numFmt w:val="bullet"/>
      <w:lvlText w:val="•"/>
      <w:lvlJc w:val="left"/>
      <w:pPr>
        <w:ind w:left="6453" w:hanging="316"/>
      </w:pPr>
      <w:rPr>
        <w:rFonts w:hint="default"/>
        <w:lang w:val="en-US" w:eastAsia="en-US" w:bidi="ar-SA"/>
      </w:rPr>
    </w:lvl>
    <w:lvl w:ilvl="6">
      <w:start w:val="0"/>
      <w:numFmt w:val="bullet"/>
      <w:lvlText w:val="•"/>
      <w:lvlJc w:val="left"/>
      <w:pPr>
        <w:ind w:left="7443" w:hanging="316"/>
      </w:pPr>
      <w:rPr>
        <w:rFonts w:hint="default"/>
        <w:lang w:val="en-US" w:eastAsia="en-US" w:bidi="ar-SA"/>
      </w:rPr>
    </w:lvl>
    <w:lvl w:ilvl="7">
      <w:start w:val="0"/>
      <w:numFmt w:val="bullet"/>
      <w:lvlText w:val="•"/>
      <w:lvlJc w:val="left"/>
      <w:pPr>
        <w:ind w:left="8434" w:hanging="316"/>
      </w:pPr>
      <w:rPr>
        <w:rFonts w:hint="default"/>
        <w:lang w:val="en-US" w:eastAsia="en-US" w:bidi="ar-SA"/>
      </w:rPr>
    </w:lvl>
    <w:lvl w:ilvl="8">
      <w:start w:val="0"/>
      <w:numFmt w:val="bullet"/>
      <w:lvlText w:val="•"/>
      <w:lvlJc w:val="left"/>
      <w:pPr>
        <w:ind w:left="9425" w:hanging="316"/>
      </w:pPr>
      <w:rPr>
        <w:rFonts w:hint="default"/>
        <w:lang w:val="en-US" w:eastAsia="en-US" w:bidi="ar-SA"/>
      </w:rPr>
    </w:lvl>
  </w:abstractNum>
  <w:abstractNum w:abstractNumId="1">
    <w:nsid w:val="54DD8758"/>
    <w:multiLevelType w:val="hybridMultilevel"/>
    <w:tmpl w:val="00000000"/>
    <w:lvl w:ilvl="0">
      <w:start w:val="4"/>
      <w:numFmt w:val="decimal"/>
      <w:lvlText w:val="%1"/>
      <w:lvlJc w:val="left"/>
      <w:pPr>
        <w:ind w:left="1209" w:hanging="316"/>
        <w:jc w:val="right"/>
      </w:pPr>
      <w:rPr>
        <w:rFonts w:ascii="黑体" w:eastAsia="黑体" w:hAnsi="黑体" w:cs="黑体" w:hint="default"/>
        <w:w w:val="100"/>
        <w:sz w:val="21"/>
        <w:szCs w:val="21"/>
        <w:lang w:val="en-US" w:eastAsia="en-US" w:bidi="ar-SA"/>
      </w:rPr>
    </w:lvl>
    <w:lvl w:ilvl="1">
      <w:start w:val="1"/>
      <w:numFmt w:val="decimal"/>
      <w:lvlText w:val="%1.%2"/>
      <w:lvlJc w:val="left"/>
      <w:pPr>
        <w:ind w:left="1420" w:hanging="526"/>
        <w:jc w:val="left"/>
      </w:pPr>
      <w:rPr>
        <w:rFonts w:ascii="黑体" w:eastAsia="黑体" w:hAnsi="黑体" w:cs="黑体" w:hint="default"/>
        <w:w w:val="100"/>
        <w:sz w:val="21"/>
        <w:szCs w:val="21"/>
        <w:lang w:val="en-US" w:eastAsia="en-US" w:bidi="ar-SA"/>
      </w:rPr>
    </w:lvl>
    <w:lvl w:ilvl="2">
      <w:start w:val="1"/>
      <w:numFmt w:val="decimal"/>
      <w:lvlText w:val="%1.%2.%3"/>
      <w:lvlJc w:val="left"/>
      <w:pPr>
        <w:ind w:left="1630" w:hanging="736"/>
        <w:jc w:val="left"/>
      </w:pPr>
      <w:rPr>
        <w:rFonts w:ascii="黑体" w:eastAsia="黑体" w:hAnsi="黑体" w:cs="黑体" w:hint="default"/>
        <w:w w:val="100"/>
        <w:sz w:val="21"/>
        <w:szCs w:val="21"/>
        <w:lang w:val="en-US" w:eastAsia="en-US" w:bidi="ar-SA"/>
      </w:rPr>
    </w:lvl>
    <w:lvl w:ilvl="3">
      <w:start w:val="1"/>
      <w:numFmt w:val="lowerLetter"/>
      <w:lvlText w:val="%4)"/>
      <w:lvlJc w:val="left"/>
      <w:pPr>
        <w:ind w:left="2029" w:hanging="426"/>
        <w:jc w:val="left"/>
      </w:pPr>
      <w:rPr>
        <w:rFonts w:ascii="宋体" w:eastAsia="宋体" w:hAnsi="宋体" w:cs="宋体" w:hint="default"/>
        <w:w w:val="100"/>
        <w:sz w:val="21"/>
        <w:szCs w:val="21"/>
        <w:lang w:val="en-US" w:eastAsia="en-US" w:bidi="ar-SA"/>
      </w:rPr>
    </w:lvl>
    <w:lvl w:ilvl="4">
      <w:start w:val="0"/>
      <w:numFmt w:val="bullet"/>
      <w:lvlText w:val="•"/>
      <w:lvlJc w:val="left"/>
      <w:pPr>
        <w:ind w:left="1640" w:hanging="426"/>
      </w:pPr>
      <w:rPr>
        <w:rFonts w:hint="default"/>
        <w:lang w:val="en-US" w:eastAsia="en-US" w:bidi="ar-SA"/>
      </w:rPr>
    </w:lvl>
    <w:lvl w:ilvl="5">
      <w:start w:val="0"/>
      <w:numFmt w:val="bullet"/>
      <w:lvlText w:val="•"/>
      <w:lvlJc w:val="left"/>
      <w:pPr>
        <w:ind w:left="1700" w:hanging="426"/>
      </w:pPr>
      <w:rPr>
        <w:rFonts w:hint="default"/>
        <w:lang w:val="en-US" w:eastAsia="en-US" w:bidi="ar-SA"/>
      </w:rPr>
    </w:lvl>
    <w:lvl w:ilvl="6">
      <w:start w:val="0"/>
      <w:numFmt w:val="bullet"/>
      <w:lvlText w:val="•"/>
      <w:lvlJc w:val="left"/>
      <w:pPr>
        <w:ind w:left="1740" w:hanging="426"/>
      </w:pPr>
      <w:rPr>
        <w:rFonts w:hint="default"/>
        <w:lang w:val="en-US" w:eastAsia="en-US" w:bidi="ar-SA"/>
      </w:rPr>
    </w:lvl>
    <w:lvl w:ilvl="7">
      <w:start w:val="0"/>
      <w:numFmt w:val="bullet"/>
      <w:lvlText w:val="•"/>
      <w:lvlJc w:val="left"/>
      <w:pPr>
        <w:ind w:left="1800" w:hanging="426"/>
      </w:pPr>
      <w:rPr>
        <w:rFonts w:hint="default"/>
        <w:lang w:val="en-US" w:eastAsia="en-US" w:bidi="ar-SA"/>
      </w:rPr>
    </w:lvl>
    <w:lvl w:ilvl="8">
      <w:start w:val="0"/>
      <w:numFmt w:val="bullet"/>
      <w:lvlText w:val="•"/>
      <w:lvlJc w:val="left"/>
      <w:pPr>
        <w:ind w:left="1920" w:hanging="426"/>
      </w:pPr>
      <w:rPr>
        <w:rFonts w:hint="default"/>
        <w:lang w:val="en-US" w:eastAsia="en-US" w:bidi="ar-SA"/>
      </w:rPr>
    </w:lvl>
  </w:abstractNum>
  <w:abstractNum w:abstractNumId="2">
    <w:nsid w:val="67C3B59E"/>
    <w:multiLevelType w:val="hybridMultilevel"/>
    <w:tmpl w:val="00000000"/>
    <w:lvl w:ilvl="0">
      <w:start w:val="1"/>
      <w:numFmt w:val="decimal"/>
      <w:lvlText w:val="%1"/>
      <w:lvlJc w:val="left"/>
      <w:pPr>
        <w:ind w:left="1494" w:hanging="316"/>
        <w:jc w:val="left"/>
      </w:pPr>
      <w:rPr>
        <w:rFonts w:ascii="黑体" w:eastAsia="黑体" w:hAnsi="黑体" w:cs="黑体" w:hint="default"/>
        <w:w w:val="100"/>
        <w:sz w:val="21"/>
        <w:szCs w:val="21"/>
        <w:lang w:val="en-US" w:eastAsia="en-US" w:bidi="ar-SA"/>
      </w:rPr>
    </w:lvl>
    <w:lvl w:ilvl="1">
      <w:start w:val="0"/>
      <w:numFmt w:val="bullet"/>
      <w:lvlText w:val="•"/>
      <w:lvlJc w:val="left"/>
      <w:pPr>
        <w:ind w:left="2490" w:hanging="316"/>
      </w:pPr>
      <w:rPr>
        <w:rFonts w:hint="default"/>
        <w:lang w:val="en-US" w:eastAsia="en-US" w:bidi="ar-SA"/>
      </w:rPr>
    </w:lvl>
    <w:lvl w:ilvl="2">
      <w:start w:val="0"/>
      <w:numFmt w:val="bullet"/>
      <w:lvlText w:val="•"/>
      <w:lvlJc w:val="left"/>
      <w:pPr>
        <w:ind w:left="3481" w:hanging="316"/>
      </w:pPr>
      <w:rPr>
        <w:rFonts w:hint="default"/>
        <w:lang w:val="en-US" w:eastAsia="en-US" w:bidi="ar-SA"/>
      </w:rPr>
    </w:lvl>
    <w:lvl w:ilvl="3">
      <w:start w:val="0"/>
      <w:numFmt w:val="bullet"/>
      <w:lvlText w:val="•"/>
      <w:lvlJc w:val="left"/>
      <w:pPr>
        <w:ind w:left="4471" w:hanging="316"/>
      </w:pPr>
      <w:rPr>
        <w:rFonts w:hint="default"/>
        <w:lang w:val="en-US" w:eastAsia="en-US" w:bidi="ar-SA"/>
      </w:rPr>
    </w:lvl>
    <w:lvl w:ilvl="4">
      <w:start w:val="0"/>
      <w:numFmt w:val="bullet"/>
      <w:lvlText w:val="•"/>
      <w:lvlJc w:val="left"/>
      <w:pPr>
        <w:ind w:left="5462" w:hanging="316"/>
      </w:pPr>
      <w:rPr>
        <w:rFonts w:hint="default"/>
        <w:lang w:val="en-US" w:eastAsia="en-US" w:bidi="ar-SA"/>
      </w:rPr>
    </w:lvl>
    <w:lvl w:ilvl="5">
      <w:start w:val="0"/>
      <w:numFmt w:val="bullet"/>
      <w:lvlText w:val="•"/>
      <w:lvlJc w:val="left"/>
      <w:pPr>
        <w:ind w:left="6453" w:hanging="316"/>
      </w:pPr>
      <w:rPr>
        <w:rFonts w:hint="default"/>
        <w:lang w:val="en-US" w:eastAsia="en-US" w:bidi="ar-SA"/>
      </w:rPr>
    </w:lvl>
    <w:lvl w:ilvl="6">
      <w:start w:val="0"/>
      <w:numFmt w:val="bullet"/>
      <w:lvlText w:val="•"/>
      <w:lvlJc w:val="left"/>
      <w:pPr>
        <w:ind w:left="7443" w:hanging="316"/>
      </w:pPr>
      <w:rPr>
        <w:rFonts w:hint="default"/>
        <w:lang w:val="en-US" w:eastAsia="en-US" w:bidi="ar-SA"/>
      </w:rPr>
    </w:lvl>
    <w:lvl w:ilvl="7">
      <w:start w:val="0"/>
      <w:numFmt w:val="bullet"/>
      <w:lvlText w:val="•"/>
      <w:lvlJc w:val="left"/>
      <w:pPr>
        <w:ind w:left="8434" w:hanging="316"/>
      </w:pPr>
      <w:rPr>
        <w:rFonts w:hint="default"/>
        <w:lang w:val="en-US" w:eastAsia="en-US" w:bidi="ar-SA"/>
      </w:rPr>
    </w:lvl>
    <w:lvl w:ilvl="8">
      <w:start w:val="0"/>
      <w:numFmt w:val="bullet"/>
      <w:lvlText w:val="•"/>
      <w:lvlJc w:val="left"/>
      <w:pPr>
        <w:ind w:left="9425" w:hanging="316"/>
      </w:pPr>
      <w:rPr>
        <w:rFonts w:hint="default"/>
        <w:lang w:val="en-US" w:eastAsia="en-US" w:bidi="ar-SA"/>
      </w:rPr>
    </w:lvl>
  </w:abstractNum>
  <w:abstractNum w:abstractNumId="3">
    <w:nsid w:val="7833CFE5"/>
    <w:multiLevelType w:val="hybridMultilevel"/>
    <w:tmpl w:val="00000000"/>
    <w:lvl w:ilvl="0">
      <w:start w:val="10"/>
      <w:numFmt w:val="decimal"/>
      <w:lvlText w:val="%1"/>
      <w:lvlJc w:val="left"/>
      <w:pPr>
        <w:ind w:left="840" w:hanging="841"/>
        <w:jc w:val="left"/>
      </w:pPr>
      <w:rPr>
        <w:rFonts w:hint="default"/>
        <w:lang w:val="en-US" w:eastAsia="en-US" w:bidi="ar-SA"/>
      </w:rPr>
    </w:lvl>
    <w:lvl w:ilvl="1">
      <w:start w:val="4"/>
      <w:numFmt w:val="decimal"/>
      <w:lvlText w:val="%1.%2"/>
      <w:lvlJc w:val="left"/>
      <w:pPr>
        <w:ind w:left="840" w:hanging="841"/>
        <w:jc w:val="left"/>
      </w:pPr>
      <w:rPr>
        <w:rFonts w:hint="default"/>
        <w:lang w:val="en-US" w:eastAsia="en-US" w:bidi="ar-SA"/>
      </w:rPr>
    </w:lvl>
    <w:lvl w:ilvl="2">
      <w:start w:val="2"/>
      <w:numFmt w:val="decimal"/>
      <w:lvlText w:val="%1.%2.%3"/>
      <w:lvlJc w:val="left"/>
      <w:pPr>
        <w:ind w:left="840" w:hanging="841"/>
        <w:jc w:val="left"/>
      </w:pPr>
      <w:rPr>
        <w:rFonts w:ascii="黑体" w:eastAsia="黑体" w:hAnsi="黑体" w:cs="黑体" w:hint="default"/>
        <w:w w:val="100"/>
        <w:sz w:val="21"/>
        <w:szCs w:val="21"/>
        <w:lang w:val="en-US" w:eastAsia="en-US" w:bidi="ar-SA"/>
      </w:rPr>
    </w:lvl>
    <w:lvl w:ilvl="3">
      <w:start w:val="1"/>
      <w:numFmt w:val="lowerLetter"/>
      <w:lvlText w:val="%4)"/>
      <w:lvlJc w:val="left"/>
      <w:pPr>
        <w:ind w:left="851" w:hanging="427"/>
        <w:jc w:val="left"/>
      </w:pPr>
      <w:rPr>
        <w:rFonts w:ascii="宋体" w:eastAsia="宋体" w:hAnsi="宋体" w:cs="宋体" w:hint="default"/>
        <w:w w:val="100"/>
        <w:sz w:val="21"/>
        <w:szCs w:val="21"/>
        <w:lang w:val="en-US" w:eastAsia="en-US" w:bidi="ar-SA"/>
      </w:rPr>
    </w:lvl>
    <w:lvl w:ilvl="4">
      <w:start w:val="0"/>
      <w:numFmt w:val="bullet"/>
      <w:lvlText w:val="•"/>
      <w:lvlJc w:val="left"/>
      <w:pPr>
        <w:ind w:left="3698" w:hanging="427"/>
      </w:pPr>
      <w:rPr>
        <w:rFonts w:hint="default"/>
        <w:lang w:val="en-US" w:eastAsia="en-US" w:bidi="ar-SA"/>
      </w:rPr>
    </w:lvl>
    <w:lvl w:ilvl="5">
      <w:start w:val="0"/>
      <w:numFmt w:val="bullet"/>
      <w:lvlText w:val="•"/>
      <w:lvlJc w:val="left"/>
      <w:pPr>
        <w:ind w:left="4644" w:hanging="427"/>
      </w:pPr>
      <w:rPr>
        <w:rFonts w:hint="default"/>
        <w:lang w:val="en-US" w:eastAsia="en-US" w:bidi="ar-SA"/>
      </w:rPr>
    </w:lvl>
    <w:lvl w:ilvl="6">
      <w:start w:val="0"/>
      <w:numFmt w:val="bullet"/>
      <w:lvlText w:val="•"/>
      <w:lvlJc w:val="left"/>
      <w:pPr>
        <w:ind w:left="5590" w:hanging="427"/>
      </w:pPr>
      <w:rPr>
        <w:rFonts w:hint="default"/>
        <w:lang w:val="en-US" w:eastAsia="en-US" w:bidi="ar-SA"/>
      </w:rPr>
    </w:lvl>
    <w:lvl w:ilvl="7">
      <w:start w:val="0"/>
      <w:numFmt w:val="bullet"/>
      <w:lvlText w:val="•"/>
      <w:lvlJc w:val="left"/>
      <w:pPr>
        <w:ind w:left="6536" w:hanging="427"/>
      </w:pPr>
      <w:rPr>
        <w:rFonts w:hint="default"/>
        <w:lang w:val="en-US" w:eastAsia="en-US" w:bidi="ar-SA"/>
      </w:rPr>
    </w:lvl>
    <w:lvl w:ilvl="8">
      <w:start w:val="0"/>
      <w:numFmt w:val="bullet"/>
      <w:lvlText w:val="•"/>
      <w:lvlJc w:val="left"/>
      <w:pPr>
        <w:ind w:left="7482" w:hanging="427"/>
      </w:pPr>
      <w:rPr>
        <w:rFonts w:hint="default"/>
        <w:lang w:val="en-US" w:eastAsia="en-US" w:bidi="ar-SA"/>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en-US" w:bidi="ar-SA"/>
    </w:rPr>
  </w:style>
  <w:style w:type="paragraph" w:styleId="Heading1">
    <w:name w:val="heading 1"/>
    <w:basedOn w:val="Normal"/>
    <w:uiPriority w:val="1"/>
    <w:qFormat/>
    <w:pPr>
      <w:spacing w:before="55"/>
      <w:ind w:left="305"/>
      <w:jc w:val="center"/>
      <w:outlineLvl w:val="0"/>
    </w:pPr>
    <w:rPr>
      <w:rFonts w:ascii="黑体" w:eastAsia="黑体" w:hAnsi="黑体" w:cs="黑体"/>
      <w:sz w:val="32"/>
      <w:szCs w:val="32"/>
      <w:lang w:val="en-US" w:eastAsia="en-US" w:bidi="ar-SA"/>
    </w:rPr>
  </w:style>
  <w:style w:type="paragraph" w:styleId="Heading2">
    <w:name w:val="heading 2"/>
    <w:basedOn w:val="Normal"/>
    <w:uiPriority w:val="1"/>
    <w:qFormat/>
    <w:pPr>
      <w:spacing w:before="61"/>
      <w:jc w:val="right"/>
      <w:outlineLvl w:val="1"/>
    </w:pPr>
    <w:rPr>
      <w:rFonts w:ascii="黑体" w:eastAsia="黑体" w:hAnsi="黑体" w:cs="黑体"/>
      <w:sz w:val="28"/>
      <w:szCs w:val="28"/>
      <w:lang w:val="en-US" w:eastAsia="en-US"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21"/>
      <w:szCs w:val="21"/>
      <w:lang w:val="en-US" w:eastAsia="en-US" w:bidi="ar-SA"/>
    </w:rPr>
  </w:style>
  <w:style w:type="paragraph" w:styleId="Title">
    <w:name w:val="Title"/>
    <w:basedOn w:val="Normal"/>
    <w:uiPriority w:val="1"/>
    <w:qFormat/>
    <w:pPr>
      <w:ind w:left="587"/>
      <w:jc w:val="center"/>
    </w:pPr>
    <w:rPr>
      <w:rFonts w:ascii="黑体" w:eastAsia="黑体" w:hAnsi="黑体" w:cs="黑体"/>
      <w:sz w:val="52"/>
      <w:szCs w:val="52"/>
      <w:lang w:val="en-US" w:eastAsia="en-US" w:bidi="ar-SA"/>
    </w:rPr>
  </w:style>
  <w:style w:type="paragraph" w:styleId="ListParagraph">
    <w:name w:val="List Paragraph"/>
    <w:basedOn w:val="Normal"/>
    <w:uiPriority w:val="1"/>
    <w:qFormat/>
    <w:pPr>
      <w:spacing w:before="43"/>
      <w:ind w:left="1630" w:hanging="736"/>
    </w:pPr>
    <w:rPr>
      <w:rFonts w:ascii="宋体" w:eastAsia="宋体" w:hAnsi="宋体" w:cs="宋体"/>
      <w:lang w:val="en-US" w:eastAsia="en-US" w:bidi="ar-SA"/>
    </w:rPr>
  </w:style>
  <w:style w:type="paragraph" w:customStyle="1" w:styleId="TableParagraph">
    <w:name w:val="Table Paragraph"/>
    <w:basedOn w:val="Normal"/>
    <w:uiPriority w:val="1"/>
    <w:qFormat/>
    <w:pPr>
      <w:spacing w:before="140"/>
    </w:pPr>
    <w:rPr>
      <w:rFonts w:ascii="宋体" w:eastAsia="宋体" w:hAnsi="宋体" w:cs="宋体"/>
      <w:lang w:val="en-US" w:eastAsia="en-US"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header" Target="header6.xml" /><Relationship Id="rId13" Type="http://schemas.openxmlformats.org/officeDocument/2006/relationships/header" Target="header7.xml" /><Relationship Id="rId14" Type="http://schemas.openxmlformats.org/officeDocument/2006/relationships/image" Target="media/image4.png" /><Relationship Id="rId15" Type="http://schemas.openxmlformats.org/officeDocument/2006/relationships/header" Target="header8.xml" /><Relationship Id="rId16" Type="http://schemas.openxmlformats.org/officeDocument/2006/relationships/header" Target="header9.xml" /><Relationship Id="rId17" Type="http://schemas.openxmlformats.org/officeDocument/2006/relationships/header" Target="header10.xml" /><Relationship Id="rId18" Type="http://schemas.openxmlformats.org/officeDocument/2006/relationships/header" Target="header11.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header" Target="header15.xml" /><Relationship Id="rId23" Type="http://schemas.openxmlformats.org/officeDocument/2006/relationships/header" Target="header16.xml" /><Relationship Id="rId24" Type="http://schemas.openxmlformats.org/officeDocument/2006/relationships/header" Target="header17.xml" /><Relationship Id="rId25" Type="http://schemas.openxmlformats.org/officeDocument/2006/relationships/header" Target="header18.xml" /><Relationship Id="rId26" Type="http://schemas.openxmlformats.org/officeDocument/2006/relationships/header" Target="header19.xml" /><Relationship Id="rId27" Type="http://schemas.openxmlformats.org/officeDocument/2006/relationships/header" Target="header20.xml" /><Relationship Id="rId28" Type="http://schemas.openxmlformats.org/officeDocument/2006/relationships/header" Target="header21.xml" /><Relationship Id="rId29" Type="http://schemas.openxmlformats.org/officeDocument/2006/relationships/header" Target="header22.xml" /><Relationship Id="rId3" Type="http://schemas.openxmlformats.org/officeDocument/2006/relationships/fontTable" Target="fontTable.xml" /><Relationship Id="rId30" Type="http://schemas.openxmlformats.org/officeDocument/2006/relationships/header" Target="header23.xml" /><Relationship Id="rId31" Type="http://schemas.openxmlformats.org/officeDocument/2006/relationships/hyperlink" Target="https://d.book118.com/377123046002006030" TargetMode="External" /><Relationship Id="rId32" Type="http://schemas.openxmlformats.org/officeDocument/2006/relationships/header" Target="header24.xml" /><Relationship Id="rId33" Type="http://schemas.openxmlformats.org/officeDocument/2006/relationships/header" Target="header25.xml" /><Relationship Id="rId34" Type="http://schemas.openxmlformats.org/officeDocument/2006/relationships/theme" Target="theme/theme1.xml" /><Relationship Id="rId35" Type="http://schemas.openxmlformats.org/officeDocument/2006/relationships/numbering" Target="numbering.xml" /><Relationship Id="rId36"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地方标准</dc:title>
  <dc:creator>Administrator</dc:creator>
  <cp:revision>0</cp:revision>
  <dcterms:created xsi:type="dcterms:W3CDTF">2024-01-10T08:41:10Z</dcterms:created>
  <dcterms:modified xsi:type="dcterms:W3CDTF">2024-01-10T08:41:10Z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2023-11-07T00:00:00Z</vt:filetime>
  </property>
  <property fmtid="{D5CDD505-2E9C-101B-9397-08002B2CF9AE}" pid="3" name="Creator">
    <vt:lpwstr>Microsoft® Word 2010</vt:lpwstr>
  </property>
  <property fmtid="{D5CDD505-2E9C-101B-9397-08002B2CF9AE}" pid="4" name="LastSaved">
    <vt:filetime>2024-01-10T00:00:00Z</vt:filetime>
  </property>
</Properties>
</file>