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0" w:lineRule="auto"/>
        <w:rPr>
          <w:rFonts w:ascii="Arial"/>
          <w:sz w:val="21"/>
        </w:rPr>
      </w:pPr>
    </w:p>
    <w:p>
      <w:pPr>
        <w:spacing w:line="280" w:lineRule="auto"/>
        <w:rPr>
          <w:rFonts w:ascii="Arial"/>
          <w:sz w:val="21"/>
        </w:rPr>
      </w:pPr>
    </w:p>
    <w:p>
      <w:pPr>
        <w:spacing w:before="104" w:line="219" w:lineRule="auto"/>
        <w:ind w:left="2048"/>
        <w:outlineLvl w:val="0"/>
        <w:rPr>
          <w:rFonts w:ascii="SimHei" w:eastAsia="SimHei" w:hAnsi="SimHei" w:cs="SimHei"/>
          <w:sz w:val="32"/>
          <w:szCs w:val="32"/>
        </w:rPr>
      </w:pPr>
      <w:r>
        <w:rPr>
          <w:rFonts w:ascii="SimHei" w:eastAsia="SimHei" w:hAnsi="SimHei" w:cs="SimHei"/>
          <w:spacing w:val="-3"/>
          <w:sz w:val="32"/>
          <w:szCs w:val="32"/>
        </w:rPr>
        <w:t>低聚糖质量要求</w:t>
      </w:r>
      <w:r>
        <w:rPr>
          <w:rFonts w:ascii="SimHei" w:eastAsia="SimHei" w:hAnsi="SimHei" w:cs="SimHei"/>
          <w:spacing w:val="-3"/>
          <w:sz w:val="32"/>
          <w:szCs w:val="32"/>
        </w:rPr>
        <w:t xml:space="preserve">  </w:t>
      </w:r>
      <w:r>
        <w:rPr>
          <w:rFonts w:ascii="SimHei" w:eastAsia="SimHei" w:hAnsi="SimHei" w:cs="SimHei"/>
          <w:spacing w:val="-3"/>
          <w:sz w:val="32"/>
          <w:szCs w:val="32"/>
        </w:rPr>
        <w:t>第</w:t>
      </w:r>
      <w:r>
        <w:rPr>
          <w:rFonts w:ascii="SimHei" w:eastAsia="SimHei" w:hAnsi="SimHei" w:cs="SimHei"/>
          <w:spacing w:val="-56"/>
          <w:sz w:val="32"/>
          <w:szCs w:val="32"/>
        </w:rPr>
        <w:t xml:space="preserve"> </w:t>
      </w:r>
      <w:r>
        <w:rPr>
          <w:rFonts w:ascii="SimHei" w:eastAsia="SimHei" w:hAnsi="SimHei" w:cs="SimHei"/>
          <w:spacing w:val="-3"/>
          <w:sz w:val="32"/>
          <w:szCs w:val="32"/>
        </w:rPr>
        <w:t>3</w:t>
      </w:r>
      <w:r>
        <w:rPr>
          <w:rFonts w:ascii="SimHei" w:eastAsia="SimHei" w:hAnsi="SimHei" w:cs="SimHei"/>
          <w:spacing w:val="-60"/>
          <w:sz w:val="32"/>
          <w:szCs w:val="32"/>
        </w:rPr>
        <w:t xml:space="preserve"> </w:t>
      </w:r>
      <w:r>
        <w:rPr>
          <w:rFonts w:ascii="SimHei" w:eastAsia="SimHei" w:hAnsi="SimHei" w:cs="SimHei"/>
          <w:spacing w:val="-3"/>
          <w:sz w:val="32"/>
          <w:szCs w:val="32"/>
        </w:rPr>
        <w:t>部分</w:t>
      </w:r>
      <w:r>
        <w:rPr>
          <w:rFonts w:ascii="SimHei" w:eastAsia="SimHei" w:hAnsi="SimHei" w:cs="SimHei"/>
          <w:spacing w:val="-3"/>
          <w:sz w:val="32"/>
          <w:szCs w:val="32"/>
        </w:rPr>
        <w:t xml:space="preserve"> </w:t>
      </w:r>
      <w:r>
        <w:rPr>
          <w:rFonts w:ascii="SimHei" w:eastAsia="SimHei" w:hAnsi="SimHei" w:cs="SimHei"/>
          <w:spacing w:val="-3"/>
          <w:sz w:val="32"/>
          <w:szCs w:val="32"/>
        </w:rPr>
        <w:t>低聚木糖</w:t>
      </w:r>
    </w:p>
    <w:p>
      <w:pPr>
        <w:spacing w:line="319" w:lineRule="auto"/>
        <w:rPr>
          <w:rFonts w:ascii="Arial"/>
          <w:sz w:val="21"/>
        </w:rPr>
      </w:pPr>
    </w:p>
    <w:p>
      <w:pPr>
        <w:spacing w:line="320" w:lineRule="auto"/>
        <w:rPr>
          <w:rFonts w:ascii="Arial"/>
          <w:sz w:val="21"/>
        </w:rPr>
      </w:pPr>
    </w:p>
    <w:p>
      <w:pPr>
        <w:spacing w:before="68" w:line="220" w:lineRule="auto"/>
        <w:ind w:left="18"/>
        <w:rPr>
          <w:rFonts w:ascii="SimHei" w:eastAsia="SimHei" w:hAnsi="SimHei" w:cs="SimHei"/>
          <w:sz w:val="21"/>
          <w:szCs w:val="21"/>
        </w:rPr>
      </w:pPr>
      <w:r>
        <w:rPr>
          <w:rFonts w:ascii="SimHei" w:eastAsia="SimHei" w:hAnsi="SimHei" w:cs="SimHei"/>
          <w:spacing w:val="-9"/>
          <w:sz w:val="21"/>
          <w:szCs w:val="21"/>
        </w:rPr>
        <w:t>1</w:t>
      </w:r>
      <w:r>
        <w:rPr>
          <w:rFonts w:ascii="SimHei" w:eastAsia="SimHei" w:hAnsi="SimHei" w:cs="SimHei"/>
          <w:spacing w:val="6"/>
          <w:sz w:val="21"/>
          <w:szCs w:val="21"/>
        </w:rPr>
        <w:t xml:space="preserve">  </w:t>
      </w:r>
      <w:r>
        <w:rPr>
          <w:rFonts w:ascii="SimHei" w:eastAsia="SimHei" w:hAnsi="SimHei" w:cs="SimHei"/>
          <w:spacing w:val="-9"/>
          <w:sz w:val="21"/>
          <w:szCs w:val="21"/>
        </w:rPr>
        <w:t>范围</w:t>
      </w:r>
    </w:p>
    <w:p>
      <w:pPr>
        <w:spacing w:line="303" w:lineRule="auto"/>
        <w:rPr>
          <w:rFonts w:ascii="Arial"/>
          <w:sz w:val="21"/>
        </w:rPr>
      </w:pPr>
    </w:p>
    <w:p>
      <w:pPr>
        <w:pStyle w:val="BodyText"/>
        <w:spacing w:before="68" w:line="247" w:lineRule="auto"/>
        <w:ind w:left="9" w:right="56" w:firstLine="420"/>
      </w:pPr>
      <w:r>
        <w:rPr>
          <w:spacing w:val="-6"/>
        </w:rPr>
        <w:t>本文件界定了低聚木糖的定义，</w:t>
      </w:r>
      <w:r>
        <w:rPr>
          <w:spacing w:val="47"/>
        </w:rPr>
        <w:t xml:space="preserve"> </w:t>
      </w:r>
      <w:r>
        <w:rPr>
          <w:spacing w:val="-6"/>
        </w:rPr>
        <w:t>规定了低聚木糖的技术要求、检验规则和标志、包装、运输和贮存</w:t>
      </w:r>
      <w:r>
        <w:t xml:space="preserve"> </w:t>
      </w:r>
      <w:r>
        <w:rPr>
          <w:spacing w:val="-1"/>
        </w:rPr>
        <w:t>要求，描述了相应试验方法，给出了分子式、结构式、符号的信息和</w:t>
      </w:r>
      <w:r>
        <w:rPr>
          <w:spacing w:val="-2"/>
        </w:rPr>
        <w:t>产品分类。</w:t>
      </w:r>
    </w:p>
    <w:p>
      <w:pPr>
        <w:pStyle w:val="BodyText"/>
        <w:spacing w:before="62" w:line="247" w:lineRule="auto"/>
        <w:ind w:left="9" w:right="58" w:firstLine="420"/>
      </w:pPr>
      <w:r>
        <w:rPr>
          <w:spacing w:val="-8"/>
        </w:rPr>
        <w:t>本文件适用于以玉米芯、玉米秸秆为原料，</w:t>
      </w:r>
      <w:r>
        <w:rPr>
          <w:spacing w:val="22"/>
        </w:rPr>
        <w:t xml:space="preserve"> </w:t>
      </w:r>
      <w:r>
        <w:rPr>
          <w:spacing w:val="-8"/>
        </w:rPr>
        <w:t>采用蒸汽</w:t>
      </w:r>
      <w:r>
        <w:rPr>
          <w:spacing w:val="-9"/>
        </w:rPr>
        <w:t>爆破法或高压蒸煮法，</w:t>
      </w:r>
      <w:r>
        <w:rPr>
          <w:spacing w:val="24"/>
        </w:rPr>
        <w:t xml:space="preserve"> </w:t>
      </w:r>
      <w:r>
        <w:rPr>
          <w:spacing w:val="-9"/>
        </w:rPr>
        <w:t>经酶解精制而成的低聚</w:t>
      </w:r>
      <w:r>
        <w:t xml:space="preserve"> </w:t>
      </w:r>
      <w:r>
        <w:rPr>
          <w:spacing w:val="-4"/>
        </w:rPr>
        <w:t>木糖的生产、检验和销售。</w:t>
      </w:r>
    </w:p>
    <w:p>
      <w:pPr>
        <w:spacing w:line="305" w:lineRule="auto"/>
        <w:rPr>
          <w:rFonts w:ascii="Arial"/>
          <w:sz w:val="21"/>
        </w:rPr>
      </w:pPr>
    </w:p>
    <w:p>
      <w:pPr>
        <w:spacing w:before="68" w:line="219" w:lineRule="auto"/>
        <w:ind w:left="6"/>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spacing w:line="303" w:lineRule="auto"/>
        <w:rPr>
          <w:rFonts w:ascii="Arial"/>
          <w:sz w:val="21"/>
        </w:rPr>
      </w:pPr>
    </w:p>
    <w:p>
      <w:pPr>
        <w:pStyle w:val="BodyText"/>
        <w:spacing w:before="69" w:line="256" w:lineRule="auto"/>
        <w:ind w:left="6" w:firstLine="428"/>
        <w:jc w:val="both"/>
      </w:pPr>
      <w:r>
        <w:rPr>
          <w:spacing w:val="-6"/>
        </w:rPr>
        <w:t>下列文件中的内容通过文中的规范性引用而构成本文件必不可少的条款。其中，注日期的引用文件，</w:t>
      </w:r>
      <w:r>
        <w:t xml:space="preserve"> </w:t>
      </w:r>
      <w:r>
        <w:rPr>
          <w:spacing w:val="-10"/>
        </w:rPr>
        <w:t>仅该日期对应的版本适用于本文件；</w:t>
      </w:r>
      <w:r>
        <w:rPr>
          <w:spacing w:val="36"/>
        </w:rPr>
        <w:t xml:space="preserve"> </w:t>
      </w:r>
      <w:r>
        <w:rPr>
          <w:spacing w:val="-10"/>
        </w:rPr>
        <w:t>不注日</w:t>
      </w:r>
      <w:r>
        <w:rPr>
          <w:spacing w:val="-11"/>
        </w:rPr>
        <w:t>期的引用文件，</w:t>
      </w:r>
      <w:r>
        <w:rPr>
          <w:spacing w:val="32"/>
        </w:rPr>
        <w:t xml:space="preserve"> </w:t>
      </w:r>
      <w:r>
        <w:rPr>
          <w:spacing w:val="-11"/>
        </w:rPr>
        <w:t>其最新版本（包括所有的修改单） 适用于本</w:t>
      </w:r>
      <w:r>
        <w:t xml:space="preserve"> </w:t>
      </w:r>
      <w:r>
        <w:rPr>
          <w:spacing w:val="-9"/>
        </w:rPr>
        <w:t>文件。</w:t>
      </w:r>
    </w:p>
    <w:p>
      <w:pPr>
        <w:pStyle w:val="BodyText"/>
        <w:spacing w:before="104" w:line="220" w:lineRule="auto"/>
        <w:ind w:left="425"/>
      </w:pPr>
      <w:r>
        <w:rPr>
          <w:spacing w:val="-2"/>
        </w:rPr>
        <w:t>GB/T</w:t>
      </w:r>
      <w:r>
        <w:rPr>
          <w:spacing w:val="25"/>
        </w:rPr>
        <w:t xml:space="preserve"> </w:t>
      </w:r>
      <w:r>
        <w:rPr>
          <w:spacing w:val="-2"/>
        </w:rPr>
        <w:t>191 包装储运图示标志</w:t>
      </w:r>
    </w:p>
    <w:p>
      <w:pPr>
        <w:pStyle w:val="BodyText"/>
        <w:spacing w:before="89" w:line="341" w:lineRule="exact"/>
        <w:ind w:left="425"/>
      </w:pPr>
      <w:r>
        <w:rPr>
          <w:position w:val="9"/>
        </w:rPr>
        <w:t xml:space="preserve">GB 5009.3  食品安全国家标准 </w:t>
      </w:r>
      <w:r>
        <w:rPr>
          <w:spacing w:val="-1"/>
          <w:position w:val="9"/>
        </w:rPr>
        <w:t>食品中水分的测定</w:t>
      </w:r>
    </w:p>
    <w:p>
      <w:pPr>
        <w:pStyle w:val="BodyText"/>
        <w:spacing w:before="1" w:line="219" w:lineRule="auto"/>
        <w:ind w:left="425"/>
      </w:pPr>
      <w:r>
        <w:t xml:space="preserve">GB 5009.4  食品安全国家标准 </w:t>
      </w:r>
      <w:r>
        <w:rPr>
          <w:spacing w:val="-1"/>
        </w:rPr>
        <w:t>食品中灰分的测定</w:t>
      </w:r>
    </w:p>
    <w:p>
      <w:pPr>
        <w:pStyle w:val="BodyText"/>
        <w:spacing w:before="89" w:line="220" w:lineRule="auto"/>
        <w:ind w:left="425"/>
      </w:pPr>
      <w:r>
        <w:rPr>
          <w:spacing w:val="-1"/>
        </w:rPr>
        <w:t>GB/T 6682 分析实验室用水规格和试验方法</w:t>
      </w:r>
    </w:p>
    <w:p>
      <w:pPr>
        <w:pStyle w:val="BodyText"/>
        <w:spacing w:before="90" w:line="220" w:lineRule="auto"/>
        <w:ind w:left="425"/>
      </w:pPr>
      <w:r>
        <w:t>GB 7718  食品安全国家标准 预</w:t>
      </w:r>
      <w:r>
        <w:rPr>
          <w:spacing w:val="-1"/>
        </w:rPr>
        <w:t>包装食品标签通则</w:t>
      </w:r>
    </w:p>
    <w:p>
      <w:pPr>
        <w:pStyle w:val="BodyText"/>
        <w:spacing w:before="90" w:line="220" w:lineRule="auto"/>
        <w:ind w:left="425"/>
      </w:pPr>
      <w:r>
        <w:rPr>
          <w:spacing w:val="-1"/>
        </w:rPr>
        <w:t>GB/T 20882.2 淀粉糖质量要求 第</w:t>
      </w:r>
      <w:r>
        <w:rPr>
          <w:spacing w:val="-42"/>
        </w:rPr>
        <w:t xml:space="preserve"> </w:t>
      </w:r>
      <w:r>
        <w:rPr>
          <w:spacing w:val="-1"/>
        </w:rPr>
        <w:t>2</w:t>
      </w:r>
      <w:r>
        <w:rPr>
          <w:spacing w:val="-42"/>
        </w:rPr>
        <w:t xml:space="preserve"> </w:t>
      </w:r>
      <w:r>
        <w:rPr>
          <w:spacing w:val="-1"/>
        </w:rPr>
        <w:t>部分：</w:t>
      </w:r>
      <w:r>
        <w:rPr>
          <w:spacing w:val="-2"/>
        </w:rPr>
        <w:t>葡萄糖浆（粉）</w:t>
      </w:r>
    </w:p>
    <w:p>
      <w:pPr>
        <w:pStyle w:val="BodyText"/>
        <w:spacing w:before="90" w:line="611" w:lineRule="exact"/>
        <w:ind w:left="426"/>
      </w:pPr>
      <w:r>
        <w:rPr>
          <w:spacing w:val="-1"/>
          <w:position w:val="31"/>
        </w:rPr>
        <w:t>QB/T 2492  低聚糖通用技术规则</w:t>
      </w:r>
    </w:p>
    <w:p>
      <w:pPr>
        <w:spacing w:line="219" w:lineRule="auto"/>
        <w:ind w:left="8"/>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302" w:lineRule="auto"/>
        <w:rPr>
          <w:rFonts w:ascii="Arial"/>
          <w:sz w:val="21"/>
        </w:rPr>
      </w:pPr>
    </w:p>
    <w:p>
      <w:pPr>
        <w:pStyle w:val="BodyText"/>
        <w:spacing w:before="69" w:line="219" w:lineRule="auto"/>
        <w:ind w:left="434"/>
      </w:pPr>
      <w:r>
        <w:rPr>
          <w:spacing w:val="-3"/>
        </w:rPr>
        <w:t>下列术语和定义适用于本文件。</w:t>
      </w:r>
    </w:p>
    <w:p>
      <w:pPr>
        <w:spacing w:line="247" w:lineRule="auto"/>
        <w:rPr>
          <w:rFonts w:ascii="Arial"/>
          <w:sz w:val="21"/>
        </w:rPr>
      </w:pPr>
    </w:p>
    <w:p>
      <w:pPr>
        <w:spacing w:line="150" w:lineRule="exact"/>
        <w:ind w:firstLine="4"/>
      </w:pPr>
      <w:r>
        <w:rPr>
          <w:position w:val="-2"/>
        </w:rPr>
        <w:drawing>
          <wp:inline distT="0" distB="0" distL="0" distR="0">
            <wp:extent cx="171069" cy="9486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1069" cy="94867"/>
                    </a:xfrm>
                    <a:prstGeom prst="rect">
                      <a:avLst/>
                    </a:prstGeom>
                  </pic:spPr>
                </pic:pic>
              </a:graphicData>
            </a:graphic>
          </wp:inline>
        </w:drawing>
      </w:r>
    </w:p>
    <w:p>
      <w:pPr>
        <w:pStyle w:val="BodyText"/>
        <w:spacing w:before="289" w:line="215" w:lineRule="auto"/>
        <w:ind w:left="427"/>
        <w:sectPr>
          <w:headerReference w:type="default" r:id="rId5"/>
          <w:footerReference w:type="default" r:id="rId6"/>
          <w:pgSz w:w="11907" w:h="16839"/>
          <w:pgMar w:top="1658" w:right="1076" w:bottom="1311" w:left="1418" w:header="1448" w:footer="1134" w:gutter="0"/>
          <w:cols w:space="708"/>
        </w:sectPr>
      </w:pPr>
      <w:r>
        <w:rPr>
          <w:rFonts w:ascii="SimHei" w:eastAsia="SimHei" w:hAnsi="SimHei" w:cs="SimHei"/>
          <w:spacing w:val="-3"/>
        </w:rPr>
        <w:t>低聚木糖</w:t>
      </w:r>
      <w:r>
        <w:rPr>
          <w:rFonts w:ascii="SimHei" w:eastAsia="SimHei" w:hAnsi="SimHei" w:cs="SimHei"/>
          <w:spacing w:val="-3"/>
        </w:rPr>
        <w:t xml:space="preserve"> </w:t>
      </w:r>
      <w:r>
        <w:rPr>
          <w:rFonts w:ascii="SimHei" w:eastAsia="SimHei" w:hAnsi="SimHei" w:cs="SimHei"/>
          <w:b/>
          <w:bCs/>
          <w:spacing w:val="-3"/>
        </w:rPr>
        <w:t>xy</w:t>
      </w:r>
      <w:r>
        <w:rPr>
          <w:rFonts w:ascii="SimHei" w:eastAsia="SimHei" w:hAnsi="SimHei" w:cs="SimHei"/>
          <w:spacing w:val="-61"/>
        </w:rPr>
        <w:t xml:space="preserve"> </w:t>
      </w:r>
      <w:r>
        <w:rPr>
          <w:rFonts w:ascii="SimHei" w:eastAsia="SimHei" w:hAnsi="SimHei" w:cs="SimHei"/>
          <w:b/>
          <w:bCs/>
          <w:spacing w:val="-3"/>
        </w:rPr>
        <w:t>lo-oligosacchari</w:t>
      </w:r>
      <w:r>
        <w:rPr>
          <w:b/>
          <w:bCs/>
          <w:spacing w:val="-3"/>
        </w:rPr>
        <w:t>de，XOS</w:t>
      </w:r>
    </w:p>
    <w:p>
      <w:pPr>
        <w:pStyle w:val="BodyText"/>
        <w:spacing w:before="224" w:line="625" w:lineRule="exact"/>
        <w:ind w:left="347"/>
      </w:pPr>
      <w:r>
        <w:rPr>
          <w:spacing w:val="-2"/>
          <w:position w:val="32"/>
        </w:rPr>
        <w:t>以木糖为主，由2～9个糖单元以β-1,4糖苷键连接而成的低聚糖混合物。</w:t>
      </w:r>
    </w:p>
    <w:p>
      <w:pPr>
        <w:spacing w:line="219" w:lineRule="auto"/>
        <w:ind w:left="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pacing w:val="-1"/>
          <w:sz w:val="21"/>
          <w:szCs w:val="21"/>
        </w:rPr>
        <w:t>结构式、分子式</w:t>
      </w:r>
    </w:p>
    <w:p>
      <w:pPr>
        <w:spacing w:line="302" w:lineRule="auto"/>
        <w:rPr>
          <w:rFonts w:ascii="Arial"/>
          <w:sz w:val="21"/>
        </w:rPr>
      </w:pPr>
    </w:p>
    <w:p>
      <w:pPr>
        <w:spacing w:before="70" w:line="221" w:lineRule="auto"/>
        <w:rPr>
          <w:rFonts w:ascii="SimHei" w:eastAsia="SimHei" w:hAnsi="SimHei" w:cs="SimHei"/>
          <w:sz w:val="21"/>
          <w:szCs w:val="21"/>
        </w:rPr>
      </w:pPr>
      <w:r>
        <w:rPr>
          <w:rFonts w:ascii="SimHei" w:eastAsia="SimHei" w:hAnsi="SimHei" w:cs="SimHei"/>
          <w:sz w:val="21"/>
          <w:szCs w:val="21"/>
        </w:rPr>
        <w:drawing>
          <wp:inline distT="0" distB="0" distL="0" distR="0">
            <wp:extent cx="174116" cy="9334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174116" cy="93343"/>
                    </a:xfrm>
                    <a:prstGeom prst="rect">
                      <a:avLst/>
                    </a:prstGeom>
                  </pic:spPr>
                </pic:pic>
              </a:graphicData>
            </a:graphic>
          </wp:inline>
        </w:drawing>
      </w:r>
      <w:r>
        <w:rPr>
          <w:rFonts w:ascii="SimHei" w:eastAsia="SimHei" w:hAnsi="SimHei" w:cs="SimHei"/>
          <w:spacing w:val="24"/>
          <w:sz w:val="21"/>
          <w:szCs w:val="21"/>
        </w:rPr>
        <w:t xml:space="preserve">  </w:t>
      </w:r>
      <w:r>
        <w:rPr>
          <w:rFonts w:ascii="SimHei" w:eastAsia="SimHei" w:hAnsi="SimHei" w:cs="SimHei"/>
          <w:spacing w:val="-2"/>
          <w:sz w:val="21"/>
          <w:szCs w:val="21"/>
        </w:rPr>
        <w:t>结构式</w:t>
      </w:r>
    </w:p>
    <w:p>
      <w:pPr>
        <w:spacing w:before="205" w:line="1793" w:lineRule="exact"/>
        <w:ind w:firstLine="448"/>
      </w:pPr>
      <w:r>
        <w:rPr>
          <w:position w:val="-35"/>
        </w:rPr>
        <w:drawing>
          <wp:inline distT="0" distB="0" distL="0" distR="0">
            <wp:extent cx="2094770" cy="113848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2094770" cy="1138488"/>
                    </a:xfrm>
                    <a:prstGeom prst="rect">
                      <a:avLst/>
                    </a:prstGeom>
                  </pic:spPr>
                </pic:pic>
              </a:graphicData>
            </a:graphic>
          </wp:inline>
        </w:drawing>
      </w:r>
    </w:p>
    <w:p>
      <w:pPr>
        <w:spacing w:line="1793" w:lineRule="exact"/>
        <w:sectPr>
          <w:headerReference w:type="default" r:id="rId9"/>
          <w:footerReference w:type="default" r:id="rId10"/>
          <w:type w:val="nextPage"/>
          <w:pgSz w:w="11907" w:h="16839"/>
          <w:pgMar w:top="1658" w:right="1076" w:bottom="1311" w:left="1418" w:header="1448" w:footer="1134" w:gutter="0"/>
          <w:pgNumType w:start="2"/>
          <w:cols w:space="708"/>
          <w:titlePg w:val="0"/>
        </w:sectPr>
      </w:pPr>
    </w:p>
    <w:p>
      <w:pPr>
        <w:spacing w:before="27"/>
      </w:pPr>
    </w:p>
    <w:p>
      <w:pPr>
        <w:spacing w:before="27"/>
      </w:pPr>
    </w:p>
    <w:p>
      <w:pPr>
        <w:spacing w:before="26"/>
      </w:pPr>
    </w:p>
    <w:p>
      <w:pPr>
        <w:spacing w:before="26"/>
      </w:pPr>
    </w:p>
    <w:p>
      <w:pPr>
        <w:sectPr>
          <w:headerReference w:type="default" r:id="rId11"/>
          <w:footerReference w:type="default" r:id="rId12"/>
          <w:pgSz w:w="11910" w:h="16840"/>
          <w:pgMar w:top="400" w:right="1054" w:bottom="1305" w:left="1294" w:header="0" w:footer="1156" w:gutter="0"/>
          <w:pgNumType w:start="3"/>
          <w:cols w:num="1" w:space="708" w:equalWidth="0">
            <w:col w:w="9561" w:space="0"/>
          </w:cols>
        </w:sectPr>
      </w:pPr>
    </w:p>
    <w:p>
      <w:pPr>
        <w:spacing w:line="425" w:lineRule="auto"/>
        <w:rPr>
          <w:rFonts w:ascii="Arial"/>
          <w:sz w:val="21"/>
        </w:rPr>
      </w:pPr>
    </w:p>
    <w:p>
      <w:pPr>
        <w:spacing w:before="68" w:line="222" w:lineRule="auto"/>
        <w:ind w:left="125"/>
        <w:rPr>
          <w:rFonts w:ascii="SimHei" w:eastAsia="SimHei" w:hAnsi="SimHei" w:cs="SimHei"/>
          <w:sz w:val="21"/>
          <w:szCs w:val="21"/>
        </w:rPr>
      </w:pPr>
      <w:r>
        <w:rPr>
          <w:rFonts w:ascii="SimHei" w:eastAsia="SimHei" w:hAnsi="SimHei" w:cs="SimHei"/>
          <w:sz w:val="21"/>
          <w:szCs w:val="21"/>
        </w:rPr>
        <w:t>4.2</w:t>
      </w:r>
      <w:r>
        <w:rPr>
          <w:rFonts w:ascii="SimHei" w:eastAsia="SimHei" w:hAnsi="SimHei" w:cs="SimHei"/>
          <w:spacing w:val="87"/>
          <w:sz w:val="21"/>
          <w:szCs w:val="21"/>
        </w:rPr>
        <w:t xml:space="preserve"> </w:t>
      </w:r>
      <w:r>
        <w:rPr>
          <w:rFonts w:ascii="SimHei" w:eastAsia="SimHei" w:hAnsi="SimHei" w:cs="SimHei"/>
          <w:sz w:val="21"/>
          <w:szCs w:val="21"/>
        </w:rPr>
        <w:t>分子式</w:t>
      </w:r>
    </w:p>
    <w:p>
      <w:pPr>
        <w:spacing w:before="240" w:line="188"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C₅Hsn+2O₄m+1,2≤n≤9</w:t>
      </w:r>
    </w:p>
    <w:p>
      <w:pPr>
        <w:spacing w:line="346" w:lineRule="auto"/>
        <w:rPr>
          <w:rFonts w:ascii="Arial"/>
          <w:sz w:val="21"/>
        </w:rPr>
      </w:pPr>
    </w:p>
    <w:p>
      <w:pPr>
        <w:spacing w:before="68" w:line="222" w:lineRule="auto"/>
        <w:ind w:left="105"/>
        <w:rPr>
          <w:rFonts w:ascii="SimHei" w:eastAsia="SimHei" w:hAnsi="SimHei" w:cs="SimHei"/>
          <w:sz w:val="21"/>
          <w:szCs w:val="21"/>
        </w:rPr>
      </w:pPr>
      <w:r>
        <w:rPr>
          <w:rFonts w:ascii="SimHei" w:eastAsia="SimHei" w:hAnsi="SimHei" w:cs="SimHei"/>
          <w:spacing w:val="-2"/>
          <w:sz w:val="21"/>
          <w:szCs w:val="21"/>
        </w:rPr>
        <w:t>5</w:t>
      </w:r>
      <w:r>
        <w:rPr>
          <w:rFonts w:ascii="SimHei" w:eastAsia="SimHei" w:hAnsi="SimHei" w:cs="SimHei"/>
          <w:spacing w:val="-2"/>
          <w:sz w:val="21"/>
          <w:szCs w:val="21"/>
        </w:rPr>
        <w:t xml:space="preserve">  </w:t>
      </w:r>
      <w:r>
        <w:rPr>
          <w:rFonts w:ascii="SimHei" w:eastAsia="SimHei" w:hAnsi="SimHei" w:cs="SimHei"/>
          <w:spacing w:val="-2"/>
          <w:sz w:val="21"/>
          <w:szCs w:val="21"/>
        </w:rPr>
        <w:t>符号</w:t>
      </w:r>
    </w:p>
    <w:p>
      <w:pPr>
        <w:spacing w:line="297" w:lineRule="auto"/>
        <w:rPr>
          <w:rFonts w:ascii="Arial"/>
          <w:sz w:val="21"/>
        </w:rPr>
      </w:pPr>
    </w:p>
    <w:p>
      <w:pPr>
        <w:pStyle w:val="BodyText"/>
        <w:spacing w:before="69" w:line="370" w:lineRule="exact"/>
        <w:ind w:left="544"/>
      </w:pPr>
      <w:r>
        <w:rPr>
          <w:spacing w:val="-4"/>
          <w:position w:val="12"/>
        </w:rPr>
        <w:t>下列符号适用于本文件。</w:t>
      </w:r>
    </w:p>
    <w:p>
      <w:pPr>
        <w:pStyle w:val="BodyText"/>
        <w:spacing w:before="1" w:line="219" w:lineRule="auto"/>
        <w:ind w:left="1584"/>
      </w:pPr>
      <w:r>
        <w:rPr>
          <w:spacing w:val="-3"/>
        </w:rPr>
        <w:t>符号</w:t>
      </w:r>
    </w:p>
    <w:p>
      <w:pPr>
        <w:spacing w:before="145" w:line="188" w:lineRule="auto"/>
        <w:ind w:left="1574"/>
        <w:rPr>
          <w:rFonts w:ascii="Times New Roman" w:eastAsia="Times New Roman" w:hAnsi="Times New Roman" w:cs="Times New Roman"/>
          <w:sz w:val="21"/>
          <w:szCs w:val="21"/>
        </w:rPr>
      </w:pPr>
      <w:r>
        <w:rPr>
          <w:rFonts w:ascii="Times New Roman" w:eastAsia="Times New Roman" w:hAnsi="Times New Roman" w:cs="Times New Roman"/>
          <w:spacing w:val="-14"/>
          <w:w w:val="94"/>
          <w:sz w:val="21"/>
          <w:szCs w:val="21"/>
        </w:rPr>
        <w:t>XOS</w:t>
      </w:r>
    </w:p>
    <w:p>
      <w:pPr>
        <w:spacing w:before="140" w:line="188" w:lineRule="auto"/>
        <w:ind w:left="1574"/>
        <w:rPr>
          <w:rFonts w:ascii="Times New Roman" w:eastAsia="Times New Roman" w:hAnsi="Times New Roman" w:cs="Times New Roman"/>
          <w:sz w:val="21"/>
          <w:szCs w:val="21"/>
        </w:rPr>
      </w:pPr>
      <w:r>
        <w:rPr>
          <w:rFonts w:ascii="Times New Roman" w:eastAsia="Times New Roman" w:hAnsi="Times New Roman" w:cs="Times New Roman"/>
          <w:spacing w:val="-10"/>
          <w:w w:val="87"/>
          <w:sz w:val="21"/>
          <w:szCs w:val="21"/>
        </w:rPr>
        <w:t>XOS₂-4</w:t>
      </w:r>
    </w:p>
    <w:p>
      <w:pPr>
        <w:spacing w:before="164" w:line="185" w:lineRule="auto"/>
        <w:ind w:left="1574"/>
        <w:rPr>
          <w:rFonts w:ascii="Times New Roman" w:eastAsia="Times New Roman" w:hAnsi="Times New Roman" w:cs="Times New Roman"/>
          <w:sz w:val="21"/>
          <w:szCs w:val="21"/>
        </w:rPr>
      </w:pPr>
      <w:r>
        <w:rPr>
          <w:rFonts w:ascii="Times New Roman" w:eastAsia="Times New Roman" w:hAnsi="Times New Roman" w:cs="Times New Roman"/>
          <w:color w:val="E59216"/>
          <w:spacing w:val="-2"/>
          <w:w w:val="91"/>
          <w:sz w:val="21"/>
          <w:szCs w:val="21"/>
        </w:rPr>
        <w:t>X₂</w:t>
      </w:r>
    </w:p>
    <w:p>
      <w:pPr>
        <w:spacing w:before="163" w:line="185" w:lineRule="auto"/>
        <w:ind w:left="1574"/>
        <w:rPr>
          <w:rFonts w:ascii="Times New Roman" w:eastAsia="Times New Roman" w:hAnsi="Times New Roman" w:cs="Times New Roman"/>
          <w:sz w:val="18"/>
          <w:szCs w:val="18"/>
        </w:rPr>
      </w:pPr>
      <w:r>
        <w:rPr>
          <w:rFonts w:ascii="Times New Roman" w:eastAsia="Times New Roman" w:hAnsi="Times New Roman" w:cs="Times New Roman"/>
          <w:color w:val="162BE5"/>
          <w:spacing w:val="-1"/>
          <w:sz w:val="18"/>
          <w:szCs w:val="18"/>
        </w:rPr>
        <w:t>X₃</w:t>
      </w:r>
    </w:p>
    <w:p>
      <w:pPr>
        <w:spacing w:before="161" w:line="185" w:lineRule="auto"/>
        <w:ind w:left="1574"/>
        <w:rPr>
          <w:rFonts w:ascii="Times New Roman" w:eastAsia="Times New Roman" w:hAnsi="Times New Roman" w:cs="Times New Roman"/>
          <w:sz w:val="21"/>
          <w:szCs w:val="21"/>
        </w:rPr>
      </w:pPr>
      <w:r>
        <w:rPr>
          <w:rFonts w:ascii="Times New Roman" w:eastAsia="Times New Roman" w:hAnsi="Times New Roman" w:cs="Times New Roman"/>
          <w:spacing w:val="-2"/>
          <w:w w:val="91"/>
          <w:sz w:val="21"/>
          <w:szCs w:val="21"/>
        </w:rPr>
        <w:t>X₄</w:t>
      </w:r>
    </w:p>
    <w:p>
      <w:pPr>
        <w:spacing w:before="173" w:line="329" w:lineRule="exact"/>
        <w:ind w:left="1574"/>
        <w:rPr>
          <w:rFonts w:ascii="Times New Roman" w:eastAsia="Times New Roman" w:hAnsi="Times New Roman" w:cs="Times New Roman"/>
          <w:sz w:val="18"/>
          <w:szCs w:val="18"/>
        </w:rPr>
      </w:pPr>
      <w:r>
        <w:rPr>
          <w:rFonts w:ascii="Times New Roman" w:eastAsia="Times New Roman" w:hAnsi="Times New Roman" w:cs="Times New Roman"/>
          <w:color w:val="162BE5"/>
          <w:spacing w:val="-1"/>
          <w:position w:val="14"/>
          <w:sz w:val="18"/>
          <w:szCs w:val="18"/>
        </w:rPr>
        <w:t>X₅</w:t>
      </w:r>
    </w:p>
    <w:p>
      <w:pPr>
        <w:spacing w:line="185" w:lineRule="auto"/>
        <w:ind w:left="1574"/>
        <w:rPr>
          <w:rFonts w:ascii="Times New Roman" w:eastAsia="Times New Roman" w:hAnsi="Times New Roman" w:cs="Times New Roman"/>
          <w:sz w:val="21"/>
          <w:szCs w:val="21"/>
        </w:rPr>
      </w:pPr>
      <w:r>
        <w:rPr>
          <w:rFonts w:ascii="Times New Roman" w:eastAsia="Times New Roman" w:hAnsi="Times New Roman" w:cs="Times New Roman"/>
          <w:color w:val="162BE5"/>
          <w:spacing w:val="-4"/>
          <w:w w:val="90"/>
          <w:sz w:val="21"/>
          <w:szCs w:val="21"/>
        </w:rPr>
        <w:t>X₆</w:t>
      </w:r>
    </w:p>
    <w:p>
      <w:pPr>
        <w:spacing w:before="143" w:line="165" w:lineRule="auto"/>
        <w:ind w:left="1574"/>
        <w:rPr>
          <w:rFonts w:ascii="Times New Roman" w:eastAsia="Times New Roman" w:hAnsi="Times New Roman" w:cs="Times New Roman"/>
          <w:sz w:val="21"/>
          <w:szCs w:val="21"/>
        </w:rPr>
      </w:pPr>
      <w:r>
        <w:rPr>
          <w:rFonts w:ascii="Times New Roman" w:eastAsia="Times New Roman" w:hAnsi="Times New Roman" w:cs="Times New Roman"/>
          <w:color w:val="162BE5"/>
          <w:spacing w:val="-4"/>
          <w:w w:val="90"/>
          <w:sz w:val="21"/>
          <w:szCs w:val="21"/>
        </w:rPr>
        <w:t>X₇</w:t>
      </w:r>
    </w:p>
    <w:p>
      <w:pPr>
        <w:spacing w:line="14" w:lineRule="auto"/>
        <w:rPr>
          <w:rFonts w:ascii="Arial"/>
          <w:sz w:val="2"/>
        </w:rPr>
      </w:pPr>
      <w:r>
        <w:rPr>
          <w:rFonts w:ascii="Arial" w:eastAsia="Arial" w:hAnsi="Arial" w:cs="Arial"/>
          <w:sz w:val="2"/>
          <w:szCs w:val="2"/>
        </w:rPr>
        <w:br w:type="column"/>
      </w:r>
    </w:p>
    <w:p>
      <w:pPr>
        <w:spacing w:before="41" w:line="198" w:lineRule="auto"/>
        <w:ind w:left="2980"/>
        <w:rPr>
          <w:rFonts w:ascii="Arial" w:eastAsia="Arial" w:hAnsi="Arial" w:cs="Arial"/>
          <w:sz w:val="18"/>
          <w:szCs w:val="18"/>
        </w:rPr>
      </w:pPr>
      <w:r>
        <w:rPr>
          <w:rFonts w:ascii="Arial" w:eastAsia="Arial" w:hAnsi="Arial" w:cs="Arial"/>
          <w:spacing w:val="-2"/>
          <w:sz w:val="18"/>
          <w:szCs w:val="18"/>
        </w:rPr>
        <w:t>GB/T</w:t>
      </w:r>
      <w:r>
        <w:rPr>
          <w:rFonts w:ascii="Arial" w:eastAsia="Arial" w:hAnsi="Arial" w:cs="Arial"/>
          <w:spacing w:val="10"/>
          <w:sz w:val="18"/>
          <w:szCs w:val="18"/>
        </w:rPr>
        <w:t xml:space="preserve">   </w:t>
      </w:r>
      <w:r>
        <w:rPr>
          <w:rFonts w:ascii="Arial" w:eastAsia="Arial" w:hAnsi="Arial" w:cs="Arial"/>
          <w:spacing w:val="-2"/>
          <w:sz w:val="18"/>
          <w:szCs w:val="18"/>
        </w:rPr>
        <w:t>23528.3—XXXX</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68" w:line="351" w:lineRule="exact"/>
        <w:ind w:left="30"/>
      </w:pPr>
      <w:r>
        <w:rPr>
          <w:spacing w:val="-5"/>
          <w:position w:val="10"/>
        </w:rPr>
        <w:t>代表物名称</w:t>
      </w:r>
    </w:p>
    <w:p>
      <w:pPr>
        <w:pStyle w:val="BodyText"/>
        <w:spacing w:line="220" w:lineRule="auto"/>
        <w:ind w:left="40"/>
      </w:pPr>
      <w:r>
        <w:rPr>
          <w:spacing w:val="-6"/>
        </w:rPr>
        <w:t>低聚木糖</w:t>
      </w:r>
    </w:p>
    <w:p>
      <w:pPr>
        <w:pStyle w:val="BodyText"/>
        <w:spacing w:before="69" w:line="220" w:lineRule="auto"/>
      </w:pPr>
      <w:r>
        <w:rPr>
          <w:spacing w:val="-3"/>
        </w:rPr>
        <w:t>木二糖、木三糖、木四糖之和</w:t>
      </w:r>
    </w:p>
    <w:p>
      <w:pPr>
        <w:pStyle w:val="BodyText"/>
        <w:spacing w:before="109" w:line="320" w:lineRule="exact"/>
        <w:ind w:left="90"/>
      </w:pPr>
      <w:r>
        <w:rPr>
          <w:color w:val="E59216"/>
          <w:spacing w:val="-7"/>
          <w:position w:val="8"/>
        </w:rPr>
        <w:t>木二糖</w:t>
      </w:r>
    </w:p>
    <w:p>
      <w:pPr>
        <w:pStyle w:val="BodyText"/>
        <w:spacing w:line="220" w:lineRule="auto"/>
        <w:ind w:left="90"/>
      </w:pPr>
      <w:r>
        <w:rPr>
          <w:color w:val="E59216"/>
          <w:spacing w:val="-7"/>
        </w:rPr>
        <w:t>木三糖</w:t>
      </w:r>
    </w:p>
    <w:p>
      <w:pPr>
        <w:pStyle w:val="BodyText"/>
        <w:spacing w:before="110" w:line="320" w:lineRule="exact"/>
        <w:ind w:left="90"/>
      </w:pPr>
      <w:r>
        <w:rPr>
          <w:spacing w:val="-7"/>
          <w:position w:val="8"/>
        </w:rPr>
        <w:t>木四糖</w:t>
      </w:r>
    </w:p>
    <w:p>
      <w:pPr>
        <w:pStyle w:val="BodyText"/>
        <w:spacing w:line="220" w:lineRule="auto"/>
        <w:ind w:left="90"/>
      </w:pPr>
      <w:r>
        <w:rPr>
          <w:spacing w:val="-7"/>
        </w:rPr>
        <w:t>木五糖</w:t>
      </w:r>
    </w:p>
    <w:p>
      <w:pPr>
        <w:pStyle w:val="BodyText"/>
        <w:spacing w:before="100" w:line="220" w:lineRule="auto"/>
        <w:ind w:left="90"/>
      </w:pPr>
      <w:r>
        <w:rPr>
          <w:spacing w:val="-7"/>
        </w:rPr>
        <w:t>木六糖</w:t>
      </w:r>
    </w:p>
    <w:p>
      <w:pPr>
        <w:pStyle w:val="BodyText"/>
        <w:spacing w:before="100" w:line="184" w:lineRule="auto"/>
        <w:ind w:left="120"/>
      </w:pPr>
      <w:r>
        <w:rPr>
          <w:color w:val="E59216"/>
          <w:spacing w:val="-3"/>
        </w:rPr>
        <w:t>木七糖、木八糖、木九糖</w:t>
      </w:r>
    </w:p>
    <w:p>
      <w:pPr>
        <w:spacing w:line="184" w:lineRule="auto"/>
        <w:sectPr>
          <w:headerReference w:type="default" r:id="rId13"/>
          <w:footerReference w:type="default" r:id="rId14"/>
          <w:type w:val="continuous"/>
          <w:pgSz w:w="11910" w:h="16840"/>
          <w:pgMar w:top="400" w:right="1054" w:bottom="1305" w:left="1294" w:header="0" w:footer="1156" w:gutter="0"/>
          <w:pgNumType w:start="4"/>
          <w:cols w:num="2" w:space="708" w:equalWidth="0">
            <w:col w:w="4505" w:space="100"/>
            <w:col w:w="4956" w:space="0"/>
          </w:cols>
        </w:sectPr>
      </w:pPr>
    </w:p>
    <w:p>
      <w:pPr>
        <w:spacing w:line="317" w:lineRule="auto"/>
        <w:rPr>
          <w:rFonts w:ascii="Arial"/>
          <w:sz w:val="21"/>
        </w:rPr>
      </w:pPr>
    </w:p>
    <w:p>
      <w:pPr>
        <w:spacing w:before="69" w:line="221" w:lineRule="auto"/>
        <w:ind w:left="115"/>
        <w:rPr>
          <w:rFonts w:ascii="SimHei" w:eastAsia="SimHei" w:hAnsi="SimHei" w:cs="SimHei"/>
          <w:sz w:val="21"/>
          <w:szCs w:val="21"/>
        </w:rPr>
      </w:pPr>
      <w:r>
        <w:rPr>
          <w:rFonts w:ascii="SimHei" w:eastAsia="SimHei" w:hAnsi="SimHei" w:cs="SimHei"/>
          <w:spacing w:val="-3"/>
          <w:sz w:val="21"/>
          <w:szCs w:val="21"/>
        </w:rPr>
        <w:t>6</w:t>
      </w:r>
      <w:r>
        <w:rPr>
          <w:rFonts w:ascii="SimHei" w:eastAsia="SimHei" w:hAnsi="SimHei" w:cs="SimHei"/>
          <w:spacing w:val="99"/>
          <w:sz w:val="21"/>
          <w:szCs w:val="21"/>
        </w:rPr>
        <w:t xml:space="preserve"> </w:t>
      </w:r>
      <w:r>
        <w:rPr>
          <w:rFonts w:ascii="SimHei" w:eastAsia="SimHei" w:hAnsi="SimHei" w:cs="SimHei"/>
          <w:spacing w:val="-3"/>
          <w:sz w:val="21"/>
          <w:szCs w:val="21"/>
        </w:rPr>
        <w:t>产品分类</w:t>
      </w:r>
    </w:p>
    <w:p>
      <w:pPr>
        <w:spacing w:line="307" w:lineRule="auto"/>
        <w:rPr>
          <w:rFonts w:ascii="Arial"/>
          <w:sz w:val="21"/>
        </w:rPr>
      </w:pPr>
    </w:p>
    <w:p>
      <w:pPr>
        <w:pStyle w:val="BodyText"/>
        <w:spacing w:before="69" w:line="220" w:lineRule="auto"/>
        <w:ind w:left="115"/>
        <w:rPr>
          <w:rFonts w:ascii="SimHei" w:eastAsia="SimHei" w:hAnsi="SimHei" w:cs="SimHei"/>
        </w:rPr>
      </w:pPr>
      <w:r>
        <w:rPr>
          <w:rFonts w:ascii="SimHei" w:eastAsia="SimHei" w:hAnsi="SimHei" w:cs="SimHei"/>
          <w:spacing w:val="-2"/>
        </w:rPr>
        <w:t>6.1</w:t>
      </w:r>
      <w:r>
        <w:rPr>
          <w:rFonts w:ascii="SimHei" w:eastAsia="SimHei" w:hAnsi="SimHei" w:cs="SimHei"/>
          <w:spacing w:val="97"/>
        </w:rPr>
        <w:t xml:space="preserve"> </w:t>
      </w:r>
      <w:r>
        <w:rPr>
          <w:rFonts w:ascii="SimHei" w:eastAsia="SimHei" w:hAnsi="SimHei" w:cs="SimHei"/>
          <w:spacing w:val="-2"/>
        </w:rPr>
        <w:t>按产品形态分：糖浆</w:t>
      </w:r>
      <w:r>
        <w:rPr>
          <w:spacing w:val="-2"/>
        </w:rPr>
        <w:t>(L</w:t>
      </w:r>
      <w:r>
        <w:rPr>
          <w:spacing w:val="-40"/>
        </w:rPr>
        <w:t xml:space="preserve"> </w:t>
      </w:r>
      <w:r>
        <w:rPr>
          <w:rFonts w:ascii="SimHei" w:eastAsia="SimHei" w:hAnsi="SimHei" w:cs="SimHei"/>
          <w:spacing w:val="-2"/>
        </w:rPr>
        <w:t>型)和糖粉</w:t>
      </w:r>
      <w:r>
        <w:rPr>
          <w:spacing w:val="-2"/>
        </w:rPr>
        <w:t>(P</w:t>
      </w:r>
      <w:r>
        <w:rPr>
          <w:spacing w:val="-39"/>
        </w:rPr>
        <w:t xml:space="preserve"> </w:t>
      </w:r>
      <w:r>
        <w:rPr>
          <w:rFonts w:ascii="SimHei" w:eastAsia="SimHei" w:hAnsi="SimHei" w:cs="SimHei"/>
          <w:spacing w:val="-2"/>
        </w:rPr>
        <w:t>型</w:t>
      </w:r>
      <w:r>
        <w:rPr>
          <w:rFonts w:ascii="SimHei" w:eastAsia="SimHei" w:hAnsi="SimHei" w:cs="SimHei"/>
          <w:spacing w:val="-3"/>
        </w:rPr>
        <w:t>)。</w:t>
      </w:r>
    </w:p>
    <w:p>
      <w:pPr>
        <w:spacing w:before="222" w:line="222" w:lineRule="auto"/>
        <w:ind w:left="125"/>
        <w:rPr>
          <w:rFonts w:ascii="SimHei" w:eastAsia="SimHei" w:hAnsi="SimHei" w:cs="SimHei"/>
          <w:sz w:val="21"/>
          <w:szCs w:val="21"/>
        </w:rPr>
      </w:pPr>
      <w:r>
        <w:rPr>
          <w:rFonts w:ascii="SimHei" w:eastAsia="SimHei" w:hAnsi="SimHei" w:cs="SimHei"/>
          <w:spacing w:val="-13"/>
          <w:sz w:val="21"/>
          <w:szCs w:val="21"/>
        </w:rPr>
        <w:t>6.2</w:t>
      </w:r>
      <w:r>
        <w:rPr>
          <w:rFonts w:ascii="SimHei" w:eastAsia="SimHei" w:hAnsi="SimHei" w:cs="SimHei"/>
          <w:spacing w:val="-13"/>
          <w:sz w:val="21"/>
          <w:szCs w:val="21"/>
        </w:rPr>
        <w:t xml:space="preserve">  </w:t>
      </w:r>
      <w:r>
        <w:rPr>
          <w:rFonts w:ascii="SimHei" w:eastAsia="SimHei" w:hAnsi="SimHei" w:cs="SimHei"/>
          <w:spacing w:val="-13"/>
          <w:sz w:val="21"/>
          <w:szCs w:val="21"/>
        </w:rPr>
        <w:t>按</w:t>
      </w:r>
      <w:r>
        <w:rPr>
          <w:rFonts w:ascii="SimHei" w:eastAsia="SimHei" w:hAnsi="SimHei" w:cs="SimHei"/>
          <w:spacing w:val="-47"/>
          <w:sz w:val="21"/>
          <w:szCs w:val="21"/>
        </w:rPr>
        <w:t xml:space="preserve"> </w:t>
      </w:r>
      <w:r>
        <w:rPr>
          <w:rFonts w:ascii="Arial" w:eastAsia="Arial" w:hAnsi="Arial" w:cs="Arial"/>
          <w:spacing w:val="-13"/>
          <w:sz w:val="21"/>
          <w:szCs w:val="21"/>
        </w:rPr>
        <w:t xml:space="preserve">XOS </w:t>
      </w:r>
      <w:r>
        <w:rPr>
          <w:rFonts w:ascii="SimHei" w:eastAsia="SimHei" w:hAnsi="SimHei" w:cs="SimHei"/>
          <w:spacing w:val="-13"/>
          <w:sz w:val="21"/>
          <w:szCs w:val="21"/>
        </w:rPr>
        <w:t>含量分：</w:t>
      </w:r>
    </w:p>
    <w:p>
      <w:pPr>
        <w:pStyle w:val="BodyText"/>
        <w:spacing w:before="201" w:line="626" w:lineRule="exact"/>
        <w:ind w:left="544"/>
      </w:pPr>
      <w:r>
        <w:rPr>
          <w:rFonts w:ascii="Times New Roman" w:eastAsia="Times New Roman" w:hAnsi="Times New Roman" w:cs="Times New Roman"/>
          <w:spacing w:val="-10"/>
          <w:position w:val="32"/>
        </w:rPr>
        <w:t>XOS-95</w:t>
      </w:r>
      <w:r>
        <w:rPr>
          <w:spacing w:val="-10"/>
          <w:position w:val="32"/>
        </w:rPr>
        <w:t>型、</w:t>
      </w:r>
      <w:r>
        <w:rPr>
          <w:rFonts w:ascii="Times New Roman" w:eastAsia="Times New Roman" w:hAnsi="Times New Roman" w:cs="Times New Roman"/>
          <w:spacing w:val="-10"/>
          <w:position w:val="32"/>
        </w:rPr>
        <w:t>XOS-70</w:t>
      </w:r>
      <w:r>
        <w:rPr>
          <w:spacing w:val="-10"/>
          <w:position w:val="32"/>
        </w:rPr>
        <w:t>型和</w:t>
      </w:r>
      <w:r>
        <w:rPr>
          <w:rFonts w:ascii="Times New Roman" w:eastAsia="Times New Roman" w:hAnsi="Times New Roman" w:cs="Times New Roman"/>
          <w:spacing w:val="-10"/>
          <w:position w:val="32"/>
        </w:rPr>
        <w:t>XOS-3</w:t>
      </w:r>
      <w:r>
        <w:rPr>
          <w:rFonts w:ascii="Times New Roman" w:eastAsia="Times New Roman" w:hAnsi="Times New Roman" w:cs="Times New Roman"/>
          <w:spacing w:val="-11"/>
          <w:position w:val="32"/>
        </w:rPr>
        <w:t>5</w:t>
      </w:r>
      <w:r>
        <w:rPr>
          <w:spacing w:val="-11"/>
          <w:position w:val="32"/>
        </w:rPr>
        <w:t>型。</w:t>
      </w:r>
    </w:p>
    <w:p>
      <w:pPr>
        <w:spacing w:before="1" w:line="222" w:lineRule="auto"/>
        <w:ind w:left="105"/>
        <w:rPr>
          <w:rFonts w:ascii="SimHei" w:eastAsia="SimHei" w:hAnsi="SimHei" w:cs="SimHei"/>
          <w:sz w:val="21"/>
          <w:szCs w:val="21"/>
        </w:rPr>
      </w:pPr>
      <w:r>
        <w:rPr>
          <w:rFonts w:ascii="SimHei" w:eastAsia="SimHei" w:hAnsi="SimHei" w:cs="SimHei"/>
          <w:spacing w:val="2"/>
          <w:sz w:val="21"/>
          <w:szCs w:val="21"/>
        </w:rPr>
        <w:t>7</w:t>
      </w:r>
      <w:r>
        <w:rPr>
          <w:rFonts w:ascii="SimHei" w:eastAsia="SimHei" w:hAnsi="SimHei" w:cs="SimHei"/>
          <w:spacing w:val="100"/>
          <w:sz w:val="21"/>
          <w:szCs w:val="21"/>
        </w:rPr>
        <w:t xml:space="preserve"> </w:t>
      </w:r>
      <w:r>
        <w:rPr>
          <w:rFonts w:ascii="SimHei" w:eastAsia="SimHei" w:hAnsi="SimHei" w:cs="SimHei"/>
          <w:spacing w:val="2"/>
          <w:sz w:val="21"/>
          <w:szCs w:val="21"/>
        </w:rPr>
        <w:t>技术要求</w:t>
      </w:r>
    </w:p>
    <w:p>
      <w:pPr>
        <w:spacing w:line="307" w:lineRule="auto"/>
        <w:rPr>
          <w:rFonts w:ascii="Arial"/>
          <w:sz w:val="21"/>
        </w:rPr>
      </w:pPr>
    </w:p>
    <w:p>
      <w:pPr>
        <w:spacing w:before="68" w:line="222" w:lineRule="auto"/>
        <w:ind w:left="135"/>
        <w:rPr>
          <w:rFonts w:ascii="SimHei" w:eastAsia="SimHei" w:hAnsi="SimHei" w:cs="SimHei"/>
          <w:sz w:val="21"/>
          <w:szCs w:val="21"/>
        </w:rPr>
      </w:pPr>
      <w:r>
        <w:rPr>
          <w:rFonts w:ascii="SimHei" w:eastAsia="SimHei" w:hAnsi="SimHei" w:cs="SimHei"/>
          <w:sz w:val="21"/>
          <w:szCs w:val="21"/>
        </w:rPr>
        <w:t>7.1</w:t>
      </w:r>
      <w:r>
        <w:rPr>
          <w:rFonts w:ascii="SimHei" w:eastAsia="SimHei" w:hAnsi="SimHei" w:cs="SimHei"/>
          <w:spacing w:val="70"/>
          <w:sz w:val="21"/>
          <w:szCs w:val="21"/>
        </w:rPr>
        <w:t xml:space="preserve"> </w:t>
      </w:r>
      <w:r>
        <w:rPr>
          <w:rFonts w:ascii="SimHei" w:eastAsia="SimHei" w:hAnsi="SimHei" w:cs="SimHei"/>
          <w:sz w:val="21"/>
          <w:szCs w:val="21"/>
        </w:rPr>
        <w:t>原辅料要求</w:t>
      </w:r>
    </w:p>
    <w:p>
      <w:pPr>
        <w:pStyle w:val="BodyText"/>
        <w:spacing w:before="207" w:line="479" w:lineRule="exact"/>
        <w:ind w:left="555"/>
      </w:pPr>
      <w:r>
        <w:rPr>
          <w:spacing w:val="-3"/>
          <w:position w:val="20"/>
        </w:rPr>
        <w:t>原辅料应符合相应的标准和有关规定。</w:t>
      </w:r>
    </w:p>
    <w:p>
      <w:pPr>
        <w:spacing w:line="222" w:lineRule="auto"/>
        <w:ind w:left="105"/>
        <w:rPr>
          <w:rFonts w:ascii="SimHei" w:eastAsia="SimHei" w:hAnsi="SimHei" w:cs="SimHei"/>
          <w:sz w:val="18"/>
          <w:szCs w:val="18"/>
        </w:rPr>
        <w:sectPr>
          <w:headerReference w:type="default" r:id="rId15"/>
          <w:footerReference w:type="default" r:id="rId16"/>
          <w:type w:val="continuous"/>
          <w:pgSz w:w="11910" w:h="16840"/>
          <w:pgMar w:top="400" w:right="1054" w:bottom="1305" w:left="1294" w:header="0" w:footer="1156" w:gutter="0"/>
          <w:pgNumType w:start="5"/>
          <w:cols w:num="1" w:space="708" w:equalWidth="0">
            <w:col w:w="9561" w:space="0"/>
          </w:cols>
        </w:sectPr>
      </w:pPr>
      <w:r>
        <w:rPr>
          <w:rFonts w:ascii="SimHei" w:eastAsia="SimHei" w:hAnsi="SimHei" w:cs="SimHei"/>
          <w:spacing w:val="10"/>
          <w:sz w:val="18"/>
          <w:szCs w:val="18"/>
        </w:rPr>
        <w:t>7.2</w:t>
      </w:r>
      <w:r>
        <w:rPr>
          <w:rFonts w:ascii="SimHei" w:eastAsia="SimHei" w:hAnsi="SimHei" w:cs="SimHei"/>
          <w:spacing w:val="39"/>
          <w:sz w:val="18"/>
          <w:szCs w:val="18"/>
        </w:rPr>
        <w:t xml:space="preserve">  </w:t>
      </w:r>
      <w:r>
        <w:rPr>
          <w:rFonts w:ascii="SimHei" w:eastAsia="SimHei" w:hAnsi="SimHei" w:cs="SimHei"/>
          <w:spacing w:val="10"/>
          <w:sz w:val="18"/>
          <w:szCs w:val="18"/>
        </w:rPr>
        <w:t>感官要求</w:t>
      </w:r>
    </w:p>
    <w:p>
      <w:pPr>
        <w:pStyle w:val="BodyText"/>
        <w:spacing w:before="245" w:line="219" w:lineRule="auto"/>
        <w:ind w:left="545"/>
      </w:pPr>
      <w:r>
        <w:rPr>
          <w:spacing w:val="-4"/>
        </w:rPr>
        <w:t>应符合表1的规定。</w:t>
      </w:r>
    </w:p>
    <w:p>
      <w:pPr>
        <w:spacing w:before="221" w:line="222" w:lineRule="auto"/>
        <w:ind w:left="4125"/>
        <w:rPr>
          <w:rFonts w:ascii="SimHei" w:eastAsia="SimHei" w:hAnsi="SimHei" w:cs="SimHei"/>
          <w:sz w:val="21"/>
          <w:szCs w:val="21"/>
        </w:rPr>
      </w:pPr>
      <w:r>
        <w:rPr>
          <w:rFonts w:ascii="SimHei" w:eastAsia="SimHei" w:hAnsi="SimHei" w:cs="SimHei"/>
          <w:spacing w:val="-4"/>
          <w:sz w:val="21"/>
          <w:szCs w:val="21"/>
        </w:rPr>
        <w:t>表1</w:t>
      </w:r>
      <w:r>
        <w:rPr>
          <w:rFonts w:ascii="SimHei" w:eastAsia="SimHei" w:hAnsi="SimHei" w:cs="SimHei"/>
          <w:spacing w:val="106"/>
          <w:sz w:val="21"/>
          <w:szCs w:val="21"/>
        </w:rPr>
        <w:t xml:space="preserve"> </w:t>
      </w:r>
      <w:r>
        <w:rPr>
          <w:rFonts w:ascii="SimHei" w:eastAsia="SimHei" w:hAnsi="SimHei" w:cs="SimHei"/>
          <w:spacing w:val="-4"/>
          <w:sz w:val="21"/>
          <w:szCs w:val="21"/>
        </w:rPr>
        <w:t>感官要求</w:t>
      </w:r>
    </w:p>
    <w:p>
      <w:pPr>
        <w:spacing w:line="174" w:lineRule="exact"/>
      </w:pPr>
    </w:p>
    <w:tbl>
      <w:tblPr>
        <w:tblStyle w:val="TableNormal0"/>
        <w:tblW w:w="95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2"/>
        <w:gridCol w:w="3836"/>
        <w:gridCol w:w="3172"/>
      </w:tblGrid>
      <w:tr>
        <w:tblPrEx>
          <w:tblW w:w="95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3"/>
        </w:trPr>
        <w:tc>
          <w:tcPr>
            <w:tcW w:w="2542" w:type="dxa"/>
            <w:vAlign w:val="top"/>
          </w:tcPr>
          <w:p>
            <w:pPr>
              <w:pStyle w:val="TableText"/>
              <w:spacing w:before="123" w:line="205" w:lineRule="auto"/>
              <w:ind w:left="995"/>
            </w:pPr>
            <w:r>
              <w:rPr>
                <w:spacing w:val="-3"/>
              </w:rPr>
              <w:t>项   目</w:t>
            </w:r>
          </w:p>
        </w:tc>
        <w:tc>
          <w:tcPr>
            <w:tcW w:w="3836" w:type="dxa"/>
            <w:vAlign w:val="top"/>
          </w:tcPr>
          <w:p>
            <w:pPr>
              <w:pStyle w:val="TableText"/>
              <w:spacing w:before="131" w:line="196" w:lineRule="auto"/>
              <w:ind w:left="1643"/>
            </w:pPr>
            <w:r>
              <w:rPr>
                <w:spacing w:val="-4"/>
              </w:rPr>
              <w:t>糖</w:t>
            </w:r>
            <w:r>
              <w:rPr>
                <w:spacing w:val="3"/>
              </w:rPr>
              <w:t xml:space="preserve">  </w:t>
            </w:r>
            <w:r>
              <w:rPr>
                <w:spacing w:val="-4"/>
              </w:rPr>
              <w:t>浆</w:t>
            </w:r>
          </w:p>
        </w:tc>
        <w:tc>
          <w:tcPr>
            <w:tcW w:w="3172" w:type="dxa"/>
            <w:vAlign w:val="top"/>
          </w:tcPr>
          <w:p>
            <w:pPr>
              <w:pStyle w:val="TableText"/>
              <w:spacing w:before="122" w:line="206" w:lineRule="auto"/>
              <w:ind w:left="1396"/>
            </w:pPr>
            <w:r>
              <w:rPr>
                <w:spacing w:val="-2"/>
              </w:rPr>
              <w:t>糖粉</w:t>
            </w:r>
          </w:p>
        </w:tc>
      </w:tr>
      <w:tr>
        <w:tblPrEx>
          <w:tblW w:w="9550" w:type="dxa"/>
          <w:tblInd w:w="5" w:type="dxa"/>
          <w:tblLayout w:type="fixed"/>
        </w:tblPrEx>
        <w:trPr>
          <w:trHeight w:val="358"/>
        </w:trPr>
        <w:tc>
          <w:tcPr>
            <w:tcW w:w="2542" w:type="dxa"/>
            <w:vAlign w:val="top"/>
          </w:tcPr>
          <w:p>
            <w:pPr>
              <w:pStyle w:val="TableText"/>
              <w:spacing w:before="140" w:line="213" w:lineRule="auto"/>
              <w:ind w:left="995"/>
            </w:pPr>
            <w:r>
              <w:rPr>
                <w:spacing w:val="-6"/>
              </w:rPr>
              <w:t>外</w:t>
            </w:r>
            <w:r>
              <w:rPr>
                <w:spacing w:val="3"/>
              </w:rPr>
              <w:t xml:space="preserve">  </w:t>
            </w:r>
            <w:r>
              <w:rPr>
                <w:spacing w:val="-6"/>
              </w:rPr>
              <w:t>观</w:t>
            </w:r>
          </w:p>
        </w:tc>
        <w:tc>
          <w:tcPr>
            <w:tcW w:w="3836" w:type="dxa"/>
            <w:vAlign w:val="top"/>
          </w:tcPr>
          <w:p>
            <w:pPr>
              <w:pStyle w:val="TableText"/>
              <w:spacing w:before="139" w:line="214" w:lineRule="auto"/>
              <w:ind w:left="1192"/>
            </w:pPr>
            <w:r>
              <w:rPr>
                <w:spacing w:val="-1"/>
              </w:rPr>
              <w:t>呈粘稠状透明液体</w:t>
            </w:r>
          </w:p>
        </w:tc>
        <w:tc>
          <w:tcPr>
            <w:tcW w:w="3172" w:type="dxa"/>
            <w:vAlign w:val="top"/>
          </w:tcPr>
          <w:p>
            <w:pPr>
              <w:pStyle w:val="TableText"/>
              <w:spacing w:before="139" w:line="214" w:lineRule="auto"/>
              <w:ind w:left="1126"/>
            </w:pPr>
            <w:r>
              <w:rPr>
                <w:spacing w:val="-2"/>
              </w:rPr>
              <w:t>粉末或颗粒</w:t>
            </w:r>
          </w:p>
        </w:tc>
      </w:tr>
      <w:tr>
        <w:tblPrEx>
          <w:tblW w:w="9550" w:type="dxa"/>
          <w:tblInd w:w="5" w:type="dxa"/>
          <w:tblLayout w:type="fixed"/>
        </w:tblPrEx>
        <w:trPr>
          <w:trHeight w:val="338"/>
        </w:trPr>
        <w:tc>
          <w:tcPr>
            <w:tcW w:w="2542" w:type="dxa"/>
            <w:vAlign w:val="top"/>
          </w:tcPr>
          <w:p>
            <w:pPr>
              <w:pStyle w:val="TableText"/>
              <w:spacing w:before="81" w:line="220" w:lineRule="auto"/>
              <w:ind w:left="1034"/>
            </w:pPr>
            <w:r>
              <w:rPr>
                <w:spacing w:val="-5"/>
              </w:rPr>
              <w:t>色</w:t>
            </w:r>
            <w:r>
              <w:rPr>
                <w:spacing w:val="8"/>
              </w:rPr>
              <w:t xml:space="preserve"> </w:t>
            </w:r>
            <w:r>
              <w:rPr>
                <w:spacing w:val="-5"/>
              </w:rPr>
              <w:t>泽</w:t>
            </w:r>
          </w:p>
        </w:tc>
        <w:tc>
          <w:tcPr>
            <w:tcW w:w="3836" w:type="dxa"/>
            <w:vAlign w:val="top"/>
          </w:tcPr>
          <w:p>
            <w:pPr>
              <w:pStyle w:val="TableText"/>
              <w:spacing w:before="131" w:line="202" w:lineRule="auto"/>
              <w:ind w:left="1462"/>
            </w:pPr>
            <w:r>
              <w:rPr>
                <w:spacing w:val="-2"/>
              </w:rPr>
              <w:t>无色至黄色</w:t>
            </w:r>
          </w:p>
        </w:tc>
        <w:tc>
          <w:tcPr>
            <w:tcW w:w="3172" w:type="dxa"/>
            <w:vAlign w:val="top"/>
          </w:tcPr>
          <w:p>
            <w:pPr>
              <w:pStyle w:val="TableText"/>
              <w:spacing w:before="131" w:line="202" w:lineRule="auto"/>
              <w:ind w:left="1037"/>
            </w:pPr>
            <w:r>
              <w:rPr>
                <w:spacing w:val="1"/>
              </w:rPr>
              <w:t>白色至微黄色</w:t>
            </w:r>
          </w:p>
        </w:tc>
      </w:tr>
      <w:tr>
        <w:tblPrEx>
          <w:tblW w:w="9550" w:type="dxa"/>
          <w:tblInd w:w="5" w:type="dxa"/>
          <w:tblLayout w:type="fixed"/>
        </w:tblPrEx>
        <w:trPr>
          <w:trHeight w:val="348"/>
        </w:trPr>
        <w:tc>
          <w:tcPr>
            <w:tcW w:w="2542" w:type="dxa"/>
            <w:vAlign w:val="top"/>
          </w:tcPr>
          <w:p>
            <w:pPr>
              <w:pStyle w:val="TableText"/>
              <w:spacing w:before="93" w:line="220" w:lineRule="auto"/>
              <w:ind w:left="995"/>
            </w:pPr>
            <w:r>
              <w:rPr>
                <w:spacing w:val="-5"/>
              </w:rPr>
              <w:t>滋</w:t>
            </w:r>
            <w:r>
              <w:rPr>
                <w:spacing w:val="7"/>
              </w:rPr>
              <w:t xml:space="preserve">  </w:t>
            </w:r>
            <w:r>
              <w:rPr>
                <w:spacing w:val="-5"/>
              </w:rPr>
              <w:t>味</w:t>
            </w:r>
          </w:p>
        </w:tc>
        <w:tc>
          <w:tcPr>
            <w:tcW w:w="7008" w:type="dxa"/>
            <w:gridSpan w:val="2"/>
            <w:vAlign w:val="top"/>
          </w:tcPr>
          <w:p>
            <w:pPr>
              <w:pStyle w:val="TableText"/>
              <w:spacing w:before="93" w:line="220" w:lineRule="auto"/>
              <w:ind w:left="3313"/>
            </w:pPr>
            <w:r>
              <w:rPr>
                <w:spacing w:val="4"/>
              </w:rPr>
              <w:t>味甜</w:t>
            </w:r>
          </w:p>
        </w:tc>
      </w:tr>
      <w:tr>
        <w:tblPrEx>
          <w:tblW w:w="9550" w:type="dxa"/>
          <w:tblInd w:w="5" w:type="dxa"/>
          <w:tblLayout w:type="fixed"/>
        </w:tblPrEx>
        <w:trPr>
          <w:trHeight w:val="338"/>
        </w:trPr>
        <w:tc>
          <w:tcPr>
            <w:tcW w:w="2542" w:type="dxa"/>
            <w:vAlign w:val="top"/>
          </w:tcPr>
          <w:p>
            <w:pPr>
              <w:pStyle w:val="TableText"/>
              <w:spacing w:before="135" w:line="197" w:lineRule="auto"/>
              <w:ind w:left="1034"/>
            </w:pPr>
            <w:r>
              <w:rPr>
                <w:spacing w:val="-4"/>
              </w:rPr>
              <w:t>气</w:t>
            </w:r>
            <w:r>
              <w:rPr>
                <w:spacing w:val="14"/>
              </w:rPr>
              <w:t xml:space="preserve"> </w:t>
            </w:r>
            <w:r>
              <w:rPr>
                <w:spacing w:val="-4"/>
              </w:rPr>
              <w:t>味</w:t>
            </w:r>
          </w:p>
        </w:tc>
        <w:tc>
          <w:tcPr>
            <w:tcW w:w="7008" w:type="dxa"/>
            <w:gridSpan w:val="2"/>
            <w:vAlign w:val="top"/>
          </w:tcPr>
          <w:p>
            <w:pPr>
              <w:pStyle w:val="TableText"/>
              <w:spacing w:before="144" w:line="188" w:lineRule="auto"/>
              <w:ind w:left="2683"/>
            </w:pPr>
            <w:r>
              <w:rPr>
                <w:spacing w:val="-2"/>
              </w:rPr>
              <w:t>具有本品特有的气味</w:t>
            </w:r>
          </w:p>
        </w:tc>
      </w:tr>
      <w:tr>
        <w:tblPrEx>
          <w:tblW w:w="9550" w:type="dxa"/>
          <w:tblInd w:w="5" w:type="dxa"/>
          <w:tblLayout w:type="fixed"/>
        </w:tblPrEx>
        <w:trPr>
          <w:trHeight w:val="344"/>
        </w:trPr>
        <w:tc>
          <w:tcPr>
            <w:tcW w:w="2542" w:type="dxa"/>
            <w:vAlign w:val="top"/>
          </w:tcPr>
          <w:p>
            <w:pPr>
              <w:pStyle w:val="TableText"/>
              <w:spacing w:before="137" w:line="202" w:lineRule="auto"/>
              <w:ind w:left="1034"/>
            </w:pPr>
            <w:r>
              <w:rPr>
                <w:spacing w:val="-5"/>
              </w:rPr>
              <w:t>杂</w:t>
            </w:r>
            <w:r>
              <w:rPr>
                <w:spacing w:val="47"/>
              </w:rPr>
              <w:t xml:space="preserve"> </w:t>
            </w:r>
            <w:r>
              <w:rPr>
                <w:spacing w:val="-5"/>
              </w:rPr>
              <w:t>质</w:t>
            </w:r>
          </w:p>
        </w:tc>
        <w:tc>
          <w:tcPr>
            <w:tcW w:w="7008" w:type="dxa"/>
            <w:gridSpan w:val="2"/>
            <w:vAlign w:val="top"/>
          </w:tcPr>
          <w:p>
            <w:pPr>
              <w:pStyle w:val="TableText"/>
              <w:spacing w:before="146" w:line="192" w:lineRule="auto"/>
              <w:ind w:left="2683"/>
            </w:pPr>
            <w:r>
              <w:rPr>
                <w:spacing w:val="2"/>
              </w:rPr>
              <w:t>无正常视力可见杂质</w:t>
            </w:r>
          </w:p>
        </w:tc>
      </w:tr>
    </w:tbl>
    <w:p>
      <w:pPr>
        <w:spacing w:before="244" w:line="187" w:lineRule="auto"/>
        <w:ind w:left="125"/>
        <w:rPr>
          <w:rFonts w:ascii="SimHei" w:eastAsia="SimHei" w:hAnsi="SimHei" w:cs="SimHei"/>
          <w:sz w:val="21"/>
          <w:szCs w:val="21"/>
        </w:rPr>
      </w:pPr>
      <w:r>
        <w:rPr>
          <w:rFonts w:ascii="SimHei" w:eastAsia="SimHei" w:hAnsi="SimHei" w:cs="SimHei"/>
          <w:spacing w:val="1"/>
          <w:sz w:val="21"/>
          <w:szCs w:val="21"/>
        </w:rPr>
        <w:t>7.3</w:t>
      </w:r>
      <w:r>
        <w:rPr>
          <w:rFonts w:ascii="SimHei" w:eastAsia="SimHei" w:hAnsi="SimHei" w:cs="SimHei"/>
          <w:spacing w:val="79"/>
          <w:sz w:val="21"/>
          <w:szCs w:val="21"/>
        </w:rPr>
        <w:t xml:space="preserve"> </w:t>
      </w:r>
      <w:r>
        <w:rPr>
          <w:rFonts w:ascii="SimHei" w:eastAsia="SimHei" w:hAnsi="SimHei" w:cs="SimHei"/>
          <w:spacing w:val="1"/>
          <w:sz w:val="21"/>
          <w:szCs w:val="21"/>
        </w:rPr>
        <w:t>理化指标</w:t>
      </w:r>
    </w:p>
    <w:p>
      <w:pPr>
        <w:spacing w:line="187" w:lineRule="auto"/>
        <w:rPr>
          <w:rFonts w:ascii="SimHei" w:eastAsia="SimHei" w:hAnsi="SimHei" w:cs="SimHei"/>
          <w:sz w:val="21"/>
          <w:szCs w:val="21"/>
        </w:rPr>
        <w:sectPr>
          <w:headerReference w:type="default" r:id="rId17"/>
          <w:footerReference w:type="default" r:id="rId18"/>
          <w:type w:val="nextPage"/>
          <w:pgSz w:w="11910" w:h="16840"/>
          <w:pgMar w:top="400" w:right="1054" w:bottom="1305" w:left="1294" w:header="0" w:footer="1156" w:gutter="0"/>
          <w:pgNumType w:start="6"/>
          <w:cols w:num="1" w:space="708" w:equalWidth="0">
            <w:col w:w="9561" w:space="0"/>
          </w:cols>
          <w:titlePg w:val="0"/>
        </w:sectPr>
      </w:pPr>
    </w:p>
    <w:p>
      <w:pPr>
        <w:spacing w:line="250" w:lineRule="auto"/>
        <w:rPr>
          <w:rFonts w:ascii="Arial"/>
          <w:sz w:val="21"/>
        </w:rPr>
      </w:pPr>
    </w:p>
    <w:p>
      <w:pPr>
        <w:pStyle w:val="BodyText"/>
        <w:spacing w:before="68" w:line="220" w:lineRule="auto"/>
        <w:ind w:left="616"/>
      </w:pPr>
      <w:r>
        <w:rPr>
          <w:spacing w:val="-6"/>
        </w:rPr>
        <w:t>应符合表2</w:t>
      </w:r>
      <w:r>
        <w:rPr>
          <w:spacing w:val="28"/>
        </w:rPr>
        <w:t xml:space="preserve"> </w:t>
      </w:r>
      <w:r>
        <w:rPr>
          <w:spacing w:val="-6"/>
        </w:rPr>
        <w:t>的规定。</w:t>
      </w:r>
    </w:p>
    <w:p>
      <w:pPr>
        <w:spacing w:before="218" w:line="220" w:lineRule="auto"/>
        <w:ind w:left="4193"/>
        <w:rPr>
          <w:rFonts w:ascii="SimHei" w:eastAsia="SimHei" w:hAnsi="SimHei" w:cs="SimHei"/>
          <w:sz w:val="21"/>
          <w:szCs w:val="21"/>
        </w:rPr>
      </w:pPr>
      <w:r>
        <w:rPr>
          <w:rFonts w:ascii="SimHei" w:eastAsia="SimHei" w:hAnsi="SimHei" w:cs="SimHei"/>
          <w:spacing w:val="-2"/>
          <w:sz w:val="21"/>
          <w:szCs w:val="21"/>
        </w:rPr>
        <w:t>表2</w:t>
      </w:r>
      <w:r>
        <w:rPr>
          <w:rFonts w:ascii="SimHei" w:eastAsia="SimHei" w:hAnsi="SimHei" w:cs="SimHei"/>
          <w:spacing w:val="-2"/>
          <w:sz w:val="21"/>
          <w:szCs w:val="21"/>
        </w:rPr>
        <w:t xml:space="preserve">  </w:t>
      </w:r>
      <w:r>
        <w:rPr>
          <w:rFonts w:ascii="SimHei" w:eastAsia="SimHei" w:hAnsi="SimHei" w:cs="SimHei"/>
          <w:spacing w:val="-2"/>
          <w:sz w:val="21"/>
          <w:szCs w:val="21"/>
        </w:rPr>
        <w:t>理化指标</w:t>
      </w:r>
    </w:p>
    <w:p>
      <w:pPr>
        <w:spacing w:line="167" w:lineRule="exact"/>
      </w:pPr>
    </w:p>
    <w:tbl>
      <w:tblPr>
        <w:tblStyle w:val="TableNormal1"/>
        <w:tblW w:w="94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88"/>
        <w:gridCol w:w="1092"/>
        <w:gridCol w:w="1237"/>
        <w:gridCol w:w="1186"/>
        <w:gridCol w:w="1118"/>
        <w:gridCol w:w="1354"/>
      </w:tblGrid>
      <w:tr>
        <w:tblPrEx>
          <w:tblW w:w="94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6"/>
        </w:trPr>
        <w:tc>
          <w:tcPr>
            <w:tcW w:w="3488" w:type="dxa"/>
            <w:vMerge w:val="restart"/>
            <w:tcBorders>
              <w:top w:val="single" w:sz="6" w:space="0" w:color="000000"/>
              <w:left w:val="single" w:sz="6" w:space="0" w:color="000000"/>
              <w:bottom w:val="nil"/>
            </w:tcBorders>
            <w:vAlign w:val="top"/>
          </w:tcPr>
          <w:p>
            <w:pPr>
              <w:pStyle w:val="TableText"/>
              <w:spacing w:before="122" w:line="220" w:lineRule="auto"/>
              <w:ind w:left="1474"/>
            </w:pPr>
            <w:r>
              <w:rPr>
                <w:spacing w:val="-5"/>
              </w:rPr>
              <w:t>项</w:t>
            </w:r>
            <w:r>
              <w:rPr>
                <w:spacing w:val="20"/>
              </w:rPr>
              <w:t xml:space="preserve">  </w:t>
            </w:r>
            <w:r>
              <w:rPr>
                <w:spacing w:val="-5"/>
              </w:rPr>
              <w:t>目</w:t>
            </w:r>
          </w:p>
        </w:tc>
        <w:tc>
          <w:tcPr>
            <w:tcW w:w="2329" w:type="dxa"/>
            <w:gridSpan w:val="2"/>
            <w:tcBorders>
              <w:top w:val="single" w:sz="6" w:space="0" w:color="000000"/>
              <w:bottom w:val="single" w:sz="6" w:space="0" w:color="000000"/>
            </w:tcBorders>
            <w:vAlign w:val="top"/>
          </w:tcPr>
          <w:p>
            <w:pPr>
              <w:pStyle w:val="TableText"/>
              <w:spacing w:before="122" w:line="227" w:lineRule="auto"/>
              <w:ind w:left="784"/>
            </w:pPr>
            <w:r>
              <w:rPr>
                <w:spacing w:val="-1"/>
              </w:rPr>
              <w:t>XOS-95</w:t>
            </w:r>
            <w:r>
              <w:rPr>
                <w:spacing w:val="-32"/>
              </w:rPr>
              <w:t xml:space="preserve"> </w:t>
            </w:r>
            <w:r>
              <w:rPr>
                <w:spacing w:val="-1"/>
              </w:rPr>
              <w:t>型</w:t>
            </w:r>
          </w:p>
        </w:tc>
        <w:tc>
          <w:tcPr>
            <w:tcW w:w="2304" w:type="dxa"/>
            <w:gridSpan w:val="2"/>
            <w:tcBorders>
              <w:top w:val="single" w:sz="6" w:space="0" w:color="000000"/>
              <w:bottom w:val="single" w:sz="6" w:space="0" w:color="000000"/>
            </w:tcBorders>
            <w:vAlign w:val="top"/>
          </w:tcPr>
          <w:p>
            <w:pPr>
              <w:pStyle w:val="TableText"/>
              <w:spacing w:before="122" w:line="227" w:lineRule="auto"/>
              <w:ind w:left="776"/>
            </w:pPr>
            <w:r>
              <w:rPr>
                <w:spacing w:val="-1"/>
              </w:rPr>
              <w:t>XOS-70</w:t>
            </w:r>
            <w:r>
              <w:rPr>
                <w:spacing w:val="-32"/>
              </w:rPr>
              <w:t xml:space="preserve"> </w:t>
            </w:r>
            <w:r>
              <w:rPr>
                <w:spacing w:val="-1"/>
              </w:rPr>
              <w:t>型</w:t>
            </w:r>
          </w:p>
        </w:tc>
        <w:tc>
          <w:tcPr>
            <w:tcW w:w="1354" w:type="dxa"/>
            <w:tcBorders>
              <w:top w:val="single" w:sz="6" w:space="0" w:color="000000"/>
              <w:bottom w:val="single" w:sz="6" w:space="0" w:color="000000"/>
              <w:right w:val="single" w:sz="6" w:space="0" w:color="000000"/>
            </w:tcBorders>
            <w:vAlign w:val="top"/>
          </w:tcPr>
          <w:p>
            <w:pPr>
              <w:pStyle w:val="TableText"/>
              <w:spacing w:before="122" w:line="227" w:lineRule="auto"/>
              <w:ind w:left="297"/>
            </w:pPr>
            <w:r>
              <w:rPr>
                <w:spacing w:val="-1"/>
              </w:rPr>
              <w:t>XOS-35</w:t>
            </w:r>
            <w:r>
              <w:rPr>
                <w:spacing w:val="-32"/>
              </w:rPr>
              <w:t xml:space="preserve"> </w:t>
            </w:r>
            <w:r>
              <w:rPr>
                <w:spacing w:val="-1"/>
              </w:rPr>
              <w:t>型</w:t>
            </w:r>
          </w:p>
        </w:tc>
      </w:tr>
      <w:tr>
        <w:tblPrEx>
          <w:tblW w:w="9475" w:type="dxa"/>
          <w:tblInd w:w="7" w:type="dxa"/>
          <w:tblLayout w:type="fixed"/>
        </w:tblPrEx>
        <w:trPr>
          <w:trHeight w:val="378"/>
        </w:trPr>
        <w:tc>
          <w:tcPr>
            <w:tcW w:w="3488" w:type="dxa"/>
            <w:vMerge/>
            <w:tcBorders>
              <w:top w:val="nil"/>
              <w:left w:val="single" w:sz="6" w:space="0" w:color="000000"/>
              <w:bottom w:val="single" w:sz="6" w:space="0" w:color="000000"/>
            </w:tcBorders>
            <w:vAlign w:val="top"/>
          </w:tcPr>
          <w:p>
            <w:pPr>
              <w:rPr>
                <w:rFonts w:ascii="Arial"/>
                <w:sz w:val="21"/>
              </w:rPr>
            </w:pPr>
          </w:p>
        </w:tc>
        <w:tc>
          <w:tcPr>
            <w:tcW w:w="1092" w:type="dxa"/>
            <w:tcBorders>
              <w:top w:val="single" w:sz="6" w:space="0" w:color="000000"/>
              <w:bottom w:val="single" w:sz="6" w:space="0" w:color="000000"/>
            </w:tcBorders>
            <w:vAlign w:val="top"/>
          </w:tcPr>
          <w:p>
            <w:pPr>
              <w:pStyle w:val="TableText"/>
              <w:spacing w:before="114" w:line="220" w:lineRule="auto"/>
              <w:ind w:left="368"/>
            </w:pPr>
            <w:r>
              <w:rPr>
                <w:spacing w:val="-2"/>
              </w:rPr>
              <w:t>糖粉</w:t>
            </w:r>
          </w:p>
        </w:tc>
        <w:tc>
          <w:tcPr>
            <w:tcW w:w="1237" w:type="dxa"/>
            <w:tcBorders>
              <w:top w:val="single" w:sz="6" w:space="0" w:color="000000"/>
              <w:bottom w:val="single" w:sz="6" w:space="0" w:color="000000"/>
            </w:tcBorders>
            <w:vAlign w:val="top"/>
          </w:tcPr>
          <w:p>
            <w:pPr>
              <w:pStyle w:val="TableText"/>
              <w:spacing w:before="114" w:line="220" w:lineRule="auto"/>
              <w:ind w:left="443"/>
            </w:pPr>
            <w:r>
              <w:rPr>
                <w:spacing w:val="-2"/>
              </w:rPr>
              <w:t>糖浆</w:t>
            </w:r>
          </w:p>
        </w:tc>
        <w:tc>
          <w:tcPr>
            <w:tcW w:w="1186" w:type="dxa"/>
            <w:tcBorders>
              <w:top w:val="single" w:sz="6" w:space="0" w:color="000000"/>
              <w:bottom w:val="single" w:sz="6" w:space="0" w:color="000000"/>
            </w:tcBorders>
            <w:vAlign w:val="top"/>
          </w:tcPr>
          <w:p>
            <w:pPr>
              <w:pStyle w:val="TableText"/>
              <w:spacing w:before="114" w:line="220" w:lineRule="auto"/>
              <w:ind w:left="419"/>
            </w:pPr>
            <w:r>
              <w:rPr>
                <w:spacing w:val="-2"/>
              </w:rPr>
              <w:t>糖粉</w:t>
            </w:r>
          </w:p>
        </w:tc>
        <w:tc>
          <w:tcPr>
            <w:tcW w:w="1118" w:type="dxa"/>
            <w:tcBorders>
              <w:top w:val="single" w:sz="6" w:space="0" w:color="000000"/>
              <w:bottom w:val="single" w:sz="6" w:space="0" w:color="000000"/>
            </w:tcBorders>
            <w:vAlign w:val="top"/>
          </w:tcPr>
          <w:p>
            <w:pPr>
              <w:pStyle w:val="TableText"/>
              <w:spacing w:before="114" w:line="220" w:lineRule="auto"/>
              <w:ind w:left="386"/>
            </w:pPr>
            <w:r>
              <w:rPr>
                <w:spacing w:val="-2"/>
              </w:rPr>
              <w:t>糖浆</w:t>
            </w:r>
          </w:p>
        </w:tc>
        <w:tc>
          <w:tcPr>
            <w:tcW w:w="1354" w:type="dxa"/>
            <w:tcBorders>
              <w:top w:val="single" w:sz="6" w:space="0" w:color="000000"/>
              <w:bottom w:val="single" w:sz="6" w:space="0" w:color="000000"/>
              <w:right w:val="single" w:sz="6" w:space="0" w:color="000000"/>
            </w:tcBorders>
            <w:vAlign w:val="top"/>
          </w:tcPr>
          <w:p>
            <w:pPr>
              <w:pStyle w:val="TableText"/>
              <w:spacing w:before="114" w:line="220" w:lineRule="auto"/>
              <w:ind w:left="502"/>
            </w:pPr>
            <w:r>
              <w:rPr>
                <w:spacing w:val="-2"/>
              </w:rPr>
              <w:t>糖粉</w:t>
            </w:r>
          </w:p>
        </w:tc>
      </w:tr>
      <w:tr>
        <w:tblPrEx>
          <w:tblW w:w="9475" w:type="dxa"/>
          <w:tblInd w:w="7" w:type="dxa"/>
          <w:tblLayout w:type="fixed"/>
        </w:tblPrEx>
        <w:trPr>
          <w:trHeight w:val="357"/>
        </w:trPr>
        <w:tc>
          <w:tcPr>
            <w:tcW w:w="3488" w:type="dxa"/>
            <w:tcBorders>
              <w:top w:val="single" w:sz="6" w:space="0" w:color="000000"/>
              <w:left w:val="single" w:sz="6" w:space="0" w:color="000000"/>
            </w:tcBorders>
            <w:vAlign w:val="top"/>
          </w:tcPr>
          <w:p>
            <w:pPr>
              <w:pStyle w:val="TableText"/>
              <w:spacing w:before="115" w:line="219" w:lineRule="auto"/>
              <w:ind w:left="107"/>
            </w:pPr>
            <w:r>
              <w:rPr>
                <w:spacing w:val="-1"/>
              </w:rPr>
              <w:t>干物质(固形物)/%</w:t>
            </w:r>
            <w:r>
              <w:rPr>
                <w:spacing w:val="1"/>
              </w:rPr>
              <w:t xml:space="preserve">                  </w:t>
            </w:r>
            <w:r>
              <w:rPr>
                <w:spacing w:val="-1"/>
              </w:rPr>
              <w:t>≥</w:t>
            </w:r>
          </w:p>
        </w:tc>
        <w:tc>
          <w:tcPr>
            <w:tcW w:w="1092" w:type="dxa"/>
            <w:tcBorders>
              <w:top w:val="single" w:sz="6" w:space="0" w:color="000000"/>
            </w:tcBorders>
            <w:vAlign w:val="top"/>
          </w:tcPr>
          <w:p>
            <w:pPr>
              <w:tabs>
                <w:tab w:val="left" w:pos="630"/>
              </w:tabs>
              <w:spacing w:before="7" w:line="242" w:lineRule="exact"/>
              <w:ind w:left="457"/>
              <w:rPr>
                <w:rFonts w:ascii="Arial"/>
                <w:sz w:val="21"/>
              </w:rPr>
            </w:pPr>
            <w:r>
              <w:rPr>
                <w:rFonts w:ascii="Arial" w:eastAsia="Arial" w:hAnsi="Arial" w:cs="Arial"/>
                <w:sz w:val="21"/>
                <w:szCs w:val="21"/>
                <w:u w:val="single" w:color="auto"/>
              </w:rPr>
              <w:tab/>
            </w:r>
          </w:p>
        </w:tc>
        <w:tc>
          <w:tcPr>
            <w:tcW w:w="1237" w:type="dxa"/>
            <w:tcBorders>
              <w:top w:val="single" w:sz="6" w:space="0" w:color="000000"/>
            </w:tcBorders>
            <w:vAlign w:val="top"/>
          </w:tcPr>
          <w:p>
            <w:pPr>
              <w:pStyle w:val="TableText"/>
              <w:spacing w:before="146" w:line="181" w:lineRule="auto"/>
              <w:ind w:left="537"/>
            </w:pPr>
            <w:r>
              <w:rPr>
                <w:spacing w:val="-3"/>
              </w:rPr>
              <w:t>70</w:t>
            </w:r>
          </w:p>
        </w:tc>
        <w:tc>
          <w:tcPr>
            <w:tcW w:w="1186" w:type="dxa"/>
            <w:tcBorders>
              <w:top w:val="single" w:sz="6" w:space="0" w:color="000000"/>
            </w:tcBorders>
            <w:vAlign w:val="top"/>
          </w:tcPr>
          <w:p>
            <w:pPr>
              <w:tabs>
                <w:tab w:val="left" w:pos="681"/>
              </w:tabs>
              <w:spacing w:before="7" w:line="242" w:lineRule="exact"/>
              <w:ind w:left="508"/>
              <w:rPr>
                <w:rFonts w:ascii="Arial"/>
                <w:sz w:val="21"/>
              </w:rPr>
            </w:pPr>
            <w:r>
              <w:rPr>
                <w:rFonts w:ascii="Arial" w:eastAsia="Arial" w:hAnsi="Arial" w:cs="Arial"/>
                <w:sz w:val="21"/>
                <w:szCs w:val="21"/>
                <w:u w:val="single" w:color="auto"/>
              </w:rPr>
              <w:tab/>
            </w:r>
          </w:p>
        </w:tc>
        <w:tc>
          <w:tcPr>
            <w:tcW w:w="1118" w:type="dxa"/>
            <w:tcBorders>
              <w:top w:val="single" w:sz="6" w:space="0" w:color="000000"/>
            </w:tcBorders>
            <w:vAlign w:val="top"/>
          </w:tcPr>
          <w:p>
            <w:pPr>
              <w:pStyle w:val="TableText"/>
              <w:spacing w:before="146" w:line="181" w:lineRule="auto"/>
              <w:ind w:left="481"/>
            </w:pPr>
            <w:r>
              <w:rPr>
                <w:spacing w:val="-3"/>
              </w:rPr>
              <w:t>70</w:t>
            </w:r>
          </w:p>
        </w:tc>
        <w:tc>
          <w:tcPr>
            <w:tcW w:w="1354" w:type="dxa"/>
            <w:tcBorders>
              <w:top w:val="single" w:sz="6" w:space="0" w:color="000000"/>
              <w:right w:val="single" w:sz="6" w:space="0" w:color="000000"/>
            </w:tcBorders>
            <w:vAlign w:val="top"/>
          </w:tcPr>
          <w:p>
            <w:pPr>
              <w:tabs>
                <w:tab w:val="left" w:pos="765"/>
              </w:tabs>
              <w:spacing w:before="7" w:line="242" w:lineRule="exact"/>
              <w:ind w:left="591"/>
              <w:rPr>
                <w:rFonts w:ascii="Arial"/>
                <w:sz w:val="21"/>
              </w:rPr>
            </w:pPr>
            <w:r>
              <w:rPr>
                <w:rFonts w:ascii="Arial" w:eastAsia="Arial" w:hAnsi="Arial" w:cs="Arial"/>
                <w:sz w:val="21"/>
                <w:szCs w:val="21"/>
                <w:u w:val="single" w:color="auto"/>
              </w:rPr>
              <w:tab/>
            </w:r>
          </w:p>
        </w:tc>
      </w:tr>
      <w:tr>
        <w:tblPrEx>
          <w:tblW w:w="9475" w:type="dxa"/>
          <w:tblInd w:w="7" w:type="dxa"/>
          <w:tblLayout w:type="fixed"/>
        </w:tblPrEx>
        <w:trPr>
          <w:trHeight w:val="358"/>
        </w:trPr>
        <w:tc>
          <w:tcPr>
            <w:tcW w:w="3488" w:type="dxa"/>
            <w:tcBorders>
              <w:left w:val="single" w:sz="6" w:space="0" w:color="000000"/>
            </w:tcBorders>
            <w:vAlign w:val="top"/>
          </w:tcPr>
          <w:p>
            <w:pPr>
              <w:pStyle w:val="TableText"/>
              <w:spacing w:before="123" w:line="220" w:lineRule="auto"/>
              <w:ind w:left="110"/>
            </w:pPr>
            <w:r>
              <w:rPr>
                <w:spacing w:val="-2"/>
              </w:rPr>
              <w:t>水分/%</w:t>
            </w:r>
            <w:r>
              <w:rPr>
                <w:spacing w:val="1"/>
              </w:rPr>
              <w:t xml:space="preserve">                   </w:t>
            </w:r>
            <w:r>
              <w:t xml:space="preserve">         </w:t>
            </w:r>
            <w:r>
              <w:rPr>
                <w:spacing w:val="-2"/>
              </w:rPr>
              <w:t>≤</w:t>
            </w:r>
          </w:p>
        </w:tc>
        <w:tc>
          <w:tcPr>
            <w:tcW w:w="1092" w:type="dxa"/>
            <w:vAlign w:val="top"/>
          </w:tcPr>
          <w:p>
            <w:pPr>
              <w:pStyle w:val="TableText"/>
              <w:spacing w:before="161" w:line="181" w:lineRule="auto"/>
              <w:ind w:left="417"/>
            </w:pPr>
            <w:r>
              <w:rPr>
                <w:spacing w:val="-3"/>
              </w:rPr>
              <w:t>5.0</w:t>
            </w:r>
          </w:p>
        </w:tc>
        <w:tc>
          <w:tcPr>
            <w:tcW w:w="1237" w:type="dxa"/>
            <w:vAlign w:val="top"/>
          </w:tcPr>
          <w:p>
            <w:pPr>
              <w:pStyle w:val="TableText"/>
              <w:spacing w:before="130" w:line="223" w:lineRule="auto"/>
              <w:ind w:left="578"/>
            </w:pPr>
            <w:r>
              <w:t>/</w:t>
            </w:r>
          </w:p>
        </w:tc>
        <w:tc>
          <w:tcPr>
            <w:tcW w:w="1186" w:type="dxa"/>
            <w:vAlign w:val="top"/>
          </w:tcPr>
          <w:p>
            <w:pPr>
              <w:pStyle w:val="TableText"/>
              <w:spacing w:before="161" w:line="181" w:lineRule="auto"/>
              <w:ind w:left="468"/>
            </w:pPr>
            <w:r>
              <w:rPr>
                <w:spacing w:val="-3"/>
              </w:rPr>
              <w:t>5.0</w:t>
            </w:r>
          </w:p>
        </w:tc>
        <w:tc>
          <w:tcPr>
            <w:tcW w:w="1118" w:type="dxa"/>
            <w:vAlign w:val="top"/>
          </w:tcPr>
          <w:p>
            <w:pPr>
              <w:pStyle w:val="TableText"/>
              <w:spacing w:before="130" w:line="223" w:lineRule="auto"/>
              <w:ind w:left="521"/>
            </w:pPr>
            <w:r>
              <w:t>/</w:t>
            </w:r>
          </w:p>
        </w:tc>
        <w:tc>
          <w:tcPr>
            <w:tcW w:w="1354" w:type="dxa"/>
            <w:tcBorders>
              <w:right w:val="single" w:sz="6" w:space="0" w:color="000000"/>
            </w:tcBorders>
            <w:vAlign w:val="top"/>
          </w:tcPr>
          <w:p>
            <w:pPr>
              <w:pStyle w:val="TableText"/>
              <w:spacing w:before="161" w:line="181" w:lineRule="auto"/>
              <w:ind w:left="548"/>
            </w:pPr>
            <w:r>
              <w:rPr>
                <w:spacing w:val="-2"/>
              </w:rPr>
              <w:t>6.0</w:t>
            </w:r>
          </w:p>
        </w:tc>
      </w:tr>
      <w:tr>
        <w:tblPrEx>
          <w:tblW w:w="9475" w:type="dxa"/>
          <w:tblInd w:w="7" w:type="dxa"/>
          <w:tblLayout w:type="fixed"/>
        </w:tblPrEx>
        <w:trPr>
          <w:trHeight w:val="343"/>
        </w:trPr>
        <w:tc>
          <w:tcPr>
            <w:tcW w:w="3488" w:type="dxa"/>
            <w:tcBorders>
              <w:left w:val="single" w:sz="6" w:space="0" w:color="000000"/>
            </w:tcBorders>
            <w:vAlign w:val="top"/>
          </w:tcPr>
          <w:p>
            <w:pPr>
              <w:pStyle w:val="TableText"/>
              <w:spacing w:before="124" w:line="214" w:lineRule="auto"/>
              <w:ind w:left="109"/>
            </w:pPr>
            <w:r>
              <w:rPr>
                <w:spacing w:val="-2"/>
              </w:rPr>
              <w:t>灰分/%</w:t>
            </w:r>
            <w:r>
              <w:rPr>
                <w:spacing w:val="1"/>
              </w:rPr>
              <w:t xml:space="preserve">                   </w:t>
            </w:r>
            <w:r>
              <w:t xml:space="preserve">         </w:t>
            </w:r>
            <w:r>
              <w:rPr>
                <w:spacing w:val="-2"/>
              </w:rPr>
              <w:t>≤</w:t>
            </w:r>
          </w:p>
        </w:tc>
        <w:tc>
          <w:tcPr>
            <w:tcW w:w="1092" w:type="dxa"/>
            <w:vAlign w:val="top"/>
          </w:tcPr>
          <w:p>
            <w:pPr>
              <w:pStyle w:val="TableText"/>
              <w:spacing w:before="154" w:line="181" w:lineRule="auto"/>
              <w:ind w:left="415"/>
            </w:pPr>
            <w:r>
              <w:rPr>
                <w:spacing w:val="-2"/>
              </w:rPr>
              <w:t>0.3</w:t>
            </w:r>
          </w:p>
        </w:tc>
        <w:tc>
          <w:tcPr>
            <w:tcW w:w="1237" w:type="dxa"/>
            <w:vAlign w:val="top"/>
          </w:tcPr>
          <w:p>
            <w:pPr>
              <w:pStyle w:val="TableText"/>
              <w:spacing w:before="154" w:line="181" w:lineRule="auto"/>
              <w:ind w:left="490"/>
            </w:pPr>
            <w:r>
              <w:rPr>
                <w:spacing w:val="-2"/>
              </w:rPr>
              <w:t>0.3</w:t>
            </w:r>
          </w:p>
        </w:tc>
        <w:tc>
          <w:tcPr>
            <w:tcW w:w="1186" w:type="dxa"/>
            <w:vAlign w:val="top"/>
          </w:tcPr>
          <w:p>
            <w:pPr>
              <w:pStyle w:val="TableText"/>
              <w:spacing w:before="154" w:line="181" w:lineRule="auto"/>
              <w:ind w:left="466"/>
            </w:pPr>
            <w:r>
              <w:rPr>
                <w:spacing w:val="-2"/>
              </w:rPr>
              <w:t>0.3</w:t>
            </w:r>
          </w:p>
        </w:tc>
        <w:tc>
          <w:tcPr>
            <w:tcW w:w="1118" w:type="dxa"/>
            <w:vAlign w:val="top"/>
          </w:tcPr>
          <w:p>
            <w:pPr>
              <w:pStyle w:val="TableText"/>
              <w:spacing w:before="154" w:line="181" w:lineRule="auto"/>
              <w:ind w:left="433"/>
            </w:pPr>
            <w:r>
              <w:rPr>
                <w:spacing w:val="-2"/>
              </w:rPr>
              <w:t>0.3</w:t>
            </w:r>
          </w:p>
        </w:tc>
        <w:tc>
          <w:tcPr>
            <w:tcW w:w="1354" w:type="dxa"/>
            <w:tcBorders>
              <w:right w:val="single" w:sz="6" w:space="0" w:color="000000"/>
            </w:tcBorders>
            <w:vAlign w:val="top"/>
          </w:tcPr>
          <w:p>
            <w:pPr>
              <w:pStyle w:val="TableText"/>
              <w:spacing w:before="154" w:line="181" w:lineRule="auto"/>
              <w:ind w:left="548"/>
            </w:pPr>
            <w:r>
              <w:rPr>
                <w:spacing w:val="-2"/>
              </w:rPr>
              <w:t>0.3</w:t>
            </w:r>
          </w:p>
        </w:tc>
      </w:tr>
      <w:tr>
        <w:tblPrEx>
          <w:tblW w:w="9475" w:type="dxa"/>
          <w:tblInd w:w="7" w:type="dxa"/>
          <w:tblLayout w:type="fixed"/>
        </w:tblPrEx>
        <w:trPr>
          <w:trHeight w:val="354"/>
        </w:trPr>
        <w:tc>
          <w:tcPr>
            <w:tcW w:w="3488" w:type="dxa"/>
            <w:tcBorders>
              <w:left w:val="single" w:sz="6" w:space="0" w:color="000000"/>
            </w:tcBorders>
            <w:vAlign w:val="top"/>
          </w:tcPr>
          <w:p>
            <w:pPr>
              <w:pStyle w:val="TableText"/>
              <w:spacing w:before="126" w:line="220" w:lineRule="auto"/>
              <w:ind w:left="107"/>
            </w:pPr>
            <w:r>
              <w:rPr>
                <w:spacing w:val="-1"/>
              </w:rPr>
              <w:t>透光率/%</w:t>
            </w:r>
            <w:r>
              <w:rPr>
                <w:spacing w:val="1"/>
              </w:rPr>
              <w:t xml:space="preserve">                       </w:t>
            </w:r>
            <w:r>
              <w:t xml:space="preserve">   </w:t>
            </w:r>
            <w:r>
              <w:rPr>
                <w:spacing w:val="-1"/>
              </w:rPr>
              <w:t>≥</w:t>
            </w:r>
          </w:p>
        </w:tc>
        <w:tc>
          <w:tcPr>
            <w:tcW w:w="1092" w:type="dxa"/>
            <w:vAlign w:val="top"/>
          </w:tcPr>
          <w:p>
            <w:pPr>
              <w:pStyle w:val="TableText"/>
              <w:spacing w:before="216" w:line="122" w:lineRule="exact"/>
              <w:ind w:left="457"/>
            </w:pPr>
            <w:r>
              <w:rPr>
                <w:position w:val="-3"/>
              </w:rPr>
              <w:t>—</w:t>
            </w:r>
          </w:p>
        </w:tc>
        <w:tc>
          <w:tcPr>
            <w:tcW w:w="1237" w:type="dxa"/>
            <w:vAlign w:val="top"/>
          </w:tcPr>
          <w:p>
            <w:pPr>
              <w:pStyle w:val="TableText"/>
              <w:spacing w:before="161" w:line="181" w:lineRule="auto"/>
              <w:ind w:left="537"/>
            </w:pPr>
            <w:r>
              <w:rPr>
                <w:spacing w:val="-3"/>
              </w:rPr>
              <w:t>70</w:t>
            </w:r>
          </w:p>
        </w:tc>
        <w:tc>
          <w:tcPr>
            <w:tcW w:w="1186" w:type="dxa"/>
            <w:vAlign w:val="top"/>
          </w:tcPr>
          <w:p>
            <w:pPr>
              <w:pStyle w:val="TableText"/>
              <w:spacing w:before="216" w:line="122" w:lineRule="exact"/>
              <w:ind w:left="508"/>
            </w:pPr>
            <w:r>
              <w:rPr>
                <w:position w:val="-3"/>
              </w:rPr>
              <w:t>—</w:t>
            </w:r>
          </w:p>
        </w:tc>
        <w:tc>
          <w:tcPr>
            <w:tcW w:w="1118" w:type="dxa"/>
            <w:vAlign w:val="top"/>
          </w:tcPr>
          <w:p>
            <w:pPr>
              <w:pStyle w:val="TableText"/>
              <w:spacing w:before="161" w:line="181" w:lineRule="auto"/>
              <w:ind w:left="481"/>
            </w:pPr>
            <w:r>
              <w:rPr>
                <w:spacing w:val="-3"/>
              </w:rPr>
              <w:t>70</w:t>
            </w:r>
          </w:p>
        </w:tc>
        <w:tc>
          <w:tcPr>
            <w:tcW w:w="1354" w:type="dxa"/>
            <w:tcBorders>
              <w:right w:val="single" w:sz="6" w:space="0" w:color="000000"/>
            </w:tcBorders>
            <w:vAlign w:val="top"/>
          </w:tcPr>
          <w:p>
            <w:pPr>
              <w:pStyle w:val="TableText"/>
              <w:spacing w:before="216" w:line="122" w:lineRule="exact"/>
              <w:ind w:left="591"/>
            </w:pPr>
            <w:r>
              <w:rPr>
                <w:position w:val="-3"/>
              </w:rPr>
              <w:t>—</w:t>
            </w:r>
          </w:p>
        </w:tc>
      </w:tr>
      <w:tr>
        <w:tblPrEx>
          <w:tblW w:w="9475" w:type="dxa"/>
          <w:tblInd w:w="7" w:type="dxa"/>
          <w:tblLayout w:type="fixed"/>
        </w:tblPrEx>
        <w:trPr>
          <w:trHeight w:val="427"/>
        </w:trPr>
        <w:tc>
          <w:tcPr>
            <w:tcW w:w="3488" w:type="dxa"/>
            <w:tcBorders>
              <w:left w:val="single" w:sz="6" w:space="0" w:color="000000"/>
            </w:tcBorders>
            <w:vAlign w:val="top"/>
          </w:tcPr>
          <w:p>
            <w:pPr>
              <w:pStyle w:val="TableText"/>
              <w:spacing w:before="157" w:line="180" w:lineRule="auto"/>
              <w:ind w:left="106"/>
            </w:pPr>
            <w:r>
              <w:rPr>
                <w:spacing w:val="-2"/>
              </w:rPr>
              <w:t>pH</w:t>
            </w:r>
          </w:p>
        </w:tc>
        <w:tc>
          <w:tcPr>
            <w:tcW w:w="5987" w:type="dxa"/>
            <w:gridSpan w:val="5"/>
            <w:tcBorders>
              <w:right w:val="single" w:sz="6" w:space="0" w:color="000000"/>
            </w:tcBorders>
            <w:vAlign w:val="top"/>
          </w:tcPr>
          <w:p>
            <w:pPr>
              <w:pStyle w:val="TableText"/>
              <w:spacing w:before="168" w:line="239" w:lineRule="auto"/>
              <w:ind w:left="2639"/>
            </w:pPr>
            <w:r>
              <w:rPr>
                <w:spacing w:val="-2"/>
              </w:rPr>
              <w:t>3.5～6.0</w:t>
            </w:r>
          </w:p>
        </w:tc>
      </w:tr>
      <w:tr>
        <w:tblPrEx>
          <w:tblW w:w="9475" w:type="dxa"/>
          <w:tblInd w:w="7" w:type="dxa"/>
          <w:tblLayout w:type="fixed"/>
        </w:tblPrEx>
        <w:trPr>
          <w:trHeight w:val="407"/>
        </w:trPr>
        <w:tc>
          <w:tcPr>
            <w:tcW w:w="3488" w:type="dxa"/>
            <w:tcBorders>
              <w:left w:val="single" w:sz="6" w:space="0" w:color="000000"/>
            </w:tcBorders>
            <w:vAlign w:val="top"/>
          </w:tcPr>
          <w:p>
            <w:pPr>
              <w:pStyle w:val="TableText"/>
              <w:spacing w:before="128" w:line="214" w:lineRule="auto"/>
              <w:ind w:left="106"/>
            </w:pPr>
            <w:r>
              <w:rPr>
                <w:spacing w:val="-1"/>
              </w:rPr>
              <w:t>XOS</w:t>
            </w:r>
            <w:r>
              <w:rPr>
                <w:spacing w:val="-30"/>
              </w:rPr>
              <w:t xml:space="preserve"> </w:t>
            </w:r>
            <w:r>
              <w:rPr>
                <w:spacing w:val="-1"/>
              </w:rPr>
              <w:t>含量(以干基计) /(g/100g)</w:t>
            </w:r>
            <w:r>
              <w:rPr>
                <w:spacing w:val="4"/>
              </w:rPr>
              <w:t xml:space="preserve">      </w:t>
            </w:r>
            <w:r>
              <w:rPr>
                <w:spacing w:val="-1"/>
              </w:rPr>
              <w:t>≥</w:t>
            </w:r>
          </w:p>
        </w:tc>
        <w:tc>
          <w:tcPr>
            <w:tcW w:w="1092" w:type="dxa"/>
            <w:vAlign w:val="top"/>
          </w:tcPr>
          <w:p>
            <w:pPr>
              <w:pStyle w:val="TableText"/>
              <w:spacing w:before="190" w:line="181" w:lineRule="auto"/>
              <w:ind w:left="369"/>
            </w:pPr>
            <w:r>
              <w:rPr>
                <w:spacing w:val="-2"/>
              </w:rPr>
              <w:t>95.0</w:t>
            </w:r>
          </w:p>
        </w:tc>
        <w:tc>
          <w:tcPr>
            <w:tcW w:w="1237" w:type="dxa"/>
            <w:vAlign w:val="top"/>
          </w:tcPr>
          <w:p>
            <w:pPr>
              <w:pStyle w:val="TableText"/>
              <w:spacing w:before="190" w:line="181" w:lineRule="auto"/>
              <w:ind w:left="444"/>
            </w:pPr>
            <w:r>
              <w:rPr>
                <w:spacing w:val="-2"/>
              </w:rPr>
              <w:t>95.0</w:t>
            </w:r>
          </w:p>
        </w:tc>
        <w:tc>
          <w:tcPr>
            <w:tcW w:w="1186" w:type="dxa"/>
            <w:vAlign w:val="top"/>
          </w:tcPr>
          <w:p>
            <w:pPr>
              <w:pStyle w:val="TableText"/>
              <w:spacing w:before="190" w:line="181" w:lineRule="auto"/>
              <w:ind w:left="423"/>
            </w:pPr>
            <w:r>
              <w:rPr>
                <w:spacing w:val="-3"/>
              </w:rPr>
              <w:t>70.0</w:t>
            </w:r>
          </w:p>
        </w:tc>
        <w:tc>
          <w:tcPr>
            <w:tcW w:w="1118" w:type="dxa"/>
            <w:vAlign w:val="top"/>
          </w:tcPr>
          <w:p>
            <w:pPr>
              <w:pStyle w:val="TableText"/>
              <w:spacing w:before="190" w:line="181" w:lineRule="auto"/>
              <w:ind w:left="391"/>
            </w:pPr>
            <w:r>
              <w:rPr>
                <w:spacing w:val="-3"/>
              </w:rPr>
              <w:t>70.0</w:t>
            </w:r>
          </w:p>
        </w:tc>
        <w:tc>
          <w:tcPr>
            <w:tcW w:w="1354" w:type="dxa"/>
            <w:tcBorders>
              <w:right w:val="single" w:sz="6" w:space="0" w:color="000000"/>
            </w:tcBorders>
            <w:vAlign w:val="top"/>
          </w:tcPr>
          <w:p>
            <w:pPr>
              <w:pStyle w:val="TableText"/>
              <w:spacing w:before="190" w:line="181" w:lineRule="auto"/>
              <w:ind w:left="506"/>
            </w:pPr>
            <w:r>
              <w:rPr>
                <w:spacing w:val="-2"/>
              </w:rPr>
              <w:t>35.0</w:t>
            </w:r>
          </w:p>
        </w:tc>
      </w:tr>
      <w:tr>
        <w:tblPrEx>
          <w:tblW w:w="9475" w:type="dxa"/>
          <w:tblInd w:w="7" w:type="dxa"/>
          <w:tblLayout w:type="fixed"/>
        </w:tblPrEx>
        <w:trPr>
          <w:trHeight w:val="452"/>
        </w:trPr>
        <w:tc>
          <w:tcPr>
            <w:tcW w:w="3488" w:type="dxa"/>
            <w:tcBorders>
              <w:left w:val="single" w:sz="6" w:space="0" w:color="000000"/>
            </w:tcBorders>
            <w:vAlign w:val="top"/>
          </w:tcPr>
          <w:p>
            <w:pPr>
              <w:pStyle w:val="TableText"/>
              <w:spacing w:before="130" w:line="214" w:lineRule="auto"/>
              <w:ind w:left="106"/>
            </w:pPr>
            <w:r>
              <w:rPr>
                <w:spacing w:val="-1"/>
              </w:rPr>
              <w:t>XOS</w:t>
            </w:r>
            <w:r>
              <w:rPr>
                <w:spacing w:val="-1"/>
                <w:sz w:val="9"/>
                <w:szCs w:val="9"/>
              </w:rPr>
              <w:t>2-4</w:t>
            </w:r>
            <w:r>
              <w:rPr>
                <w:spacing w:val="-4"/>
                <w:sz w:val="9"/>
                <w:szCs w:val="9"/>
              </w:rPr>
              <w:t xml:space="preserve"> </w:t>
            </w:r>
            <w:r>
              <w:rPr>
                <w:spacing w:val="-1"/>
              </w:rPr>
              <w:t>含量(以干基计) /(g/100g)</w:t>
            </w:r>
            <w:r>
              <w:rPr>
                <w:spacing w:val="5"/>
              </w:rPr>
              <w:t xml:space="preserve">     </w:t>
            </w:r>
            <w:r>
              <w:rPr>
                <w:spacing w:val="-1"/>
              </w:rPr>
              <w:t>≥</w:t>
            </w:r>
          </w:p>
        </w:tc>
        <w:tc>
          <w:tcPr>
            <w:tcW w:w="1092" w:type="dxa"/>
            <w:vAlign w:val="top"/>
          </w:tcPr>
          <w:p>
            <w:pPr>
              <w:pStyle w:val="TableText"/>
              <w:spacing w:before="215" w:line="181" w:lineRule="auto"/>
              <w:ind w:left="370"/>
            </w:pPr>
            <w:r>
              <w:rPr>
                <w:spacing w:val="-2"/>
              </w:rPr>
              <w:t>65.0</w:t>
            </w:r>
          </w:p>
        </w:tc>
        <w:tc>
          <w:tcPr>
            <w:tcW w:w="1237" w:type="dxa"/>
            <w:vAlign w:val="top"/>
          </w:tcPr>
          <w:p>
            <w:pPr>
              <w:pStyle w:val="TableText"/>
              <w:spacing w:before="215" w:line="181" w:lineRule="auto"/>
              <w:ind w:left="444"/>
            </w:pPr>
            <w:r>
              <w:rPr>
                <w:spacing w:val="-2"/>
              </w:rPr>
              <w:t>65.0</w:t>
            </w:r>
          </w:p>
        </w:tc>
        <w:tc>
          <w:tcPr>
            <w:tcW w:w="1186" w:type="dxa"/>
            <w:vAlign w:val="top"/>
          </w:tcPr>
          <w:p>
            <w:pPr>
              <w:pStyle w:val="TableText"/>
              <w:spacing w:before="215" w:line="181" w:lineRule="auto"/>
              <w:ind w:left="423"/>
            </w:pPr>
            <w:r>
              <w:rPr>
                <w:spacing w:val="-2"/>
              </w:rPr>
              <w:t>50.0</w:t>
            </w:r>
          </w:p>
        </w:tc>
        <w:tc>
          <w:tcPr>
            <w:tcW w:w="1118" w:type="dxa"/>
            <w:vAlign w:val="top"/>
          </w:tcPr>
          <w:p>
            <w:pPr>
              <w:pStyle w:val="TableText"/>
              <w:spacing w:before="215" w:line="181" w:lineRule="auto"/>
              <w:ind w:left="390"/>
            </w:pPr>
            <w:r>
              <w:rPr>
                <w:spacing w:val="-2"/>
              </w:rPr>
              <w:t>50.0</w:t>
            </w:r>
          </w:p>
        </w:tc>
        <w:tc>
          <w:tcPr>
            <w:tcW w:w="1354" w:type="dxa"/>
            <w:tcBorders>
              <w:right w:val="single" w:sz="6" w:space="0" w:color="000000"/>
            </w:tcBorders>
            <w:vAlign w:val="top"/>
          </w:tcPr>
          <w:p>
            <w:pPr>
              <w:tabs>
                <w:tab w:val="left" w:pos="765"/>
              </w:tabs>
              <w:spacing w:before="76" w:line="242" w:lineRule="exact"/>
              <w:ind w:left="591"/>
              <w:rPr>
                <w:rFonts w:ascii="Arial"/>
                <w:sz w:val="21"/>
              </w:rPr>
            </w:pPr>
            <w:r>
              <w:rPr>
                <w:rFonts w:ascii="Arial" w:eastAsia="Arial" w:hAnsi="Arial" w:cs="Arial"/>
                <w:sz w:val="21"/>
                <w:szCs w:val="21"/>
                <w:u w:val="single" w:color="auto"/>
              </w:rPr>
              <w:tab/>
            </w:r>
          </w:p>
        </w:tc>
      </w:tr>
      <w:tr>
        <w:tblPrEx>
          <w:tblW w:w="9475" w:type="dxa"/>
          <w:tblInd w:w="7" w:type="dxa"/>
          <w:tblLayout w:type="fixed"/>
        </w:tblPrEx>
        <w:trPr>
          <w:trHeight w:val="466"/>
        </w:trPr>
        <w:tc>
          <w:tcPr>
            <w:tcW w:w="9475" w:type="dxa"/>
            <w:gridSpan w:val="6"/>
            <w:tcBorders>
              <w:left w:val="single" w:sz="6" w:space="0" w:color="000000"/>
              <w:bottom w:val="single" w:sz="6" w:space="0" w:color="000000"/>
              <w:right w:val="single" w:sz="6" w:space="0" w:color="000000"/>
            </w:tcBorders>
            <w:vAlign w:val="top"/>
          </w:tcPr>
          <w:p>
            <w:pPr>
              <w:pStyle w:val="TableText"/>
              <w:spacing w:before="62" w:line="219" w:lineRule="auto"/>
              <w:ind w:left="108"/>
              <w:rPr>
                <w:sz w:val="21"/>
                <w:szCs w:val="21"/>
              </w:rPr>
            </w:pPr>
            <w:r>
              <w:rPr>
                <w:spacing w:val="-3"/>
              </w:rPr>
              <w:t>注：</w:t>
            </w:r>
            <w:r>
              <w:rPr>
                <w:spacing w:val="-8"/>
              </w:rPr>
              <w:t xml:space="preserve"> </w:t>
            </w:r>
            <w:r>
              <w:rPr>
                <w:spacing w:val="-3"/>
                <w:sz w:val="21"/>
                <w:szCs w:val="21"/>
              </w:rPr>
              <w:t>XOS-35型糖粉可参考附录A测定XOS、XOS</w:t>
            </w:r>
            <w:r>
              <w:rPr>
                <w:spacing w:val="-3"/>
                <w:sz w:val="11"/>
                <w:szCs w:val="11"/>
              </w:rPr>
              <w:t>2-4</w:t>
            </w:r>
            <w:r>
              <w:rPr>
                <w:spacing w:val="-3"/>
                <w:sz w:val="21"/>
                <w:szCs w:val="21"/>
              </w:rPr>
              <w:t>。</w:t>
            </w:r>
          </w:p>
        </w:tc>
      </w:tr>
    </w:tbl>
    <w:p>
      <w:pPr>
        <w:spacing w:line="293" w:lineRule="auto"/>
        <w:rPr>
          <w:rFonts w:ascii="Arial"/>
          <w:sz w:val="21"/>
        </w:rPr>
      </w:pPr>
    </w:p>
    <w:p>
      <w:pPr>
        <w:spacing w:before="68" w:line="218" w:lineRule="auto"/>
        <w:ind w:left="194"/>
        <w:rPr>
          <w:rFonts w:ascii="SimHei" w:eastAsia="SimHei" w:hAnsi="SimHei" w:cs="SimHei"/>
          <w:sz w:val="21"/>
          <w:szCs w:val="21"/>
        </w:rPr>
      </w:pPr>
      <w:r>
        <w:rPr>
          <w:rFonts w:ascii="SimHei" w:eastAsia="SimHei" w:hAnsi="SimHei" w:cs="SimHei"/>
          <w:spacing w:val="-3"/>
          <w:sz w:val="21"/>
          <w:szCs w:val="21"/>
        </w:rPr>
        <w:t>8</w:t>
      </w:r>
      <w:r>
        <w:rPr>
          <w:rFonts w:ascii="SimHei" w:eastAsia="SimHei" w:hAnsi="SimHei" w:cs="SimHei"/>
          <w:spacing w:val="5"/>
          <w:sz w:val="21"/>
          <w:szCs w:val="21"/>
        </w:rPr>
        <w:t xml:space="preserve">  </w:t>
      </w:r>
      <w:r>
        <w:rPr>
          <w:rFonts w:ascii="SimHei" w:eastAsia="SimHei" w:hAnsi="SimHei" w:cs="SimHei"/>
          <w:spacing w:val="-3"/>
          <w:sz w:val="21"/>
          <w:szCs w:val="21"/>
        </w:rPr>
        <w:t>试验方法</w:t>
      </w:r>
    </w:p>
    <w:p>
      <w:pPr>
        <w:spacing w:line="304" w:lineRule="auto"/>
        <w:rPr>
          <w:rFonts w:ascii="Arial"/>
          <w:sz w:val="21"/>
        </w:rPr>
      </w:pPr>
    </w:p>
    <w:p>
      <w:pPr>
        <w:pStyle w:val="BodyText"/>
        <w:spacing w:before="69" w:line="247" w:lineRule="auto"/>
        <w:ind w:left="199" w:firstLine="418"/>
      </w:pPr>
      <w:r>
        <w:rPr>
          <w:spacing w:val="-11"/>
        </w:rPr>
        <w:t>本试验方法中，</w:t>
      </w:r>
      <w:r>
        <w:rPr>
          <w:spacing w:val="49"/>
        </w:rPr>
        <w:t xml:space="preserve"> </w:t>
      </w:r>
      <w:r>
        <w:rPr>
          <w:spacing w:val="-11"/>
        </w:rPr>
        <w:t>所有试剂除特殊注明外均为分析纯；</w:t>
      </w:r>
      <w:r>
        <w:rPr>
          <w:spacing w:val="36"/>
        </w:rPr>
        <w:t xml:space="preserve"> </w:t>
      </w:r>
      <w:r>
        <w:rPr>
          <w:spacing w:val="-11"/>
        </w:rPr>
        <w:t>用水应符合GB/T 6682中三级(含三级）</w:t>
      </w:r>
      <w:r>
        <w:rPr>
          <w:spacing w:val="23"/>
        </w:rPr>
        <w:t xml:space="preserve"> </w:t>
      </w:r>
      <w:r>
        <w:rPr>
          <w:spacing w:val="-11"/>
        </w:rPr>
        <w:t>以上的</w:t>
      </w:r>
      <w:r>
        <w:t xml:space="preserve"> </w:t>
      </w:r>
      <w:r>
        <w:rPr>
          <w:spacing w:val="-8"/>
        </w:rPr>
        <w:t>水规格。</w:t>
      </w:r>
    </w:p>
    <w:p>
      <w:pPr>
        <w:spacing w:before="218" w:line="219" w:lineRule="auto"/>
        <w:ind w:left="190"/>
        <w:rPr>
          <w:rFonts w:ascii="SimHei" w:eastAsia="SimHei" w:hAnsi="SimHei" w:cs="SimHei"/>
          <w:sz w:val="21"/>
          <w:szCs w:val="21"/>
        </w:rPr>
      </w:pPr>
      <w:r>
        <w:rPr>
          <w:rFonts w:ascii="SimHei" w:eastAsia="SimHei" w:hAnsi="SimHei" w:cs="SimHei"/>
          <w:sz w:val="21"/>
          <w:szCs w:val="21"/>
        </w:rPr>
        <w:drawing>
          <wp:inline distT="0" distB="0" distL="0" distR="0">
            <wp:extent cx="172593" cy="9410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172593" cy="94107"/>
                    </a:xfrm>
                    <a:prstGeom prst="rect">
                      <a:avLst/>
                    </a:prstGeom>
                  </pic:spPr>
                </pic:pic>
              </a:graphicData>
            </a:graphic>
          </wp:inline>
        </w:drawing>
      </w:r>
      <w:r>
        <w:rPr>
          <w:rFonts w:ascii="SimHei" w:eastAsia="SimHei" w:hAnsi="SimHei" w:cs="SimHei"/>
          <w:spacing w:val="25"/>
          <w:sz w:val="21"/>
          <w:szCs w:val="21"/>
        </w:rPr>
        <w:t xml:space="preserve">  </w:t>
      </w:r>
      <w:r>
        <w:rPr>
          <w:rFonts w:ascii="SimHei" w:eastAsia="SimHei" w:hAnsi="SimHei" w:cs="SimHei"/>
          <w:spacing w:val="-2"/>
          <w:sz w:val="21"/>
          <w:szCs w:val="21"/>
        </w:rPr>
        <w:t>感官检验</w:t>
      </w:r>
    </w:p>
    <w:p>
      <w:pPr>
        <w:spacing w:before="219" w:line="218" w:lineRule="auto"/>
        <w:ind w:left="194"/>
        <w:rPr>
          <w:rFonts w:ascii="SimHei" w:eastAsia="SimHei" w:hAnsi="SimHei" w:cs="SimHei"/>
          <w:sz w:val="21"/>
          <w:szCs w:val="21"/>
        </w:rPr>
      </w:pPr>
      <w:r>
        <w:rPr>
          <w:rFonts w:ascii="SimHei" w:eastAsia="SimHei" w:hAnsi="SimHei" w:cs="SimHei"/>
          <w:spacing w:val="-1"/>
          <w:sz w:val="21"/>
          <w:szCs w:val="21"/>
        </w:rPr>
        <w:t>8.1.1</w:t>
      </w:r>
      <w:r>
        <w:rPr>
          <w:rFonts w:ascii="SimHei" w:eastAsia="SimHei" w:hAnsi="SimHei" w:cs="SimHei"/>
          <w:spacing w:val="-1"/>
          <w:sz w:val="21"/>
          <w:szCs w:val="21"/>
        </w:rPr>
        <w:t xml:space="preserve">  </w:t>
      </w:r>
      <w:r>
        <w:rPr>
          <w:rFonts w:ascii="SimHei" w:eastAsia="SimHei" w:hAnsi="SimHei" w:cs="SimHei"/>
          <w:spacing w:val="-1"/>
          <w:sz w:val="21"/>
          <w:szCs w:val="21"/>
        </w:rPr>
        <w:t>外观、色泽、杂志</w:t>
      </w:r>
    </w:p>
    <w:p>
      <w:pPr>
        <w:pStyle w:val="BodyText"/>
        <w:spacing w:before="220" w:line="247" w:lineRule="auto"/>
        <w:ind w:left="199" w:right="2" w:firstLine="420"/>
      </w:pPr>
      <w:r>
        <w:rPr>
          <w:spacing w:val="-8"/>
        </w:rPr>
        <w:t>取样品约100g或100mL于无色洁净的样品杯（或200mL烧杯）</w:t>
      </w:r>
      <w:r>
        <w:rPr>
          <w:spacing w:val="-16"/>
        </w:rPr>
        <w:t xml:space="preserve"> </w:t>
      </w:r>
      <w:r>
        <w:rPr>
          <w:spacing w:val="-8"/>
        </w:rPr>
        <w:t>中，</w:t>
      </w:r>
      <w:r>
        <w:rPr>
          <w:spacing w:val="-59"/>
        </w:rPr>
        <w:t xml:space="preserve"> </w:t>
      </w:r>
      <w:r>
        <w:rPr>
          <w:spacing w:val="-8"/>
        </w:rPr>
        <w:t>在自然光线下，</w:t>
      </w:r>
      <w:r>
        <w:rPr>
          <w:spacing w:val="52"/>
        </w:rPr>
        <w:t xml:space="preserve"> </w:t>
      </w:r>
      <w:r>
        <w:rPr>
          <w:spacing w:val="-8"/>
        </w:rPr>
        <w:t>肉眼观察样品的颜</w:t>
      </w:r>
      <w:r>
        <w:t xml:space="preserve"> </w:t>
      </w:r>
      <w:r>
        <w:rPr>
          <w:spacing w:val="-3"/>
        </w:rPr>
        <w:t>色和形态、有无杂质，并做好记录。</w:t>
      </w:r>
    </w:p>
    <w:p>
      <w:pPr>
        <w:spacing w:before="218" w:line="220" w:lineRule="auto"/>
        <w:ind w:left="194"/>
        <w:rPr>
          <w:rFonts w:ascii="SimHei" w:eastAsia="SimHei" w:hAnsi="SimHei" w:cs="SimHei"/>
          <w:sz w:val="21"/>
          <w:szCs w:val="21"/>
        </w:rPr>
      </w:pPr>
      <w:r>
        <w:rPr>
          <w:rFonts w:ascii="SimHei" w:eastAsia="SimHei" w:hAnsi="SimHei" w:cs="SimHei"/>
          <w:spacing w:val="-2"/>
          <w:sz w:val="21"/>
          <w:szCs w:val="21"/>
        </w:rPr>
        <w:t>8.1.2</w:t>
      </w:r>
      <w:r>
        <w:rPr>
          <w:rFonts w:ascii="SimHei" w:eastAsia="SimHei" w:hAnsi="SimHei" w:cs="SimHei"/>
          <w:spacing w:val="7"/>
          <w:sz w:val="21"/>
          <w:szCs w:val="21"/>
        </w:rPr>
        <w:t xml:space="preserve">  </w:t>
      </w:r>
      <w:r>
        <w:rPr>
          <w:rFonts w:ascii="SimHei" w:eastAsia="SimHei" w:hAnsi="SimHei" w:cs="SimHei"/>
          <w:spacing w:val="-2"/>
          <w:sz w:val="21"/>
          <w:szCs w:val="21"/>
        </w:rPr>
        <w:t>气味</w:t>
      </w:r>
    </w:p>
    <w:p>
      <w:pPr>
        <w:pStyle w:val="BodyText"/>
        <w:spacing w:before="218" w:line="248" w:lineRule="auto"/>
        <w:ind w:left="195" w:right="10" w:firstLine="423"/>
      </w:pPr>
      <w:r>
        <w:t>取样品20g或20mL，放入100mL磨口瓶中，加入80℃的水50mL，加盖，震摇</w:t>
      </w:r>
      <w:r>
        <w:rPr>
          <w:spacing w:val="-1"/>
        </w:rPr>
        <w:t>30s，嗅其气味，并做好</w:t>
      </w:r>
      <w:r>
        <w:t xml:space="preserve"> </w:t>
      </w:r>
      <w:r>
        <w:rPr>
          <w:spacing w:val="-9"/>
        </w:rPr>
        <w:t>记录。</w:t>
      </w:r>
    </w:p>
    <w:p>
      <w:pPr>
        <w:spacing w:before="215" w:line="220" w:lineRule="auto"/>
        <w:ind w:left="194"/>
        <w:rPr>
          <w:rFonts w:ascii="SimHei" w:eastAsia="SimHei" w:hAnsi="SimHei" w:cs="SimHei"/>
          <w:sz w:val="21"/>
          <w:szCs w:val="21"/>
        </w:rPr>
      </w:pPr>
      <w:r>
        <w:rPr>
          <w:rFonts w:ascii="SimHei" w:eastAsia="SimHei" w:hAnsi="SimHei" w:cs="SimHei"/>
          <w:spacing w:val="-2"/>
          <w:sz w:val="21"/>
          <w:szCs w:val="21"/>
        </w:rPr>
        <w:t>8.1.3</w:t>
      </w:r>
      <w:r>
        <w:rPr>
          <w:rFonts w:ascii="SimHei" w:eastAsia="SimHei" w:hAnsi="SimHei" w:cs="SimHei"/>
          <w:spacing w:val="6"/>
          <w:sz w:val="21"/>
          <w:szCs w:val="21"/>
        </w:rPr>
        <w:t xml:space="preserve">  </w:t>
      </w:r>
      <w:r>
        <w:rPr>
          <w:rFonts w:ascii="SimHei" w:eastAsia="SimHei" w:hAnsi="SimHei" w:cs="SimHei"/>
          <w:spacing w:val="-2"/>
          <w:sz w:val="21"/>
          <w:szCs w:val="21"/>
        </w:rPr>
        <w:t>滋味</w:t>
      </w:r>
    </w:p>
    <w:p>
      <w:pPr>
        <w:pStyle w:val="BodyText"/>
        <w:spacing w:before="219" w:line="468" w:lineRule="exact"/>
        <w:ind w:left="616"/>
      </w:pPr>
      <w:r>
        <w:rPr>
          <w:spacing w:val="-2"/>
          <w:position w:val="19"/>
        </w:rPr>
        <w:t>清水漱口后，取少量样品放入口中，仔细品尝，并做好记录。</w:t>
      </w:r>
    </w:p>
    <w:p>
      <w:pPr>
        <w:spacing w:line="219" w:lineRule="auto"/>
        <w:ind w:left="190"/>
        <w:rPr>
          <w:rFonts w:ascii="SimHei" w:eastAsia="SimHei" w:hAnsi="SimHei" w:cs="SimHei"/>
          <w:sz w:val="21"/>
          <w:szCs w:val="21"/>
        </w:rPr>
        <w:sectPr>
          <w:headerReference w:type="default" r:id="rId20"/>
          <w:footerReference w:type="default" r:id="rId21"/>
          <w:pgSz w:w="11907" w:h="16839"/>
          <w:pgMar w:top="1658" w:right="1132" w:bottom="1311" w:left="1230" w:header="1448" w:footer="1134" w:gutter="0"/>
          <w:pgNumType w:start="7"/>
          <w:cols w:space="708"/>
        </w:sectPr>
      </w:pPr>
      <w:r>
        <w:rPr>
          <w:rFonts w:ascii="SimHei" w:eastAsia="SimHei" w:hAnsi="SimHei" w:cs="SimHei"/>
          <w:sz w:val="21"/>
          <w:szCs w:val="21"/>
        </w:rPr>
        <w:drawing>
          <wp:inline distT="0" distB="0" distL="0" distR="0">
            <wp:extent cx="192405" cy="9486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192405" cy="94867"/>
                    </a:xfrm>
                    <a:prstGeom prst="rect">
                      <a:avLst/>
                    </a:prstGeom>
                  </pic:spPr>
                </pic:pic>
              </a:graphicData>
            </a:graphic>
          </wp:inline>
        </w:drawing>
      </w:r>
      <w:r>
        <w:rPr>
          <w:rFonts w:ascii="SimHei" w:eastAsia="SimHei" w:hAnsi="SimHei" w:cs="SimHei"/>
          <w:spacing w:val="12"/>
          <w:sz w:val="21"/>
          <w:szCs w:val="21"/>
        </w:rPr>
        <w:t xml:space="preserve">  </w:t>
      </w:r>
      <w:r>
        <w:rPr>
          <w:rFonts w:ascii="SimHei" w:eastAsia="SimHei" w:hAnsi="SimHei" w:cs="SimHei"/>
          <w:spacing w:val="-4"/>
          <w:sz w:val="21"/>
          <w:szCs w:val="21"/>
        </w:rPr>
        <w:t>干物质（固形物）</w:t>
      </w:r>
    </w:p>
    <w:p>
      <w:pPr>
        <w:pStyle w:val="BodyText"/>
        <w:spacing w:before="218" w:line="220" w:lineRule="auto"/>
        <w:ind w:left="618"/>
      </w:pPr>
      <w:r>
        <w:rPr>
          <w:spacing w:val="-2"/>
        </w:rPr>
        <w:t>按GB/T 20882.2规定的方法测定。</w:t>
      </w:r>
    </w:p>
    <w:p>
      <w:pPr>
        <w:spacing w:before="218" w:line="219" w:lineRule="auto"/>
        <w:ind w:left="190"/>
        <w:rPr>
          <w:rFonts w:ascii="SimHei" w:eastAsia="SimHei" w:hAnsi="SimHei" w:cs="SimHei"/>
          <w:sz w:val="21"/>
          <w:szCs w:val="21"/>
        </w:rPr>
      </w:pPr>
      <w:r>
        <w:rPr>
          <w:rFonts w:ascii="SimHei" w:eastAsia="SimHei" w:hAnsi="SimHei" w:cs="SimHei"/>
          <w:sz w:val="21"/>
          <w:szCs w:val="21"/>
        </w:rPr>
        <w:drawing>
          <wp:inline distT="0" distB="0" distL="0" distR="0">
            <wp:extent cx="192405" cy="9486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192405" cy="94867"/>
                    </a:xfrm>
                    <a:prstGeom prst="rect">
                      <a:avLst/>
                    </a:prstGeom>
                  </pic:spPr>
                </pic:pic>
              </a:graphicData>
            </a:graphic>
          </wp:inline>
        </w:drawing>
      </w:r>
      <w:r>
        <w:rPr>
          <w:rFonts w:ascii="SimHei" w:eastAsia="SimHei" w:hAnsi="SimHei" w:cs="SimHei"/>
          <w:spacing w:val="8"/>
          <w:sz w:val="21"/>
          <w:szCs w:val="21"/>
        </w:rPr>
        <w:t xml:space="preserve">  </w:t>
      </w:r>
      <w:r>
        <w:rPr>
          <w:rFonts w:ascii="SimHei" w:eastAsia="SimHei" w:hAnsi="SimHei" w:cs="SimHei"/>
          <w:spacing w:val="-2"/>
          <w:sz w:val="21"/>
          <w:szCs w:val="21"/>
        </w:rPr>
        <w:t>水分</w:t>
      </w:r>
    </w:p>
    <w:p>
      <w:pPr>
        <w:pStyle w:val="BodyText"/>
        <w:spacing w:before="219" w:line="468" w:lineRule="exact"/>
        <w:ind w:left="618"/>
      </w:pPr>
      <w:r>
        <w:rPr>
          <w:spacing w:val="-2"/>
          <w:position w:val="19"/>
        </w:rPr>
        <w:t>按GB 5009.3中直接干燥法规定的方法测定。</w:t>
      </w:r>
    </w:p>
    <w:p>
      <w:pPr>
        <w:spacing w:before="1" w:line="219" w:lineRule="auto"/>
        <w:ind w:left="190"/>
        <w:rPr>
          <w:rFonts w:ascii="SimHei" w:eastAsia="SimHei" w:hAnsi="SimHei" w:cs="SimHei"/>
          <w:sz w:val="21"/>
          <w:szCs w:val="21"/>
        </w:rPr>
      </w:pPr>
      <w:r>
        <w:rPr>
          <w:rFonts w:ascii="SimHei" w:eastAsia="SimHei" w:hAnsi="SimHei" w:cs="SimHei"/>
          <w:sz w:val="21"/>
          <w:szCs w:val="21"/>
        </w:rPr>
        <w:drawing>
          <wp:inline distT="0" distB="0" distL="0" distR="0">
            <wp:extent cx="197738" cy="9410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197738" cy="94105"/>
                    </a:xfrm>
                    <a:prstGeom prst="rect">
                      <a:avLst/>
                    </a:prstGeom>
                  </pic:spPr>
                </pic:pic>
              </a:graphicData>
            </a:graphic>
          </wp:inline>
        </w:drawing>
      </w:r>
      <w:r>
        <w:rPr>
          <w:rFonts w:ascii="SimHei" w:eastAsia="SimHei" w:hAnsi="SimHei" w:cs="SimHei"/>
          <w:spacing w:val="5"/>
          <w:sz w:val="21"/>
          <w:szCs w:val="21"/>
        </w:rPr>
        <w:t xml:space="preserve">  </w:t>
      </w:r>
      <w:r>
        <w:rPr>
          <w:rFonts w:ascii="SimHei" w:eastAsia="SimHei" w:hAnsi="SimHei" w:cs="SimHei"/>
          <w:spacing w:val="-3"/>
          <w:sz w:val="21"/>
          <w:szCs w:val="21"/>
        </w:rPr>
        <w:t>灰分</w:t>
      </w:r>
    </w:p>
    <w:p>
      <w:pPr>
        <w:pStyle w:val="BodyText"/>
        <w:spacing w:before="218" w:line="220" w:lineRule="auto"/>
        <w:ind w:left="618"/>
      </w:pPr>
      <w:r>
        <w:rPr>
          <w:spacing w:val="-3"/>
        </w:rPr>
        <w:t>按GB 5009.4规定的方法测定。</w:t>
      </w:r>
    </w:p>
    <w:p>
      <w:pPr>
        <w:spacing w:line="220" w:lineRule="auto"/>
        <w:sectPr>
          <w:headerReference w:type="default" r:id="rId25"/>
          <w:footerReference w:type="default" r:id="rId26"/>
          <w:type w:val="nextPage"/>
          <w:pgSz w:w="11907" w:h="16839"/>
          <w:pgMar w:top="1658" w:right="1132" w:bottom="1311" w:left="1230" w:header="1448" w:footer="1134" w:gutter="0"/>
          <w:pgNumType w:start="8"/>
          <w:cols w:space="708"/>
          <w:titlePg w:val="0"/>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61" w:line="198" w:lineRule="auto"/>
        <w:jc w:val="right"/>
        <w:rPr>
          <w:rFonts w:ascii="Arial" w:eastAsia="Arial" w:hAnsi="Arial" w:cs="Arial"/>
          <w:sz w:val="21"/>
          <w:szCs w:val="21"/>
        </w:rPr>
      </w:pPr>
      <w:r>
        <w:rPr>
          <w:rFonts w:ascii="Arial" w:eastAsia="Arial" w:hAnsi="Arial" w:cs="Arial"/>
          <w:spacing w:val="-13"/>
          <w:sz w:val="21"/>
          <w:szCs w:val="21"/>
        </w:rPr>
        <w:t>GB/T 23528</w:t>
      </w:r>
      <w:r>
        <w:rPr>
          <w:rFonts w:ascii="Arial" w:eastAsia="Arial" w:hAnsi="Arial" w:cs="Arial"/>
          <w:spacing w:val="-12"/>
          <w:sz w:val="21"/>
          <w:szCs w:val="21"/>
        </w:rPr>
        <w:t>.3—XXX</w:t>
      </w:r>
      <w:r>
        <w:rPr>
          <w:rFonts w:ascii="Arial" w:eastAsia="Arial" w:hAnsi="Arial" w:cs="Arial"/>
          <w:spacing w:val="-2"/>
          <w:sz w:val="21"/>
          <w:szCs w:val="21"/>
        </w:rPr>
        <w:t>X</w:t>
      </w:r>
    </w:p>
    <w:p>
      <w:pPr>
        <w:spacing w:before="274" w:line="223" w:lineRule="auto"/>
        <w:ind w:left="3"/>
        <w:outlineLvl w:val="0"/>
        <w:rPr>
          <w:rFonts w:ascii="SimHei" w:eastAsia="SimHei" w:hAnsi="SimHei" w:cs="SimHei"/>
          <w:sz w:val="21"/>
          <w:szCs w:val="21"/>
        </w:rPr>
      </w:pPr>
      <w:r>
        <w:rPr>
          <w:rFonts w:ascii="SimHei" w:eastAsia="SimHei" w:hAnsi="SimHei" w:cs="SimHei"/>
          <w:b/>
          <w:bCs/>
          <w:spacing w:val="-1"/>
          <w:sz w:val="21"/>
          <w:szCs w:val="21"/>
        </w:rPr>
        <w:t>8.5</w:t>
      </w:r>
      <w:r>
        <w:rPr>
          <w:rFonts w:ascii="SimHei" w:eastAsia="SimHei" w:hAnsi="SimHei" w:cs="SimHei"/>
          <w:spacing w:val="85"/>
          <w:sz w:val="21"/>
          <w:szCs w:val="21"/>
        </w:rPr>
        <w:t xml:space="preserve"> </w:t>
      </w:r>
      <w:r>
        <w:rPr>
          <w:rFonts w:ascii="SimHei" w:eastAsia="SimHei" w:hAnsi="SimHei" w:cs="SimHei"/>
          <w:b/>
          <w:bCs/>
          <w:spacing w:val="-1"/>
          <w:sz w:val="21"/>
          <w:szCs w:val="21"/>
        </w:rPr>
        <w:t>透光率</w:t>
      </w:r>
    </w:p>
    <w:p>
      <w:pPr>
        <w:pStyle w:val="BodyText"/>
        <w:spacing w:before="258" w:line="219" w:lineRule="auto"/>
        <w:ind w:left="429"/>
      </w:pPr>
      <w:r>
        <w:rPr>
          <w:spacing w:val="-2"/>
        </w:rPr>
        <w:t>按GB/T</w:t>
      </w:r>
      <w:r>
        <w:rPr>
          <w:spacing w:val="39"/>
        </w:rPr>
        <w:t xml:space="preserve"> </w:t>
      </w:r>
      <w:r>
        <w:rPr>
          <w:spacing w:val="-2"/>
        </w:rPr>
        <w:t>20882.2规定的方法测定。测</w:t>
      </w:r>
      <w:r>
        <w:rPr>
          <w:spacing w:val="-3"/>
        </w:rPr>
        <w:t>定时，将测定波长为420</w:t>
      </w:r>
      <w:r>
        <w:rPr>
          <w:rFonts w:ascii="Times New Roman" w:eastAsia="Times New Roman" w:hAnsi="Times New Roman" w:cs="Times New Roman"/>
          <w:spacing w:val="-3"/>
        </w:rPr>
        <w:t>nm</w:t>
      </w:r>
      <w:r>
        <w:rPr>
          <w:spacing w:val="-3"/>
        </w:rPr>
        <w:t>。</w:t>
      </w:r>
    </w:p>
    <w:p>
      <w:pPr>
        <w:pStyle w:val="BodyText"/>
        <w:spacing w:before="234" w:line="183" w:lineRule="auto"/>
        <w:ind w:left="3"/>
        <w:outlineLvl w:val="1"/>
      </w:pPr>
      <w:r>
        <w:rPr>
          <w:b/>
          <w:bCs/>
          <w:spacing w:val="-5"/>
        </w:rPr>
        <w:t>8.6</w:t>
      </w:r>
      <w:r>
        <w:rPr>
          <w:spacing w:val="100"/>
        </w:rPr>
        <w:t xml:space="preserve"> </w:t>
      </w:r>
      <w:r>
        <w:rPr>
          <w:b/>
          <w:bCs/>
          <w:spacing w:val="-5"/>
        </w:rPr>
        <w:t>pH</w:t>
      </w:r>
    </w:p>
    <w:p>
      <w:pPr>
        <w:pStyle w:val="BodyText"/>
        <w:spacing w:before="201" w:line="257" w:lineRule="auto"/>
        <w:ind w:firstLine="429"/>
      </w:pPr>
      <w:r>
        <w:t>按GB/T</w:t>
      </w:r>
      <w:r>
        <w:rPr>
          <w:spacing w:val="39"/>
        </w:rPr>
        <w:t xml:space="preserve"> </w:t>
      </w:r>
      <w:r>
        <w:t>20882.2规定的方法测定。糖粉样品，称取样品约20g, 精确至0.1g, 加</w:t>
      </w:r>
      <w:r>
        <w:rPr>
          <w:spacing w:val="-1"/>
        </w:rPr>
        <w:t>40mL pH在5.0-7.0</w:t>
      </w:r>
      <w:r>
        <w:t xml:space="preserve"> </w:t>
      </w:r>
      <w:r>
        <w:rPr>
          <w:spacing w:val="-1"/>
        </w:rPr>
        <w:t>的无二氧化碳水，其他操作不变。糖浆样品需配制成含10%干物质</w:t>
      </w:r>
      <w:r>
        <w:rPr>
          <w:spacing w:val="-2"/>
        </w:rPr>
        <w:t>的待测溶液，其他操作不变。</w:t>
      </w:r>
    </w:p>
    <w:p>
      <w:pPr>
        <w:spacing w:before="200" w:line="223" w:lineRule="auto"/>
        <w:ind w:left="3"/>
        <w:outlineLvl w:val="0"/>
        <w:rPr>
          <w:rFonts w:ascii="SimHei" w:eastAsia="SimHei" w:hAnsi="SimHei" w:cs="SimHei"/>
          <w:sz w:val="21"/>
          <w:szCs w:val="21"/>
        </w:rPr>
      </w:pPr>
      <w:r>
        <w:rPr>
          <w:rFonts w:ascii="SimHei" w:eastAsia="SimHei" w:hAnsi="SimHei" w:cs="SimHei"/>
          <w:b/>
          <w:bCs/>
          <w:spacing w:val="-18"/>
          <w:sz w:val="21"/>
          <w:szCs w:val="21"/>
        </w:rPr>
        <w:t>8.7</w:t>
      </w:r>
      <w:r>
        <w:rPr>
          <w:rFonts w:ascii="SimHei" w:eastAsia="SimHei" w:hAnsi="SimHei" w:cs="SimHei"/>
          <w:spacing w:val="78"/>
          <w:sz w:val="21"/>
          <w:szCs w:val="21"/>
        </w:rPr>
        <w:t xml:space="preserve"> </w:t>
      </w:r>
      <w:r>
        <w:rPr>
          <w:rFonts w:ascii="Arial" w:eastAsia="Arial" w:hAnsi="Arial" w:cs="Arial"/>
          <w:b/>
          <w:bCs/>
          <w:spacing w:val="-18"/>
          <w:sz w:val="21"/>
          <w:szCs w:val="21"/>
        </w:rPr>
        <w:t>XOS</w:t>
      </w:r>
      <w:r>
        <w:rPr>
          <w:rFonts w:ascii="Arial" w:eastAsia="Arial" w:hAnsi="Arial" w:cs="Arial"/>
          <w:b/>
          <w:bCs/>
          <w:spacing w:val="7"/>
          <w:sz w:val="21"/>
          <w:szCs w:val="21"/>
        </w:rPr>
        <w:t xml:space="preserve"> </w:t>
      </w:r>
      <w:r>
        <w:rPr>
          <w:rFonts w:ascii="SimHei" w:eastAsia="SimHei" w:hAnsi="SimHei" w:cs="SimHei"/>
          <w:b/>
          <w:bCs/>
          <w:spacing w:val="-18"/>
          <w:sz w:val="21"/>
          <w:szCs w:val="21"/>
        </w:rPr>
        <w:t>含量</w:t>
      </w:r>
    </w:p>
    <w:p>
      <w:pPr>
        <w:pStyle w:val="BodyText"/>
        <w:spacing w:before="207" w:line="251" w:lineRule="auto"/>
        <w:ind w:right="31" w:firstLine="429"/>
      </w:pPr>
      <w:r>
        <w:rPr>
          <w:rFonts w:ascii="Times New Roman" w:eastAsia="Times New Roman" w:hAnsi="Times New Roman" w:cs="Times New Roman"/>
          <w:spacing w:val="-6"/>
        </w:rPr>
        <w:t>XOS-70</w:t>
      </w:r>
      <w:r>
        <w:rPr>
          <w:spacing w:val="-6"/>
        </w:rPr>
        <w:t>型糖浆、糖粉和</w:t>
      </w:r>
      <w:r>
        <w:rPr>
          <w:rFonts w:ascii="Times New Roman" w:eastAsia="Times New Roman" w:hAnsi="Times New Roman" w:cs="Times New Roman"/>
          <w:spacing w:val="-6"/>
        </w:rPr>
        <w:t>XOS-95</w:t>
      </w:r>
      <w:r>
        <w:rPr>
          <w:spacing w:val="-6"/>
        </w:rPr>
        <w:t>型糖浆、</w:t>
      </w:r>
      <w:r>
        <w:rPr>
          <w:rFonts w:ascii="Times New Roman" w:eastAsia="Times New Roman" w:hAnsi="Times New Roman" w:cs="Times New Roman"/>
          <w:spacing w:val="-6"/>
        </w:rPr>
        <w:t>XOS-35</w:t>
      </w:r>
      <w:r>
        <w:rPr>
          <w:spacing w:val="-6"/>
        </w:rPr>
        <w:t>型糖粉采用附录</w:t>
      </w:r>
      <w:r>
        <w:rPr>
          <w:rFonts w:ascii="Times New Roman" w:eastAsia="Times New Roman" w:hAnsi="Times New Roman" w:cs="Times New Roman"/>
          <w:spacing w:val="-6"/>
        </w:rPr>
        <w:t>A</w:t>
      </w:r>
      <w:r>
        <w:rPr>
          <w:spacing w:val="-7"/>
        </w:rPr>
        <w:t>、附录</w:t>
      </w:r>
      <w:r>
        <w:rPr>
          <w:rFonts w:ascii="Times New Roman" w:eastAsia="Times New Roman" w:hAnsi="Times New Roman" w:cs="Times New Roman"/>
          <w:spacing w:val="-7"/>
        </w:rPr>
        <w:t>B</w:t>
      </w:r>
      <w:r>
        <w:rPr>
          <w:spacing w:val="-7"/>
        </w:rPr>
        <w:t>方法检测均可，其中附录</w:t>
      </w:r>
      <w:r>
        <w:rPr>
          <w:rFonts w:ascii="Times New Roman" w:eastAsia="Times New Roman" w:hAnsi="Times New Roman" w:cs="Times New Roman"/>
          <w:spacing w:val="-7"/>
        </w:rPr>
        <w:t>B</w:t>
      </w:r>
      <w:r>
        <w:rPr>
          <w:rFonts w:ascii="Times New Roman" w:eastAsia="Times New Roman" w:hAnsi="Times New Roman" w:cs="Times New Roman"/>
        </w:rPr>
        <w:t xml:space="preserve"> </w:t>
      </w:r>
      <w:r>
        <w:rPr>
          <w:spacing w:val="-7"/>
        </w:rPr>
        <w:t>为仲裁法。</w:t>
      </w:r>
    </w:p>
    <w:p>
      <w:pPr>
        <w:spacing w:before="218" w:line="223" w:lineRule="auto"/>
        <w:ind w:left="3"/>
        <w:outlineLvl w:val="0"/>
        <w:rPr>
          <w:rFonts w:ascii="SimHei" w:eastAsia="SimHei" w:hAnsi="SimHei" w:cs="SimHei"/>
          <w:sz w:val="21"/>
          <w:szCs w:val="21"/>
        </w:rPr>
      </w:pPr>
      <w:r>
        <w:rPr>
          <w:rFonts w:ascii="SimHei" w:eastAsia="SimHei" w:hAnsi="SimHei" w:cs="SimHei"/>
          <w:b/>
          <w:bCs/>
          <w:spacing w:val="-13"/>
          <w:sz w:val="21"/>
          <w:szCs w:val="21"/>
        </w:rPr>
        <w:t>8.8</w:t>
      </w:r>
      <w:r>
        <w:rPr>
          <w:rFonts w:ascii="SimHei" w:eastAsia="SimHei" w:hAnsi="SimHei" w:cs="SimHei"/>
          <w:spacing w:val="-13"/>
          <w:sz w:val="21"/>
          <w:szCs w:val="21"/>
        </w:rPr>
        <w:t xml:space="preserve">  </w:t>
      </w:r>
      <w:r>
        <w:rPr>
          <w:rFonts w:ascii="Times New Roman" w:eastAsia="Times New Roman" w:hAnsi="Times New Roman" w:cs="Times New Roman"/>
          <w:b/>
          <w:bCs/>
          <w:spacing w:val="-13"/>
          <w:sz w:val="21"/>
          <w:szCs w:val="21"/>
        </w:rPr>
        <w:t>XOS₂-₄</w:t>
      </w:r>
      <w:r>
        <w:rPr>
          <w:rFonts w:ascii="SimHei" w:eastAsia="SimHei" w:hAnsi="SimHei" w:cs="SimHei"/>
          <w:b/>
          <w:bCs/>
          <w:spacing w:val="-13"/>
          <w:sz w:val="21"/>
          <w:szCs w:val="21"/>
        </w:rPr>
        <w:t>含量</w:t>
      </w:r>
    </w:p>
    <w:p>
      <w:pPr>
        <w:pStyle w:val="BodyText"/>
        <w:spacing w:before="207" w:line="219" w:lineRule="auto"/>
        <w:ind w:left="429"/>
      </w:pPr>
      <w:r>
        <w:rPr>
          <w:spacing w:val="-9"/>
        </w:rPr>
        <w:t>按附录</w:t>
      </w:r>
      <w:r>
        <w:rPr>
          <w:rFonts w:ascii="Times New Roman" w:eastAsia="Times New Roman" w:hAnsi="Times New Roman" w:cs="Times New Roman"/>
          <w:spacing w:val="-9"/>
        </w:rPr>
        <w:t>A</w:t>
      </w:r>
      <w:r>
        <w:rPr>
          <w:spacing w:val="-9"/>
        </w:rPr>
        <w:t>规定的方法测定。</w:t>
      </w:r>
    </w:p>
    <w:p>
      <w:pPr>
        <w:spacing w:line="32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2"/>
          <w:sz w:val="21"/>
          <w:szCs w:val="21"/>
        </w:rPr>
        <w:t>9</w:t>
      </w:r>
      <w:r>
        <w:rPr>
          <w:rFonts w:ascii="SimHei" w:eastAsia="SimHei" w:hAnsi="SimHei" w:cs="SimHei"/>
          <w:spacing w:val="82"/>
          <w:sz w:val="21"/>
          <w:szCs w:val="21"/>
        </w:rPr>
        <w:t xml:space="preserve"> </w:t>
      </w:r>
      <w:r>
        <w:rPr>
          <w:rFonts w:ascii="SimHei" w:eastAsia="SimHei" w:hAnsi="SimHei" w:cs="SimHei"/>
          <w:b/>
          <w:bCs/>
          <w:spacing w:val="2"/>
          <w:sz w:val="21"/>
          <w:szCs w:val="21"/>
        </w:rPr>
        <w:t>检验规则</w:t>
      </w:r>
    </w:p>
    <w:p>
      <w:pPr>
        <w:spacing w:line="278"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1"/>
          <w:sz w:val="21"/>
          <w:szCs w:val="21"/>
        </w:rPr>
        <w:t>9.1</w:t>
      </w:r>
      <w:r>
        <w:rPr>
          <w:rFonts w:ascii="SimHei" w:eastAsia="SimHei" w:hAnsi="SimHei" w:cs="SimHei"/>
          <w:spacing w:val="73"/>
          <w:sz w:val="21"/>
          <w:szCs w:val="21"/>
        </w:rPr>
        <w:t xml:space="preserve"> </w:t>
      </w:r>
      <w:r>
        <w:rPr>
          <w:rFonts w:ascii="SimHei" w:eastAsia="SimHei" w:hAnsi="SimHei" w:cs="SimHei"/>
          <w:b/>
          <w:bCs/>
          <w:spacing w:val="-1"/>
          <w:sz w:val="21"/>
          <w:szCs w:val="21"/>
        </w:rPr>
        <w:t>组批与抽样</w:t>
      </w:r>
    </w:p>
    <w:p>
      <w:pPr>
        <w:spacing w:before="218" w:line="222" w:lineRule="auto"/>
        <w:ind w:left="3"/>
        <w:outlineLvl w:val="0"/>
        <w:rPr>
          <w:rFonts w:ascii="SimHei" w:eastAsia="SimHei" w:hAnsi="SimHei" w:cs="SimHei"/>
          <w:sz w:val="21"/>
          <w:szCs w:val="21"/>
        </w:rPr>
      </w:pPr>
      <w:r>
        <w:rPr>
          <w:rFonts w:ascii="SimHei" w:eastAsia="SimHei" w:hAnsi="SimHei" w:cs="SimHei"/>
          <w:b/>
          <w:bCs/>
          <w:spacing w:val="-4"/>
          <w:sz w:val="21"/>
          <w:szCs w:val="21"/>
        </w:rPr>
        <w:t>9.1.1</w:t>
      </w:r>
      <w:r>
        <w:rPr>
          <w:rFonts w:ascii="SimHei" w:eastAsia="SimHei" w:hAnsi="SimHei" w:cs="SimHei"/>
          <w:spacing w:val="97"/>
          <w:sz w:val="21"/>
          <w:szCs w:val="21"/>
        </w:rPr>
        <w:t xml:space="preserve"> </w:t>
      </w:r>
      <w:r>
        <w:rPr>
          <w:rFonts w:ascii="SimHei" w:eastAsia="SimHei" w:hAnsi="SimHei" w:cs="SimHei"/>
          <w:b/>
          <w:bCs/>
          <w:spacing w:val="-4"/>
          <w:sz w:val="21"/>
          <w:szCs w:val="21"/>
        </w:rPr>
        <w:t>组批</w:t>
      </w:r>
    </w:p>
    <w:p>
      <w:pPr>
        <w:pStyle w:val="BodyText"/>
        <w:spacing w:before="230" w:line="219" w:lineRule="auto"/>
        <w:ind w:left="429"/>
      </w:pPr>
      <w:r>
        <w:rPr>
          <w:spacing w:val="-1"/>
        </w:rPr>
        <w:t>以最后一道工序能均匀混合后包装的一批成品，为一个生产</w:t>
      </w:r>
      <w:r>
        <w:rPr>
          <w:spacing w:val="-2"/>
        </w:rPr>
        <w:t>批号。</w:t>
      </w:r>
    </w:p>
    <w:p>
      <w:pPr>
        <w:spacing w:before="199" w:line="224" w:lineRule="auto"/>
        <w:ind w:left="3"/>
        <w:outlineLvl w:val="0"/>
        <w:rPr>
          <w:rFonts w:ascii="SimHei" w:eastAsia="SimHei" w:hAnsi="SimHei" w:cs="SimHei"/>
          <w:sz w:val="21"/>
          <w:szCs w:val="21"/>
        </w:rPr>
      </w:pPr>
      <w:r>
        <w:rPr>
          <w:rFonts w:ascii="SimHei" w:eastAsia="SimHei" w:hAnsi="SimHei" w:cs="SimHei"/>
          <w:b/>
          <w:bCs/>
          <w:sz w:val="21"/>
          <w:szCs w:val="21"/>
        </w:rPr>
        <w:t>9.1.2</w:t>
      </w:r>
      <w:r>
        <w:rPr>
          <w:rFonts w:ascii="SimHei" w:eastAsia="SimHei" w:hAnsi="SimHei" w:cs="SimHei"/>
          <w:sz w:val="21"/>
          <w:szCs w:val="21"/>
        </w:rPr>
        <w:t xml:space="preserve">  </w:t>
      </w:r>
      <w:r>
        <w:rPr>
          <w:rFonts w:ascii="SimHei" w:eastAsia="SimHei" w:hAnsi="SimHei" w:cs="SimHei"/>
          <w:b/>
          <w:bCs/>
          <w:sz w:val="21"/>
          <w:szCs w:val="21"/>
        </w:rPr>
        <w:t>抽样</w:t>
      </w:r>
    </w:p>
    <w:p>
      <w:pPr>
        <w:pStyle w:val="BodyText"/>
        <w:spacing w:before="217" w:line="232" w:lineRule="auto"/>
        <w:ind w:right="50" w:firstLine="429"/>
      </w:pPr>
      <w:r>
        <w:rPr>
          <w:spacing w:val="-3"/>
        </w:rPr>
        <w:t>按每一个生产批号为基础进行抽取样品，以代表该批号的产品质量。每批次取样量为全项检验</w:t>
      </w:r>
      <w:r>
        <w:rPr>
          <w:spacing w:val="-4"/>
        </w:rPr>
        <w:t>需样</w:t>
      </w:r>
      <w:r>
        <w:t xml:space="preserve"> </w:t>
      </w:r>
      <w:r>
        <w:rPr>
          <w:spacing w:val="-8"/>
        </w:rPr>
        <w:t>量的2～3倍，总量不少于1000</w:t>
      </w:r>
      <w:r>
        <w:rPr>
          <w:rFonts w:ascii="Times New Roman" w:eastAsia="Times New Roman" w:hAnsi="Times New Roman" w:cs="Times New Roman"/>
          <w:spacing w:val="-8"/>
        </w:rPr>
        <w:t>g</w:t>
      </w:r>
      <w:r>
        <w:rPr>
          <w:spacing w:val="-8"/>
        </w:rPr>
        <w:t>。分两份：</w:t>
      </w:r>
      <w:r>
        <w:rPr>
          <w:spacing w:val="-9"/>
        </w:rPr>
        <w:t xml:space="preserve"> 一份理化检验，</w:t>
      </w:r>
      <w:r>
        <w:rPr>
          <w:spacing w:val="58"/>
        </w:rPr>
        <w:t xml:space="preserve"> </w:t>
      </w:r>
      <w:r>
        <w:rPr>
          <w:spacing w:val="-9"/>
        </w:rPr>
        <w:t>一份留样备查。</w:t>
      </w:r>
    </w:p>
    <w:p>
      <w:pPr>
        <w:spacing w:before="248" w:line="222" w:lineRule="auto"/>
        <w:ind w:left="3"/>
        <w:outlineLvl w:val="0"/>
        <w:rPr>
          <w:rFonts w:ascii="SimHei" w:eastAsia="SimHei" w:hAnsi="SimHei" w:cs="SimHei"/>
          <w:sz w:val="21"/>
          <w:szCs w:val="21"/>
        </w:rPr>
      </w:pPr>
      <w:r>
        <w:rPr>
          <w:rFonts w:ascii="SimHei" w:eastAsia="SimHei" w:hAnsi="SimHei" w:cs="SimHei"/>
          <w:b/>
          <w:bCs/>
          <w:spacing w:val="-5"/>
          <w:sz w:val="21"/>
          <w:szCs w:val="21"/>
        </w:rPr>
        <w:t>9.2</w:t>
      </w:r>
      <w:r>
        <w:rPr>
          <w:rFonts w:ascii="SimHei" w:eastAsia="SimHei" w:hAnsi="SimHei" w:cs="SimHei"/>
          <w:spacing w:val="92"/>
          <w:sz w:val="21"/>
          <w:szCs w:val="21"/>
        </w:rPr>
        <w:t xml:space="preserve"> </w:t>
      </w:r>
      <w:r>
        <w:rPr>
          <w:rFonts w:ascii="SimHei" w:eastAsia="SimHei" w:hAnsi="SimHei" w:cs="SimHei"/>
          <w:b/>
          <w:bCs/>
          <w:spacing w:val="-5"/>
          <w:sz w:val="21"/>
          <w:szCs w:val="21"/>
        </w:rPr>
        <w:t>出厂检验</w:t>
      </w:r>
    </w:p>
    <w:p>
      <w:pPr>
        <w:pStyle w:val="BodyText"/>
        <w:spacing w:before="241" w:line="219" w:lineRule="auto"/>
      </w:pPr>
      <w:r>
        <w:t>9.2.1  产品出厂前应由质量检验部</w:t>
      </w:r>
      <w:r>
        <w:rPr>
          <w:spacing w:val="-1"/>
        </w:rPr>
        <w:t>门逐批检验，检验符合本文件要求后方可出厂。</w:t>
      </w:r>
    </w:p>
    <w:p>
      <w:pPr>
        <w:pStyle w:val="BodyText"/>
        <w:spacing w:before="188" w:line="252" w:lineRule="auto"/>
        <w:ind w:right="28"/>
      </w:pPr>
      <w:r>
        <w:rPr>
          <w:spacing w:val="-1"/>
        </w:rPr>
        <w:t>9.2.2  糖浆产品出厂检验项目包括：感官要求，干物质(固</w:t>
      </w:r>
      <w:r>
        <w:rPr>
          <w:spacing w:val="-2"/>
        </w:rPr>
        <w:t>形物)、透光率、</w:t>
      </w:r>
      <w:r>
        <w:rPr>
          <w:rFonts w:ascii="Times New Roman" w:eastAsia="Times New Roman" w:hAnsi="Times New Roman" w:cs="Times New Roman"/>
          <w:spacing w:val="-2"/>
        </w:rPr>
        <w:t>pH</w:t>
      </w:r>
      <w:r>
        <w:rPr>
          <w:spacing w:val="-2"/>
        </w:rPr>
        <w:t>、</w:t>
      </w:r>
      <w:r>
        <w:rPr>
          <w:rFonts w:ascii="Times New Roman" w:eastAsia="Times New Roman" w:hAnsi="Times New Roman" w:cs="Times New Roman"/>
          <w:spacing w:val="-2"/>
        </w:rPr>
        <w:t xml:space="preserve">XOS </w:t>
      </w:r>
      <w:r>
        <w:rPr>
          <w:spacing w:val="-2"/>
        </w:rPr>
        <w:t>含量、</w:t>
      </w:r>
      <w:r>
        <w:rPr>
          <w:rFonts w:ascii="Times New Roman" w:eastAsia="Times New Roman" w:hAnsi="Times New Roman" w:cs="Times New Roman"/>
          <w:spacing w:val="-2"/>
        </w:rPr>
        <w:t>XOS₂-₄</w:t>
      </w:r>
      <w:r>
        <w:rPr>
          <w:spacing w:val="-2"/>
        </w:rPr>
        <w:t>含</w:t>
      </w:r>
      <w:r>
        <w:t xml:space="preserve"> </w:t>
      </w:r>
      <w:r>
        <w:rPr>
          <w:spacing w:val="-7"/>
        </w:rPr>
        <w:t>量、灰分。</w:t>
      </w:r>
    </w:p>
    <w:p>
      <w:pPr>
        <w:pStyle w:val="BodyText"/>
        <w:spacing w:before="217" w:line="212" w:lineRule="auto"/>
      </w:pPr>
      <w:r>
        <w:rPr>
          <w:spacing w:val="-6"/>
        </w:rPr>
        <w:t>9.2.3  糖粉产品出厂检验项目：感官要求、水分、</w:t>
      </w:r>
      <w:r>
        <w:rPr>
          <w:rFonts w:ascii="Times New Roman" w:eastAsia="Times New Roman" w:hAnsi="Times New Roman" w:cs="Times New Roman"/>
          <w:spacing w:val="-6"/>
        </w:rPr>
        <w:t>pH</w:t>
      </w:r>
      <w:r>
        <w:rPr>
          <w:spacing w:val="-6"/>
        </w:rPr>
        <w:t>、</w:t>
      </w:r>
      <w:r>
        <w:rPr>
          <w:rFonts w:ascii="Times New Roman" w:eastAsia="Times New Roman" w:hAnsi="Times New Roman" w:cs="Times New Roman"/>
          <w:spacing w:val="-6"/>
        </w:rPr>
        <w:t>XOS</w:t>
      </w:r>
      <w:r>
        <w:rPr>
          <w:spacing w:val="-6"/>
        </w:rPr>
        <w:t>含量、</w:t>
      </w:r>
      <w:r>
        <w:rPr>
          <w:rFonts w:ascii="Times New Roman" w:eastAsia="Times New Roman" w:hAnsi="Times New Roman" w:cs="Times New Roman"/>
          <w:spacing w:val="-6"/>
        </w:rPr>
        <w:t>XOS₂-4</w:t>
      </w:r>
      <w:r>
        <w:rPr>
          <w:spacing w:val="-6"/>
        </w:rPr>
        <w:t>含量、灰</w:t>
      </w:r>
      <w:r>
        <w:rPr>
          <w:spacing w:val="-7"/>
        </w:rPr>
        <w:t>分。</w:t>
      </w:r>
    </w:p>
    <w:p>
      <w:pPr>
        <w:spacing w:before="248" w:line="222" w:lineRule="auto"/>
        <w:ind w:left="3"/>
        <w:outlineLvl w:val="0"/>
        <w:rPr>
          <w:rFonts w:ascii="SimHei" w:eastAsia="SimHei" w:hAnsi="SimHei" w:cs="SimHei"/>
          <w:sz w:val="21"/>
          <w:szCs w:val="21"/>
        </w:rPr>
      </w:pPr>
      <w:r>
        <w:rPr>
          <w:rFonts w:ascii="SimHei" w:eastAsia="SimHei" w:hAnsi="SimHei" w:cs="SimHei"/>
          <w:b/>
          <w:bCs/>
          <w:spacing w:val="-4"/>
          <w:sz w:val="21"/>
          <w:szCs w:val="21"/>
        </w:rPr>
        <w:t>9.3</w:t>
      </w:r>
      <w:r>
        <w:rPr>
          <w:rFonts w:ascii="SimHei" w:eastAsia="SimHei" w:hAnsi="SimHei" w:cs="SimHei"/>
          <w:spacing w:val="82"/>
          <w:sz w:val="21"/>
          <w:szCs w:val="21"/>
        </w:rPr>
        <w:t xml:space="preserve"> </w:t>
      </w:r>
      <w:r>
        <w:rPr>
          <w:rFonts w:ascii="SimHei" w:eastAsia="SimHei" w:hAnsi="SimHei" w:cs="SimHei"/>
          <w:b/>
          <w:bCs/>
          <w:spacing w:val="-4"/>
          <w:sz w:val="21"/>
          <w:szCs w:val="21"/>
        </w:rPr>
        <w:t>型式检验</w:t>
      </w:r>
    </w:p>
    <w:p>
      <w:pPr>
        <w:pStyle w:val="BodyText"/>
        <w:spacing w:before="242" w:line="264" w:lineRule="auto"/>
        <w:ind w:left="129" w:right="15" w:firstLine="220"/>
      </w:pPr>
      <w:r>
        <w:rPr>
          <w:spacing w:val="-4"/>
        </w:rPr>
        <w:t>型式检验项目为本文件中规定的全部项目，</w:t>
      </w:r>
      <w:r>
        <w:rPr>
          <w:spacing w:val="59"/>
        </w:rPr>
        <w:t xml:space="preserve"> </w:t>
      </w:r>
      <w:r>
        <w:rPr>
          <w:spacing w:val="-4"/>
        </w:rPr>
        <w:t>一般情况下，型式检验每半年进行一</w:t>
      </w:r>
      <w:r>
        <w:rPr>
          <w:spacing w:val="-5"/>
        </w:rPr>
        <w:t>次，有下列情况之</w:t>
      </w:r>
      <w:r>
        <w:t xml:space="preserve"> </w:t>
      </w:r>
      <w:r>
        <w:rPr>
          <w:spacing w:val="-8"/>
        </w:rPr>
        <w:t>一时必须进行：</w:t>
      </w:r>
    </w:p>
    <w:p>
      <w:pPr>
        <w:pStyle w:val="BodyText"/>
        <w:spacing w:before="80" w:line="219" w:lineRule="auto"/>
        <w:ind w:left="429"/>
      </w:pPr>
      <w:r>
        <w:rPr>
          <w:spacing w:val="4"/>
        </w:rPr>
        <w:t>一新产品投产前；</w:t>
      </w:r>
    </w:p>
    <w:p>
      <w:pPr>
        <w:pStyle w:val="BodyText"/>
        <w:spacing w:before="90" w:line="219" w:lineRule="auto"/>
        <w:ind w:left="429"/>
        <w:sectPr>
          <w:headerReference w:type="default" r:id="rId27"/>
          <w:footerReference w:type="default" r:id="rId28"/>
          <w:pgSz w:w="11910" w:h="16840"/>
          <w:pgMar w:top="400" w:right="1139" w:bottom="1317" w:left="1390" w:header="0" w:footer="1109" w:gutter="0"/>
          <w:pgNumType w:start="9"/>
          <w:cols w:space="708"/>
        </w:sectPr>
      </w:pPr>
      <w:r>
        <w:rPr>
          <w:spacing w:val="2"/>
        </w:rPr>
        <w:t>一出厂检验结果与上次型式检验有较大差异；</w:t>
      </w:r>
    </w:p>
    <w:p>
      <w:pPr>
        <w:pStyle w:val="BodyText"/>
        <w:spacing w:before="100" w:line="341" w:lineRule="exact"/>
        <w:ind w:left="429"/>
      </w:pPr>
      <w:r>
        <w:rPr>
          <w:spacing w:val="2"/>
          <w:position w:val="9"/>
        </w:rPr>
        <w:t>一更换设备、主要原辅材料或更改关键工艺可能影响产品质量时；</w:t>
      </w:r>
    </w:p>
    <w:p>
      <w:pPr>
        <w:pStyle w:val="BodyText"/>
        <w:spacing w:line="219" w:lineRule="auto"/>
        <w:ind w:left="429"/>
      </w:pPr>
      <w:r>
        <w:rPr>
          <w:spacing w:val="2"/>
        </w:rPr>
        <w:t>一停产半年及以上，再恢复生产时；</w:t>
      </w:r>
    </w:p>
    <w:p>
      <w:pPr>
        <w:pStyle w:val="BodyText"/>
        <w:spacing w:before="110" w:line="219" w:lineRule="auto"/>
        <w:ind w:left="429"/>
      </w:pPr>
      <w:r>
        <w:rPr>
          <w:spacing w:val="4"/>
        </w:rPr>
        <w:t>一国家质量技术监督机构提出进行型式检验要求时。</w:t>
      </w:r>
    </w:p>
    <w:p>
      <w:pPr>
        <w:spacing w:before="177" w:line="222" w:lineRule="auto"/>
        <w:ind w:left="3"/>
        <w:outlineLvl w:val="0"/>
        <w:rPr>
          <w:rFonts w:ascii="SimHei" w:eastAsia="SimHei" w:hAnsi="SimHei" w:cs="SimHei"/>
          <w:sz w:val="21"/>
          <w:szCs w:val="21"/>
        </w:rPr>
      </w:pPr>
      <w:r>
        <w:rPr>
          <w:rFonts w:ascii="SimHei" w:eastAsia="SimHei" w:hAnsi="SimHei" w:cs="SimHei"/>
          <w:b/>
          <w:bCs/>
          <w:spacing w:val="-4"/>
          <w:sz w:val="21"/>
          <w:szCs w:val="21"/>
        </w:rPr>
        <w:t>9.4</w:t>
      </w:r>
      <w:r>
        <w:rPr>
          <w:rFonts w:ascii="SimHei" w:eastAsia="SimHei" w:hAnsi="SimHei" w:cs="SimHei"/>
          <w:spacing w:val="76"/>
          <w:sz w:val="21"/>
          <w:szCs w:val="21"/>
        </w:rPr>
        <w:t xml:space="preserve"> </w:t>
      </w:r>
      <w:r>
        <w:rPr>
          <w:rFonts w:ascii="SimHei" w:eastAsia="SimHei" w:hAnsi="SimHei" w:cs="SimHei"/>
          <w:b/>
          <w:bCs/>
          <w:spacing w:val="-4"/>
          <w:sz w:val="21"/>
          <w:szCs w:val="21"/>
        </w:rPr>
        <w:t>判定规则</w:t>
      </w:r>
    </w:p>
    <w:p>
      <w:pPr>
        <w:spacing w:line="222" w:lineRule="auto"/>
        <w:rPr>
          <w:rFonts w:ascii="SimHei" w:eastAsia="SimHei" w:hAnsi="SimHei" w:cs="SimHei"/>
          <w:sz w:val="21"/>
          <w:szCs w:val="21"/>
        </w:rPr>
        <w:sectPr>
          <w:headerReference w:type="default" r:id="rId29"/>
          <w:footerReference w:type="default" r:id="rId30"/>
          <w:type w:val="nextPage"/>
          <w:pgSz w:w="11910" w:h="16840"/>
          <w:pgMar w:top="400" w:right="1139" w:bottom="1317" w:left="1390" w:header="0" w:footer="1109" w:gutter="0"/>
          <w:pgNumType w:start="10"/>
          <w:cols w:space="708"/>
          <w:titlePg w:val="0"/>
        </w:sect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46" w:line="192" w:lineRule="auto"/>
        <w:jc w:val="right"/>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GB/T</w:t>
      </w:r>
      <w:r>
        <w:rPr>
          <w:rFonts w:ascii="Times New Roman" w:eastAsia="Times New Roman" w:hAnsi="Times New Roman" w:cs="Times New Roman"/>
          <w:spacing w:val="4"/>
          <w:sz w:val="16"/>
          <w:szCs w:val="16"/>
        </w:rPr>
        <w:t xml:space="preserve">         </w:t>
      </w:r>
      <w:r>
        <w:rPr>
          <w:rFonts w:ascii="Times New Roman" w:eastAsia="Times New Roman" w:hAnsi="Times New Roman" w:cs="Times New Roman"/>
          <w:spacing w:val="-1"/>
          <w:sz w:val="16"/>
          <w:szCs w:val="16"/>
        </w:rPr>
        <w:t>23528.3—XXXX</w:t>
      </w:r>
    </w:p>
    <w:p>
      <w:pPr>
        <w:spacing w:line="248" w:lineRule="auto"/>
        <w:rPr>
          <w:rFonts w:ascii="Arial"/>
          <w:sz w:val="21"/>
        </w:rPr>
      </w:pPr>
    </w:p>
    <w:p>
      <w:pPr>
        <w:pStyle w:val="BodyText"/>
        <w:spacing w:before="65" w:line="219" w:lineRule="auto"/>
        <w:rPr>
          <w:sz w:val="20"/>
          <w:szCs w:val="20"/>
        </w:rPr>
      </w:pPr>
      <w:r>
        <w:rPr>
          <w:spacing w:val="8"/>
          <w:sz w:val="20"/>
          <w:szCs w:val="20"/>
        </w:rPr>
        <w:t>9.4.1  抽取样品经检验，检验项目全部符合要求，判定该批产品符合本文件。</w:t>
      </w:r>
    </w:p>
    <w:p>
      <w:pPr>
        <w:pStyle w:val="BodyText"/>
        <w:spacing w:before="234" w:line="252" w:lineRule="auto"/>
        <w:ind w:left="20" w:hanging="20"/>
        <w:rPr>
          <w:sz w:val="20"/>
          <w:szCs w:val="20"/>
        </w:rPr>
      </w:pPr>
      <w:r>
        <w:rPr>
          <w:rFonts w:ascii="Times New Roman" w:eastAsia="Times New Roman" w:hAnsi="Times New Roman" w:cs="Times New Roman"/>
          <w:spacing w:val="9"/>
          <w:sz w:val="20"/>
          <w:szCs w:val="20"/>
        </w:rPr>
        <w:t xml:space="preserve">9.4.2  </w:t>
      </w:r>
      <w:r>
        <w:rPr>
          <w:spacing w:val="9"/>
          <w:sz w:val="20"/>
          <w:szCs w:val="20"/>
        </w:rPr>
        <w:t>—检验项目如有一项至两项不符合要求，应重新自同批次产品中抽</w:t>
      </w:r>
      <w:r>
        <w:rPr>
          <w:spacing w:val="8"/>
          <w:sz w:val="20"/>
          <w:szCs w:val="20"/>
        </w:rPr>
        <w:t>取两倍量样品进行复检，以复</w:t>
      </w:r>
      <w:r>
        <w:rPr>
          <w:sz w:val="20"/>
          <w:szCs w:val="20"/>
        </w:rPr>
        <w:t xml:space="preserve"> </w:t>
      </w:r>
      <w:r>
        <w:rPr>
          <w:spacing w:val="7"/>
          <w:sz w:val="20"/>
          <w:szCs w:val="20"/>
        </w:rPr>
        <w:t>检结果为准。若仍有一项不符合要求，判定该批次产品不符合本文件。检验结果如有三项及以上指标不</w:t>
      </w:r>
    </w:p>
    <w:p>
      <w:pPr>
        <w:pStyle w:val="BodyText"/>
        <w:spacing w:before="83" w:line="619" w:lineRule="exact"/>
        <w:ind w:left="20"/>
        <w:rPr>
          <w:sz w:val="20"/>
          <w:szCs w:val="20"/>
        </w:rPr>
      </w:pPr>
      <w:r>
        <w:rPr>
          <w:spacing w:val="6"/>
          <w:position w:val="32"/>
          <w:sz w:val="20"/>
          <w:szCs w:val="20"/>
        </w:rPr>
        <w:t>符合要求，判定该批产品不符合本文件。</w:t>
      </w:r>
    </w:p>
    <w:p>
      <w:pPr>
        <w:spacing w:line="220" w:lineRule="auto"/>
        <w:ind w:left="20"/>
        <w:rPr>
          <w:rFonts w:ascii="SimHei" w:eastAsia="SimHei" w:hAnsi="SimHei" w:cs="SimHei"/>
          <w:sz w:val="20"/>
          <w:szCs w:val="20"/>
        </w:rPr>
      </w:pPr>
      <w:r>
        <w:rPr>
          <w:rFonts w:ascii="SimHei" w:eastAsia="SimHei" w:hAnsi="SimHei" w:cs="SimHei"/>
          <w:spacing w:val="7"/>
          <w:sz w:val="20"/>
          <w:szCs w:val="20"/>
        </w:rPr>
        <w:t>10</w:t>
      </w:r>
      <w:r>
        <w:rPr>
          <w:rFonts w:ascii="SimHei" w:eastAsia="SimHei" w:hAnsi="SimHei" w:cs="SimHei"/>
          <w:spacing w:val="98"/>
          <w:sz w:val="20"/>
          <w:szCs w:val="20"/>
        </w:rPr>
        <w:t xml:space="preserve"> </w:t>
      </w:r>
      <w:r>
        <w:rPr>
          <w:rFonts w:ascii="SimHei" w:eastAsia="SimHei" w:hAnsi="SimHei" w:cs="SimHei"/>
          <w:spacing w:val="7"/>
          <w:sz w:val="20"/>
          <w:szCs w:val="20"/>
        </w:rPr>
        <w:t>标志、包装、运输、贮存</w:t>
      </w:r>
    </w:p>
    <w:p>
      <w:pPr>
        <w:spacing w:line="317" w:lineRule="auto"/>
        <w:rPr>
          <w:rFonts w:ascii="Arial"/>
          <w:sz w:val="21"/>
        </w:rPr>
      </w:pPr>
    </w:p>
    <w:p>
      <w:pPr>
        <w:spacing w:before="66" w:line="224" w:lineRule="auto"/>
        <w:ind w:left="20"/>
        <w:rPr>
          <w:rFonts w:ascii="SimHei" w:eastAsia="SimHei" w:hAnsi="SimHei" w:cs="SimHei"/>
          <w:sz w:val="20"/>
          <w:szCs w:val="20"/>
        </w:rPr>
      </w:pPr>
      <w:r>
        <w:rPr>
          <w:rFonts w:ascii="SimHei" w:eastAsia="SimHei" w:hAnsi="SimHei" w:cs="SimHei"/>
          <w:spacing w:val="-3"/>
          <w:sz w:val="20"/>
          <w:szCs w:val="20"/>
        </w:rPr>
        <w:t>10.1</w:t>
      </w:r>
      <w:r>
        <w:rPr>
          <w:rFonts w:ascii="SimHei" w:eastAsia="SimHei" w:hAnsi="SimHei" w:cs="SimHei"/>
          <w:spacing w:val="-3"/>
          <w:sz w:val="20"/>
          <w:szCs w:val="20"/>
        </w:rPr>
        <w:t xml:space="preserve">  </w:t>
      </w:r>
      <w:r>
        <w:rPr>
          <w:rFonts w:ascii="SimHei" w:eastAsia="SimHei" w:hAnsi="SimHei" w:cs="SimHei"/>
          <w:spacing w:val="-3"/>
          <w:sz w:val="20"/>
          <w:szCs w:val="20"/>
        </w:rPr>
        <w:t>标</w:t>
      </w:r>
      <w:r>
        <w:rPr>
          <w:rFonts w:ascii="SimHei" w:eastAsia="SimHei" w:hAnsi="SimHei" w:cs="SimHei"/>
          <w:spacing w:val="-40"/>
          <w:sz w:val="20"/>
          <w:szCs w:val="20"/>
        </w:rPr>
        <w:t xml:space="preserve"> </w:t>
      </w:r>
      <w:r>
        <w:rPr>
          <w:rFonts w:ascii="SimHei" w:eastAsia="SimHei" w:hAnsi="SimHei" w:cs="SimHei"/>
          <w:spacing w:val="-3"/>
          <w:sz w:val="20"/>
          <w:szCs w:val="20"/>
        </w:rPr>
        <w:t>志</w:t>
      </w:r>
    </w:p>
    <w:p>
      <w:pPr>
        <w:pStyle w:val="BodyText"/>
        <w:spacing w:before="224" w:line="219" w:lineRule="auto"/>
        <w:ind w:left="10"/>
        <w:rPr>
          <w:sz w:val="20"/>
          <w:szCs w:val="20"/>
        </w:rPr>
      </w:pPr>
      <w:r>
        <w:rPr>
          <w:spacing w:val="4"/>
          <w:sz w:val="20"/>
          <w:szCs w:val="20"/>
        </w:rPr>
        <w:t>10.1.1  产品标签应符合</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 xml:space="preserve">  7718</w:t>
      </w:r>
      <w:r>
        <w:rPr>
          <w:spacing w:val="4"/>
          <w:sz w:val="20"/>
          <w:szCs w:val="20"/>
        </w:rPr>
        <w:t>和</w:t>
      </w:r>
      <w:r>
        <w:rPr>
          <w:spacing w:val="-6"/>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28050</w:t>
      </w:r>
      <w:r>
        <w:rPr>
          <w:rFonts w:ascii="Times New Roman" w:eastAsia="Times New Roman" w:hAnsi="Times New Roman" w:cs="Times New Roman"/>
          <w:spacing w:val="33"/>
          <w:sz w:val="20"/>
          <w:szCs w:val="20"/>
        </w:rPr>
        <w:t xml:space="preserve"> </w:t>
      </w:r>
      <w:r>
        <w:rPr>
          <w:spacing w:val="4"/>
          <w:sz w:val="20"/>
          <w:szCs w:val="20"/>
        </w:rPr>
        <w:t>的规定，并标明产品类型。</w:t>
      </w:r>
    </w:p>
    <w:p>
      <w:pPr>
        <w:pStyle w:val="BodyText"/>
        <w:spacing w:before="233" w:line="219" w:lineRule="auto"/>
        <w:ind w:left="20"/>
        <w:rPr>
          <w:sz w:val="20"/>
          <w:szCs w:val="20"/>
        </w:rPr>
      </w:pPr>
      <w:r>
        <w:rPr>
          <w:rFonts w:ascii="Arial" w:eastAsia="Arial" w:hAnsi="Arial" w:cs="Arial"/>
          <w:spacing w:val="3"/>
          <w:sz w:val="20"/>
          <w:szCs w:val="20"/>
        </w:rPr>
        <w:t xml:space="preserve">10.1.2    </w:t>
      </w:r>
      <w:r>
        <w:rPr>
          <w:spacing w:val="3"/>
          <w:sz w:val="20"/>
          <w:szCs w:val="20"/>
        </w:rPr>
        <w:t>包装储运图示标志应符合</w:t>
      </w:r>
      <w:r>
        <w:rPr>
          <w:sz w:val="20"/>
          <w:szCs w:val="20"/>
        </w:rPr>
        <w:t>GB</w:t>
      </w:r>
      <w:r>
        <w:rPr>
          <w:spacing w:val="3"/>
          <w:sz w:val="20"/>
          <w:szCs w:val="20"/>
        </w:rPr>
        <w:t>/T  191</w:t>
      </w:r>
      <w:r>
        <w:rPr>
          <w:spacing w:val="-3"/>
          <w:sz w:val="20"/>
          <w:szCs w:val="20"/>
        </w:rPr>
        <w:t xml:space="preserve"> </w:t>
      </w:r>
      <w:r>
        <w:rPr>
          <w:spacing w:val="3"/>
          <w:sz w:val="20"/>
          <w:szCs w:val="20"/>
        </w:rPr>
        <w:t>的规定。</w:t>
      </w:r>
    </w:p>
    <w:p>
      <w:pPr>
        <w:spacing w:before="215" w:line="224" w:lineRule="auto"/>
        <w:ind w:left="10"/>
        <w:rPr>
          <w:rFonts w:ascii="SimHei" w:eastAsia="SimHei" w:hAnsi="SimHei" w:cs="SimHei"/>
          <w:sz w:val="20"/>
          <w:szCs w:val="20"/>
        </w:rPr>
      </w:pPr>
      <w:r>
        <w:rPr>
          <w:rFonts w:ascii="SimHei" w:eastAsia="SimHei" w:hAnsi="SimHei" w:cs="SimHei"/>
          <w:spacing w:val="2"/>
          <w:sz w:val="20"/>
          <w:szCs w:val="20"/>
        </w:rPr>
        <w:t>10.2</w:t>
      </w:r>
      <w:r>
        <w:rPr>
          <w:rFonts w:ascii="SimHei" w:eastAsia="SimHei" w:hAnsi="SimHei" w:cs="SimHei"/>
          <w:spacing w:val="15"/>
          <w:sz w:val="20"/>
          <w:szCs w:val="20"/>
        </w:rPr>
        <w:t xml:space="preserve">  </w:t>
      </w:r>
      <w:r>
        <w:rPr>
          <w:rFonts w:ascii="SimHei" w:eastAsia="SimHei" w:hAnsi="SimHei" w:cs="SimHei"/>
          <w:spacing w:val="2"/>
          <w:sz w:val="20"/>
          <w:szCs w:val="20"/>
        </w:rPr>
        <w:t>包装</w:t>
      </w:r>
    </w:p>
    <w:p>
      <w:pPr>
        <w:pStyle w:val="BodyText"/>
        <w:spacing w:before="235" w:line="219" w:lineRule="auto"/>
        <w:ind w:left="10"/>
        <w:rPr>
          <w:sz w:val="20"/>
          <w:szCs w:val="20"/>
        </w:rPr>
      </w:pPr>
      <w:r>
        <w:rPr>
          <w:spacing w:val="6"/>
          <w:sz w:val="20"/>
          <w:szCs w:val="20"/>
        </w:rPr>
        <w:t>10.2.1  糖浆产品：包装容器应整洁、卫生、无破损。</w:t>
      </w:r>
    </w:p>
    <w:p>
      <w:pPr>
        <w:pStyle w:val="BodyText"/>
        <w:spacing w:before="233" w:line="252" w:lineRule="auto"/>
        <w:ind w:right="13" w:firstLine="20"/>
        <w:rPr>
          <w:sz w:val="20"/>
          <w:szCs w:val="20"/>
        </w:rPr>
      </w:pPr>
      <w:r>
        <w:rPr>
          <w:spacing w:val="7"/>
          <w:sz w:val="20"/>
          <w:szCs w:val="20"/>
        </w:rPr>
        <w:t>10.2.2  糖粉产品：内包装采用聚乙烯塑料</w:t>
      </w:r>
      <w:r>
        <w:rPr>
          <w:spacing w:val="6"/>
          <w:sz w:val="20"/>
          <w:szCs w:val="20"/>
        </w:rPr>
        <w:t>或铝箔材质，以及其他符合食品要求的包装材料；外包装采</w:t>
      </w:r>
      <w:r>
        <w:rPr>
          <w:sz w:val="20"/>
          <w:szCs w:val="20"/>
        </w:rPr>
        <w:t xml:space="preserve"> </w:t>
      </w:r>
      <w:r>
        <w:rPr>
          <w:spacing w:val="8"/>
          <w:sz w:val="20"/>
          <w:szCs w:val="20"/>
        </w:rPr>
        <w:t>用纸塑复合袋或纸板桶，包装应袋质结实，标签</w:t>
      </w:r>
      <w:r>
        <w:rPr>
          <w:spacing w:val="7"/>
          <w:sz w:val="20"/>
          <w:szCs w:val="20"/>
        </w:rPr>
        <w:t>清晰整洁，袋口密封，能保证在装卸、运输和贮存过程</w:t>
      </w:r>
    </w:p>
    <w:p>
      <w:pPr>
        <w:pStyle w:val="BodyText"/>
        <w:spacing w:before="84" w:line="219" w:lineRule="auto"/>
        <w:ind w:left="30"/>
        <w:rPr>
          <w:sz w:val="20"/>
          <w:szCs w:val="20"/>
        </w:rPr>
      </w:pPr>
      <w:r>
        <w:rPr>
          <w:spacing w:val="6"/>
          <w:sz w:val="20"/>
          <w:szCs w:val="20"/>
        </w:rPr>
        <w:t>中无破露现象。或根据客户要求选择包装。</w:t>
      </w:r>
    </w:p>
    <w:p>
      <w:pPr>
        <w:spacing w:before="221" w:line="222" w:lineRule="auto"/>
        <w:ind w:left="30"/>
        <w:rPr>
          <w:rFonts w:ascii="SimHei" w:eastAsia="SimHei" w:hAnsi="SimHei" w:cs="SimHei"/>
          <w:sz w:val="20"/>
          <w:szCs w:val="20"/>
        </w:rPr>
      </w:pPr>
      <w:r>
        <w:rPr>
          <w:rFonts w:ascii="SimHei" w:eastAsia="SimHei" w:hAnsi="SimHei" w:cs="SimHei"/>
          <w:spacing w:val="1"/>
          <w:sz w:val="20"/>
          <w:szCs w:val="20"/>
        </w:rPr>
        <w:t>10.3</w:t>
      </w:r>
      <w:r>
        <w:rPr>
          <w:rFonts w:ascii="SimHei" w:eastAsia="SimHei" w:hAnsi="SimHei" w:cs="SimHei"/>
          <w:spacing w:val="99"/>
          <w:sz w:val="20"/>
          <w:szCs w:val="20"/>
        </w:rPr>
        <w:t xml:space="preserve"> </w:t>
      </w:r>
      <w:r>
        <w:rPr>
          <w:rFonts w:ascii="SimHei" w:eastAsia="SimHei" w:hAnsi="SimHei" w:cs="SimHei"/>
          <w:spacing w:val="1"/>
          <w:sz w:val="20"/>
          <w:szCs w:val="20"/>
        </w:rPr>
        <w:t>运输</w:t>
      </w:r>
    </w:p>
    <w:p>
      <w:pPr>
        <w:pStyle w:val="BodyText"/>
        <w:spacing w:before="250" w:line="244" w:lineRule="auto"/>
        <w:ind w:left="20" w:right="3" w:hanging="10"/>
        <w:rPr>
          <w:sz w:val="20"/>
          <w:szCs w:val="20"/>
        </w:rPr>
      </w:pPr>
      <w:r>
        <w:rPr>
          <w:spacing w:val="7"/>
          <w:sz w:val="20"/>
          <w:szCs w:val="20"/>
        </w:rPr>
        <w:t>10.3.1  产品运输工具应清洁无污染，运输产品时应避免日晒、雨淋，不得与有毒、有害</w:t>
      </w:r>
      <w:r>
        <w:rPr>
          <w:spacing w:val="6"/>
          <w:sz w:val="20"/>
          <w:szCs w:val="20"/>
        </w:rPr>
        <w:t>、有异味或影</w:t>
      </w:r>
      <w:r>
        <w:rPr>
          <w:sz w:val="20"/>
          <w:szCs w:val="20"/>
        </w:rPr>
        <w:t xml:space="preserve"> </w:t>
      </w:r>
      <w:r>
        <w:rPr>
          <w:spacing w:val="6"/>
          <w:sz w:val="20"/>
          <w:szCs w:val="20"/>
        </w:rPr>
        <w:t>响产品质量的物品混装混运。</w:t>
      </w:r>
    </w:p>
    <w:p>
      <w:pPr>
        <w:pStyle w:val="BodyText"/>
        <w:spacing w:before="232" w:line="219" w:lineRule="auto"/>
        <w:ind w:left="20"/>
        <w:rPr>
          <w:sz w:val="20"/>
          <w:szCs w:val="20"/>
        </w:rPr>
      </w:pPr>
      <w:r>
        <w:rPr>
          <w:spacing w:val="7"/>
          <w:sz w:val="20"/>
          <w:szCs w:val="20"/>
        </w:rPr>
        <w:t>10.3.2  搬运时应轻拿轻放，严禁扔摔</w:t>
      </w:r>
      <w:r>
        <w:rPr>
          <w:spacing w:val="6"/>
          <w:sz w:val="20"/>
          <w:szCs w:val="20"/>
        </w:rPr>
        <w:t>、撞击、挤压。</w:t>
      </w:r>
    </w:p>
    <w:p>
      <w:pPr>
        <w:spacing w:before="231" w:line="221" w:lineRule="auto"/>
        <w:ind w:left="20"/>
        <w:rPr>
          <w:rFonts w:ascii="SimHei" w:eastAsia="SimHei" w:hAnsi="SimHei" w:cs="SimHei"/>
          <w:sz w:val="20"/>
          <w:szCs w:val="20"/>
        </w:rPr>
      </w:pPr>
      <w:r>
        <w:rPr>
          <w:rFonts w:ascii="SimHei" w:eastAsia="SimHei" w:hAnsi="SimHei" w:cs="SimHei"/>
          <w:spacing w:val="2"/>
          <w:sz w:val="20"/>
          <w:szCs w:val="20"/>
        </w:rPr>
        <w:t>10.4</w:t>
      </w:r>
      <w:r>
        <w:rPr>
          <w:rFonts w:ascii="SimHei" w:eastAsia="SimHei" w:hAnsi="SimHei" w:cs="SimHei"/>
          <w:spacing w:val="2"/>
          <w:sz w:val="20"/>
          <w:szCs w:val="20"/>
        </w:rPr>
        <w:t xml:space="preserve">  </w:t>
      </w:r>
      <w:r>
        <w:rPr>
          <w:rFonts w:ascii="SimHei" w:eastAsia="SimHei" w:hAnsi="SimHei" w:cs="SimHei"/>
          <w:spacing w:val="2"/>
          <w:sz w:val="20"/>
          <w:szCs w:val="20"/>
        </w:rPr>
        <w:t>贮存</w:t>
      </w:r>
    </w:p>
    <w:p>
      <w:pPr>
        <w:pStyle w:val="BodyText"/>
        <w:spacing w:before="231" w:line="218" w:lineRule="auto"/>
        <w:ind w:left="10"/>
        <w:rPr>
          <w:sz w:val="20"/>
          <w:szCs w:val="20"/>
        </w:rPr>
      </w:pPr>
      <w:r>
        <w:rPr>
          <w:spacing w:val="8"/>
          <w:sz w:val="20"/>
          <w:szCs w:val="20"/>
        </w:rPr>
        <w:t>10.4.1  产品应贮存在通风、干燥、清洁的仓库内，严防暴晒、雨淋，严禁火种。</w:t>
      </w:r>
    </w:p>
    <w:p>
      <w:pPr>
        <w:pStyle w:val="BodyText"/>
        <w:spacing w:before="226" w:line="219" w:lineRule="auto"/>
        <w:ind w:left="10"/>
        <w:rPr>
          <w:sz w:val="20"/>
          <w:szCs w:val="20"/>
        </w:rPr>
      </w:pPr>
      <w:r>
        <w:rPr>
          <w:spacing w:val="7"/>
          <w:sz w:val="20"/>
          <w:szCs w:val="20"/>
        </w:rPr>
        <w:t>10.4.2  不得与有毒、有害、有腐蚀性和含有异味的物品放在一起。</w:t>
      </w:r>
    </w:p>
    <w:p>
      <w:pPr>
        <w:spacing w:line="219" w:lineRule="auto"/>
        <w:rPr>
          <w:sz w:val="20"/>
          <w:szCs w:val="20"/>
        </w:rPr>
        <w:sectPr>
          <w:headerReference w:type="default" r:id="rId31"/>
          <w:footerReference w:type="default" r:id="rId32"/>
          <w:pgSz w:w="11910" w:h="16840"/>
          <w:pgMar w:top="400" w:right="1148" w:bottom="1287" w:left="1410" w:header="0" w:footer="1149" w:gutter="0"/>
          <w:pgNumType w:start="11"/>
          <w:cols w:space="708"/>
        </w:sectPr>
      </w:pPr>
    </w:p>
    <w:p>
      <w:pPr>
        <w:spacing w:before="22"/>
      </w:pPr>
    </w:p>
    <w:p>
      <w:pPr>
        <w:sectPr>
          <w:headerReference w:type="default" r:id="rId33"/>
          <w:footerReference w:type="default" r:id="rId34"/>
          <w:pgSz w:w="11907" w:h="16839"/>
          <w:pgMar w:top="1658" w:right="1133" w:bottom="1311" w:left="1420" w:header="1448" w:footer="1134" w:gutter="0"/>
          <w:pgNumType w:start="12"/>
          <w:cols w:num="1" w:space="708" w:equalWidth="0">
            <w:col w:w="9353" w:space="0"/>
          </w:cols>
        </w:sectPr>
      </w:pPr>
    </w:p>
    <w:p>
      <w:pPr>
        <w:spacing w:before="2" w:line="184" w:lineRule="auto"/>
        <w:ind w:left="4674"/>
        <w:rPr>
          <w:rFonts w:ascii="SimHei" w:eastAsia="SimHei" w:hAnsi="SimHei" w:cs="SimHei"/>
          <w:sz w:val="2"/>
          <w:szCs w:val="2"/>
        </w:rPr>
      </w:pPr>
      <w:r>
        <w:rPr>
          <w:rFonts w:ascii="SimHei" w:eastAsia="SimHei" w:hAnsi="SimHei" w:cs="SimHei"/>
          <w:sz w:val="2"/>
          <w:szCs w:val="2"/>
        </w:rPr>
        <w:t>A</w:t>
      </w:r>
    </w:p>
    <w:p>
      <w:pPr>
        <w:spacing w:line="14" w:lineRule="auto"/>
        <w:rPr>
          <w:rFonts w:ascii="Arial"/>
          <w:sz w:val="2"/>
        </w:rPr>
      </w:pPr>
      <w:r>
        <w:rPr>
          <w:rFonts w:ascii="Arial" w:eastAsia="Arial" w:hAnsi="Arial" w:cs="Arial"/>
          <w:sz w:val="2"/>
          <w:szCs w:val="2"/>
        </w:rPr>
        <w:br w:type="column"/>
      </w:r>
    </w:p>
    <w:p>
      <w:pPr>
        <w:pStyle w:val="BodyText"/>
        <w:spacing w:before="14" w:line="14" w:lineRule="exact"/>
        <w:rPr>
          <w:sz w:val="2"/>
          <w:szCs w:val="2"/>
        </w:rPr>
      </w:pPr>
      <w:r>
        <w:rPr>
          <w:sz w:val="2"/>
          <w:szCs w:val="2"/>
        </w:rPr>
        <w:t>A</w:t>
      </w:r>
    </w:p>
    <w:p>
      <w:pPr>
        <w:spacing w:line="14" w:lineRule="exact"/>
        <w:rPr>
          <w:sz w:val="2"/>
          <w:szCs w:val="2"/>
        </w:rPr>
        <w:sectPr>
          <w:headerReference w:type="default" r:id="rId35"/>
          <w:footerReference w:type="default" r:id="rId36"/>
          <w:type w:val="continuous"/>
          <w:pgSz w:w="11907" w:h="16839"/>
          <w:pgMar w:top="1658" w:right="1133" w:bottom="1311" w:left="1420" w:header="1448" w:footer="1134" w:gutter="0"/>
          <w:pgNumType w:start="13"/>
          <w:cols w:num="2" w:space="708" w:equalWidth="0">
            <w:col w:w="4781" w:space="100"/>
            <w:col w:w="4473" w:space="0"/>
          </w:cols>
        </w:sectPr>
      </w:pPr>
    </w:p>
    <w:p>
      <w:pPr>
        <w:spacing w:line="271" w:lineRule="auto"/>
        <w:rPr>
          <w:rFonts w:ascii="Arial"/>
          <w:sz w:val="21"/>
        </w:rPr>
      </w:pPr>
    </w:p>
    <w:p>
      <w:pPr>
        <w:spacing w:line="272" w:lineRule="auto"/>
        <w:rPr>
          <w:rFonts w:ascii="Arial"/>
          <w:sz w:val="21"/>
        </w:rPr>
      </w:pPr>
    </w:p>
    <w:p>
      <w:pPr>
        <w:spacing w:before="68" w:line="247" w:lineRule="auto"/>
        <w:ind w:left="6865" w:right="1480" w:firstLine="9"/>
        <w:rPr>
          <w:rFonts w:ascii="SimHei" w:eastAsia="SimHei" w:hAnsi="SimHei" w:cs="SimHei"/>
          <w:sz w:val="21"/>
          <w:szCs w:val="21"/>
        </w:rPr>
      </w:pPr>
      <w:r>
        <w:rPr>
          <w:rFonts w:ascii="SimHei" w:eastAsia="SimHei" w:hAnsi="SimHei" w:cs="SimHei"/>
          <w:spacing w:val="-8"/>
          <w:sz w:val="21"/>
          <w:szCs w:val="21"/>
        </w:rPr>
        <w:t>附</w:t>
      </w:r>
      <w:r>
        <w:rPr>
          <w:rFonts w:ascii="SimHei" w:eastAsia="SimHei" w:hAnsi="SimHei" w:cs="SimHei"/>
          <w:sz w:val="21"/>
          <w:szCs w:val="21"/>
        </w:rPr>
        <w:t xml:space="preserve">  </w:t>
      </w:r>
      <w:r>
        <w:rPr>
          <w:rFonts w:ascii="SimHei" w:eastAsia="SimHei" w:hAnsi="SimHei" w:cs="SimHei"/>
          <w:spacing w:val="-8"/>
          <w:sz w:val="21"/>
          <w:szCs w:val="21"/>
        </w:rPr>
        <w:t>录</w:t>
      </w:r>
      <w:r>
        <w:rPr>
          <w:rFonts w:ascii="SimHei" w:eastAsia="SimHei" w:hAnsi="SimHei" w:cs="SimHei"/>
          <w:spacing w:val="-8"/>
          <w:sz w:val="21"/>
          <w:szCs w:val="21"/>
        </w:rPr>
        <w:t xml:space="preserve">  </w:t>
      </w:r>
      <w:r>
        <w:rPr>
          <w:rFonts w:ascii="SimHei" w:eastAsia="SimHei" w:hAnsi="SimHei" w:cs="SimHei"/>
          <w:spacing w:val="-8"/>
          <w:sz w:val="21"/>
          <w:szCs w:val="21"/>
        </w:rPr>
        <w:t>A</w:t>
      </w:r>
      <w:r>
        <w:rPr>
          <w:rFonts w:ascii="SimHei" w:eastAsia="SimHei" w:hAnsi="SimHei" w:cs="SimHei"/>
          <w:sz w:val="21"/>
          <w:szCs w:val="21"/>
        </w:rPr>
        <w:t xml:space="preserve">  </w:t>
      </w:r>
      <w:r>
        <w:rPr>
          <w:rFonts w:ascii="SimHei" w:eastAsia="SimHei" w:hAnsi="SimHei" w:cs="SimHei"/>
          <w:spacing w:val="-9"/>
          <w:sz w:val="21"/>
          <w:szCs w:val="21"/>
        </w:rPr>
        <w:t>（规范性）</w:t>
      </w:r>
    </w:p>
    <w:p>
      <w:pPr>
        <w:spacing w:before="62" w:line="247" w:lineRule="auto"/>
        <w:ind w:left="7272" w:right="94" w:hanging="1788"/>
        <w:rPr>
          <w:rFonts w:ascii="SimHei" w:eastAsia="SimHei" w:hAnsi="SimHei" w:cs="SimHei"/>
          <w:sz w:val="21"/>
          <w:szCs w:val="21"/>
        </w:rPr>
      </w:pPr>
      <w:r>
        <w:rPr>
          <w:rFonts w:ascii="SimHei" w:eastAsia="SimHei" w:hAnsi="SimHei" w:cs="SimHei"/>
          <w:spacing w:val="-1"/>
          <w:sz w:val="21"/>
          <w:szCs w:val="21"/>
        </w:rPr>
        <w:t>低聚木糖含量的测定方法—高效液相色谱</w:t>
      </w:r>
      <w:r>
        <w:rPr>
          <w:rFonts w:ascii="SimHei" w:eastAsia="SimHei" w:hAnsi="SimHei" w:cs="SimHei"/>
          <w:spacing w:val="9"/>
          <w:sz w:val="21"/>
          <w:szCs w:val="21"/>
        </w:rPr>
        <w:t xml:space="preserve"> </w:t>
      </w:r>
      <w:r>
        <w:rPr>
          <w:rFonts w:ascii="SimHei" w:eastAsia="SimHei" w:hAnsi="SimHei" w:cs="SimHei"/>
          <w:sz w:val="21"/>
          <w:szCs w:val="21"/>
        </w:rPr>
        <w:t>法</w:t>
      </w:r>
    </w:p>
    <w:p>
      <w:pPr>
        <w:spacing w:before="218" w:line="220" w:lineRule="auto"/>
        <w:rPr>
          <w:rFonts w:ascii="SimHei" w:eastAsia="SimHei" w:hAnsi="SimHei" w:cs="SimHei"/>
          <w:sz w:val="21"/>
          <w:szCs w:val="21"/>
        </w:rPr>
      </w:pPr>
      <w:r>
        <w:rPr>
          <w:rFonts w:ascii="SimHei" w:eastAsia="SimHei" w:hAnsi="SimHei" w:cs="SimHei"/>
          <w:spacing w:val="-2"/>
          <w:sz w:val="21"/>
          <w:szCs w:val="21"/>
        </w:rPr>
        <w:t>A.1</w:t>
      </w:r>
      <w:r>
        <w:rPr>
          <w:rFonts w:ascii="SimHei" w:eastAsia="SimHei" w:hAnsi="SimHei" w:cs="SimHei"/>
          <w:spacing w:val="6"/>
          <w:sz w:val="21"/>
          <w:szCs w:val="21"/>
        </w:rPr>
        <w:t xml:space="preserve">  </w:t>
      </w:r>
      <w:r>
        <w:rPr>
          <w:rFonts w:ascii="SimHei" w:eastAsia="SimHei" w:hAnsi="SimHei" w:cs="SimHei"/>
          <w:spacing w:val="-2"/>
          <w:sz w:val="21"/>
          <w:szCs w:val="21"/>
        </w:rPr>
        <w:t>范围</w:t>
      </w:r>
    </w:p>
    <w:p>
      <w:pPr>
        <w:pStyle w:val="BodyText"/>
        <w:spacing w:before="217" w:line="468" w:lineRule="exact"/>
        <w:ind w:left="426"/>
      </w:pPr>
      <w:r>
        <w:rPr>
          <w:spacing w:val="-1"/>
          <w:position w:val="19"/>
        </w:rPr>
        <w:t>本方法规定了低聚木糖含量的测定方法—高效液相色谱法</w:t>
      </w:r>
    </w:p>
    <w:p>
      <w:pPr>
        <w:spacing w:line="220" w:lineRule="auto"/>
        <w:rPr>
          <w:rFonts w:ascii="SimHei" w:eastAsia="SimHei" w:hAnsi="SimHei" w:cs="SimHei"/>
          <w:sz w:val="21"/>
          <w:szCs w:val="21"/>
        </w:rPr>
      </w:pPr>
      <w:r>
        <w:rPr>
          <w:rFonts w:ascii="SimHei" w:eastAsia="SimHei" w:hAnsi="SimHei" w:cs="SimHei"/>
          <w:spacing w:val="-2"/>
          <w:sz w:val="21"/>
          <w:szCs w:val="21"/>
        </w:rPr>
        <w:t>A.2</w:t>
      </w:r>
      <w:r>
        <w:rPr>
          <w:rFonts w:ascii="SimHei" w:eastAsia="SimHei" w:hAnsi="SimHei" w:cs="SimHei"/>
          <w:spacing w:val="5"/>
          <w:sz w:val="21"/>
          <w:szCs w:val="21"/>
        </w:rPr>
        <w:t xml:space="preserve">  </w:t>
      </w:r>
      <w:r>
        <w:rPr>
          <w:rFonts w:ascii="SimHei" w:eastAsia="SimHei" w:hAnsi="SimHei" w:cs="SimHei"/>
          <w:spacing w:val="-2"/>
          <w:sz w:val="21"/>
          <w:szCs w:val="21"/>
        </w:rPr>
        <w:t>原理</w:t>
      </w:r>
    </w:p>
    <w:p>
      <w:pPr>
        <w:pStyle w:val="BodyText"/>
        <w:spacing w:before="220" w:line="260" w:lineRule="auto"/>
        <w:ind w:left="6" w:firstLine="439"/>
        <w:jc w:val="both"/>
      </w:pPr>
      <w:r>
        <w:rPr>
          <w:spacing w:val="-6"/>
        </w:rPr>
        <w:t>同一时刻进入色谱柱的各组分，</w:t>
      </w:r>
      <w:r>
        <w:rPr>
          <w:spacing w:val="48"/>
        </w:rPr>
        <w:t xml:space="preserve"> </w:t>
      </w:r>
      <w:r>
        <w:rPr>
          <w:spacing w:val="-6"/>
        </w:rPr>
        <w:t>由于在流动相和固</w:t>
      </w:r>
      <w:r>
        <w:rPr>
          <w:spacing w:val="-7"/>
        </w:rPr>
        <w:t>定相之间溶解、吸附、渗透或离子交换等作用的</w:t>
      </w:r>
      <w:r>
        <w:t xml:space="preserve"> </w:t>
      </w:r>
      <w:r>
        <w:rPr>
          <w:spacing w:val="-12"/>
        </w:rPr>
        <w:t>不</w:t>
      </w:r>
      <w:r>
        <w:rPr>
          <w:spacing w:val="-11"/>
        </w:rPr>
        <w:t>同， 随流动相在色谱柱两相之间进行反复多次的分配，</w:t>
      </w:r>
      <w:r>
        <w:rPr>
          <w:spacing w:val="59"/>
        </w:rPr>
        <w:t xml:space="preserve"> </w:t>
      </w:r>
      <w:r>
        <w:rPr>
          <w:spacing w:val="-11"/>
        </w:rPr>
        <w:t>由于各组分在色谱柱中的移动速度不同，</w:t>
      </w:r>
      <w:r>
        <w:rPr>
          <w:spacing w:val="24"/>
        </w:rPr>
        <w:t xml:space="preserve"> </w:t>
      </w:r>
      <w:r>
        <w:rPr>
          <w:spacing w:val="-11"/>
        </w:rPr>
        <w:t>经</w:t>
      </w:r>
      <w:r>
        <w:rPr>
          <w:spacing w:val="-10"/>
        </w:rPr>
        <w:t>过</w:t>
      </w:r>
      <w:r>
        <w:t xml:space="preserve"> </w:t>
      </w:r>
      <w:r>
        <w:rPr>
          <w:spacing w:val="-14"/>
        </w:rPr>
        <w:t>一定长度的色谱柱后，</w:t>
      </w:r>
      <w:r>
        <w:rPr>
          <w:spacing w:val="32"/>
        </w:rPr>
        <w:t xml:space="preserve"> </w:t>
      </w:r>
      <w:r>
        <w:rPr>
          <w:spacing w:val="-14"/>
        </w:rPr>
        <w:t>彼此分离开，</w:t>
      </w:r>
      <w:r>
        <w:rPr>
          <w:spacing w:val="33"/>
        </w:rPr>
        <w:t xml:space="preserve"> </w:t>
      </w:r>
      <w:r>
        <w:rPr>
          <w:spacing w:val="-14"/>
        </w:rPr>
        <w:t>按顺序流出色谱柱</w:t>
      </w:r>
      <w:r>
        <w:rPr>
          <w:spacing w:val="-15"/>
        </w:rPr>
        <w:t>，</w:t>
      </w:r>
      <w:r>
        <w:rPr>
          <w:spacing w:val="29"/>
        </w:rPr>
        <w:t xml:space="preserve"> </w:t>
      </w:r>
      <w:r>
        <w:rPr>
          <w:spacing w:val="-15"/>
        </w:rPr>
        <w:t>进入信号检测器，</w:t>
      </w:r>
      <w:r>
        <w:rPr>
          <w:spacing w:val="31"/>
        </w:rPr>
        <w:t xml:space="preserve"> </w:t>
      </w:r>
      <w:r>
        <w:rPr>
          <w:spacing w:val="-15"/>
        </w:rPr>
        <w:t>在记录仪上或数据装置上显</w:t>
      </w:r>
      <w:r>
        <w:t xml:space="preserve"> </w:t>
      </w:r>
      <w:r>
        <w:rPr>
          <w:spacing w:val="-4"/>
        </w:rPr>
        <w:t>示出各组分的谱峰数值，根据保留时间对照</w:t>
      </w:r>
      <w:r>
        <w:rPr>
          <w:spacing w:val="-5"/>
        </w:rPr>
        <w:t>定性，</w:t>
      </w:r>
      <w:r>
        <w:rPr>
          <w:spacing w:val="58"/>
        </w:rPr>
        <w:t xml:space="preserve"> </w:t>
      </w:r>
      <w:r>
        <w:rPr>
          <w:spacing w:val="-5"/>
        </w:rPr>
        <w:t>依据峰面积以木糖为参考计算各种糖组分的含量。</w:t>
      </w:r>
    </w:p>
    <w:p>
      <w:pPr>
        <w:spacing w:before="219" w:line="218" w:lineRule="auto"/>
        <w:rPr>
          <w:rFonts w:ascii="SimHei" w:eastAsia="SimHei" w:hAnsi="SimHei" w:cs="SimHei"/>
          <w:sz w:val="21"/>
          <w:szCs w:val="21"/>
        </w:rPr>
      </w:pPr>
      <w:r>
        <w:rPr>
          <w:rFonts w:ascii="SimHei" w:eastAsia="SimHei" w:hAnsi="SimHei" w:cs="SimHei"/>
          <w:sz w:val="21"/>
          <w:szCs w:val="21"/>
        </w:rPr>
        <w:t>A.3</w:t>
      </w:r>
      <w:r>
        <w:rPr>
          <w:rFonts w:ascii="SimHei" w:eastAsia="SimHei" w:hAnsi="SimHei" w:cs="SimHei"/>
          <w:sz w:val="21"/>
          <w:szCs w:val="21"/>
        </w:rPr>
        <w:t xml:space="preserve">  </w:t>
      </w:r>
      <w:r>
        <w:rPr>
          <w:rFonts w:ascii="SimHei" w:eastAsia="SimHei" w:hAnsi="SimHei" w:cs="SimHei"/>
          <w:sz w:val="21"/>
          <w:szCs w:val="21"/>
        </w:rPr>
        <w:t>试剂和材料</w:t>
      </w:r>
    </w:p>
    <w:p>
      <w:pPr>
        <w:pStyle w:val="BodyText"/>
        <w:spacing w:before="220" w:line="468" w:lineRule="exact"/>
        <w:ind w:right="34"/>
        <w:jc w:val="right"/>
      </w:pPr>
      <w:r>
        <w:rPr>
          <w:spacing w:val="-1"/>
          <w:position w:val="19"/>
        </w:rPr>
        <w:t>本试验方法中，所有试剂除特殊注明外均为分析纯，用水应符合GB/T 6682规定的一级水的规格。</w:t>
      </w:r>
    </w:p>
    <w:p>
      <w:pPr>
        <w:spacing w:line="218" w:lineRule="auto"/>
        <w:rPr>
          <w:rFonts w:ascii="SimHei" w:eastAsia="SimHei" w:hAnsi="SimHei" w:cs="SimHei"/>
          <w:sz w:val="21"/>
          <w:szCs w:val="21"/>
        </w:rPr>
      </w:pPr>
      <w:r>
        <w:rPr>
          <w:rFonts w:ascii="SimHei" w:eastAsia="SimHei" w:hAnsi="SimHei" w:cs="SimHei"/>
          <w:spacing w:val="-2"/>
          <w:sz w:val="21"/>
          <w:szCs w:val="21"/>
        </w:rPr>
        <w:t>A.3.1</w:t>
      </w:r>
      <w:r>
        <w:rPr>
          <w:rFonts w:ascii="SimHei" w:eastAsia="SimHei" w:hAnsi="SimHei" w:cs="SimHei"/>
          <w:spacing w:val="8"/>
          <w:sz w:val="21"/>
          <w:szCs w:val="21"/>
        </w:rPr>
        <w:t xml:space="preserve">  </w:t>
      </w:r>
      <w:r>
        <w:rPr>
          <w:rFonts w:ascii="SimHei" w:eastAsia="SimHei" w:hAnsi="SimHei" w:cs="SimHei"/>
          <w:spacing w:val="-2"/>
          <w:sz w:val="21"/>
          <w:szCs w:val="21"/>
        </w:rPr>
        <w:t>试剂</w:t>
      </w:r>
    </w:p>
    <w:p>
      <w:pPr>
        <w:pStyle w:val="BodyText"/>
        <w:spacing w:before="220" w:line="468" w:lineRule="exact"/>
      </w:pPr>
      <w:r>
        <w:rPr>
          <w:rFonts w:ascii="SimHei" w:eastAsia="SimHei" w:hAnsi="SimHei" w:cs="SimHei"/>
          <w:spacing w:val="-4"/>
          <w:position w:val="19"/>
        </w:rPr>
        <w:t>A.3.1.1</w:t>
      </w:r>
      <w:r>
        <w:rPr>
          <w:rFonts w:ascii="SimHei" w:eastAsia="SimHei" w:hAnsi="SimHei" w:cs="SimHei"/>
          <w:spacing w:val="-4"/>
          <w:position w:val="19"/>
        </w:rPr>
        <w:t xml:space="preserve">  </w:t>
      </w:r>
      <w:r>
        <w:rPr>
          <w:spacing w:val="-4"/>
          <w:position w:val="19"/>
        </w:rPr>
        <w:t>复合葡糖淀粉酶：</w:t>
      </w:r>
      <w:r>
        <w:rPr>
          <w:spacing w:val="31"/>
          <w:position w:val="19"/>
        </w:rPr>
        <w:t xml:space="preserve">  </w:t>
      </w:r>
      <w:r>
        <w:rPr>
          <w:spacing w:val="-4"/>
          <w:position w:val="19"/>
        </w:rPr>
        <w:t>糖化酶活力≥10</w:t>
      </w:r>
      <w:r>
        <w:rPr>
          <w:spacing w:val="-38"/>
          <w:position w:val="19"/>
        </w:rPr>
        <w:t xml:space="preserve"> </w:t>
      </w:r>
      <w:r>
        <w:rPr>
          <w:spacing w:val="-4"/>
          <w:position w:val="19"/>
        </w:rPr>
        <w:t>万</w:t>
      </w:r>
      <w:r>
        <w:rPr>
          <w:spacing w:val="-49"/>
          <w:position w:val="19"/>
        </w:rPr>
        <w:t xml:space="preserve"> </w:t>
      </w:r>
      <w:r>
        <w:rPr>
          <w:spacing w:val="-4"/>
          <w:position w:val="19"/>
        </w:rPr>
        <w:t>U/ml，普鲁兰酶活力≥1000U/ml。</w:t>
      </w:r>
    </w:p>
    <w:p>
      <w:pPr>
        <w:spacing w:line="218" w:lineRule="auto"/>
        <w:rPr>
          <w:rFonts w:ascii="SimHei" w:eastAsia="SimHei" w:hAnsi="SimHei" w:cs="SimHei"/>
          <w:sz w:val="21"/>
          <w:szCs w:val="21"/>
        </w:rPr>
      </w:pPr>
      <w:r>
        <w:rPr>
          <w:rFonts w:ascii="SimHei" w:eastAsia="SimHei" w:hAnsi="SimHei" w:cs="SimHei"/>
          <w:strike/>
          <w:spacing w:val="-1"/>
          <w:sz w:val="21"/>
          <w:szCs w:val="21"/>
        </w:rPr>
        <w:t>A</w:t>
      </w:r>
      <w:r>
        <w:rPr>
          <w:rFonts w:ascii="SimHei" w:eastAsia="SimHei" w:hAnsi="SimHei" w:cs="SimHei"/>
          <w:spacing w:val="-1"/>
          <w:sz w:val="21"/>
          <w:szCs w:val="21"/>
        </w:rPr>
        <w:t>.</w:t>
      </w:r>
      <w:r>
        <w:rPr>
          <w:rFonts w:ascii="SimHei" w:eastAsia="SimHei" w:hAnsi="SimHei" w:cs="SimHei"/>
          <w:strike/>
          <w:spacing w:val="-1"/>
          <w:sz w:val="21"/>
          <w:szCs w:val="21"/>
        </w:rPr>
        <w:t>3</w:t>
      </w:r>
      <w:r>
        <w:rPr>
          <w:rFonts w:ascii="SimHei" w:eastAsia="SimHei" w:hAnsi="SimHei" w:cs="SimHei"/>
          <w:spacing w:val="-1"/>
          <w:sz w:val="21"/>
          <w:szCs w:val="21"/>
        </w:rPr>
        <w:t>.</w:t>
      </w:r>
      <w:r>
        <w:rPr>
          <w:rFonts w:ascii="SimHei" w:eastAsia="SimHei" w:hAnsi="SimHei" w:cs="SimHei"/>
          <w:strike/>
          <w:spacing w:val="-1"/>
          <w:sz w:val="21"/>
          <w:szCs w:val="21"/>
        </w:rPr>
        <w:t>1</w:t>
      </w:r>
      <w:r>
        <w:rPr>
          <w:rFonts w:ascii="SimHei" w:eastAsia="SimHei" w:hAnsi="SimHei" w:cs="SimHei"/>
          <w:spacing w:val="-1"/>
          <w:sz w:val="21"/>
          <w:szCs w:val="21"/>
        </w:rPr>
        <w:t>.</w:t>
      </w:r>
      <w:r>
        <w:rPr>
          <w:rFonts w:ascii="SimHei" w:eastAsia="SimHei" w:hAnsi="SimHei" w:cs="SimHei"/>
          <w:strike/>
          <w:spacing w:val="-1"/>
          <w:sz w:val="21"/>
          <w:szCs w:val="21"/>
        </w:rPr>
        <w:t>2</w:t>
      </w:r>
      <w:r>
        <w:rPr>
          <w:rFonts w:ascii="SimHei" w:eastAsia="SimHei" w:hAnsi="SimHei" w:cs="SimHei"/>
          <w:strike/>
          <w:spacing w:val="-1"/>
          <w:sz w:val="21"/>
          <w:szCs w:val="21"/>
        </w:rPr>
        <w:t xml:space="preserve">  </w:t>
      </w:r>
      <w:r>
        <w:rPr>
          <w:rFonts w:ascii="SimHei" w:eastAsia="SimHei" w:hAnsi="SimHei" w:cs="SimHei"/>
          <w:spacing w:val="-91"/>
          <w:sz w:val="21"/>
          <w:szCs w:val="21"/>
        </w:rPr>
        <w:t xml:space="preserve"> </w:t>
      </w:r>
      <w:r>
        <w:rPr>
          <w:rFonts w:ascii="SimHei" w:eastAsia="SimHei" w:hAnsi="SimHei" w:cs="SimHei"/>
          <w:spacing w:val="-1"/>
          <w:sz w:val="21"/>
          <w:szCs w:val="21"/>
        </w:rPr>
        <w:t>无水乙醇（C</w:t>
      </w:r>
      <w:r>
        <w:rPr>
          <w:rFonts w:ascii="SimHei" w:eastAsia="SimHei" w:hAnsi="SimHei" w:cs="SimHei"/>
          <w:spacing w:val="-1"/>
          <w:sz w:val="11"/>
          <w:szCs w:val="11"/>
        </w:rPr>
        <w:t>2</w:t>
      </w:r>
      <w:r>
        <w:rPr>
          <w:rFonts w:ascii="SimHei" w:eastAsia="SimHei" w:hAnsi="SimHei" w:cs="SimHei"/>
          <w:spacing w:val="-1"/>
          <w:sz w:val="21"/>
          <w:szCs w:val="21"/>
        </w:rPr>
        <w:t>H</w:t>
      </w:r>
      <w:r>
        <w:rPr>
          <w:rFonts w:ascii="SimHei" w:eastAsia="SimHei" w:hAnsi="SimHei" w:cs="SimHei"/>
          <w:spacing w:val="-1"/>
          <w:sz w:val="11"/>
          <w:szCs w:val="11"/>
        </w:rPr>
        <w:t>5</w:t>
      </w:r>
      <w:r>
        <w:rPr>
          <w:rFonts w:ascii="SimHei" w:eastAsia="SimHei" w:hAnsi="SimHei" w:cs="SimHei"/>
          <w:spacing w:val="-1"/>
          <w:sz w:val="21"/>
          <w:szCs w:val="21"/>
        </w:rPr>
        <w:t>OH</w:t>
      </w:r>
      <w:r>
        <w:rPr>
          <w:rFonts w:ascii="SimHei" w:eastAsia="SimHei" w:hAnsi="SimHei" w:cs="SimHei"/>
          <w:spacing w:val="-62"/>
          <w:sz w:val="21"/>
          <w:szCs w:val="21"/>
        </w:rPr>
        <w:t>）：</w:t>
      </w:r>
      <w:r>
        <w:rPr>
          <w:rFonts w:ascii="SimHei" w:eastAsia="SimHei" w:hAnsi="SimHei" w:cs="SimHei"/>
          <w:spacing w:val="-1"/>
          <w:sz w:val="21"/>
          <w:szCs w:val="21"/>
        </w:rPr>
        <w:t>分析纯。</w:t>
      </w:r>
    </w:p>
    <w:p>
      <w:pPr>
        <w:spacing w:before="220" w:line="221" w:lineRule="auto"/>
        <w:rPr>
          <w:rFonts w:ascii="SimHei" w:eastAsia="SimHei" w:hAnsi="SimHei" w:cs="SimHei"/>
          <w:sz w:val="21"/>
          <w:szCs w:val="21"/>
        </w:rPr>
      </w:pPr>
      <w:r>
        <w:rPr>
          <w:rFonts w:ascii="SimHei" w:eastAsia="SimHei" w:hAnsi="SimHei" w:cs="SimHei"/>
          <w:spacing w:val="-1"/>
          <w:sz w:val="21"/>
          <w:szCs w:val="21"/>
        </w:rPr>
        <w:t>A.3.2</w:t>
      </w:r>
      <w:r>
        <w:rPr>
          <w:rFonts w:ascii="SimHei" w:eastAsia="SimHei" w:hAnsi="SimHei" w:cs="SimHei"/>
          <w:spacing w:val="-1"/>
          <w:sz w:val="21"/>
          <w:szCs w:val="21"/>
        </w:rPr>
        <w:t xml:space="preserve">  </w:t>
      </w:r>
      <w:r>
        <w:rPr>
          <w:rFonts w:ascii="SimHei" w:eastAsia="SimHei" w:hAnsi="SimHei" w:cs="SimHei"/>
          <w:spacing w:val="-1"/>
          <w:sz w:val="21"/>
          <w:szCs w:val="21"/>
        </w:rPr>
        <w:t>标准品</w:t>
      </w:r>
    </w:p>
    <w:p>
      <w:pPr>
        <w:pStyle w:val="BodyText"/>
        <w:spacing w:before="217" w:line="220" w:lineRule="auto"/>
      </w:pPr>
      <w:r>
        <w:rPr>
          <w:rFonts w:ascii="SimHei" w:eastAsia="SimHei" w:hAnsi="SimHei" w:cs="SimHei"/>
        </w:rPr>
        <w:t>A.3.2.1</w:t>
      </w:r>
      <w:r>
        <w:rPr>
          <w:rFonts w:ascii="SimHei" w:eastAsia="SimHei" w:hAnsi="SimHei" w:cs="SimHei"/>
        </w:rPr>
        <w:t xml:space="preserve">  </w:t>
      </w:r>
      <w:r>
        <w:t>木糖标准品：纯度≥99</w:t>
      </w:r>
      <w:r>
        <w:rPr>
          <w:spacing w:val="-1"/>
        </w:rPr>
        <w:t>.0%</w:t>
      </w:r>
    </w:p>
    <w:p>
      <w:pPr>
        <w:pStyle w:val="BodyText"/>
        <w:spacing w:before="218" w:line="468" w:lineRule="exact"/>
      </w:pPr>
      <w:r>
        <w:rPr>
          <w:rFonts w:ascii="SimHei" w:eastAsia="SimHei" w:hAnsi="SimHei" w:cs="SimHei"/>
          <w:position w:val="19"/>
        </w:rPr>
        <w:t>A.3.2.2</w:t>
      </w:r>
      <w:r>
        <w:rPr>
          <w:rFonts w:ascii="SimHei" w:eastAsia="SimHei" w:hAnsi="SimHei" w:cs="SimHei"/>
          <w:position w:val="19"/>
        </w:rPr>
        <w:t xml:space="preserve">  </w:t>
      </w:r>
      <w:r>
        <w:rPr>
          <w:position w:val="19"/>
        </w:rPr>
        <w:t>木二糖标准品：纯度≥95</w:t>
      </w:r>
      <w:r>
        <w:rPr>
          <w:spacing w:val="-1"/>
          <w:position w:val="19"/>
        </w:rPr>
        <w:t>.0%</w:t>
      </w:r>
    </w:p>
    <w:p>
      <w:pPr>
        <w:pStyle w:val="BodyText"/>
        <w:spacing w:line="220" w:lineRule="auto"/>
      </w:pPr>
      <w:r>
        <w:rPr>
          <w:rFonts w:ascii="SimHei" w:eastAsia="SimHei" w:hAnsi="SimHei" w:cs="SimHei"/>
        </w:rPr>
        <w:t>A.3.2.3</w:t>
      </w:r>
      <w:r>
        <w:rPr>
          <w:rFonts w:ascii="SimHei" w:eastAsia="SimHei" w:hAnsi="SimHei" w:cs="SimHei"/>
        </w:rPr>
        <w:t xml:space="preserve">  </w:t>
      </w:r>
      <w:r>
        <w:t>木三糖标准品：纯度≥95</w:t>
      </w:r>
      <w:r>
        <w:rPr>
          <w:spacing w:val="-1"/>
        </w:rPr>
        <w:t>.0%</w:t>
      </w:r>
    </w:p>
    <w:p>
      <w:pPr>
        <w:pStyle w:val="BodyText"/>
        <w:spacing w:before="218" w:line="220" w:lineRule="auto"/>
      </w:pPr>
      <w:r>
        <w:rPr>
          <w:rFonts w:ascii="SimHei" w:eastAsia="SimHei" w:hAnsi="SimHei" w:cs="SimHei"/>
        </w:rPr>
        <w:t>A.3.2.4</w:t>
      </w:r>
      <w:r>
        <w:rPr>
          <w:rFonts w:ascii="SimHei" w:eastAsia="SimHei" w:hAnsi="SimHei" w:cs="SimHei"/>
        </w:rPr>
        <w:t xml:space="preserve">  </w:t>
      </w:r>
      <w:r>
        <w:t>木四糖标准品：纯度≥95</w:t>
      </w:r>
      <w:r>
        <w:rPr>
          <w:spacing w:val="-1"/>
        </w:rPr>
        <w:t>.0%</w:t>
      </w:r>
    </w:p>
    <w:p>
      <w:pPr>
        <w:pStyle w:val="BodyText"/>
        <w:spacing w:before="217" w:line="220" w:lineRule="auto"/>
      </w:pPr>
      <w:r>
        <w:rPr>
          <w:rFonts w:ascii="SimHei" w:eastAsia="SimHei" w:hAnsi="SimHei" w:cs="SimHei"/>
        </w:rPr>
        <w:t>A.3.2.5</w:t>
      </w:r>
      <w:r>
        <w:rPr>
          <w:rFonts w:ascii="SimHei" w:eastAsia="SimHei" w:hAnsi="SimHei" w:cs="SimHei"/>
        </w:rPr>
        <w:t xml:space="preserve">  </w:t>
      </w:r>
      <w:r>
        <w:t>木五糖标准品：纯度≥95</w:t>
      </w:r>
      <w:r>
        <w:rPr>
          <w:spacing w:val="-1"/>
        </w:rPr>
        <w:t>.0%</w:t>
      </w:r>
    </w:p>
    <w:p>
      <w:pPr>
        <w:pStyle w:val="BodyText"/>
        <w:spacing w:before="219" w:line="220" w:lineRule="auto"/>
      </w:pPr>
      <w:r>
        <w:rPr>
          <w:rFonts w:ascii="SimHei" w:eastAsia="SimHei" w:hAnsi="SimHei" w:cs="SimHei"/>
        </w:rPr>
        <w:t>A.3.2.6</w:t>
      </w:r>
      <w:r>
        <w:rPr>
          <w:rFonts w:ascii="SimHei" w:eastAsia="SimHei" w:hAnsi="SimHei" w:cs="SimHei"/>
        </w:rPr>
        <w:t xml:space="preserve">  </w:t>
      </w:r>
      <w:r>
        <w:t>木六糖标准品：纯度≥95</w:t>
      </w:r>
      <w:r>
        <w:rPr>
          <w:spacing w:val="-1"/>
        </w:rPr>
        <w:t>.0%</w:t>
      </w:r>
    </w:p>
    <w:p>
      <w:pPr>
        <w:pStyle w:val="BodyText"/>
        <w:spacing w:before="217" w:line="220" w:lineRule="auto"/>
      </w:pPr>
      <w:r>
        <w:rPr>
          <w:rFonts w:ascii="SimHei" w:eastAsia="SimHei" w:hAnsi="SimHei" w:cs="SimHei"/>
        </w:rPr>
        <w:t>A.3.2.7</w:t>
      </w:r>
      <w:r>
        <w:rPr>
          <w:rFonts w:ascii="SimHei" w:eastAsia="SimHei" w:hAnsi="SimHei" w:cs="SimHei"/>
        </w:rPr>
        <w:t xml:space="preserve">  </w:t>
      </w:r>
      <w:r>
        <w:t>葡萄糖标准品：纯度≥99</w:t>
      </w:r>
      <w:r>
        <w:rPr>
          <w:spacing w:val="-1"/>
        </w:rPr>
        <w:t>.0%</w:t>
      </w:r>
    </w:p>
    <w:p>
      <w:pPr>
        <w:pStyle w:val="BodyText"/>
        <w:spacing w:before="218" w:line="468" w:lineRule="exact"/>
      </w:pPr>
      <w:r>
        <w:rPr>
          <w:rFonts w:ascii="SimHei" w:eastAsia="SimHei" w:hAnsi="SimHei" w:cs="SimHei"/>
          <w:position w:val="19"/>
        </w:rPr>
        <w:t>A.3.2.8</w:t>
      </w:r>
      <w:r>
        <w:rPr>
          <w:rFonts w:ascii="SimHei" w:eastAsia="SimHei" w:hAnsi="SimHei" w:cs="SimHei"/>
          <w:position w:val="19"/>
        </w:rPr>
        <w:t xml:space="preserve">  </w:t>
      </w:r>
      <w:r>
        <w:rPr>
          <w:position w:val="19"/>
        </w:rPr>
        <w:t>L-阿拉伯糖标准品：纯度≥99</w:t>
      </w:r>
      <w:r>
        <w:rPr>
          <w:spacing w:val="-1"/>
          <w:position w:val="19"/>
        </w:rPr>
        <w:t>.0%</w:t>
      </w:r>
    </w:p>
    <w:p>
      <w:pPr>
        <w:spacing w:line="218" w:lineRule="auto"/>
        <w:rPr>
          <w:rFonts w:ascii="SimHei" w:eastAsia="SimHei" w:hAnsi="SimHei" w:cs="SimHei"/>
          <w:sz w:val="21"/>
          <w:szCs w:val="21"/>
        </w:rPr>
        <w:sectPr>
          <w:headerReference w:type="default" r:id="rId37"/>
          <w:footerReference w:type="default" r:id="rId38"/>
          <w:type w:val="continuous"/>
          <w:pgSz w:w="11907" w:h="16839"/>
          <w:pgMar w:top="1658" w:right="1133" w:bottom="1311" w:left="1420" w:header="1448" w:footer="1134" w:gutter="0"/>
          <w:pgNumType w:start="14"/>
          <w:cols w:num="1" w:space="708" w:equalWidth="0">
            <w:col w:w="9353" w:space="0"/>
          </w:cols>
        </w:sectPr>
      </w:pPr>
      <w:r>
        <w:rPr>
          <w:rFonts w:ascii="SimHei" w:eastAsia="SimHei" w:hAnsi="SimHei" w:cs="SimHei"/>
          <w:spacing w:val="-1"/>
          <w:sz w:val="21"/>
          <w:szCs w:val="21"/>
        </w:rPr>
        <w:t>A.3.3</w:t>
      </w:r>
      <w:r>
        <w:rPr>
          <w:rFonts w:ascii="SimHei" w:eastAsia="SimHei" w:hAnsi="SimHei" w:cs="SimHei"/>
          <w:spacing w:val="-1"/>
          <w:sz w:val="21"/>
          <w:szCs w:val="21"/>
        </w:rPr>
        <w:t xml:space="preserve">  </w:t>
      </w:r>
      <w:r>
        <w:rPr>
          <w:rFonts w:ascii="SimHei" w:eastAsia="SimHei" w:hAnsi="SimHei" w:cs="SimHei"/>
          <w:spacing w:val="-1"/>
          <w:sz w:val="21"/>
          <w:szCs w:val="21"/>
        </w:rPr>
        <w:t>标准溶液配制</w:t>
      </w:r>
    </w:p>
    <w:p>
      <w:pPr>
        <w:pStyle w:val="BodyText"/>
        <w:spacing w:before="219" w:line="214" w:lineRule="auto"/>
      </w:pPr>
      <w:r>
        <w:rPr>
          <w:rFonts w:ascii="SimHei" w:eastAsia="SimHei" w:hAnsi="SimHei" w:cs="SimHei"/>
          <w:spacing w:val="-1"/>
        </w:rPr>
        <w:t>A.3.3.1</w:t>
      </w:r>
      <w:r>
        <w:rPr>
          <w:rFonts w:ascii="SimHei" w:eastAsia="SimHei" w:hAnsi="SimHei" w:cs="SimHei"/>
          <w:spacing w:val="-1"/>
        </w:rPr>
        <w:t xml:space="preserve">  </w:t>
      </w:r>
      <w:r>
        <w:rPr>
          <w:spacing w:val="-1"/>
        </w:rPr>
        <w:t>木糖标准溶液（2mg/mL</w:t>
      </w:r>
      <w:r>
        <w:rPr>
          <w:spacing w:val="-54"/>
          <w:w w:val="97"/>
        </w:rPr>
        <w:t>）：</w:t>
      </w:r>
      <w:r>
        <w:rPr>
          <w:spacing w:val="-1"/>
        </w:rPr>
        <w:t>称取木糖</w:t>
      </w:r>
      <w:r>
        <w:rPr>
          <w:spacing w:val="-2"/>
        </w:rPr>
        <w:t>标准品</w:t>
      </w:r>
      <w:r>
        <w:rPr>
          <w:spacing w:val="-20"/>
        </w:rPr>
        <w:t xml:space="preserve"> </w:t>
      </w:r>
      <w:r>
        <w:rPr>
          <w:spacing w:val="-2"/>
        </w:rPr>
        <w:t>0.1000g，于</w:t>
      </w:r>
      <w:r>
        <w:rPr>
          <w:spacing w:val="-28"/>
        </w:rPr>
        <w:t xml:space="preserve"> </w:t>
      </w:r>
      <w:r>
        <w:rPr>
          <w:spacing w:val="-2"/>
        </w:rPr>
        <w:t>50mL</w:t>
      </w:r>
      <w:r>
        <w:rPr>
          <w:spacing w:val="-43"/>
        </w:rPr>
        <w:t xml:space="preserve"> </w:t>
      </w:r>
      <w:r>
        <w:rPr>
          <w:spacing w:val="-2"/>
        </w:rPr>
        <w:t>容量瓶中，用水溶解定容。</w:t>
      </w:r>
    </w:p>
    <w:p>
      <w:pPr>
        <w:pStyle w:val="BodyText"/>
        <w:spacing w:before="225" w:line="247" w:lineRule="auto"/>
        <w:ind w:left="8" w:right="45" w:hanging="9"/>
      </w:pPr>
      <w:r>
        <w:rPr>
          <w:rFonts w:ascii="SimHei" w:eastAsia="SimHei" w:hAnsi="SimHei" w:cs="SimHei"/>
          <w:spacing w:val="-5"/>
        </w:rPr>
        <w:t>A.3.3.2</w:t>
      </w:r>
      <w:r>
        <w:rPr>
          <w:rFonts w:ascii="SimHei" w:eastAsia="SimHei" w:hAnsi="SimHei" w:cs="SimHei"/>
          <w:spacing w:val="-5"/>
        </w:rPr>
        <w:t xml:space="preserve">  </w:t>
      </w:r>
      <w:r>
        <w:rPr>
          <w:spacing w:val="-5"/>
        </w:rPr>
        <w:t>木二糖、木三糖、木四糖、木五糖、木六糖标准溶液（1mg/mL</w:t>
      </w:r>
      <w:r>
        <w:rPr>
          <w:spacing w:val="-52"/>
          <w:w w:val="92"/>
        </w:rPr>
        <w:t>）：</w:t>
      </w:r>
      <w:r>
        <w:rPr>
          <w:spacing w:val="-5"/>
        </w:rPr>
        <w:t>分别称取各标准品</w:t>
      </w:r>
      <w:r>
        <w:rPr>
          <w:spacing w:val="-40"/>
        </w:rPr>
        <w:t xml:space="preserve"> </w:t>
      </w:r>
      <w:r>
        <w:rPr>
          <w:spacing w:val="-5"/>
        </w:rPr>
        <w:t>0</w:t>
      </w:r>
      <w:r>
        <w:rPr>
          <w:spacing w:val="-6"/>
        </w:rPr>
        <w:t>.0050g，</w:t>
      </w:r>
      <w:r>
        <w:t xml:space="preserve"> </w:t>
      </w:r>
      <w:r>
        <w:rPr>
          <w:spacing w:val="-4"/>
        </w:rPr>
        <w:t>于</w:t>
      </w:r>
      <w:r>
        <w:rPr>
          <w:spacing w:val="-29"/>
        </w:rPr>
        <w:t xml:space="preserve"> </w:t>
      </w:r>
      <w:r>
        <w:rPr>
          <w:spacing w:val="-4"/>
        </w:rPr>
        <w:t>5mL</w:t>
      </w:r>
      <w:r>
        <w:rPr>
          <w:spacing w:val="-41"/>
        </w:rPr>
        <w:t xml:space="preserve"> </w:t>
      </w:r>
      <w:r>
        <w:rPr>
          <w:spacing w:val="-4"/>
        </w:rPr>
        <w:t>容量瓶中，用水溶解定容至刻度。</w:t>
      </w:r>
    </w:p>
    <w:p>
      <w:pPr>
        <w:pStyle w:val="BodyText"/>
        <w:spacing w:before="218" w:line="185" w:lineRule="auto"/>
      </w:pPr>
      <w:r>
        <w:rPr>
          <w:rFonts w:ascii="SimHei" w:eastAsia="SimHei" w:hAnsi="SimHei" w:cs="SimHei"/>
          <w:spacing w:val="-2"/>
        </w:rPr>
        <w:t>A.3.3.3</w:t>
      </w:r>
      <w:r>
        <w:rPr>
          <w:rFonts w:ascii="SimHei" w:eastAsia="SimHei" w:hAnsi="SimHei" w:cs="SimHei"/>
          <w:spacing w:val="-2"/>
        </w:rPr>
        <w:t xml:space="preserve">  </w:t>
      </w:r>
      <w:r>
        <w:rPr>
          <w:spacing w:val="-2"/>
        </w:rPr>
        <w:t>葡萄糖、L-阿拉伯糖标准溶液（2mg/mL</w:t>
      </w:r>
      <w:r>
        <w:rPr>
          <w:spacing w:val="-14"/>
        </w:rPr>
        <w:t>）：</w:t>
      </w:r>
      <w:r>
        <w:rPr>
          <w:spacing w:val="-2"/>
        </w:rPr>
        <w:t>分别称取各标准品</w:t>
      </w:r>
      <w:r>
        <w:rPr>
          <w:spacing w:val="-42"/>
        </w:rPr>
        <w:t xml:space="preserve"> </w:t>
      </w:r>
      <w:r>
        <w:rPr>
          <w:spacing w:val="-2"/>
        </w:rPr>
        <w:t>0.1000g</w:t>
      </w:r>
      <w:r>
        <w:rPr>
          <w:spacing w:val="-41"/>
        </w:rPr>
        <w:t xml:space="preserve"> </w:t>
      </w:r>
      <w:r>
        <w:rPr>
          <w:spacing w:val="-2"/>
        </w:rPr>
        <w:t>于</w:t>
      </w:r>
      <w:r>
        <w:rPr>
          <w:spacing w:val="-40"/>
        </w:rPr>
        <w:t xml:space="preserve"> </w:t>
      </w:r>
      <w:r>
        <w:rPr>
          <w:spacing w:val="-2"/>
        </w:rPr>
        <w:t>5</w:t>
      </w:r>
      <w:r>
        <w:rPr>
          <w:spacing w:val="-3"/>
        </w:rPr>
        <w:t>0mL</w:t>
      </w:r>
      <w:r>
        <w:rPr>
          <w:spacing w:val="-41"/>
        </w:rPr>
        <w:t xml:space="preserve"> </w:t>
      </w:r>
      <w:r>
        <w:rPr>
          <w:spacing w:val="-3"/>
        </w:rPr>
        <w:t>容量瓶中，用</w:t>
      </w:r>
    </w:p>
    <w:p>
      <w:pPr>
        <w:spacing w:line="185" w:lineRule="auto"/>
        <w:sectPr>
          <w:headerReference w:type="default" r:id="rId39"/>
          <w:footerReference w:type="default" r:id="rId40"/>
          <w:type w:val="nextPage"/>
          <w:pgSz w:w="11907" w:h="16839"/>
          <w:pgMar w:top="1658" w:right="1133" w:bottom="1311" w:left="1420" w:header="1448" w:footer="1134" w:gutter="0"/>
          <w:pgNumType w:start="15"/>
          <w:cols w:num="1" w:space="708" w:equalWidth="0">
            <w:col w:w="9353" w:space="0"/>
          </w:cols>
          <w:titlePg w:val="0"/>
        </w:sectPr>
      </w:pPr>
    </w:p>
    <w:p>
      <w:pPr>
        <w:spacing w:line="250" w:lineRule="auto"/>
        <w:rPr>
          <w:rFonts w:ascii="Arial"/>
          <w:sz w:val="21"/>
        </w:rPr>
      </w:pPr>
    </w:p>
    <w:p>
      <w:pPr>
        <w:pStyle w:val="BodyText"/>
        <w:spacing w:before="68" w:line="469" w:lineRule="exact"/>
        <w:ind w:left="8"/>
      </w:pPr>
      <w:r>
        <w:rPr>
          <w:spacing w:val="-5"/>
          <w:position w:val="19"/>
        </w:rPr>
        <w:t>水溶解定容至刻度。</w:t>
      </w:r>
    </w:p>
    <w:p>
      <w:pPr>
        <w:spacing w:line="218" w:lineRule="auto"/>
        <w:rPr>
          <w:rFonts w:ascii="SimHei" w:eastAsia="SimHei" w:hAnsi="SimHei" w:cs="SimHei"/>
          <w:sz w:val="21"/>
          <w:szCs w:val="21"/>
        </w:rPr>
      </w:pPr>
      <w:r>
        <w:rPr>
          <w:rFonts w:ascii="SimHei" w:eastAsia="SimHei" w:hAnsi="SimHei" w:cs="SimHei"/>
          <w:spacing w:val="-1"/>
          <w:sz w:val="21"/>
          <w:szCs w:val="21"/>
        </w:rPr>
        <w:t>A.4</w:t>
      </w:r>
      <w:r>
        <w:rPr>
          <w:rFonts w:ascii="SimHei" w:eastAsia="SimHei" w:hAnsi="SimHei" w:cs="SimHei"/>
          <w:spacing w:val="-1"/>
          <w:sz w:val="21"/>
          <w:szCs w:val="21"/>
        </w:rPr>
        <w:t xml:space="preserve">  </w:t>
      </w:r>
      <w:r>
        <w:rPr>
          <w:rFonts w:ascii="SimHei" w:eastAsia="SimHei" w:hAnsi="SimHei" w:cs="SimHei"/>
          <w:spacing w:val="-1"/>
          <w:sz w:val="21"/>
          <w:szCs w:val="21"/>
        </w:rPr>
        <w:t>仪器和设备</w:t>
      </w:r>
    </w:p>
    <w:p>
      <w:pPr>
        <w:pStyle w:val="BodyText"/>
        <w:spacing w:before="218" w:line="220" w:lineRule="auto"/>
        <w:ind w:left="430"/>
      </w:pPr>
      <w:r>
        <w:rPr>
          <w:spacing w:val="-4"/>
        </w:rPr>
        <w:t>实验室常规仪器、设备及下列各项：</w:t>
      </w:r>
    </w:p>
    <w:p>
      <w:pPr>
        <w:pStyle w:val="BodyText"/>
        <w:spacing w:before="104" w:line="339" w:lineRule="exact"/>
        <w:ind w:left="426"/>
      </w:pPr>
      <w:r>
        <w:rPr>
          <w:spacing w:val="-3"/>
          <w:position w:val="9"/>
        </w:rPr>
        <w:t>a)</w:t>
      </w:r>
      <w:r>
        <w:rPr>
          <w:spacing w:val="-31"/>
          <w:position w:val="9"/>
        </w:rPr>
        <w:t xml:space="preserve"> </w:t>
      </w:r>
      <w:r>
        <w:rPr>
          <w:spacing w:val="-3"/>
          <w:position w:val="9"/>
        </w:rPr>
        <w:t>高效液相色谱仪：配有示差折光检测器和柱温箱；</w:t>
      </w:r>
    </w:p>
    <w:p>
      <w:pPr>
        <w:pStyle w:val="BodyText"/>
        <w:spacing w:before="1" w:line="219" w:lineRule="auto"/>
        <w:ind w:left="427"/>
      </w:pPr>
      <w:r>
        <w:rPr>
          <w:rFonts w:ascii="SimHei" w:eastAsia="SimHei" w:hAnsi="SimHei" w:cs="SimHei"/>
          <w:spacing w:val="-9"/>
        </w:rPr>
        <w:t>b)</w:t>
      </w:r>
      <w:r>
        <w:rPr>
          <w:rFonts w:ascii="SimHei" w:eastAsia="SimHei" w:hAnsi="SimHei" w:cs="SimHei"/>
          <w:spacing w:val="-9"/>
        </w:rPr>
        <w:t xml:space="preserve"> </w:t>
      </w:r>
      <w:r>
        <w:rPr>
          <w:spacing w:val="-9"/>
        </w:rPr>
        <w:t>过滤膜：</w:t>
      </w:r>
      <w:r>
        <w:rPr>
          <w:spacing w:val="16"/>
        </w:rPr>
        <w:t xml:space="preserve"> </w:t>
      </w:r>
      <w:r>
        <w:rPr>
          <w:spacing w:val="-9"/>
        </w:rPr>
        <w:t>0.45μm</w:t>
      </w:r>
      <w:r>
        <w:rPr>
          <w:spacing w:val="-44"/>
        </w:rPr>
        <w:t xml:space="preserve"> </w:t>
      </w:r>
      <w:r>
        <w:rPr>
          <w:spacing w:val="-9"/>
        </w:rPr>
        <w:t>微孔水相滤膜；</w:t>
      </w:r>
    </w:p>
    <w:p>
      <w:pPr>
        <w:pStyle w:val="BodyText"/>
        <w:spacing w:before="90" w:line="454" w:lineRule="exact"/>
        <w:ind w:left="424"/>
      </w:pPr>
      <w:r>
        <w:rPr>
          <w:rFonts w:ascii="SimHei" w:eastAsia="SimHei" w:hAnsi="SimHei" w:cs="SimHei"/>
          <w:spacing w:val="-1"/>
          <w:position w:val="19"/>
        </w:rPr>
        <w:t>c)</w:t>
      </w:r>
      <w:r>
        <w:rPr>
          <w:rFonts w:ascii="SimHei" w:eastAsia="SimHei" w:hAnsi="SimHei" w:cs="SimHei"/>
          <w:spacing w:val="-1"/>
          <w:position w:val="19"/>
        </w:rPr>
        <w:t xml:space="preserve"> </w:t>
      </w:r>
      <w:r>
        <w:rPr>
          <w:spacing w:val="-1"/>
          <w:position w:val="19"/>
        </w:rPr>
        <w:t>天平：感量0.1mg。</w:t>
      </w:r>
    </w:p>
    <w:p>
      <w:pPr>
        <w:spacing w:before="1" w:line="218" w:lineRule="auto"/>
        <w:rPr>
          <w:rFonts w:ascii="SimHei" w:eastAsia="SimHei" w:hAnsi="SimHei" w:cs="SimHei"/>
          <w:sz w:val="21"/>
          <w:szCs w:val="21"/>
        </w:rPr>
      </w:pPr>
      <w:r>
        <w:rPr>
          <w:rFonts w:ascii="SimHei" w:eastAsia="SimHei" w:hAnsi="SimHei" w:cs="SimHei"/>
          <w:sz w:val="21"/>
          <w:szCs w:val="21"/>
        </w:rPr>
        <w:t>A.5</w:t>
      </w:r>
      <w:r>
        <w:rPr>
          <w:rFonts w:ascii="SimHei" w:eastAsia="SimHei" w:hAnsi="SimHei" w:cs="SimHei"/>
          <w:sz w:val="21"/>
          <w:szCs w:val="21"/>
        </w:rPr>
        <w:t xml:space="preserve">  </w:t>
      </w:r>
      <w:r>
        <w:rPr>
          <w:rFonts w:ascii="SimHei" w:eastAsia="SimHei" w:hAnsi="SimHei" w:cs="SimHei"/>
          <w:sz w:val="21"/>
          <w:szCs w:val="21"/>
        </w:rPr>
        <w:t>色谱参考条件</w:t>
      </w:r>
    </w:p>
    <w:p>
      <w:pPr>
        <w:pStyle w:val="BodyText"/>
        <w:spacing w:before="219" w:line="247" w:lineRule="auto"/>
        <w:ind w:left="6" w:hanging="6"/>
      </w:pPr>
      <w:r>
        <w:rPr>
          <w:rFonts w:ascii="SimHei" w:eastAsia="SimHei" w:hAnsi="SimHei" w:cs="SimHei"/>
          <w:spacing w:val="-4"/>
        </w:rPr>
        <w:t>A.5.1</w:t>
      </w:r>
      <w:r>
        <w:rPr>
          <w:rFonts w:ascii="SimHei" w:eastAsia="SimHei" w:hAnsi="SimHei" w:cs="SimHei"/>
          <w:spacing w:val="-4"/>
        </w:rPr>
        <w:t xml:space="preserve">  </w:t>
      </w:r>
      <w:r>
        <w:rPr>
          <w:spacing w:val="-4"/>
        </w:rPr>
        <w:t>色谱柱：  内径8mm，柱长</w:t>
      </w:r>
      <w:r>
        <w:rPr>
          <w:spacing w:val="-5"/>
        </w:rPr>
        <w:t>300mm，填料[苯乙烯二乙烯苯共聚物，粒度6μm，官能团：</w:t>
      </w:r>
      <w:r>
        <w:rPr>
          <w:spacing w:val="56"/>
        </w:rPr>
        <w:t xml:space="preserve"> </w:t>
      </w:r>
      <w:r>
        <w:rPr>
          <w:spacing w:val="-5"/>
        </w:rPr>
        <w:t>磺酸（Na</w:t>
      </w:r>
      <w:r>
        <w:t xml:space="preserve"> </w:t>
      </w:r>
      <w:r>
        <w:rPr>
          <w:spacing w:val="-1"/>
        </w:rPr>
        <w:t>+</w:t>
      </w:r>
      <w:r>
        <w:rPr>
          <w:spacing w:val="-53"/>
          <w:w w:val="97"/>
        </w:rPr>
        <w:t>），</w:t>
      </w:r>
      <w:r>
        <w:rPr>
          <w:spacing w:val="-1"/>
        </w:rPr>
        <w:t>排阻限10000]的离子型凝胶柱，或同等性能的色谱柱。</w:t>
      </w:r>
    </w:p>
    <w:p>
      <w:pPr>
        <w:pStyle w:val="BodyText"/>
        <w:spacing w:before="218" w:line="220" w:lineRule="auto"/>
      </w:pPr>
      <w:r>
        <w:rPr>
          <w:rFonts w:ascii="SimHei" w:eastAsia="SimHei" w:hAnsi="SimHei" w:cs="SimHei"/>
          <w:spacing w:val="-2"/>
        </w:rPr>
        <w:t>A.5.2</w:t>
      </w:r>
      <w:r>
        <w:rPr>
          <w:rFonts w:ascii="SimHei" w:eastAsia="SimHei" w:hAnsi="SimHei" w:cs="SimHei"/>
          <w:spacing w:val="-2"/>
        </w:rPr>
        <w:t xml:space="preserve">  </w:t>
      </w:r>
      <w:r>
        <w:rPr>
          <w:spacing w:val="-2"/>
        </w:rPr>
        <w:t>流动相：水。</w:t>
      </w:r>
    </w:p>
    <w:p>
      <w:pPr>
        <w:pStyle w:val="BodyText"/>
        <w:spacing w:before="218" w:line="223" w:lineRule="auto"/>
      </w:pPr>
      <w:r>
        <w:rPr>
          <w:rFonts w:ascii="SimHei" w:eastAsia="SimHei" w:hAnsi="SimHei" w:cs="SimHei"/>
          <w:spacing w:val="-6"/>
        </w:rPr>
        <w:t>A.5.3</w:t>
      </w:r>
      <w:r>
        <w:rPr>
          <w:rFonts w:ascii="SimHei" w:eastAsia="SimHei" w:hAnsi="SimHei" w:cs="SimHei"/>
          <w:spacing w:val="-6"/>
        </w:rPr>
        <w:t xml:space="preserve">  </w:t>
      </w:r>
      <w:r>
        <w:rPr>
          <w:spacing w:val="-6"/>
        </w:rPr>
        <w:t>流速：</w:t>
      </w:r>
      <w:r>
        <w:rPr>
          <w:spacing w:val="12"/>
        </w:rPr>
        <w:t xml:space="preserve"> </w:t>
      </w:r>
      <w:r>
        <w:rPr>
          <w:spacing w:val="-6"/>
        </w:rPr>
        <w:t>0.6mL/min。</w:t>
      </w:r>
    </w:p>
    <w:p>
      <w:pPr>
        <w:pStyle w:val="BodyText"/>
        <w:spacing w:before="215" w:line="220" w:lineRule="auto"/>
      </w:pPr>
      <w:r>
        <w:rPr>
          <w:rFonts w:ascii="SimHei" w:eastAsia="SimHei" w:hAnsi="SimHei" w:cs="SimHei"/>
          <w:spacing w:val="-11"/>
        </w:rPr>
        <w:t>A.5.4</w:t>
      </w:r>
      <w:r>
        <w:rPr>
          <w:rFonts w:ascii="SimHei" w:eastAsia="SimHei" w:hAnsi="SimHei" w:cs="SimHei"/>
          <w:spacing w:val="10"/>
        </w:rPr>
        <w:t xml:space="preserve">  </w:t>
      </w:r>
      <w:r>
        <w:rPr>
          <w:spacing w:val="-11"/>
        </w:rPr>
        <w:t>柱温： 80℃。</w:t>
      </w:r>
    </w:p>
    <w:p>
      <w:pPr>
        <w:pStyle w:val="BodyText"/>
        <w:spacing w:before="217" w:line="220" w:lineRule="auto"/>
      </w:pPr>
      <w:r>
        <w:rPr>
          <w:rFonts w:ascii="SimHei" w:eastAsia="SimHei" w:hAnsi="SimHei" w:cs="SimHei"/>
          <w:spacing w:val="-10"/>
        </w:rPr>
        <w:t>A.5.5</w:t>
      </w:r>
      <w:r>
        <w:rPr>
          <w:rFonts w:ascii="SimHei" w:eastAsia="SimHei" w:hAnsi="SimHei" w:cs="SimHei"/>
          <w:spacing w:val="-10"/>
        </w:rPr>
        <w:t xml:space="preserve">  </w:t>
      </w:r>
      <w:r>
        <w:rPr>
          <w:spacing w:val="-10"/>
        </w:rPr>
        <w:t>示差检测器温度：</w:t>
      </w:r>
      <w:r>
        <w:rPr>
          <w:spacing w:val="67"/>
        </w:rPr>
        <w:t xml:space="preserve"> </w:t>
      </w:r>
      <w:r>
        <w:rPr>
          <w:spacing w:val="-10"/>
        </w:rPr>
        <w:t>45℃。</w:t>
      </w:r>
    </w:p>
    <w:p>
      <w:pPr>
        <w:pStyle w:val="BodyText"/>
        <w:spacing w:before="219" w:line="468" w:lineRule="exact"/>
      </w:pPr>
      <w:r>
        <w:rPr>
          <w:rFonts w:ascii="SimHei" w:eastAsia="SimHei" w:hAnsi="SimHei" w:cs="SimHei"/>
          <w:spacing w:val="-10"/>
          <w:position w:val="19"/>
        </w:rPr>
        <w:t>A.5.6</w:t>
      </w:r>
      <w:r>
        <w:rPr>
          <w:rFonts w:ascii="SimHei" w:eastAsia="SimHei" w:hAnsi="SimHei" w:cs="SimHei"/>
          <w:spacing w:val="6"/>
          <w:position w:val="19"/>
        </w:rPr>
        <w:t xml:space="preserve">  </w:t>
      </w:r>
      <w:r>
        <w:rPr>
          <w:spacing w:val="-10"/>
          <w:position w:val="19"/>
        </w:rPr>
        <w:t>进样量：</w:t>
      </w:r>
      <w:r>
        <w:rPr>
          <w:spacing w:val="20"/>
          <w:position w:val="19"/>
        </w:rPr>
        <w:t xml:space="preserve"> </w:t>
      </w:r>
      <w:r>
        <w:rPr>
          <w:spacing w:val="-10"/>
          <w:position w:val="19"/>
        </w:rPr>
        <w:t>20μL。</w:t>
      </w:r>
    </w:p>
    <w:p>
      <w:pPr>
        <w:spacing w:line="218" w:lineRule="auto"/>
        <w:rPr>
          <w:rFonts w:ascii="SimHei" w:eastAsia="SimHei" w:hAnsi="SimHei" w:cs="SimHei"/>
          <w:sz w:val="21"/>
          <w:szCs w:val="21"/>
        </w:rPr>
      </w:pPr>
      <w:r>
        <w:rPr>
          <w:rFonts w:ascii="SimHei" w:eastAsia="SimHei" w:hAnsi="SimHei" w:cs="SimHei"/>
          <w:spacing w:val="-2"/>
          <w:sz w:val="21"/>
          <w:szCs w:val="21"/>
        </w:rPr>
        <w:t>A.6</w:t>
      </w:r>
      <w:r>
        <w:rPr>
          <w:rFonts w:ascii="SimHei" w:eastAsia="SimHei" w:hAnsi="SimHei" w:cs="SimHei"/>
          <w:spacing w:val="7"/>
          <w:sz w:val="21"/>
          <w:szCs w:val="21"/>
        </w:rPr>
        <w:t xml:space="preserve">  </w:t>
      </w:r>
      <w:r>
        <w:rPr>
          <w:rFonts w:ascii="SimHei" w:eastAsia="SimHei" w:hAnsi="SimHei" w:cs="SimHei"/>
          <w:spacing w:val="-2"/>
          <w:sz w:val="21"/>
          <w:szCs w:val="21"/>
        </w:rPr>
        <w:t>分析步骤</w:t>
      </w:r>
    </w:p>
    <w:p>
      <w:pPr>
        <w:spacing w:before="220" w:line="218" w:lineRule="auto"/>
        <w:rPr>
          <w:rFonts w:ascii="SimHei" w:eastAsia="SimHei" w:hAnsi="SimHei" w:cs="SimHei"/>
          <w:sz w:val="21"/>
          <w:szCs w:val="21"/>
        </w:rPr>
      </w:pPr>
      <w:r>
        <w:rPr>
          <w:rFonts w:ascii="SimHei" w:eastAsia="SimHei" w:hAnsi="SimHei" w:cs="SimHei"/>
          <w:sz w:val="21"/>
          <w:szCs w:val="21"/>
        </w:rPr>
        <w:t>A.6.1</w:t>
      </w:r>
      <w:r>
        <w:rPr>
          <w:rFonts w:ascii="SimHei" w:eastAsia="SimHei" w:hAnsi="SimHei" w:cs="SimHei"/>
          <w:sz w:val="21"/>
          <w:szCs w:val="21"/>
        </w:rPr>
        <w:t xml:space="preserve">  </w:t>
      </w:r>
      <w:r>
        <w:rPr>
          <w:rFonts w:ascii="SimHei" w:eastAsia="SimHei" w:hAnsi="SimHei" w:cs="SimHei"/>
          <w:sz w:val="21"/>
          <w:szCs w:val="21"/>
        </w:rPr>
        <w:t>试样溶液制备</w:t>
      </w:r>
    </w:p>
    <w:p>
      <w:pPr>
        <w:pStyle w:val="BodyText"/>
        <w:spacing w:before="220" w:line="253" w:lineRule="auto"/>
        <w:ind w:left="6" w:right="13" w:hanging="7"/>
      </w:pPr>
      <w:r>
        <w:rPr>
          <w:rFonts w:ascii="SimHei" w:eastAsia="SimHei" w:hAnsi="SimHei" w:cs="SimHei"/>
        </w:rPr>
        <w:t>A.6.1.1</w:t>
      </w:r>
      <w:r>
        <w:rPr>
          <w:rFonts w:ascii="SimHei" w:eastAsia="SimHei" w:hAnsi="SimHei" w:cs="SimHei"/>
        </w:rPr>
        <w:t xml:space="preserve">  </w:t>
      </w:r>
      <w:r>
        <w:t>XOS-70L/95L/95P/70P(不</w:t>
      </w:r>
      <w:r>
        <w:rPr>
          <w:spacing w:val="-1"/>
        </w:rPr>
        <w:t>含麦芽糊精)样品：称取约</w:t>
      </w:r>
      <w:r>
        <w:rPr>
          <w:spacing w:val="-39"/>
        </w:rPr>
        <w:t xml:space="preserve"> </w:t>
      </w:r>
      <w:r>
        <w:rPr>
          <w:spacing w:val="-1"/>
        </w:rPr>
        <w:t>0.5g（精确至</w:t>
      </w:r>
      <w:r>
        <w:rPr>
          <w:spacing w:val="-38"/>
        </w:rPr>
        <w:t xml:space="preserve"> </w:t>
      </w:r>
      <w:r>
        <w:rPr>
          <w:spacing w:val="-1"/>
        </w:rPr>
        <w:t>0.001g）样品，加水定容</w:t>
      </w:r>
      <w:r>
        <w:t xml:space="preserve"> </w:t>
      </w:r>
      <w:r>
        <w:rPr>
          <w:spacing w:val="-4"/>
        </w:rPr>
        <w:t>至</w:t>
      </w:r>
      <w:r>
        <w:rPr>
          <w:spacing w:val="-40"/>
        </w:rPr>
        <w:t xml:space="preserve"> </w:t>
      </w:r>
      <w:r>
        <w:rPr>
          <w:spacing w:val="-4"/>
        </w:rPr>
        <w:t>50mL。</w:t>
      </w:r>
    </w:p>
    <w:p>
      <w:pPr>
        <w:pStyle w:val="BodyText"/>
        <w:spacing w:before="206" w:line="260" w:lineRule="auto"/>
        <w:ind w:left="8" w:right="1" w:hanging="8"/>
        <w:jc w:val="both"/>
      </w:pPr>
      <w:r>
        <w:rPr>
          <w:rFonts w:ascii="SimHei" w:eastAsia="SimHei" w:hAnsi="SimHei" w:cs="SimHei"/>
          <w:spacing w:val="-5"/>
        </w:rPr>
        <w:t>A.6.1.2</w:t>
      </w:r>
      <w:r>
        <w:rPr>
          <w:rFonts w:ascii="SimHei" w:eastAsia="SimHei" w:hAnsi="SimHei" w:cs="SimHei"/>
          <w:spacing w:val="-5"/>
        </w:rPr>
        <w:t xml:space="preserve">  </w:t>
      </w:r>
      <w:r>
        <w:rPr>
          <w:spacing w:val="-5"/>
        </w:rPr>
        <w:t>XOS-70P/35P（含</w:t>
      </w:r>
      <w:r>
        <w:rPr>
          <w:spacing w:val="-6"/>
        </w:rPr>
        <w:t>麦芽糊精） 样品： 称取</w:t>
      </w:r>
      <w:r>
        <w:rPr>
          <w:spacing w:val="-42"/>
        </w:rPr>
        <w:t xml:space="preserve"> </w:t>
      </w:r>
      <w:r>
        <w:rPr>
          <w:spacing w:val="-6"/>
        </w:rPr>
        <w:t>0.5g～1.0g（精确至</w:t>
      </w:r>
      <w:r>
        <w:rPr>
          <w:spacing w:val="-32"/>
        </w:rPr>
        <w:t xml:space="preserve"> </w:t>
      </w:r>
      <w:r>
        <w:rPr>
          <w:spacing w:val="-6"/>
        </w:rPr>
        <w:t>0.001g）样品，于</w:t>
      </w:r>
      <w:r>
        <w:rPr>
          <w:spacing w:val="-40"/>
        </w:rPr>
        <w:t xml:space="preserve"> </w:t>
      </w:r>
      <w:r>
        <w:rPr>
          <w:spacing w:val="-6"/>
        </w:rPr>
        <w:t>50mL</w:t>
      </w:r>
      <w:r>
        <w:rPr>
          <w:spacing w:val="-38"/>
        </w:rPr>
        <w:t xml:space="preserve"> </w:t>
      </w:r>
      <w:r>
        <w:rPr>
          <w:spacing w:val="-6"/>
        </w:rPr>
        <w:t>小烧杯</w:t>
      </w:r>
      <w:r>
        <w:t xml:space="preserve"> </w:t>
      </w:r>
      <w:r>
        <w:rPr>
          <w:spacing w:val="-5"/>
        </w:rPr>
        <w:t>中，加入</w:t>
      </w:r>
      <w:r>
        <w:rPr>
          <w:spacing w:val="-30"/>
        </w:rPr>
        <w:t xml:space="preserve"> </w:t>
      </w:r>
      <w:r>
        <w:rPr>
          <w:spacing w:val="-5"/>
        </w:rPr>
        <w:t>20.0ml</w:t>
      </w:r>
      <w:r>
        <w:rPr>
          <w:spacing w:val="-41"/>
        </w:rPr>
        <w:t xml:space="preserve"> </w:t>
      </w:r>
      <w:r>
        <w:rPr>
          <w:spacing w:val="-5"/>
        </w:rPr>
        <w:t>水，40ul</w:t>
      </w:r>
      <w:r>
        <w:rPr>
          <w:spacing w:val="-40"/>
        </w:rPr>
        <w:t xml:space="preserve"> </w:t>
      </w:r>
      <w:r>
        <w:rPr>
          <w:spacing w:val="-5"/>
        </w:rPr>
        <w:t>复合葡糖淀粉酶（A.3.1.1),于水浴锅中</w:t>
      </w:r>
      <w:r>
        <w:rPr>
          <w:spacing w:val="-42"/>
        </w:rPr>
        <w:t xml:space="preserve"> </w:t>
      </w:r>
      <w:r>
        <w:rPr>
          <w:spacing w:val="-5"/>
        </w:rPr>
        <w:t>60℃酶解</w:t>
      </w:r>
      <w:r>
        <w:rPr>
          <w:spacing w:val="-41"/>
        </w:rPr>
        <w:t xml:space="preserve"> </w:t>
      </w:r>
      <w:r>
        <w:rPr>
          <w:spacing w:val="-5"/>
        </w:rPr>
        <w:t>30min，取出，均转入</w:t>
      </w:r>
      <w:r>
        <w:rPr>
          <w:spacing w:val="-39"/>
        </w:rPr>
        <w:t xml:space="preserve"> </w:t>
      </w:r>
      <w:r>
        <w:rPr>
          <w:spacing w:val="-5"/>
        </w:rPr>
        <w:t>50mL</w:t>
      </w:r>
      <w:r>
        <w:t xml:space="preserve"> </w:t>
      </w:r>
      <w:r>
        <w:rPr>
          <w:spacing w:val="-4"/>
        </w:rPr>
        <w:t>容量瓶中，</w:t>
      </w:r>
      <w:r>
        <w:rPr>
          <w:spacing w:val="23"/>
        </w:rPr>
        <w:t xml:space="preserve"> </w:t>
      </w:r>
      <w:r>
        <w:rPr>
          <w:spacing w:val="-4"/>
        </w:rPr>
        <w:t>加入 7.0～10.0mL 水，</w:t>
      </w:r>
      <w:r>
        <w:rPr>
          <w:spacing w:val="-25"/>
        </w:rPr>
        <w:t xml:space="preserve"> </w:t>
      </w:r>
      <w:r>
        <w:rPr>
          <w:spacing w:val="-4"/>
        </w:rPr>
        <w:t>分两次洗涤烧杯，用无水乙醇定容，</w:t>
      </w:r>
      <w:r>
        <w:rPr>
          <w:spacing w:val="-5"/>
        </w:rPr>
        <w:t>摇匀。静置分离，取上层清液</w:t>
      </w:r>
      <w:r>
        <w:t xml:space="preserve"> </w:t>
      </w:r>
      <w:r>
        <w:rPr>
          <w:spacing w:val="-3"/>
        </w:rPr>
        <w:t>5.0mL</w:t>
      </w:r>
      <w:r>
        <w:rPr>
          <w:spacing w:val="-26"/>
        </w:rPr>
        <w:t xml:space="preserve"> </w:t>
      </w:r>
      <w:r>
        <w:rPr>
          <w:spacing w:val="-3"/>
        </w:rPr>
        <w:t>于一小烧杯中</w:t>
      </w:r>
      <w:r>
        <w:rPr>
          <w:spacing w:val="-43"/>
        </w:rPr>
        <w:t xml:space="preserve"> </w:t>
      </w:r>
      <w:r>
        <w:rPr>
          <w:spacing w:val="-3"/>
        </w:rPr>
        <w:t>80℃蒸干，加水</w:t>
      </w:r>
      <w:r>
        <w:rPr>
          <w:spacing w:val="-40"/>
        </w:rPr>
        <w:t xml:space="preserve"> </w:t>
      </w:r>
      <w:r>
        <w:rPr>
          <w:spacing w:val="-3"/>
        </w:rPr>
        <w:t>5.0mL</w:t>
      </w:r>
      <w:r>
        <w:rPr>
          <w:spacing w:val="-41"/>
        </w:rPr>
        <w:t xml:space="preserve"> </w:t>
      </w:r>
      <w:r>
        <w:rPr>
          <w:spacing w:val="-3"/>
        </w:rPr>
        <w:t>溶解样品，摇匀。</w:t>
      </w:r>
    </w:p>
    <w:p>
      <w:pPr>
        <w:spacing w:before="219" w:line="218" w:lineRule="auto"/>
        <w:rPr>
          <w:rFonts w:ascii="SimHei" w:eastAsia="SimHei" w:hAnsi="SimHei" w:cs="SimHei"/>
          <w:sz w:val="21"/>
          <w:szCs w:val="21"/>
        </w:rPr>
      </w:pPr>
      <w:r>
        <w:rPr>
          <w:rFonts w:ascii="SimHei" w:eastAsia="SimHei" w:hAnsi="SimHei" w:cs="SimHei"/>
          <w:spacing w:val="-1"/>
          <w:sz w:val="21"/>
          <w:szCs w:val="21"/>
        </w:rPr>
        <w:t>A.6.2</w:t>
      </w:r>
      <w:r>
        <w:rPr>
          <w:rFonts w:ascii="SimHei" w:eastAsia="SimHei" w:hAnsi="SimHei" w:cs="SimHei"/>
          <w:spacing w:val="-1"/>
          <w:sz w:val="21"/>
          <w:szCs w:val="21"/>
        </w:rPr>
        <w:t xml:space="preserve">  </w:t>
      </w:r>
      <w:r>
        <w:rPr>
          <w:rFonts w:ascii="SimHei" w:eastAsia="SimHei" w:hAnsi="SimHei" w:cs="SimHei"/>
          <w:spacing w:val="-1"/>
          <w:sz w:val="21"/>
          <w:szCs w:val="21"/>
        </w:rPr>
        <w:t>标准溶液的测定</w:t>
      </w:r>
    </w:p>
    <w:p>
      <w:pPr>
        <w:pStyle w:val="BodyText"/>
        <w:spacing w:before="262" w:line="454" w:lineRule="exact"/>
        <w:ind w:left="428"/>
      </w:pPr>
      <w:r>
        <w:rPr>
          <w:spacing w:val="-1"/>
          <w:position w:val="18"/>
        </w:rPr>
        <w:t>取标准溶液（A.3.3.1～A.3.3.3）20μL分别注入液相色谱仪中，记录相应的出峰时间。</w:t>
      </w:r>
    </w:p>
    <w:p>
      <w:pPr>
        <w:spacing w:line="218" w:lineRule="auto"/>
        <w:rPr>
          <w:rFonts w:ascii="SimHei" w:eastAsia="SimHei" w:hAnsi="SimHei" w:cs="SimHei"/>
          <w:sz w:val="21"/>
          <w:szCs w:val="21"/>
        </w:rPr>
      </w:pPr>
      <w:r>
        <w:rPr>
          <w:rFonts w:ascii="SimHei" w:eastAsia="SimHei" w:hAnsi="SimHei" w:cs="SimHei"/>
          <w:spacing w:val="-1"/>
          <w:sz w:val="21"/>
          <w:szCs w:val="21"/>
        </w:rPr>
        <w:t>A.6.3</w:t>
      </w:r>
      <w:r>
        <w:rPr>
          <w:rFonts w:ascii="SimHei" w:eastAsia="SimHei" w:hAnsi="SimHei" w:cs="SimHei"/>
          <w:spacing w:val="-1"/>
          <w:sz w:val="21"/>
          <w:szCs w:val="21"/>
        </w:rPr>
        <w:t xml:space="preserve">  </w:t>
      </w:r>
      <w:r>
        <w:rPr>
          <w:rFonts w:ascii="SimHei" w:eastAsia="SimHei" w:hAnsi="SimHei" w:cs="SimHei"/>
          <w:spacing w:val="-1"/>
          <w:sz w:val="21"/>
          <w:szCs w:val="21"/>
        </w:rPr>
        <w:t>试样溶液的测定</w:t>
      </w:r>
    </w:p>
    <w:p>
      <w:pPr>
        <w:pStyle w:val="BodyText"/>
        <w:spacing w:before="262" w:line="259" w:lineRule="auto"/>
        <w:ind w:left="8" w:right="1" w:firstLine="420"/>
      </w:pPr>
      <w:r>
        <w:rPr>
          <w:spacing w:val="-12"/>
        </w:rPr>
        <w:t>取试样溶液</w:t>
      </w:r>
      <w:r>
        <w:rPr>
          <w:spacing w:val="-31"/>
        </w:rPr>
        <w:t xml:space="preserve"> </w:t>
      </w:r>
      <w:r>
        <w:rPr>
          <w:spacing w:val="-12"/>
        </w:rPr>
        <w:t>20μL</w:t>
      </w:r>
      <w:r>
        <w:rPr>
          <w:spacing w:val="-43"/>
        </w:rPr>
        <w:t xml:space="preserve"> </w:t>
      </w:r>
      <w:r>
        <w:rPr>
          <w:spacing w:val="-12"/>
        </w:rPr>
        <w:t>注入液相色谱仪中，</w:t>
      </w:r>
      <w:r>
        <w:rPr>
          <w:spacing w:val="54"/>
        </w:rPr>
        <w:t xml:space="preserve"> </w:t>
      </w:r>
      <w:r>
        <w:rPr>
          <w:spacing w:val="-12"/>
        </w:rPr>
        <w:t>以保留时间定性，</w:t>
      </w:r>
      <w:r>
        <w:rPr>
          <w:spacing w:val="32"/>
        </w:rPr>
        <w:t xml:space="preserve"> </w:t>
      </w:r>
      <w:r>
        <w:rPr>
          <w:spacing w:val="-12"/>
        </w:rPr>
        <w:t>木七糖（包含木八糖和木九糖） 保留时间</w:t>
      </w:r>
      <w:r>
        <w:t xml:space="preserve"> </w:t>
      </w:r>
      <w:r>
        <w:rPr>
          <w:spacing w:val="-2"/>
        </w:rPr>
        <w:t>为木糖保留时间的</w:t>
      </w:r>
      <w:r>
        <w:rPr>
          <w:spacing w:val="-26"/>
        </w:rPr>
        <w:t xml:space="preserve"> </w:t>
      </w:r>
      <w:r>
        <w:rPr>
          <w:spacing w:val="-2"/>
        </w:rPr>
        <w:t>0.707</w:t>
      </w:r>
      <w:r>
        <w:rPr>
          <w:spacing w:val="-44"/>
        </w:rPr>
        <w:t xml:space="preserve"> </w:t>
      </w:r>
      <w:r>
        <w:rPr>
          <w:spacing w:val="-2"/>
        </w:rPr>
        <w:t>倍，同时记录峰面积，以外标法计算各种糖组分的含量。</w:t>
      </w:r>
    </w:p>
    <w:p>
      <w:pPr>
        <w:spacing w:before="205" w:line="220" w:lineRule="auto"/>
        <w:rPr>
          <w:rFonts w:ascii="SimHei" w:eastAsia="SimHei" w:hAnsi="SimHei" w:cs="SimHei"/>
          <w:sz w:val="21"/>
          <w:szCs w:val="21"/>
        </w:rPr>
        <w:sectPr>
          <w:headerReference w:type="default" r:id="rId41"/>
          <w:footerReference w:type="default" r:id="rId42"/>
          <w:pgSz w:w="11907" w:h="16839"/>
          <w:pgMar w:top="1658" w:right="1132" w:bottom="1309" w:left="1420" w:header="1448" w:footer="1134" w:gutter="0"/>
          <w:pgNumType w:start="16"/>
          <w:cols w:space="708"/>
        </w:sectPr>
      </w:pPr>
      <w:r>
        <w:rPr>
          <w:rFonts w:ascii="SimHei" w:eastAsia="SimHei" w:hAnsi="SimHei" w:cs="SimHei"/>
          <w:sz w:val="21"/>
          <w:szCs w:val="21"/>
        </w:rPr>
        <w:t>A.6.4</w:t>
      </w:r>
      <w:r>
        <w:rPr>
          <w:rFonts w:ascii="SimHei" w:eastAsia="SimHei" w:hAnsi="SimHei" w:cs="SimHei"/>
          <w:sz w:val="21"/>
          <w:szCs w:val="21"/>
        </w:rPr>
        <w:t xml:space="preserve">  </w:t>
      </w:r>
      <w:r>
        <w:rPr>
          <w:rFonts w:ascii="SimHei" w:eastAsia="SimHei" w:hAnsi="SimHei" w:cs="SimHei"/>
          <w:sz w:val="21"/>
          <w:szCs w:val="21"/>
        </w:rPr>
        <w:t>分析结果的表述</w:t>
      </w:r>
    </w:p>
    <w:p>
      <w:pPr>
        <w:pStyle w:val="BodyText"/>
        <w:spacing w:before="260" w:line="259" w:lineRule="auto"/>
        <w:ind w:left="22" w:right="11" w:firstLine="408"/>
      </w:pPr>
      <w:r>
        <w:rPr>
          <w:spacing w:val="2"/>
        </w:rPr>
        <w:t>结果计算依据样品中各组分的峰面积与木糖标准溶液的浓度及对应峰面积相比，再以对应的校正</w:t>
      </w:r>
      <w:r>
        <w:rPr>
          <w:spacing w:val="5"/>
        </w:rPr>
        <w:t xml:space="preserve"> </w:t>
      </w:r>
      <w:r>
        <w:rPr>
          <w:spacing w:val="-4"/>
        </w:rPr>
        <w:t>因子来计算样品中各组分的含量。</w:t>
      </w:r>
    </w:p>
    <w:p>
      <w:pPr>
        <w:pStyle w:val="BodyText"/>
        <w:spacing w:before="137" w:line="220" w:lineRule="auto"/>
        <w:ind w:left="425"/>
      </w:pPr>
      <w:r>
        <w:rPr>
          <w:spacing w:val="1"/>
        </w:rPr>
        <w:t>试样中</w:t>
      </w:r>
      <w:r>
        <w:rPr>
          <w:spacing w:val="-47"/>
        </w:rPr>
        <w:t xml:space="preserve"> </w:t>
      </w:r>
      <w:r>
        <w:t>XOS</w:t>
      </w:r>
      <w:r>
        <w:rPr>
          <w:spacing w:val="-44"/>
        </w:rPr>
        <w:t xml:space="preserve"> </w:t>
      </w:r>
      <w:r>
        <w:rPr>
          <w:spacing w:val="1"/>
        </w:rPr>
        <w:t>含量按公式(A.1)计算:</w:t>
      </w:r>
    </w:p>
    <w:p>
      <w:pPr>
        <w:spacing w:line="22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https://d.book118.com/377140136115006030</w:t>
        </w:r>
      </w:hyperlink>
    </w:p>
    <w:p>
      <w:pPr>
        <w:spacing w:line="220" w:lineRule="auto"/>
      </w:pPr>
    </w:p>
    <w:sectPr>
      <w:headerReference w:type="default" r:id="rId44"/>
      <w:footerReference w:type="default" r:id="rId45"/>
      <w:type w:val="nextPage"/>
      <w:pgSz w:w="11907" w:h="16839"/>
      <w:pgMar w:top="1658" w:right="1132" w:bottom="1309" w:left="1420" w:header="1448" w:footer="1134"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8"/>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8"/>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34"/>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34"/>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34"/>
      <w:rPr>
        <w:sz w:val="15"/>
        <w:szCs w:val="15"/>
      </w:rPr>
    </w:pPr>
    <w:r>
      <w:rPr>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34"/>
      <w:rPr>
        <w:sz w:val="15"/>
        <w:szCs w:val="15"/>
      </w:rPr>
    </w:pPr>
    <w:r>
      <w:rPr>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37"/>
      <w:rPr>
        <w:sz w:val="18"/>
        <w:szCs w:val="18"/>
      </w:rPr>
    </w:pPr>
    <w:r>
      <w:rPr>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37"/>
      <w:rPr>
        <w:sz w:val="18"/>
        <w:szCs w:val="18"/>
      </w:rPr>
    </w:pPr>
    <w:r>
      <w:rPr>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9039"/>
    </w:pPr>
    <w: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9039"/>
    </w:pPr>
    <w: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019"/>
      <w:rPr>
        <w:sz w:val="14"/>
        <w:szCs w:val="14"/>
      </w:rPr>
    </w:pPr>
    <w:r>
      <w:rPr>
        <w:sz w:val="14"/>
        <w:szCs w:val="14"/>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4"/>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4"/>
      <w:rPr>
        <w:sz w:val="18"/>
        <w:szCs w:val="18"/>
      </w:rPr>
    </w:pPr>
    <w:r>
      <w:rPr>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4"/>
      <w:rPr>
        <w:sz w:val="18"/>
        <w:szCs w:val="18"/>
      </w:rPr>
    </w:pPr>
    <w:r>
      <w:rPr>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4"/>
      <w:rPr>
        <w:sz w:val="18"/>
        <w:szCs w:val="18"/>
      </w:rPr>
    </w:pPr>
    <w:r>
      <w:rPr>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7"/>
      <w:rPr>
        <w:sz w:val="18"/>
        <w:szCs w:val="18"/>
      </w:rPr>
    </w:pPr>
    <w:r>
      <w:rPr>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7"/>
      <w:rPr>
        <w:sz w:val="18"/>
        <w:szCs w:val="18"/>
      </w:rPr>
    </w:pPr>
    <w:r>
      <w:rPr>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462"/>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7462"/>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jc w:val="right"/>
      <w:rPr>
        <w:rFonts w:ascii="SimHei" w:eastAsia="SimHei" w:hAnsi="SimHei" w:cs="SimHei"/>
      </w:rPr>
    </w:pPr>
    <w:r>
      <w:rPr>
        <w:rFonts w:ascii="SimHei" w:eastAsia="SimHei" w:hAnsi="SimHei" w:cs="SimHei"/>
      </w:rPr>
      <w:t>GB/T</w:t>
    </w:r>
    <w:r>
      <w:rPr>
        <w:rFonts w:ascii="SimHei" w:eastAsia="SimHei" w:hAnsi="SimHei" w:cs="SimHei"/>
      </w:rPr>
      <w:t xml:space="preserve"> </w:t>
    </w:r>
    <w:r>
      <w:rPr>
        <w:rFonts w:ascii="SimHei" w:eastAsia="SimHei" w:hAnsi="SimHei" w:cs="SimHei"/>
      </w:rPr>
      <w:t>23528.3</w:t>
    </w:r>
    <w:r>
      <w:t>—</w:t>
    </w:r>
    <w:r>
      <w:rPr>
        <w:rFonts w:ascii="SimHei" w:eastAsia="SimHei" w:hAnsi="SimHei" w:cs="SimHei"/>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footer" Target="footer15.xml"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yperlink" Target="https://d.book118.com/377140136115006030" TargetMode="External" /><Relationship Id="rId44" Type="http://schemas.openxmlformats.org/officeDocument/2006/relationships/header" Target="header17.xml" /><Relationship Id="rId45" Type="http://schemas.openxmlformats.org/officeDocument/2006/relationships/footer" Target="footer17.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2024-01-12T15:55:17Z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2024-01-12T15:55:21Z</vt:filetime>
  </property>
  <property fmtid="{D5CDD505-2E9C-101B-9397-08002B2CF9AE}" pid="3" name="CRO">
    <vt:lpwstr>wqlLaW5nc29mdCBQREYgdG8gV1BTIDkw</vt:lpwstr>
  </property>
  <property fmtid="{D5CDD505-2E9C-101B-9397-08002B2CF9AE}" pid="4" name="UsrData">
    <vt:lpwstr>65a0f0614d394d001f1bb563wl</vt:lpwstr>
  </property>
</Properties>
</file>