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Web"/>
        <w:jc w:val="center"/>
        <w:outlineLvl w:val="0"/>
        <w:rPr>
          <w:rFonts w:ascii="黑体" w:eastAsia="黑体" w:hAnsi="黑体" w:hint="eastAsia"/>
          <w:snapToGrid w:val="0"/>
          <w:color w:val="auto"/>
          <w:sz w:val="30"/>
          <w:szCs w:val="30"/>
        </w:rPr>
      </w:pPr>
      <w:r>
        <w:rPr>
          <w:rFonts w:ascii="黑体" w:eastAsia="黑体" w:hAnsi="黑体" w:hint="eastAsia"/>
          <w:snapToGrid w:val="0"/>
          <w:color w:val="auto"/>
          <w:sz w:val="30"/>
          <w:szCs w:val="30"/>
        </w:rPr>
        <w:t>一、建设项目基本情况</w:t>
      </w: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2059"/>
        <w:gridCol w:w="1678"/>
        <w:gridCol w:w="2270"/>
        <w:gridCol w:w="2863"/>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497"/>
          <w:jc w:val="center"/>
        </w:trPr>
        <w:tc>
          <w:tcPr>
            <w:tcW w:w="2059" w:type="dxa"/>
            <w:tcMar>
              <w:top w:w="16" w:type="dxa"/>
              <w:left w:w="16" w:type="dxa"/>
              <w:right w:w="16" w:type="dxa"/>
            </w:tcMar>
            <w:vAlign w:val="center"/>
          </w:tcPr>
          <w:p>
            <w:pPr>
              <w:adjustRightInd w:val="0"/>
              <w:snapToGrid w:val="0"/>
              <w:jc w:val="center"/>
              <w:rPr>
                <w:color w:val="auto"/>
                <w:sz w:val="24"/>
              </w:rPr>
            </w:pPr>
            <w:r>
              <w:rPr>
                <w:color w:val="auto"/>
                <w:sz w:val="24"/>
              </w:rPr>
              <w:t>建设项目名称</w:t>
            </w:r>
          </w:p>
        </w:tc>
        <w:tc>
          <w:tcPr>
            <w:tcW w:w="6811" w:type="dxa"/>
            <w:gridSpan w:val="3"/>
            <w:vAlign w:val="center"/>
          </w:tcPr>
          <w:p>
            <w:pPr>
              <w:adjustRightInd w:val="0"/>
              <w:snapToGrid w:val="0"/>
              <w:jc w:val="center"/>
              <w:rPr>
                <w:rFonts w:hint="eastAsia"/>
                <w:color w:val="auto"/>
                <w:sz w:val="24"/>
              </w:rPr>
            </w:pPr>
            <w:r>
              <w:rPr>
                <w:rFonts w:hint="eastAsia"/>
                <w:color w:val="auto"/>
                <w:sz w:val="24"/>
              </w:rPr>
              <w:t>派克兄弟木文化创意产业基地项目</w:t>
            </w:r>
          </w:p>
        </w:tc>
      </w:tr>
      <w:tr>
        <w:tblPrEx>
          <w:tblW w:w="0" w:type="auto"/>
          <w:jc w:val="center"/>
          <w:tblInd w:w="3" w:type="dxa"/>
          <w:tblLayout w:type="fixed"/>
          <w:tblCellMar>
            <w:top w:w="0" w:type="dxa"/>
            <w:left w:w="0" w:type="dxa"/>
            <w:bottom w:w="0" w:type="dxa"/>
            <w:right w:w="0" w:type="dxa"/>
          </w:tblCellMar>
          <w:tblLook w:val="0000"/>
        </w:tblPrEx>
        <w:trPr>
          <w:trHeight w:val="497"/>
          <w:jc w:val="center"/>
        </w:trPr>
        <w:tc>
          <w:tcPr>
            <w:tcW w:w="2059" w:type="dxa"/>
            <w:tcMar>
              <w:top w:w="16" w:type="dxa"/>
              <w:left w:w="16" w:type="dxa"/>
              <w:right w:w="16" w:type="dxa"/>
            </w:tcMar>
            <w:vAlign w:val="center"/>
          </w:tcPr>
          <w:p>
            <w:pPr>
              <w:adjustRightInd w:val="0"/>
              <w:snapToGrid w:val="0"/>
              <w:jc w:val="center"/>
              <w:rPr>
                <w:color w:val="auto"/>
                <w:sz w:val="24"/>
              </w:rPr>
            </w:pPr>
            <w:r>
              <w:rPr>
                <w:color w:val="auto"/>
                <w:sz w:val="24"/>
              </w:rPr>
              <w:t>项目代码</w:t>
            </w:r>
          </w:p>
        </w:tc>
        <w:tc>
          <w:tcPr>
            <w:tcW w:w="6811" w:type="dxa"/>
            <w:gridSpan w:val="3"/>
            <w:vAlign w:val="center"/>
          </w:tcPr>
          <w:p>
            <w:pPr>
              <w:adjustRightInd w:val="0"/>
              <w:snapToGrid w:val="0"/>
              <w:jc w:val="center"/>
              <w:rPr>
                <w:rFonts w:hint="eastAsia"/>
                <w:color w:val="auto"/>
                <w:sz w:val="24"/>
              </w:rPr>
            </w:pPr>
            <w:r>
              <w:rPr>
                <w:rFonts w:hint="eastAsia"/>
                <w:color w:val="auto"/>
                <w:sz w:val="24"/>
              </w:rPr>
              <w:t>2109-610124-04-01-890541</w:t>
            </w:r>
          </w:p>
        </w:tc>
      </w:tr>
      <w:tr>
        <w:tblPrEx>
          <w:tblW w:w="0" w:type="auto"/>
          <w:jc w:val="center"/>
          <w:tblInd w:w="3" w:type="dxa"/>
          <w:tblLayout w:type="fixed"/>
          <w:tblCellMar>
            <w:top w:w="0" w:type="dxa"/>
            <w:left w:w="0" w:type="dxa"/>
            <w:bottom w:w="0" w:type="dxa"/>
            <w:right w:w="0" w:type="dxa"/>
          </w:tblCellMar>
          <w:tblLook w:val="0000"/>
        </w:tblPrEx>
        <w:trPr>
          <w:trHeight w:val="497"/>
          <w:jc w:val="center"/>
        </w:trPr>
        <w:tc>
          <w:tcPr>
            <w:tcW w:w="2059" w:type="dxa"/>
            <w:tcMar>
              <w:top w:w="16" w:type="dxa"/>
              <w:left w:w="16" w:type="dxa"/>
              <w:right w:w="16" w:type="dxa"/>
            </w:tcMar>
            <w:vAlign w:val="center"/>
          </w:tcPr>
          <w:p>
            <w:pPr>
              <w:adjustRightInd w:val="0"/>
              <w:snapToGrid w:val="0"/>
              <w:jc w:val="center"/>
              <w:rPr>
                <w:color w:val="auto"/>
                <w:sz w:val="24"/>
              </w:rPr>
            </w:pPr>
            <w:r>
              <w:rPr>
                <w:color w:val="auto"/>
                <w:sz w:val="24"/>
              </w:rPr>
              <w:t>建设单位联系人</w:t>
            </w:r>
          </w:p>
        </w:tc>
        <w:tc>
          <w:tcPr>
            <w:tcW w:w="1678" w:type="dxa"/>
            <w:vAlign w:val="center"/>
          </w:tcPr>
          <w:p>
            <w:pPr>
              <w:adjustRightInd w:val="0"/>
              <w:snapToGrid w:val="0"/>
              <w:jc w:val="center"/>
              <w:rPr>
                <w:color w:val="auto"/>
                <w:sz w:val="24"/>
              </w:rPr>
            </w:pPr>
          </w:p>
        </w:tc>
        <w:tc>
          <w:tcPr>
            <w:tcW w:w="2270" w:type="dxa"/>
            <w:vAlign w:val="center"/>
          </w:tcPr>
          <w:p>
            <w:pPr>
              <w:adjustRightInd w:val="0"/>
              <w:snapToGrid w:val="0"/>
              <w:jc w:val="center"/>
              <w:rPr>
                <w:color w:val="auto"/>
                <w:sz w:val="24"/>
              </w:rPr>
            </w:pPr>
            <w:r>
              <w:rPr>
                <w:color w:val="auto"/>
                <w:sz w:val="24"/>
              </w:rPr>
              <w:t>联系方式</w:t>
            </w:r>
          </w:p>
        </w:tc>
        <w:tc>
          <w:tcPr>
            <w:tcW w:w="2863" w:type="dxa"/>
            <w:vAlign w:val="center"/>
          </w:tcPr>
          <w:p>
            <w:pPr>
              <w:adjustRightInd w:val="0"/>
              <w:snapToGrid w:val="0"/>
              <w:jc w:val="center"/>
              <w:rPr>
                <w:color w:val="auto"/>
                <w:sz w:val="24"/>
              </w:rPr>
            </w:pPr>
          </w:p>
        </w:tc>
      </w:tr>
      <w:tr>
        <w:tblPrEx>
          <w:tblW w:w="0" w:type="auto"/>
          <w:jc w:val="center"/>
          <w:tblInd w:w="3" w:type="dxa"/>
          <w:tblLayout w:type="fixed"/>
          <w:tblCellMar>
            <w:top w:w="0" w:type="dxa"/>
            <w:left w:w="0" w:type="dxa"/>
            <w:bottom w:w="0" w:type="dxa"/>
            <w:right w:w="0" w:type="dxa"/>
          </w:tblCellMar>
          <w:tblLook w:val="0000"/>
        </w:tblPrEx>
        <w:trPr>
          <w:trHeight w:val="497"/>
          <w:jc w:val="center"/>
        </w:trPr>
        <w:tc>
          <w:tcPr>
            <w:tcW w:w="2059" w:type="dxa"/>
            <w:tcMar>
              <w:top w:w="16" w:type="dxa"/>
              <w:left w:w="16" w:type="dxa"/>
              <w:right w:w="16" w:type="dxa"/>
            </w:tcMar>
            <w:vAlign w:val="center"/>
          </w:tcPr>
          <w:p>
            <w:pPr>
              <w:adjustRightInd w:val="0"/>
              <w:snapToGrid w:val="0"/>
              <w:jc w:val="center"/>
              <w:rPr>
                <w:color w:val="auto"/>
                <w:sz w:val="24"/>
              </w:rPr>
            </w:pPr>
            <w:r>
              <w:rPr>
                <w:color w:val="auto"/>
                <w:sz w:val="24"/>
              </w:rPr>
              <w:t>建设地点</w:t>
            </w:r>
          </w:p>
        </w:tc>
        <w:tc>
          <w:tcPr>
            <w:tcW w:w="6811" w:type="dxa"/>
            <w:gridSpan w:val="3"/>
            <w:vAlign w:val="center"/>
          </w:tcPr>
          <w:p>
            <w:pPr>
              <w:adjustRightInd w:val="0"/>
              <w:snapToGrid w:val="0"/>
              <w:jc w:val="center"/>
              <w:rPr>
                <w:color w:val="auto"/>
                <w:sz w:val="24"/>
              </w:rPr>
            </w:pPr>
            <w:r>
              <w:rPr>
                <w:rFonts w:hint="eastAsia"/>
                <w:color w:val="auto"/>
                <w:sz w:val="24"/>
              </w:rPr>
              <w:t>西安高新区集贤园集创业东路以西</w:t>
            </w:r>
          </w:p>
        </w:tc>
      </w:tr>
      <w:tr>
        <w:tblPrEx>
          <w:tblW w:w="0" w:type="auto"/>
          <w:jc w:val="center"/>
          <w:tblInd w:w="3" w:type="dxa"/>
          <w:tblLayout w:type="fixed"/>
          <w:tblCellMar>
            <w:top w:w="0" w:type="dxa"/>
            <w:left w:w="0" w:type="dxa"/>
            <w:bottom w:w="0" w:type="dxa"/>
            <w:right w:w="0" w:type="dxa"/>
          </w:tblCellMar>
          <w:tblLook w:val="0000"/>
        </w:tblPrEx>
        <w:trPr>
          <w:trHeight w:val="497"/>
          <w:jc w:val="center"/>
        </w:trPr>
        <w:tc>
          <w:tcPr>
            <w:tcW w:w="2059" w:type="dxa"/>
            <w:tcMar>
              <w:top w:w="16" w:type="dxa"/>
              <w:left w:w="16" w:type="dxa"/>
              <w:right w:w="16" w:type="dxa"/>
            </w:tcMar>
            <w:vAlign w:val="center"/>
          </w:tcPr>
          <w:p>
            <w:pPr>
              <w:adjustRightInd w:val="0"/>
              <w:snapToGrid w:val="0"/>
              <w:jc w:val="center"/>
              <w:rPr>
                <w:color w:val="auto"/>
                <w:sz w:val="24"/>
              </w:rPr>
            </w:pPr>
            <w:r>
              <w:rPr>
                <w:color w:val="auto"/>
                <w:sz w:val="24"/>
              </w:rPr>
              <w:t>地理坐标</w:t>
            </w:r>
          </w:p>
        </w:tc>
        <w:tc>
          <w:tcPr>
            <w:tcW w:w="6811" w:type="dxa"/>
            <w:gridSpan w:val="3"/>
            <w:vAlign w:val="center"/>
          </w:tcPr>
          <w:p>
            <w:pPr>
              <w:jc w:val="center"/>
              <w:rPr>
                <w:color w:val="auto"/>
                <w:sz w:val="24"/>
              </w:rPr>
            </w:pPr>
            <w:r>
              <w:rPr>
                <w:color w:val="auto"/>
                <w:sz w:val="24"/>
              </w:rPr>
              <w:t>（经度：</w:t>
            </w:r>
            <w:r>
              <w:rPr>
                <w:color w:val="auto"/>
                <w:sz w:val="24"/>
                <w:u w:val="single"/>
              </w:rPr>
              <w:t>108</w:t>
            </w:r>
            <w:r>
              <w:rPr>
                <w:color w:val="auto"/>
                <w:sz w:val="24"/>
              </w:rPr>
              <w:t>度</w:t>
            </w:r>
            <w:r>
              <w:rPr>
                <w:color w:val="auto"/>
                <w:sz w:val="24"/>
                <w:u w:val="single"/>
              </w:rPr>
              <w:t>23</w:t>
            </w:r>
            <w:r>
              <w:rPr>
                <w:color w:val="auto"/>
                <w:sz w:val="24"/>
              </w:rPr>
              <w:t>分</w:t>
            </w:r>
            <w:r>
              <w:rPr>
                <w:color w:val="auto"/>
                <w:sz w:val="24"/>
                <w:u w:val="single"/>
              </w:rPr>
              <w:t>24.014</w:t>
            </w:r>
            <w:r>
              <w:rPr>
                <w:color w:val="auto"/>
                <w:sz w:val="24"/>
              </w:rPr>
              <w:t>秒，纬度：</w:t>
            </w:r>
            <w:r>
              <w:rPr>
                <w:color w:val="auto"/>
                <w:sz w:val="24"/>
                <w:u w:val="single"/>
              </w:rPr>
              <w:t>34</w:t>
            </w:r>
            <w:r>
              <w:rPr>
                <w:color w:val="auto"/>
                <w:sz w:val="24"/>
              </w:rPr>
              <w:t>度</w:t>
            </w:r>
            <w:r>
              <w:rPr>
                <w:color w:val="auto"/>
                <w:sz w:val="24"/>
                <w:u w:val="single"/>
              </w:rPr>
              <w:t>4</w:t>
            </w:r>
            <w:r>
              <w:rPr>
                <w:color w:val="auto"/>
                <w:sz w:val="24"/>
              </w:rPr>
              <w:t>分</w:t>
            </w:r>
            <w:r>
              <w:rPr>
                <w:color w:val="auto"/>
                <w:sz w:val="24"/>
                <w:u w:val="single"/>
              </w:rPr>
              <w:t>49.361</w:t>
            </w:r>
            <w:r>
              <w:rPr>
                <w:color w:val="auto"/>
                <w:sz w:val="24"/>
              </w:rPr>
              <w:t>秒）</w:t>
            </w:r>
          </w:p>
        </w:tc>
      </w:tr>
      <w:tr>
        <w:tblPrEx>
          <w:tblW w:w="0" w:type="auto"/>
          <w:jc w:val="center"/>
          <w:tblInd w:w="3" w:type="dxa"/>
          <w:tblLayout w:type="fixed"/>
          <w:tblCellMar>
            <w:top w:w="0" w:type="dxa"/>
            <w:left w:w="0" w:type="dxa"/>
            <w:bottom w:w="0" w:type="dxa"/>
            <w:right w:w="0" w:type="dxa"/>
          </w:tblCellMar>
          <w:tblLook w:val="0000"/>
        </w:tblPrEx>
        <w:trPr>
          <w:trHeight w:val="561"/>
          <w:jc w:val="center"/>
        </w:trPr>
        <w:tc>
          <w:tcPr>
            <w:tcW w:w="2059" w:type="dxa"/>
            <w:tcMar>
              <w:top w:w="16" w:type="dxa"/>
              <w:left w:w="16" w:type="dxa"/>
              <w:right w:w="16" w:type="dxa"/>
            </w:tcMar>
            <w:vAlign w:val="center"/>
          </w:tcPr>
          <w:p>
            <w:pPr>
              <w:adjustRightInd w:val="0"/>
              <w:snapToGrid w:val="0"/>
              <w:jc w:val="center"/>
              <w:rPr>
                <w:color w:val="auto"/>
                <w:sz w:val="24"/>
              </w:rPr>
            </w:pPr>
            <w:r>
              <w:rPr>
                <w:color w:val="auto"/>
                <w:sz w:val="24"/>
              </w:rPr>
              <w:t>国民经济</w:t>
            </w:r>
          </w:p>
          <w:p>
            <w:pPr>
              <w:adjustRightInd w:val="0"/>
              <w:snapToGrid w:val="0"/>
              <w:jc w:val="center"/>
              <w:rPr>
                <w:color w:val="auto"/>
                <w:sz w:val="24"/>
              </w:rPr>
            </w:pPr>
            <w:r>
              <w:rPr>
                <w:color w:val="auto"/>
                <w:sz w:val="24"/>
              </w:rPr>
              <w:t>行业类别</w:t>
            </w:r>
          </w:p>
        </w:tc>
        <w:tc>
          <w:tcPr>
            <w:tcW w:w="1678" w:type="dxa"/>
            <w:vAlign w:val="center"/>
          </w:tcPr>
          <w:p>
            <w:pPr>
              <w:widowControl/>
              <w:jc w:val="left"/>
              <w:rPr>
                <w:color w:val="auto"/>
                <w:sz w:val="24"/>
              </w:rPr>
            </w:pPr>
            <w:r>
              <w:rPr>
                <w:rFonts w:hint="eastAsia"/>
                <w:color w:val="auto"/>
                <w:sz w:val="24"/>
              </w:rPr>
              <w:t>C2110</w:t>
            </w:r>
            <w:r>
              <w:rPr>
                <w:rFonts w:ascii="宋体" w:hAnsi="宋体" w:cs="宋体" w:hint="eastAsia"/>
                <w:color w:val="auto"/>
                <w:kern w:val="0"/>
                <w:sz w:val="24"/>
                <w:lang w:bidi="ar"/>
              </w:rPr>
              <w:t>木质家具制造</w:t>
            </w:r>
          </w:p>
        </w:tc>
        <w:tc>
          <w:tcPr>
            <w:tcW w:w="2270" w:type="dxa"/>
            <w:vAlign w:val="center"/>
          </w:tcPr>
          <w:p>
            <w:pPr>
              <w:adjustRightInd w:val="0"/>
              <w:snapToGrid w:val="0"/>
              <w:jc w:val="center"/>
              <w:rPr>
                <w:color w:val="auto"/>
                <w:sz w:val="24"/>
              </w:rPr>
            </w:pPr>
            <w:bookmarkStart w:id="0" w:name="_Hlk49843745"/>
            <w:r>
              <w:rPr>
                <w:color w:val="auto"/>
                <w:sz w:val="24"/>
              </w:rPr>
              <w:t>建设项目</w:t>
            </w:r>
          </w:p>
          <w:p>
            <w:pPr>
              <w:adjustRightInd w:val="0"/>
              <w:snapToGrid w:val="0"/>
              <w:jc w:val="center"/>
              <w:rPr>
                <w:color w:val="auto"/>
                <w:sz w:val="24"/>
              </w:rPr>
            </w:pPr>
            <w:r>
              <w:rPr>
                <w:color w:val="auto"/>
                <w:sz w:val="24"/>
              </w:rPr>
              <w:t>行业类别</w:t>
            </w:r>
            <w:bookmarkEnd w:id="0"/>
          </w:p>
        </w:tc>
        <w:tc>
          <w:tcPr>
            <w:tcW w:w="2863" w:type="dxa"/>
            <w:vAlign w:val="center"/>
          </w:tcPr>
          <w:p>
            <w:pPr>
              <w:widowControl/>
              <w:jc w:val="left"/>
              <w:rPr>
                <w:color w:val="auto"/>
                <w:sz w:val="24"/>
              </w:rPr>
            </w:pPr>
            <w:r>
              <w:rPr>
                <w:rFonts w:hint="eastAsia"/>
                <w:color w:val="auto"/>
                <w:sz w:val="24"/>
              </w:rPr>
              <w:t>36木质家具制造业211*</w:t>
            </w:r>
          </w:p>
        </w:tc>
      </w:tr>
      <w:tr>
        <w:tblPrEx>
          <w:tblW w:w="0" w:type="auto"/>
          <w:jc w:val="center"/>
          <w:tblInd w:w="3" w:type="dxa"/>
          <w:tblLayout w:type="fixed"/>
          <w:tblCellMar>
            <w:top w:w="0" w:type="dxa"/>
            <w:left w:w="0" w:type="dxa"/>
            <w:bottom w:w="0" w:type="dxa"/>
            <w:right w:w="0" w:type="dxa"/>
          </w:tblCellMar>
          <w:tblLook w:val="0000"/>
        </w:tblPrEx>
        <w:trPr>
          <w:trHeight w:val="1219"/>
          <w:jc w:val="center"/>
        </w:trPr>
        <w:tc>
          <w:tcPr>
            <w:tcW w:w="2059" w:type="dxa"/>
            <w:tcMar>
              <w:top w:w="16" w:type="dxa"/>
              <w:left w:w="16" w:type="dxa"/>
              <w:right w:w="16" w:type="dxa"/>
            </w:tcMar>
            <w:vAlign w:val="center"/>
          </w:tcPr>
          <w:p>
            <w:pPr>
              <w:adjustRightInd w:val="0"/>
              <w:snapToGrid w:val="0"/>
              <w:jc w:val="center"/>
              <w:rPr>
                <w:color w:val="auto"/>
                <w:sz w:val="24"/>
              </w:rPr>
            </w:pPr>
            <w:r>
              <w:rPr>
                <w:color w:val="auto"/>
                <w:sz w:val="24"/>
              </w:rPr>
              <w:t>建设性质</w:t>
            </w:r>
          </w:p>
        </w:tc>
        <w:tc>
          <w:tcPr>
            <w:tcW w:w="1678" w:type="dxa"/>
            <w:vAlign w:val="center"/>
          </w:tcPr>
          <w:p>
            <w:pPr>
              <w:jc w:val="left"/>
              <w:rPr>
                <w:color w:val="auto"/>
                <w:sz w:val="24"/>
              </w:rPr>
            </w:pPr>
            <w:r>
              <w:rPr>
                <w:rFonts w:ascii="Wingdings 2" w:hAnsi="Wingdings 2"/>
                <w:color w:val="auto"/>
                <w:sz w:val="24"/>
              </w:rPr>
              <w:sym w:font="Wingdings 2" w:char="F052"/>
            </w:r>
            <w:r>
              <w:rPr>
                <w:color w:val="auto"/>
                <w:sz w:val="24"/>
              </w:rPr>
              <w:t>新建（迁建）</w:t>
            </w:r>
          </w:p>
          <w:p>
            <w:pPr>
              <w:jc w:val="left"/>
              <w:rPr>
                <w:color w:val="auto"/>
                <w:sz w:val="24"/>
              </w:rPr>
            </w:pPr>
            <w:r>
              <w:rPr>
                <w:rFonts w:ascii="Wingdings 2" w:hAnsi="Wingdings 2"/>
                <w:color w:val="auto"/>
                <w:sz w:val="24"/>
              </w:rPr>
              <w:sym w:font="Wingdings 2" w:char="F0A3"/>
            </w:r>
            <w:r>
              <w:rPr>
                <w:color w:val="auto"/>
                <w:sz w:val="24"/>
              </w:rPr>
              <w:t>改建</w:t>
            </w:r>
          </w:p>
          <w:p>
            <w:pPr>
              <w:jc w:val="left"/>
              <w:rPr>
                <w:color w:val="auto"/>
                <w:sz w:val="24"/>
              </w:rPr>
            </w:pPr>
            <w:r>
              <w:rPr>
                <w:rFonts w:ascii="Wingdings 2" w:hAnsi="Wingdings 2"/>
                <w:color w:val="auto"/>
                <w:sz w:val="24"/>
              </w:rPr>
              <w:sym w:font="Wingdings 2" w:char="F0A3"/>
            </w:r>
            <w:r>
              <w:rPr>
                <w:color w:val="auto"/>
                <w:sz w:val="24"/>
              </w:rPr>
              <w:t>扩建</w:t>
            </w:r>
          </w:p>
          <w:p>
            <w:pPr>
              <w:jc w:val="left"/>
              <w:rPr>
                <w:color w:val="auto"/>
                <w:sz w:val="24"/>
              </w:rPr>
            </w:pPr>
            <w:r>
              <w:rPr>
                <w:rFonts w:ascii="Wingdings 2" w:hAnsi="Wingdings 2"/>
                <w:color w:val="auto"/>
                <w:sz w:val="24"/>
              </w:rPr>
              <w:sym w:font="Wingdings 2" w:char="F0A3"/>
            </w:r>
            <w:r>
              <w:rPr>
                <w:color w:val="auto"/>
                <w:sz w:val="24"/>
              </w:rPr>
              <w:t>技术改造</w:t>
            </w:r>
          </w:p>
        </w:tc>
        <w:tc>
          <w:tcPr>
            <w:tcW w:w="2270" w:type="dxa"/>
            <w:vAlign w:val="center"/>
          </w:tcPr>
          <w:p>
            <w:pPr>
              <w:adjustRightInd w:val="0"/>
              <w:snapToGrid w:val="0"/>
              <w:jc w:val="center"/>
              <w:rPr>
                <w:color w:val="auto"/>
                <w:sz w:val="24"/>
              </w:rPr>
            </w:pPr>
            <w:r>
              <w:rPr>
                <w:color w:val="auto"/>
                <w:sz w:val="24"/>
              </w:rPr>
              <w:t>建设项目</w:t>
            </w:r>
          </w:p>
          <w:p>
            <w:pPr>
              <w:adjustRightInd w:val="0"/>
              <w:snapToGrid w:val="0"/>
              <w:jc w:val="center"/>
              <w:rPr>
                <w:color w:val="auto"/>
                <w:sz w:val="24"/>
              </w:rPr>
            </w:pPr>
            <w:r>
              <w:rPr>
                <w:color w:val="auto"/>
                <w:sz w:val="24"/>
              </w:rPr>
              <w:t>申报情形</w:t>
            </w:r>
          </w:p>
        </w:tc>
        <w:tc>
          <w:tcPr>
            <w:tcW w:w="2863" w:type="dxa"/>
            <w:vAlign w:val="center"/>
          </w:tcPr>
          <w:p>
            <w:pPr>
              <w:jc w:val="left"/>
              <w:rPr>
                <w:color w:val="auto"/>
                <w:sz w:val="24"/>
              </w:rPr>
            </w:pPr>
            <w:r>
              <w:rPr>
                <w:rFonts w:ascii="Wingdings 2" w:hAnsi="Wingdings 2"/>
                <w:color w:val="auto"/>
                <w:sz w:val="24"/>
              </w:rPr>
              <w:sym w:font="Wingdings 2" w:char="F052"/>
            </w:r>
            <w:r>
              <w:rPr>
                <w:color w:val="auto"/>
                <w:sz w:val="24"/>
              </w:rPr>
              <w:t xml:space="preserve">首次申报项目             </w:t>
            </w:r>
          </w:p>
          <w:p>
            <w:pPr>
              <w:jc w:val="left"/>
              <w:rPr>
                <w:color w:val="auto"/>
                <w:sz w:val="24"/>
              </w:rPr>
            </w:pPr>
            <w:r>
              <w:rPr>
                <w:rFonts w:ascii="Wingdings 2" w:hAnsi="Wingdings 2"/>
                <w:color w:val="auto"/>
                <w:sz w:val="24"/>
              </w:rPr>
              <w:sym w:font="Wingdings 2" w:char="F0A3"/>
            </w:r>
            <w:r>
              <w:rPr>
                <w:color w:val="auto"/>
                <w:sz w:val="24"/>
              </w:rPr>
              <w:t>不予批准后再次申报项目</w:t>
            </w:r>
          </w:p>
          <w:p>
            <w:pPr>
              <w:jc w:val="left"/>
              <w:rPr>
                <w:color w:val="auto"/>
                <w:sz w:val="24"/>
              </w:rPr>
            </w:pPr>
            <w:r>
              <w:rPr>
                <w:rFonts w:ascii="Wingdings 2" w:hAnsi="Wingdings 2"/>
                <w:color w:val="auto"/>
                <w:sz w:val="24"/>
              </w:rPr>
              <w:sym w:font="Wingdings 2" w:char="F0A3"/>
            </w:r>
            <w:r>
              <w:rPr>
                <w:color w:val="auto"/>
                <w:sz w:val="24"/>
              </w:rPr>
              <w:t xml:space="preserve">超五年重新审核项目     </w:t>
            </w:r>
          </w:p>
          <w:p>
            <w:pPr>
              <w:jc w:val="left"/>
              <w:rPr>
                <w:color w:val="auto"/>
                <w:sz w:val="24"/>
              </w:rPr>
            </w:pPr>
            <w:r>
              <w:rPr>
                <w:rFonts w:ascii="Wingdings 2" w:hAnsi="Wingdings 2"/>
                <w:color w:val="auto"/>
                <w:sz w:val="24"/>
              </w:rPr>
              <w:sym w:font="Wingdings 2" w:char="F0A3"/>
            </w:r>
            <w:r>
              <w:rPr>
                <w:color w:val="auto"/>
                <w:sz w:val="24"/>
              </w:rPr>
              <w:t>重大变动重新报批项目</w:t>
            </w:r>
          </w:p>
        </w:tc>
      </w:tr>
      <w:tr>
        <w:tblPrEx>
          <w:tblW w:w="0" w:type="auto"/>
          <w:jc w:val="center"/>
          <w:tblInd w:w="3" w:type="dxa"/>
          <w:tblLayout w:type="fixed"/>
          <w:tblCellMar>
            <w:top w:w="0" w:type="dxa"/>
            <w:left w:w="0" w:type="dxa"/>
            <w:bottom w:w="0" w:type="dxa"/>
            <w:right w:w="0" w:type="dxa"/>
          </w:tblCellMar>
          <w:tblLook w:val="0000"/>
        </w:tblPrEx>
        <w:trPr>
          <w:trHeight w:val="851"/>
          <w:jc w:val="center"/>
        </w:trPr>
        <w:tc>
          <w:tcPr>
            <w:tcW w:w="2059" w:type="dxa"/>
            <w:tcMar>
              <w:top w:w="16" w:type="dxa"/>
              <w:left w:w="16" w:type="dxa"/>
              <w:right w:w="16" w:type="dxa"/>
            </w:tcMar>
            <w:vAlign w:val="center"/>
          </w:tcPr>
          <w:p>
            <w:pPr>
              <w:adjustRightInd w:val="0"/>
              <w:snapToGrid w:val="0"/>
              <w:jc w:val="center"/>
              <w:rPr>
                <w:color w:val="auto"/>
                <w:sz w:val="24"/>
              </w:rPr>
            </w:pPr>
            <w:r>
              <w:rPr>
                <w:color w:val="auto"/>
                <w:sz w:val="24"/>
              </w:rPr>
              <w:t>项目审批（核准/</w:t>
            </w:r>
          </w:p>
          <w:p>
            <w:pPr>
              <w:adjustRightInd w:val="0"/>
              <w:snapToGrid w:val="0"/>
              <w:jc w:val="center"/>
              <w:rPr>
                <w:color w:val="auto"/>
                <w:sz w:val="24"/>
              </w:rPr>
            </w:pPr>
            <w:r>
              <w:rPr>
                <w:color w:val="auto"/>
                <w:sz w:val="24"/>
              </w:rPr>
              <w:t>备案）部门（选填）</w:t>
            </w:r>
          </w:p>
        </w:tc>
        <w:tc>
          <w:tcPr>
            <w:tcW w:w="1678" w:type="dxa"/>
            <w:vAlign w:val="center"/>
          </w:tcPr>
          <w:p>
            <w:pPr>
              <w:adjustRightInd w:val="0"/>
              <w:snapToGrid w:val="0"/>
              <w:jc w:val="center"/>
              <w:rPr>
                <w:color w:val="auto"/>
                <w:sz w:val="24"/>
              </w:rPr>
            </w:pPr>
            <w:r>
              <w:rPr>
                <w:rFonts w:hint="eastAsia"/>
                <w:color w:val="auto"/>
                <w:sz w:val="24"/>
              </w:rPr>
              <w:t>周至县发展和改革委员会</w:t>
            </w:r>
          </w:p>
        </w:tc>
        <w:tc>
          <w:tcPr>
            <w:tcW w:w="2270" w:type="dxa"/>
            <w:vAlign w:val="center"/>
          </w:tcPr>
          <w:p>
            <w:pPr>
              <w:adjustRightInd w:val="0"/>
              <w:snapToGrid w:val="0"/>
              <w:jc w:val="center"/>
              <w:rPr>
                <w:color w:val="auto"/>
                <w:sz w:val="24"/>
              </w:rPr>
            </w:pPr>
            <w:r>
              <w:rPr>
                <w:color w:val="auto"/>
                <w:sz w:val="24"/>
              </w:rPr>
              <w:t>项目审批（核准/</w:t>
            </w:r>
          </w:p>
          <w:p>
            <w:pPr>
              <w:adjustRightInd w:val="0"/>
              <w:snapToGrid w:val="0"/>
              <w:jc w:val="center"/>
              <w:rPr>
                <w:color w:val="auto"/>
                <w:sz w:val="24"/>
              </w:rPr>
            </w:pPr>
            <w:r>
              <w:rPr>
                <w:color w:val="auto"/>
                <w:sz w:val="24"/>
              </w:rPr>
              <w:t>备案）文号（选填）</w:t>
            </w:r>
          </w:p>
        </w:tc>
        <w:tc>
          <w:tcPr>
            <w:tcW w:w="2863" w:type="dxa"/>
            <w:vAlign w:val="center"/>
          </w:tcPr>
          <w:p>
            <w:pPr>
              <w:adjustRightInd w:val="0"/>
              <w:snapToGrid w:val="0"/>
              <w:jc w:val="center"/>
              <w:rPr>
                <w:rFonts w:eastAsia="宋体" w:hint="eastAsia"/>
                <w:color w:val="auto"/>
                <w:sz w:val="24"/>
              </w:rPr>
            </w:pPr>
            <w:r>
              <w:rPr>
                <w:color w:val="auto"/>
                <w:sz w:val="24"/>
              </w:rPr>
              <w:t>/</w:t>
            </w:r>
          </w:p>
        </w:tc>
      </w:tr>
      <w:tr>
        <w:tblPrEx>
          <w:tblW w:w="0" w:type="auto"/>
          <w:jc w:val="center"/>
          <w:tblInd w:w="3" w:type="dxa"/>
          <w:tblLayout w:type="fixed"/>
          <w:tblCellMar>
            <w:top w:w="0" w:type="dxa"/>
            <w:left w:w="0" w:type="dxa"/>
            <w:bottom w:w="0" w:type="dxa"/>
            <w:right w:w="0" w:type="dxa"/>
          </w:tblCellMar>
          <w:tblLook w:val="0000"/>
        </w:tblPrEx>
        <w:trPr>
          <w:trHeight w:val="497"/>
          <w:jc w:val="center"/>
        </w:trPr>
        <w:tc>
          <w:tcPr>
            <w:tcW w:w="2059" w:type="dxa"/>
            <w:tcMar>
              <w:top w:w="16" w:type="dxa"/>
              <w:left w:w="16" w:type="dxa"/>
              <w:right w:w="16" w:type="dxa"/>
            </w:tcMar>
            <w:vAlign w:val="center"/>
          </w:tcPr>
          <w:p>
            <w:pPr>
              <w:adjustRightInd w:val="0"/>
              <w:snapToGrid w:val="0"/>
              <w:jc w:val="center"/>
              <w:rPr>
                <w:color w:val="auto"/>
                <w:sz w:val="24"/>
              </w:rPr>
            </w:pPr>
            <w:r>
              <w:rPr>
                <w:color w:val="auto"/>
                <w:sz w:val="24"/>
              </w:rPr>
              <w:t>总投资（万元）</w:t>
            </w:r>
          </w:p>
        </w:tc>
        <w:tc>
          <w:tcPr>
            <w:tcW w:w="1678" w:type="dxa"/>
            <w:vAlign w:val="center"/>
          </w:tcPr>
          <w:p>
            <w:pPr>
              <w:adjustRightInd w:val="0"/>
              <w:snapToGrid w:val="0"/>
              <w:jc w:val="center"/>
              <w:rPr>
                <w:color w:val="auto"/>
                <w:sz w:val="24"/>
              </w:rPr>
            </w:pPr>
            <w:r>
              <w:rPr>
                <w:rFonts w:hint="eastAsia"/>
                <w:color w:val="auto"/>
                <w:sz w:val="24"/>
              </w:rPr>
              <w:t>8000</w:t>
            </w:r>
          </w:p>
        </w:tc>
        <w:tc>
          <w:tcPr>
            <w:tcW w:w="2270" w:type="dxa"/>
            <w:tcMar>
              <w:top w:w="16" w:type="dxa"/>
              <w:left w:w="16" w:type="dxa"/>
              <w:right w:w="16" w:type="dxa"/>
            </w:tcMar>
            <w:vAlign w:val="center"/>
          </w:tcPr>
          <w:p>
            <w:pPr>
              <w:adjustRightInd w:val="0"/>
              <w:snapToGrid w:val="0"/>
              <w:jc w:val="center"/>
              <w:rPr>
                <w:color w:val="auto"/>
                <w:sz w:val="24"/>
              </w:rPr>
            </w:pPr>
            <w:r>
              <w:rPr>
                <w:color w:val="auto"/>
                <w:sz w:val="24"/>
              </w:rPr>
              <w:t>环保投资（万元）</w:t>
            </w:r>
          </w:p>
        </w:tc>
        <w:tc>
          <w:tcPr>
            <w:tcW w:w="2863" w:type="dxa"/>
            <w:vAlign w:val="center"/>
          </w:tcPr>
          <w:p>
            <w:pPr>
              <w:adjustRightInd w:val="0"/>
              <w:snapToGrid w:val="0"/>
              <w:jc w:val="center"/>
              <w:rPr>
                <w:color w:val="auto"/>
                <w:sz w:val="24"/>
              </w:rPr>
            </w:pPr>
            <w:r>
              <w:rPr>
                <w:rFonts w:hint="eastAsia"/>
                <w:color w:val="auto"/>
                <w:sz w:val="24"/>
              </w:rPr>
              <w:t>30</w:t>
            </w:r>
          </w:p>
        </w:tc>
      </w:tr>
      <w:tr>
        <w:tblPrEx>
          <w:tblW w:w="0" w:type="auto"/>
          <w:jc w:val="center"/>
          <w:tblInd w:w="3" w:type="dxa"/>
          <w:tblLayout w:type="fixed"/>
          <w:tblCellMar>
            <w:top w:w="0" w:type="dxa"/>
            <w:left w:w="0" w:type="dxa"/>
            <w:bottom w:w="0" w:type="dxa"/>
            <w:right w:w="0" w:type="dxa"/>
          </w:tblCellMar>
          <w:tblLook w:val="0000"/>
        </w:tblPrEx>
        <w:trPr>
          <w:trHeight w:val="497"/>
          <w:jc w:val="center"/>
        </w:trPr>
        <w:tc>
          <w:tcPr>
            <w:tcW w:w="2059" w:type="dxa"/>
            <w:tcMar>
              <w:top w:w="16" w:type="dxa"/>
              <w:left w:w="16" w:type="dxa"/>
              <w:right w:w="16" w:type="dxa"/>
            </w:tcMar>
            <w:vAlign w:val="center"/>
          </w:tcPr>
          <w:p>
            <w:pPr>
              <w:adjustRightInd w:val="0"/>
              <w:snapToGrid w:val="0"/>
              <w:jc w:val="center"/>
              <w:rPr>
                <w:color w:val="auto"/>
                <w:sz w:val="24"/>
              </w:rPr>
            </w:pPr>
            <w:r>
              <w:rPr>
                <w:color w:val="auto"/>
                <w:sz w:val="24"/>
              </w:rPr>
              <w:t>环保投资占比（%）</w:t>
            </w:r>
          </w:p>
        </w:tc>
        <w:tc>
          <w:tcPr>
            <w:tcW w:w="1678" w:type="dxa"/>
            <w:vAlign w:val="center"/>
          </w:tcPr>
          <w:p>
            <w:pPr>
              <w:adjustRightInd w:val="0"/>
              <w:snapToGrid w:val="0"/>
              <w:jc w:val="center"/>
              <w:rPr>
                <w:color w:val="auto"/>
                <w:sz w:val="24"/>
              </w:rPr>
            </w:pPr>
            <w:r>
              <w:rPr>
                <w:rFonts w:hint="eastAsia"/>
                <w:color w:val="auto"/>
                <w:sz w:val="24"/>
              </w:rPr>
              <w:t>0.4</w:t>
            </w:r>
          </w:p>
        </w:tc>
        <w:tc>
          <w:tcPr>
            <w:tcW w:w="2270" w:type="dxa"/>
            <w:tcMar>
              <w:top w:w="16" w:type="dxa"/>
              <w:left w:w="16" w:type="dxa"/>
              <w:right w:w="16" w:type="dxa"/>
            </w:tcMar>
            <w:vAlign w:val="center"/>
          </w:tcPr>
          <w:p>
            <w:pPr>
              <w:adjustRightInd w:val="0"/>
              <w:snapToGrid w:val="0"/>
              <w:jc w:val="center"/>
              <w:rPr>
                <w:color w:val="auto"/>
                <w:sz w:val="24"/>
              </w:rPr>
            </w:pPr>
            <w:r>
              <w:rPr>
                <w:color w:val="auto"/>
                <w:sz w:val="24"/>
              </w:rPr>
              <w:t>施工工期</w:t>
            </w:r>
          </w:p>
        </w:tc>
        <w:tc>
          <w:tcPr>
            <w:tcW w:w="2863" w:type="dxa"/>
            <w:vAlign w:val="center"/>
          </w:tcPr>
          <w:p>
            <w:pPr>
              <w:adjustRightInd w:val="0"/>
              <w:snapToGrid w:val="0"/>
              <w:jc w:val="center"/>
              <w:rPr>
                <w:color w:val="auto"/>
                <w:sz w:val="24"/>
              </w:rPr>
            </w:pPr>
            <w:r>
              <w:rPr>
                <w:color w:val="auto"/>
                <w:sz w:val="24"/>
              </w:rPr>
              <w:t>202</w:t>
            </w:r>
            <w:r>
              <w:rPr>
                <w:rFonts w:hint="eastAsia"/>
                <w:color w:val="auto"/>
                <w:sz w:val="24"/>
                <w:lang w:val="en-US" w:eastAsia="zh-CN"/>
              </w:rPr>
              <w:t>2</w:t>
            </w:r>
            <w:r>
              <w:rPr>
                <w:color w:val="auto"/>
                <w:sz w:val="24"/>
              </w:rPr>
              <w:t>年</w:t>
            </w:r>
            <w:r>
              <w:rPr>
                <w:rFonts w:hint="eastAsia"/>
                <w:color w:val="auto"/>
                <w:sz w:val="24"/>
                <w:lang w:val="en-US" w:eastAsia="zh-CN"/>
              </w:rPr>
              <w:t>4</w:t>
            </w:r>
            <w:r>
              <w:rPr>
                <w:color w:val="auto"/>
                <w:sz w:val="24"/>
              </w:rPr>
              <w:t>月</w:t>
            </w:r>
            <w:r>
              <w:rPr>
                <w:rFonts w:hint="eastAsia"/>
                <w:color w:val="auto"/>
                <w:sz w:val="24"/>
                <w:lang w:eastAsia="zh-CN"/>
              </w:rPr>
              <w:t>～</w:t>
            </w:r>
            <w:r>
              <w:rPr>
                <w:color w:val="auto"/>
                <w:sz w:val="24"/>
              </w:rPr>
              <w:t>2023年</w:t>
            </w:r>
            <w:r>
              <w:rPr>
                <w:rFonts w:hint="eastAsia"/>
                <w:color w:val="auto"/>
                <w:sz w:val="24"/>
              </w:rPr>
              <w:t>6</w:t>
            </w:r>
            <w:r>
              <w:rPr>
                <w:color w:val="auto"/>
                <w:sz w:val="24"/>
              </w:rPr>
              <w:t>月，</w:t>
            </w:r>
            <w:r>
              <w:rPr>
                <w:rFonts w:hint="eastAsia"/>
                <w:color w:val="auto"/>
                <w:sz w:val="24"/>
                <w:lang w:val="en-US" w:eastAsia="zh-CN"/>
              </w:rPr>
              <w:t>15</w:t>
            </w:r>
            <w:r>
              <w:rPr>
                <w:color w:val="auto"/>
                <w:sz w:val="24"/>
              </w:rPr>
              <w:t>个月</w:t>
            </w:r>
          </w:p>
        </w:tc>
      </w:tr>
      <w:tr>
        <w:tblPrEx>
          <w:tblW w:w="0" w:type="auto"/>
          <w:jc w:val="center"/>
          <w:tblInd w:w="3" w:type="dxa"/>
          <w:tblLayout w:type="fixed"/>
          <w:tblCellMar>
            <w:top w:w="0" w:type="dxa"/>
            <w:left w:w="0" w:type="dxa"/>
            <w:bottom w:w="0" w:type="dxa"/>
            <w:right w:w="0" w:type="dxa"/>
          </w:tblCellMar>
          <w:tblLook w:val="0000"/>
        </w:tblPrEx>
        <w:trPr>
          <w:trHeight w:val="497"/>
          <w:jc w:val="center"/>
        </w:trPr>
        <w:tc>
          <w:tcPr>
            <w:tcW w:w="2059" w:type="dxa"/>
            <w:tcMar>
              <w:top w:w="16" w:type="dxa"/>
              <w:left w:w="16" w:type="dxa"/>
              <w:right w:w="16" w:type="dxa"/>
            </w:tcMar>
            <w:vAlign w:val="center"/>
          </w:tcPr>
          <w:p>
            <w:pPr>
              <w:adjustRightInd w:val="0"/>
              <w:snapToGrid w:val="0"/>
              <w:jc w:val="center"/>
              <w:rPr>
                <w:color w:val="auto"/>
                <w:sz w:val="24"/>
              </w:rPr>
            </w:pPr>
            <w:r>
              <w:rPr>
                <w:color w:val="auto"/>
                <w:sz w:val="24"/>
              </w:rPr>
              <w:t>是否开工建设</w:t>
            </w:r>
          </w:p>
        </w:tc>
        <w:tc>
          <w:tcPr>
            <w:tcW w:w="1678" w:type="dxa"/>
            <w:vAlign w:val="center"/>
          </w:tcPr>
          <w:p>
            <w:pPr>
              <w:adjustRightInd w:val="0"/>
              <w:snapToGrid w:val="0"/>
              <w:rPr>
                <w:color w:val="auto"/>
                <w:sz w:val="24"/>
              </w:rPr>
            </w:pPr>
            <w:r>
              <w:rPr>
                <w:rFonts w:ascii="Wingdings 2" w:hAnsi="Wingdings 2"/>
                <w:color w:val="auto"/>
                <w:sz w:val="24"/>
              </w:rPr>
              <w:sym w:font="Wingdings 2" w:char="F052"/>
            </w:r>
            <w:r>
              <w:rPr>
                <w:color w:val="auto"/>
                <w:sz w:val="24"/>
              </w:rPr>
              <w:t>否</w:t>
            </w:r>
          </w:p>
          <w:p>
            <w:pPr>
              <w:adjustRightInd w:val="0"/>
              <w:snapToGrid w:val="0"/>
              <w:rPr>
                <w:color w:val="auto"/>
                <w:sz w:val="24"/>
              </w:rPr>
            </w:pPr>
            <w:r>
              <w:rPr>
                <w:rFonts w:ascii="Wingdings 2" w:hAnsi="Wingdings 2"/>
                <w:color w:val="auto"/>
                <w:sz w:val="24"/>
              </w:rPr>
              <w:sym w:font="Wingdings 2" w:char="F0A3"/>
            </w:r>
            <w:r>
              <w:rPr>
                <w:color w:val="auto"/>
                <w:sz w:val="24"/>
              </w:rPr>
              <w:t>是：</w:t>
            </w:r>
            <w:r>
              <w:rPr>
                <w:color w:val="auto"/>
                <w:sz w:val="24"/>
                <w:u w:val="single"/>
              </w:rPr>
              <w:t xml:space="preserve">             </w:t>
            </w:r>
          </w:p>
        </w:tc>
        <w:tc>
          <w:tcPr>
            <w:tcW w:w="2270" w:type="dxa"/>
            <w:tcMar>
              <w:top w:w="16" w:type="dxa"/>
              <w:left w:w="16" w:type="dxa"/>
              <w:right w:w="16" w:type="dxa"/>
            </w:tcMar>
            <w:vAlign w:val="center"/>
          </w:tcPr>
          <w:p>
            <w:pPr>
              <w:adjustRightInd w:val="0"/>
              <w:snapToGrid w:val="0"/>
              <w:jc w:val="center"/>
              <w:rPr>
                <w:color w:val="auto"/>
                <w:spacing w:val="-6"/>
                <w:sz w:val="24"/>
              </w:rPr>
            </w:pPr>
            <w:r>
              <w:rPr>
                <w:color w:val="auto"/>
                <w:spacing w:val="-6"/>
                <w:sz w:val="24"/>
              </w:rPr>
              <w:t>用地（用海）</w:t>
            </w:r>
          </w:p>
          <w:p>
            <w:pPr>
              <w:adjustRightInd w:val="0"/>
              <w:snapToGrid w:val="0"/>
              <w:jc w:val="center"/>
              <w:rPr>
                <w:color w:val="auto"/>
                <w:sz w:val="24"/>
              </w:rPr>
            </w:pPr>
            <w:r>
              <w:rPr>
                <w:color w:val="auto"/>
                <w:spacing w:val="-6"/>
                <w:sz w:val="24"/>
              </w:rPr>
              <w:t>面积（m</w:t>
            </w:r>
            <w:r>
              <w:rPr>
                <w:color w:val="auto"/>
                <w:spacing w:val="-6"/>
                <w:sz w:val="24"/>
                <w:vertAlign w:val="superscript"/>
              </w:rPr>
              <w:t>2</w:t>
            </w:r>
            <w:r>
              <w:rPr>
                <w:color w:val="auto"/>
                <w:spacing w:val="-6"/>
                <w:sz w:val="24"/>
              </w:rPr>
              <w:t>）</w:t>
            </w:r>
          </w:p>
        </w:tc>
        <w:tc>
          <w:tcPr>
            <w:tcW w:w="2863" w:type="dxa"/>
            <w:vAlign w:val="center"/>
          </w:tcPr>
          <w:p>
            <w:pPr>
              <w:adjustRightInd w:val="0"/>
              <w:snapToGrid w:val="0"/>
              <w:jc w:val="center"/>
              <w:rPr>
                <w:color w:val="auto"/>
                <w:sz w:val="24"/>
              </w:rPr>
            </w:pPr>
            <w:r>
              <w:rPr>
                <w:rFonts w:hint="eastAsia"/>
                <w:color w:val="auto"/>
                <w:kern w:val="0"/>
                <w:sz w:val="24"/>
              </w:rPr>
              <w:t>9811.52</w:t>
            </w:r>
          </w:p>
        </w:tc>
      </w:tr>
      <w:tr>
        <w:tblPrEx>
          <w:tblW w:w="0" w:type="auto"/>
          <w:jc w:val="center"/>
          <w:tblInd w:w="3" w:type="dxa"/>
          <w:tblLayout w:type="fixed"/>
          <w:tblCellMar>
            <w:top w:w="0" w:type="dxa"/>
            <w:left w:w="108" w:type="dxa"/>
            <w:bottom w:w="0" w:type="dxa"/>
            <w:right w:w="108" w:type="dxa"/>
          </w:tblCellMar>
          <w:tblLook w:val="0000"/>
        </w:tblPrEx>
        <w:trPr>
          <w:trHeight w:val="708"/>
          <w:jc w:val="center"/>
        </w:trPr>
        <w:tc>
          <w:tcPr>
            <w:tcW w:w="2059" w:type="dxa"/>
            <w:vAlign w:val="center"/>
          </w:tcPr>
          <w:p>
            <w:pPr>
              <w:autoSpaceDE w:val="0"/>
              <w:autoSpaceDN w:val="0"/>
              <w:adjustRightInd w:val="0"/>
              <w:snapToGrid w:val="0"/>
              <w:jc w:val="center"/>
              <w:rPr>
                <w:color w:val="auto"/>
                <w:kern w:val="0"/>
                <w:sz w:val="24"/>
              </w:rPr>
            </w:pPr>
            <w:r>
              <w:rPr>
                <w:color w:val="auto"/>
                <w:kern w:val="0"/>
                <w:sz w:val="24"/>
              </w:rPr>
              <w:t>专项评价设置情况</w:t>
            </w:r>
          </w:p>
        </w:tc>
        <w:tc>
          <w:tcPr>
            <w:tcW w:w="6811" w:type="dxa"/>
            <w:gridSpan w:val="3"/>
            <w:vAlign w:val="center"/>
          </w:tcPr>
          <w:p>
            <w:pPr>
              <w:autoSpaceDE w:val="0"/>
              <w:autoSpaceDN w:val="0"/>
              <w:adjustRightInd w:val="0"/>
              <w:snapToGrid w:val="0"/>
              <w:jc w:val="center"/>
              <w:rPr>
                <w:color w:val="auto"/>
                <w:kern w:val="0"/>
                <w:sz w:val="24"/>
              </w:rPr>
            </w:pPr>
            <w:r>
              <w:rPr>
                <w:color w:val="auto"/>
                <w:kern w:val="0"/>
                <w:sz w:val="24"/>
              </w:rPr>
              <w:t>无</w:t>
            </w:r>
          </w:p>
        </w:tc>
      </w:tr>
      <w:tr>
        <w:tblPrEx>
          <w:tblW w:w="0" w:type="auto"/>
          <w:jc w:val="center"/>
          <w:tblInd w:w="3" w:type="dxa"/>
          <w:tblLayout w:type="fixed"/>
          <w:tblCellMar>
            <w:top w:w="0" w:type="dxa"/>
            <w:left w:w="108" w:type="dxa"/>
            <w:bottom w:w="0" w:type="dxa"/>
            <w:right w:w="108" w:type="dxa"/>
          </w:tblCellMar>
          <w:tblLook w:val="0000"/>
        </w:tblPrEx>
        <w:trPr>
          <w:trHeight w:val="90"/>
          <w:jc w:val="center"/>
        </w:trPr>
        <w:tc>
          <w:tcPr>
            <w:tcW w:w="2059" w:type="dxa"/>
            <w:vAlign w:val="center"/>
          </w:tcPr>
          <w:p>
            <w:pPr>
              <w:autoSpaceDE w:val="0"/>
              <w:autoSpaceDN w:val="0"/>
              <w:adjustRightInd w:val="0"/>
              <w:snapToGrid w:val="0"/>
              <w:jc w:val="center"/>
              <w:rPr>
                <w:color w:val="auto"/>
                <w:kern w:val="0"/>
                <w:sz w:val="24"/>
              </w:rPr>
            </w:pPr>
            <w:r>
              <w:rPr>
                <w:color w:val="auto"/>
                <w:sz w:val="24"/>
              </w:rPr>
              <w:t>规划情况</w:t>
            </w:r>
          </w:p>
        </w:tc>
        <w:tc>
          <w:tcPr>
            <w:tcW w:w="6811" w:type="dxa"/>
            <w:gridSpan w:val="3"/>
            <w:vAlign w:val="center"/>
          </w:tcPr>
          <w:p>
            <w:pPr>
              <w:jc w:val="center"/>
              <w:rPr>
                <w:color w:val="auto"/>
                <w:sz w:val="24"/>
              </w:rPr>
            </w:pPr>
            <w:r>
              <w:rPr>
                <w:rFonts w:hint="eastAsia"/>
                <w:color w:val="auto"/>
                <w:sz w:val="24"/>
              </w:rPr>
              <w:t>《</w:t>
            </w:r>
            <w:r>
              <w:rPr>
                <w:color w:val="auto"/>
                <w:sz w:val="24"/>
              </w:rPr>
              <w:t>周至县集贤产业园区总体规划</w:t>
            </w:r>
            <w:r>
              <w:rPr>
                <w:rFonts w:hint="eastAsia"/>
                <w:color w:val="auto"/>
                <w:sz w:val="24"/>
              </w:rPr>
              <w:t>》</w:t>
            </w:r>
            <w:r>
              <w:rPr>
                <w:rFonts w:ascii="Times New Roman" w:hAnsi="Times New Roman" w:cs="Times New Roman" w:hint="default"/>
                <w:kern w:val="0"/>
                <w:szCs w:val="21"/>
              </w:rPr>
              <w:t>（2009-2025年）</w:t>
            </w:r>
          </w:p>
        </w:tc>
      </w:tr>
      <w:tr>
        <w:tblPrEx>
          <w:tblW w:w="0" w:type="auto"/>
          <w:jc w:val="center"/>
          <w:tblInd w:w="3" w:type="dxa"/>
          <w:tblLayout w:type="fixed"/>
          <w:tblCellMar>
            <w:top w:w="0" w:type="dxa"/>
            <w:left w:w="108" w:type="dxa"/>
            <w:bottom w:w="0" w:type="dxa"/>
            <w:right w:w="108" w:type="dxa"/>
          </w:tblCellMar>
          <w:tblLook w:val="0000"/>
        </w:tblPrEx>
        <w:trPr>
          <w:trHeight w:val="629"/>
          <w:jc w:val="center"/>
        </w:trPr>
        <w:tc>
          <w:tcPr>
            <w:tcW w:w="2059" w:type="dxa"/>
            <w:vAlign w:val="center"/>
          </w:tcPr>
          <w:p>
            <w:pPr>
              <w:adjustRightInd w:val="0"/>
              <w:snapToGrid w:val="0"/>
              <w:jc w:val="center"/>
              <w:rPr>
                <w:color w:val="auto"/>
                <w:kern w:val="0"/>
                <w:sz w:val="24"/>
              </w:rPr>
            </w:pPr>
            <w:r>
              <w:rPr>
                <w:color w:val="auto"/>
                <w:sz w:val="24"/>
              </w:rPr>
              <w:t>规划环境影响评价情况</w:t>
            </w:r>
          </w:p>
        </w:tc>
        <w:tc>
          <w:tcPr>
            <w:tcW w:w="6811" w:type="dxa"/>
            <w:gridSpan w:val="3"/>
            <w:vAlign w:val="center"/>
          </w:tcPr>
          <w:p>
            <w:pPr>
              <w:autoSpaceDE w:val="0"/>
              <w:autoSpaceDN w:val="0"/>
              <w:adjustRightInd w:val="0"/>
              <w:snapToGrid w:val="0"/>
              <w:spacing w:line="360" w:lineRule="auto"/>
              <w:jc w:val="left"/>
              <w:rPr>
                <w:color w:val="auto"/>
                <w:sz w:val="24"/>
              </w:rPr>
            </w:pPr>
            <w:r>
              <w:rPr>
                <w:rFonts w:hint="eastAsia"/>
                <w:color w:val="auto"/>
                <w:sz w:val="24"/>
              </w:rPr>
              <w:t>规划环评：</w:t>
            </w:r>
            <w:r>
              <w:rPr>
                <w:color w:val="auto"/>
                <w:sz w:val="24"/>
              </w:rPr>
              <w:t>《周至县集贤产业园区总体规划环境影响报告书》</w:t>
            </w:r>
          </w:p>
          <w:p>
            <w:pPr>
              <w:autoSpaceDE w:val="0"/>
              <w:autoSpaceDN w:val="0"/>
              <w:adjustRightInd w:val="0"/>
              <w:snapToGrid w:val="0"/>
              <w:spacing w:line="360" w:lineRule="auto"/>
              <w:jc w:val="left"/>
              <w:rPr>
                <w:rFonts w:hint="eastAsia"/>
                <w:color w:val="auto"/>
                <w:sz w:val="24"/>
              </w:rPr>
            </w:pPr>
            <w:r>
              <w:rPr>
                <w:rFonts w:hint="eastAsia"/>
                <w:color w:val="auto"/>
                <w:sz w:val="24"/>
              </w:rPr>
              <w:t>审查机关：西安市</w:t>
            </w:r>
            <w:r>
              <w:rPr>
                <w:rFonts w:hint="eastAsia"/>
                <w:color w:val="auto"/>
                <w:sz w:val="24"/>
                <w:lang w:val="en-US" w:eastAsia="zh-CN"/>
              </w:rPr>
              <w:t>周至县</w:t>
            </w:r>
            <w:r>
              <w:rPr>
                <w:rFonts w:hint="eastAsia"/>
                <w:color w:val="auto"/>
                <w:sz w:val="24"/>
              </w:rPr>
              <w:t>生态环境局（原</w:t>
            </w:r>
            <w:r>
              <w:rPr>
                <w:color w:val="auto"/>
                <w:sz w:val="24"/>
              </w:rPr>
              <w:t>西安市周至县环境保护局</w:t>
            </w:r>
            <w:r>
              <w:rPr>
                <w:rFonts w:hint="eastAsia"/>
                <w:color w:val="auto"/>
                <w:sz w:val="24"/>
              </w:rPr>
              <w:t>）</w:t>
            </w:r>
          </w:p>
          <w:p>
            <w:pPr>
              <w:autoSpaceDE w:val="0"/>
              <w:autoSpaceDN w:val="0"/>
              <w:adjustRightInd w:val="0"/>
              <w:snapToGrid w:val="0"/>
              <w:spacing w:line="360" w:lineRule="auto"/>
              <w:jc w:val="left"/>
              <w:rPr>
                <w:color w:val="auto"/>
                <w:sz w:val="24"/>
              </w:rPr>
            </w:pPr>
            <w:r>
              <w:rPr>
                <w:rFonts w:hint="eastAsia"/>
                <w:color w:val="auto"/>
                <w:sz w:val="24"/>
              </w:rPr>
              <w:t>审批文件名称及文号：</w:t>
            </w:r>
            <w:r>
              <w:rPr>
                <w:color w:val="auto"/>
                <w:sz w:val="24"/>
              </w:rPr>
              <w:t>《关于周至县集贤产业园区总体规划环境影响报告书的审查意见》（周环批复</w:t>
            </w:r>
            <w:r>
              <w:rPr>
                <w:rFonts w:ascii="仿宋" w:eastAsia="仿宋" w:hAnsi="仿宋" w:cs="仿宋" w:hint="eastAsia"/>
                <w:color w:val="auto"/>
                <w:sz w:val="24"/>
              </w:rPr>
              <w:t>〔</w:t>
            </w:r>
            <w:r>
              <w:rPr>
                <w:color w:val="auto"/>
                <w:sz w:val="24"/>
              </w:rPr>
              <w:t>2012</w:t>
            </w:r>
            <w:r>
              <w:rPr>
                <w:rFonts w:ascii="仿宋" w:eastAsia="仿宋" w:hAnsi="仿宋" w:cs="仿宋" w:hint="eastAsia"/>
                <w:color w:val="auto"/>
                <w:sz w:val="24"/>
              </w:rPr>
              <w:t>〕</w:t>
            </w:r>
            <w:r>
              <w:rPr>
                <w:color w:val="auto"/>
                <w:sz w:val="24"/>
              </w:rPr>
              <w:t>62号）</w:t>
            </w:r>
          </w:p>
        </w:tc>
      </w:tr>
    </w:tbl>
    <w:p>
      <w:pPr>
        <w:sectPr>
          <w:footerReference w:type="default" r:id="rId4"/>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1"/>
          <w:cols w:space="708"/>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059"/>
        <w:gridCol w:w="6811"/>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292"/>
          <w:jc w:val="center"/>
        </w:trPr>
        <w:tc>
          <w:tcPr>
            <w:tcW w:w="2059" w:type="dxa"/>
            <w:vAlign w:val="center"/>
          </w:tcPr>
          <w:p>
            <w:pPr>
              <w:autoSpaceDE w:val="0"/>
              <w:autoSpaceDN w:val="0"/>
              <w:adjustRightInd w:val="0"/>
              <w:snapToGrid w:val="0"/>
              <w:jc w:val="center"/>
              <w:rPr>
                <w:color w:val="auto"/>
                <w:kern w:val="0"/>
                <w:sz w:val="24"/>
              </w:rPr>
            </w:pPr>
            <w:r>
              <w:rPr>
                <w:color w:val="auto"/>
                <w:kern w:val="0"/>
                <w:sz w:val="24"/>
              </w:rPr>
              <w:t>规划及规划环境影响评价符合性分析</w:t>
            </w:r>
          </w:p>
        </w:tc>
        <w:tc>
          <w:tcPr>
            <w:tcW w:w="6811" w:type="dxa"/>
            <w:vAlign w:val="center"/>
          </w:tcPr>
          <w:p>
            <w:pPr>
              <w:autoSpaceDE w:val="0"/>
              <w:autoSpaceDN w:val="0"/>
              <w:adjustRightInd w:val="0"/>
              <w:snapToGrid w:val="0"/>
              <w:spacing w:line="360" w:lineRule="auto"/>
              <w:ind w:firstLine="480" w:firstLineChars="200"/>
              <w:rPr>
                <w:color w:val="auto"/>
                <w:kern w:val="0"/>
                <w:sz w:val="24"/>
              </w:rPr>
            </w:pPr>
            <w:r>
              <w:rPr>
                <w:color w:val="auto"/>
                <w:kern w:val="0"/>
                <w:sz w:val="24"/>
              </w:rPr>
              <w:t>根据园区产业规划主导产业工业类型为食品及粮油加工业、纺织工业、电子信息产业、包装印刷业、医药、机械、新型材料等行业，禁止高污染、高耗能的产业进入，本项目不在禁止入园的产业范围内，项目与周至县集贤产业园区总体规划环评及审查意见符合性见下表。</w:t>
            </w:r>
          </w:p>
          <w:p>
            <w:pPr>
              <w:adjustRightInd w:val="0"/>
              <w:snapToGrid w:val="0"/>
              <w:jc w:val="center"/>
              <w:rPr>
                <w:b/>
                <w:bCs/>
                <w:color w:val="auto"/>
                <w:szCs w:val="21"/>
              </w:rPr>
            </w:pPr>
            <w:r>
              <w:rPr>
                <w:b/>
                <w:bCs/>
                <w:color w:val="auto"/>
                <w:szCs w:val="21"/>
              </w:rPr>
              <w:t xml:space="preserve">表1  </w:t>
            </w:r>
            <w:r>
              <w:rPr>
                <w:rFonts w:hint="eastAsia"/>
                <w:b/>
                <w:bCs/>
                <w:color w:val="auto"/>
                <w:szCs w:val="21"/>
              </w:rPr>
              <w:t xml:space="preserve"> </w:t>
            </w:r>
            <w:r>
              <w:rPr>
                <w:b/>
                <w:bCs/>
                <w:color w:val="auto"/>
                <w:szCs w:val="21"/>
              </w:rPr>
              <w:t>项目与周至县集贤产业园区总体规划环评及审查意见符合性一览表</w:t>
            </w:r>
          </w:p>
          <w:tbl>
            <w:tblPr>
              <w:tblStyle w:val="TableNormal"/>
              <w:tblW w:w="0" w:type="auto"/>
              <w:jc w:val="center"/>
              <w:tblInd w:w="221" w:type="dxa"/>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22"/>
              <w:gridCol w:w="2438"/>
              <w:gridCol w:w="2281"/>
              <w:gridCol w:w="727"/>
            </w:tblGrid>
            <w:tr>
              <w:tblPrEx>
                <w:tblW w:w="0" w:type="auto"/>
                <w:jc w:val="center"/>
                <w:tblInd w:w="221" w:type="dxa"/>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260"/>
                <w:jc w:val="center"/>
              </w:trPr>
              <w:tc>
                <w:tcPr>
                  <w:tcW w:w="922" w:type="dxa"/>
                  <w:vAlign w:val="center"/>
                </w:tcPr>
                <w:p>
                  <w:pPr>
                    <w:jc w:val="center"/>
                    <w:rPr>
                      <w:b w:val="0"/>
                      <w:bCs w:val="0"/>
                      <w:color w:val="auto"/>
                      <w:szCs w:val="21"/>
                    </w:rPr>
                  </w:pPr>
                  <w:r>
                    <w:rPr>
                      <w:b w:val="0"/>
                      <w:bCs w:val="0"/>
                      <w:color w:val="auto"/>
                      <w:szCs w:val="21"/>
                    </w:rPr>
                    <w:t>规划内容</w:t>
                  </w:r>
                </w:p>
              </w:tc>
              <w:tc>
                <w:tcPr>
                  <w:tcW w:w="2438" w:type="dxa"/>
                  <w:vAlign w:val="center"/>
                </w:tcPr>
                <w:p>
                  <w:pPr>
                    <w:jc w:val="center"/>
                    <w:rPr>
                      <w:b w:val="0"/>
                      <w:bCs w:val="0"/>
                      <w:color w:val="auto"/>
                      <w:szCs w:val="21"/>
                    </w:rPr>
                  </w:pPr>
                  <w:r>
                    <w:rPr>
                      <w:b w:val="0"/>
                      <w:bCs w:val="0"/>
                      <w:color w:val="auto"/>
                      <w:szCs w:val="21"/>
                    </w:rPr>
                    <w:t>规划要求</w:t>
                  </w:r>
                </w:p>
              </w:tc>
              <w:tc>
                <w:tcPr>
                  <w:tcW w:w="2281" w:type="dxa"/>
                  <w:vAlign w:val="center"/>
                </w:tcPr>
                <w:p>
                  <w:pPr>
                    <w:jc w:val="center"/>
                    <w:rPr>
                      <w:b w:val="0"/>
                      <w:bCs w:val="0"/>
                      <w:color w:val="auto"/>
                      <w:szCs w:val="21"/>
                    </w:rPr>
                  </w:pPr>
                  <w:r>
                    <w:rPr>
                      <w:b w:val="0"/>
                      <w:bCs w:val="0"/>
                      <w:color w:val="auto"/>
                      <w:szCs w:val="21"/>
                    </w:rPr>
                    <w:t>本项目情况</w:t>
                  </w:r>
                </w:p>
              </w:tc>
              <w:tc>
                <w:tcPr>
                  <w:tcW w:w="727" w:type="dxa"/>
                  <w:vAlign w:val="center"/>
                </w:tcPr>
                <w:p>
                  <w:pPr>
                    <w:jc w:val="center"/>
                    <w:rPr>
                      <w:b w:val="0"/>
                      <w:bCs w:val="0"/>
                      <w:color w:val="auto"/>
                      <w:szCs w:val="21"/>
                    </w:rPr>
                  </w:pPr>
                  <w:r>
                    <w:rPr>
                      <w:b w:val="0"/>
                      <w:bCs w:val="0"/>
                      <w:color w:val="auto"/>
                      <w:szCs w:val="21"/>
                    </w:rPr>
                    <w:t>相符性</w:t>
                  </w:r>
                </w:p>
              </w:tc>
            </w:tr>
            <w:tr>
              <w:tblPrEx>
                <w:tblW w:w="0" w:type="auto"/>
                <w:jc w:val="center"/>
                <w:tblInd w:w="221" w:type="dxa"/>
                <w:tblLayout w:type="fixed"/>
                <w:tblCellMar>
                  <w:top w:w="0" w:type="dxa"/>
                  <w:left w:w="108" w:type="dxa"/>
                  <w:bottom w:w="0" w:type="dxa"/>
                  <w:right w:w="108" w:type="dxa"/>
                </w:tblCellMar>
                <w:tblLook w:val="0000"/>
              </w:tblPrEx>
              <w:trPr>
                <w:trHeight w:val="90"/>
                <w:jc w:val="center"/>
              </w:trPr>
              <w:tc>
                <w:tcPr>
                  <w:tcW w:w="922" w:type="dxa"/>
                  <w:vAlign w:val="center"/>
                </w:tcPr>
                <w:p>
                  <w:pPr>
                    <w:jc w:val="center"/>
                    <w:rPr>
                      <w:color w:val="auto"/>
                      <w:szCs w:val="21"/>
                    </w:rPr>
                  </w:pPr>
                  <w:r>
                    <w:rPr>
                      <w:color w:val="auto"/>
                      <w:szCs w:val="21"/>
                    </w:rPr>
                    <w:t>规划定位</w:t>
                  </w:r>
                </w:p>
              </w:tc>
              <w:tc>
                <w:tcPr>
                  <w:tcW w:w="2438" w:type="dxa"/>
                  <w:vAlign w:val="center"/>
                </w:tcPr>
                <w:p>
                  <w:pPr>
                    <w:jc w:val="center"/>
                    <w:rPr>
                      <w:color w:val="auto"/>
                      <w:szCs w:val="21"/>
                    </w:rPr>
                  </w:pPr>
                  <w:r>
                    <w:rPr>
                      <w:color w:val="auto"/>
                      <w:szCs w:val="21"/>
                      <w:u w:color="000000"/>
                    </w:rPr>
                    <w:t>以工业为主，居住和公共设施为辅的城市综合区，形成“三大产业板块”，即高新技术产业、现代制造业、现代服务业。</w:t>
                  </w:r>
                </w:p>
              </w:tc>
              <w:tc>
                <w:tcPr>
                  <w:tcW w:w="2281" w:type="dxa"/>
                  <w:vMerge w:val="restart"/>
                  <w:vAlign w:val="center"/>
                </w:tcPr>
                <w:p>
                  <w:pPr>
                    <w:jc w:val="center"/>
                    <w:rPr>
                      <w:rFonts w:eastAsia="宋体" w:hint="default"/>
                      <w:color w:val="FF0000"/>
                      <w:szCs w:val="21"/>
                    </w:rPr>
                  </w:pPr>
                  <w:r>
                    <w:rPr>
                      <w:rFonts w:hint="eastAsia"/>
                      <w:color w:val="FF0000"/>
                      <w:szCs w:val="21"/>
                      <w:u w:color="000000"/>
                    </w:rPr>
                    <w:t>项</w:t>
                  </w:r>
                  <w:r>
                    <w:rPr>
                      <w:color w:val="FF0000"/>
                      <w:szCs w:val="21"/>
                      <w:u w:color="000000"/>
                    </w:rPr>
                    <w:t>目</w:t>
                  </w:r>
                  <w:r>
                    <w:rPr>
                      <w:rFonts w:hint="eastAsia"/>
                      <w:color w:val="FF0000"/>
                      <w:szCs w:val="21"/>
                      <w:u w:color="000000"/>
                    </w:rPr>
                    <w:t>生产木制空间、木制品</w:t>
                  </w:r>
                  <w:r>
                    <w:rPr>
                      <w:rFonts w:hint="eastAsia"/>
                      <w:color w:val="FF0000"/>
                      <w:szCs w:val="21"/>
                      <w:u w:color="000000"/>
                      <w:lang w:eastAsia="zh-CN"/>
                    </w:rPr>
                    <w:t>，</w:t>
                  </w:r>
                  <w:r>
                    <w:rPr>
                      <w:rFonts w:hint="eastAsia"/>
                      <w:color w:val="FF0000"/>
                      <w:szCs w:val="21"/>
                      <w:u w:color="000000"/>
                      <w:lang w:val="en-US" w:eastAsia="zh-CN"/>
                    </w:rPr>
                    <w:t>属于</w:t>
                  </w:r>
                  <w:r>
                    <w:rPr>
                      <w:rFonts w:hint="eastAsia"/>
                      <w:color w:val="FF0000"/>
                      <w:szCs w:val="21"/>
                      <w:u w:val="none" w:color="000000"/>
                      <w:lang w:val="en-US" w:eastAsia="zh-CN"/>
                    </w:rPr>
                    <w:t xml:space="preserve">园区规划中的第二产业 </w:t>
                  </w:r>
                  <w:r>
                    <w:rPr>
                      <w:rFonts w:hint="eastAsia"/>
                      <w:color w:val="FF0000"/>
                      <w:szCs w:val="21"/>
                    </w:rPr>
                    <w:t>家具制造业</w:t>
                  </w:r>
                  <w:r>
                    <w:rPr>
                      <w:rFonts w:hint="eastAsia"/>
                      <w:color w:val="FF0000"/>
                      <w:szCs w:val="21"/>
                      <w:lang w:eastAsia="zh-CN"/>
                    </w:rPr>
                    <w:t>，</w:t>
                  </w:r>
                  <w:r>
                    <w:rPr>
                      <w:rFonts w:hint="eastAsia"/>
                      <w:color w:val="FF0000"/>
                      <w:szCs w:val="21"/>
                      <w:lang w:val="en-US" w:eastAsia="zh-CN"/>
                    </w:rPr>
                    <w:t>项目使用原料为原木和成品木工板，不进行人造板制造，符合园区产业定位。</w:t>
                  </w:r>
                </w:p>
              </w:tc>
              <w:tc>
                <w:tcPr>
                  <w:tcW w:w="727" w:type="dxa"/>
                  <w:vMerge w:val="restart"/>
                  <w:vAlign w:val="center"/>
                </w:tcPr>
                <w:p>
                  <w:pPr>
                    <w:jc w:val="center"/>
                    <w:rPr>
                      <w:color w:val="auto"/>
                      <w:szCs w:val="21"/>
                    </w:rPr>
                  </w:pPr>
                  <w:r>
                    <w:rPr>
                      <w:color w:val="auto"/>
                      <w:szCs w:val="21"/>
                    </w:rPr>
                    <w:t>符合</w:t>
                  </w:r>
                </w:p>
              </w:tc>
            </w:tr>
            <w:tr>
              <w:tblPrEx>
                <w:tblW w:w="0" w:type="auto"/>
                <w:jc w:val="center"/>
                <w:tblInd w:w="221" w:type="dxa"/>
                <w:tblLayout w:type="fixed"/>
                <w:tblCellMar>
                  <w:top w:w="0" w:type="dxa"/>
                  <w:left w:w="108" w:type="dxa"/>
                  <w:bottom w:w="0" w:type="dxa"/>
                  <w:right w:w="108" w:type="dxa"/>
                </w:tblCellMar>
                <w:tblLook w:val="0000"/>
              </w:tblPrEx>
              <w:trPr>
                <w:trHeight w:val="90"/>
                <w:jc w:val="center"/>
              </w:trPr>
              <w:tc>
                <w:tcPr>
                  <w:tcW w:w="922" w:type="dxa"/>
                  <w:vMerge w:val="restart"/>
                  <w:vAlign w:val="center"/>
                </w:tcPr>
                <w:p>
                  <w:pPr>
                    <w:jc w:val="center"/>
                    <w:rPr>
                      <w:color w:val="auto"/>
                      <w:szCs w:val="21"/>
                    </w:rPr>
                  </w:pPr>
                  <w:r>
                    <w:rPr>
                      <w:color w:val="auto"/>
                      <w:szCs w:val="21"/>
                    </w:rPr>
                    <w:t>产业定位</w:t>
                  </w:r>
                </w:p>
              </w:tc>
              <w:tc>
                <w:tcPr>
                  <w:tcW w:w="2438" w:type="dxa"/>
                  <w:vAlign w:val="center"/>
                </w:tcPr>
                <w:p>
                  <w:pPr>
                    <w:jc w:val="center"/>
                    <w:rPr>
                      <w:color w:val="FF0000"/>
                      <w:szCs w:val="21"/>
                    </w:rPr>
                  </w:pPr>
                  <w:r>
                    <w:rPr>
                      <w:color w:val="FF0000"/>
                      <w:szCs w:val="21"/>
                      <w:u w:color="000000"/>
                    </w:rPr>
                    <w:t>产业园区规划主导产业工业类型为食品及粮油加工业、纺织工业、电子信息产业、包装印刷业、医药、机械、新型材料等，区内的工业应按照高效益、高技术、低污染、低耗能、占地少的原则发展，通过高新技术产业的发展带动工业行业的整体发展。</w:t>
                  </w:r>
                </w:p>
              </w:tc>
              <w:tc>
                <w:tcPr>
                  <w:tcW w:w="2281" w:type="dxa"/>
                  <w:vMerge/>
                  <w:vAlign w:val="center"/>
                </w:tcPr>
                <w:p>
                  <w:pPr>
                    <w:jc w:val="center"/>
                    <w:rPr>
                      <w:rFonts w:eastAsia="宋体" w:hint="default"/>
                      <w:color w:val="FF0000"/>
                      <w:szCs w:val="21"/>
                    </w:rPr>
                  </w:pPr>
                </w:p>
              </w:tc>
              <w:tc>
                <w:tcPr>
                  <w:tcW w:w="727" w:type="dxa"/>
                  <w:vMerge/>
                  <w:vAlign w:val="center"/>
                </w:tcPr>
                <w:p>
                  <w:pPr>
                    <w:jc w:val="center"/>
                    <w:rPr>
                      <w:color w:val="auto"/>
                      <w:szCs w:val="21"/>
                    </w:rPr>
                  </w:pPr>
                </w:p>
              </w:tc>
            </w:tr>
            <w:tr>
              <w:tblPrEx>
                <w:tblW w:w="0" w:type="auto"/>
                <w:jc w:val="center"/>
                <w:tblInd w:w="221" w:type="dxa"/>
                <w:tblLayout w:type="fixed"/>
                <w:tblCellMar>
                  <w:top w:w="0" w:type="dxa"/>
                  <w:left w:w="108" w:type="dxa"/>
                  <w:bottom w:w="0" w:type="dxa"/>
                  <w:right w:w="108" w:type="dxa"/>
                </w:tblCellMar>
                <w:tblLook w:val="0000"/>
              </w:tblPrEx>
              <w:trPr>
                <w:trHeight w:val="90"/>
                <w:jc w:val="center"/>
              </w:trPr>
              <w:tc>
                <w:tcPr>
                  <w:tcW w:w="922" w:type="dxa"/>
                  <w:vMerge/>
                  <w:vAlign w:val="center"/>
                </w:tcPr>
                <w:p>
                  <w:pPr>
                    <w:jc w:val="center"/>
                    <w:rPr>
                      <w:color w:val="auto"/>
                      <w:szCs w:val="21"/>
                    </w:rPr>
                  </w:pPr>
                </w:p>
              </w:tc>
              <w:tc>
                <w:tcPr>
                  <w:tcW w:w="2438" w:type="dxa"/>
                  <w:vAlign w:val="center"/>
                </w:tcPr>
                <w:p>
                  <w:pPr>
                    <w:jc w:val="center"/>
                    <w:rPr>
                      <w:rFonts w:eastAsia="宋体" w:hint="default"/>
                      <w:color w:val="FF0000"/>
                      <w:szCs w:val="21"/>
                      <w:u w:color="000000"/>
                    </w:rPr>
                  </w:pPr>
                  <w:r>
                    <w:rPr>
                      <w:rFonts w:hint="eastAsia"/>
                      <w:color w:val="FF0000"/>
                      <w:szCs w:val="21"/>
                      <w:u w:color="000000"/>
                      <w:lang w:val="en-US" w:eastAsia="zh-CN"/>
                    </w:rPr>
                    <w:t>园区鼓励发展与限制发展行业中：第二产业 21 家具制造业 不宜在二类和一类工业用地上发展带胶的人造板</w:t>
                  </w:r>
                </w:p>
              </w:tc>
              <w:tc>
                <w:tcPr>
                  <w:tcW w:w="2281" w:type="dxa"/>
                  <w:vMerge/>
                  <w:vAlign w:val="center"/>
                </w:tcPr>
                <w:p>
                  <w:pPr>
                    <w:jc w:val="center"/>
                    <w:rPr>
                      <w:rFonts w:hint="eastAsia"/>
                      <w:color w:val="auto"/>
                      <w:szCs w:val="21"/>
                      <w:u w:color="000000"/>
                    </w:rPr>
                  </w:pPr>
                </w:p>
              </w:tc>
              <w:tc>
                <w:tcPr>
                  <w:tcW w:w="727" w:type="dxa"/>
                  <w:vMerge/>
                  <w:vAlign w:val="center"/>
                </w:tcPr>
                <w:p>
                  <w:pPr>
                    <w:jc w:val="center"/>
                    <w:rPr>
                      <w:color w:val="auto"/>
                      <w:szCs w:val="21"/>
                    </w:rPr>
                  </w:pPr>
                </w:p>
              </w:tc>
            </w:tr>
            <w:tr>
              <w:tblPrEx>
                <w:tblW w:w="0" w:type="auto"/>
                <w:jc w:val="center"/>
                <w:tblInd w:w="221" w:type="dxa"/>
                <w:tblLayout w:type="fixed"/>
                <w:tblCellMar>
                  <w:top w:w="0" w:type="dxa"/>
                  <w:left w:w="108" w:type="dxa"/>
                  <w:bottom w:w="0" w:type="dxa"/>
                  <w:right w:w="108" w:type="dxa"/>
                </w:tblCellMar>
                <w:tblLook w:val="0000"/>
              </w:tblPrEx>
              <w:trPr>
                <w:trHeight w:val="90"/>
                <w:jc w:val="center"/>
              </w:trPr>
              <w:tc>
                <w:tcPr>
                  <w:tcW w:w="922" w:type="dxa"/>
                  <w:vAlign w:val="center"/>
                </w:tcPr>
                <w:p>
                  <w:pPr>
                    <w:jc w:val="center"/>
                    <w:rPr>
                      <w:color w:val="auto"/>
                      <w:szCs w:val="21"/>
                    </w:rPr>
                  </w:pPr>
                  <w:r>
                    <w:rPr>
                      <w:color w:val="auto"/>
                      <w:szCs w:val="21"/>
                    </w:rPr>
                    <w:t>声环境控制措施</w:t>
                  </w:r>
                </w:p>
              </w:tc>
              <w:tc>
                <w:tcPr>
                  <w:tcW w:w="2438" w:type="dxa"/>
                  <w:vAlign w:val="center"/>
                </w:tcPr>
                <w:p>
                  <w:pPr>
                    <w:jc w:val="center"/>
                    <w:rPr>
                      <w:color w:val="auto"/>
                      <w:szCs w:val="21"/>
                    </w:rPr>
                  </w:pPr>
                  <w:r>
                    <w:rPr>
                      <w:color w:val="auto"/>
                      <w:szCs w:val="21"/>
                      <w:u w:color="000000"/>
                    </w:rPr>
                    <w:t>入区项目必须确保厂界噪声达标。对各种工业噪声源分别采用隔声、吸声和消声等措施，必要时应增加设置隔声罩、隔声屏障等措施，降低噪声源强，减少对周围环境的影响。</w:t>
                  </w:r>
                </w:p>
              </w:tc>
              <w:tc>
                <w:tcPr>
                  <w:tcW w:w="2281" w:type="dxa"/>
                  <w:vAlign w:val="center"/>
                </w:tcPr>
                <w:p>
                  <w:pPr>
                    <w:jc w:val="center"/>
                    <w:rPr>
                      <w:color w:val="auto"/>
                      <w:szCs w:val="21"/>
                      <w:u w:color="000000"/>
                    </w:rPr>
                  </w:pPr>
                  <w:r>
                    <w:rPr>
                      <w:color w:val="auto"/>
                      <w:szCs w:val="21"/>
                      <w:u w:color="000000"/>
                    </w:rPr>
                    <w:t>项目设备放置于厂房内，设基础减振，经预测，厂界噪声达标。</w:t>
                  </w:r>
                </w:p>
              </w:tc>
              <w:tc>
                <w:tcPr>
                  <w:tcW w:w="727" w:type="dxa"/>
                  <w:vAlign w:val="center"/>
                </w:tcPr>
                <w:p>
                  <w:pPr>
                    <w:jc w:val="center"/>
                    <w:rPr>
                      <w:color w:val="auto"/>
                      <w:szCs w:val="21"/>
                    </w:rPr>
                  </w:pPr>
                  <w:r>
                    <w:rPr>
                      <w:color w:val="auto"/>
                      <w:szCs w:val="21"/>
                    </w:rPr>
                    <w:t>符合</w:t>
                  </w:r>
                </w:p>
              </w:tc>
            </w:tr>
            <w:tr>
              <w:tblPrEx>
                <w:tblW w:w="0" w:type="auto"/>
                <w:jc w:val="center"/>
                <w:tblInd w:w="221" w:type="dxa"/>
                <w:tblLayout w:type="fixed"/>
                <w:tblCellMar>
                  <w:top w:w="0" w:type="dxa"/>
                  <w:left w:w="108" w:type="dxa"/>
                  <w:bottom w:w="0" w:type="dxa"/>
                  <w:right w:w="108" w:type="dxa"/>
                </w:tblCellMar>
                <w:tblLook w:val="0000"/>
              </w:tblPrEx>
              <w:trPr>
                <w:trHeight w:val="90"/>
                <w:jc w:val="center"/>
              </w:trPr>
              <w:tc>
                <w:tcPr>
                  <w:tcW w:w="922" w:type="dxa"/>
                  <w:vAlign w:val="center"/>
                </w:tcPr>
                <w:p>
                  <w:pPr>
                    <w:jc w:val="center"/>
                    <w:rPr>
                      <w:color w:val="auto"/>
                      <w:szCs w:val="21"/>
                    </w:rPr>
                  </w:pPr>
                  <w:r>
                    <w:rPr>
                      <w:color w:val="auto"/>
                      <w:szCs w:val="21"/>
                    </w:rPr>
                    <w:t>大气污染控制措施</w:t>
                  </w:r>
                </w:p>
              </w:tc>
              <w:tc>
                <w:tcPr>
                  <w:tcW w:w="2438" w:type="dxa"/>
                  <w:vAlign w:val="center"/>
                </w:tcPr>
                <w:p>
                  <w:pPr>
                    <w:jc w:val="center"/>
                    <w:rPr>
                      <w:color w:val="auto"/>
                      <w:szCs w:val="21"/>
                    </w:rPr>
                  </w:pPr>
                  <w:r>
                    <w:rPr>
                      <w:color w:val="auto"/>
                      <w:szCs w:val="21"/>
                      <w:u w:color="000000"/>
                    </w:rPr>
                    <w:t>实施清洁生产，节约能源，降低物耗，使污染物产生量和排放量最小化，减少大气污染；采取治理措施，对现有污染源进行治理，确保达标排放。</w:t>
                  </w:r>
                </w:p>
              </w:tc>
              <w:tc>
                <w:tcPr>
                  <w:tcW w:w="2281" w:type="dxa"/>
                  <w:vAlign w:val="center"/>
                </w:tcPr>
                <w:p>
                  <w:pPr>
                    <w:spacing w:after="0"/>
                    <w:jc w:val="center"/>
                    <w:rPr>
                      <w:color w:val="auto"/>
                      <w:szCs w:val="21"/>
                      <w:u w:color="000000"/>
                    </w:rPr>
                  </w:pPr>
                  <w:r>
                    <w:rPr>
                      <w:color w:val="auto"/>
                      <w:szCs w:val="21"/>
                      <w:u w:color="000000"/>
                    </w:rPr>
                    <w:t>项目</w:t>
                  </w:r>
                  <w:r>
                    <w:rPr>
                      <w:rFonts w:hint="eastAsia"/>
                      <w:color w:val="auto"/>
                      <w:szCs w:val="21"/>
                      <w:u w:color="000000"/>
                    </w:rPr>
                    <w:t>生产过程中产生的粉尘由集气罩收集后经中央布袋除尘器处理后通过</w:t>
                  </w:r>
                  <w:r>
                    <w:rPr>
                      <w:rFonts w:hint="eastAsia"/>
                      <w:color w:val="auto"/>
                      <w:szCs w:val="21"/>
                      <w:u w:color="000000"/>
                      <w:lang w:val="en-US" w:eastAsia="zh-CN"/>
                    </w:rPr>
                    <w:t>25m排气筒</w:t>
                  </w:r>
                  <w:r>
                    <w:rPr>
                      <w:rFonts w:hint="eastAsia"/>
                      <w:color w:val="auto"/>
                      <w:szCs w:val="21"/>
                      <w:u w:color="000000"/>
                    </w:rPr>
                    <w:t>排放；使用的木蜡油、UV漆、白乳胶均属于低VOC涂料，</w:t>
                  </w:r>
                </w:p>
              </w:tc>
              <w:tc>
                <w:tcPr>
                  <w:tcW w:w="727" w:type="dxa"/>
                  <w:vAlign w:val="center"/>
                </w:tcPr>
                <w:p>
                  <w:pPr>
                    <w:jc w:val="center"/>
                    <w:rPr>
                      <w:color w:val="auto"/>
                      <w:szCs w:val="21"/>
                    </w:rPr>
                  </w:pPr>
                  <w:r>
                    <w:rPr>
                      <w:color w:val="auto"/>
                      <w:szCs w:val="21"/>
                    </w:rPr>
                    <w:t>符合</w:t>
                  </w:r>
                </w:p>
              </w:tc>
            </w:tr>
          </w:tbl>
          <w:p/>
        </w:tc>
      </w:tr>
    </w:tbl>
    <w:p>
      <w:pPr>
        <w:sectPr>
          <w:footerReference w:type="default" r:id="rId5"/>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2"/>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6"/>
        <w:gridCol w:w="1603"/>
        <w:gridCol w:w="6811"/>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292"/>
          <w:jc w:val="center"/>
        </w:trPr>
        <w:tc>
          <w:tcPr>
            <w:tcW w:w="2059" w:type="dxa"/>
            <w:gridSpan w:val="2"/>
            <w:vAlign w:val="center"/>
          </w:tcPr>
          <w:p/>
        </w:tc>
        <w:tc>
          <w:tcPr>
            <w:tcW w:w="6811" w:type="dxa"/>
            <w:vAlign w:val="center"/>
          </w:tcPr>
          <w:tbl>
            <w:tblPr>
              <w:tblStyle w:val="TableNormal"/>
              <w:tblW w:w="0" w:type="auto"/>
              <w:jc w:val="center"/>
              <w:tblInd w:w="221" w:type="dxa"/>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22"/>
              <w:gridCol w:w="2438"/>
              <w:gridCol w:w="2281"/>
              <w:gridCol w:w="727"/>
            </w:tblGrid>
            <w:tr>
              <w:tblPrEx>
                <w:tblW w:w="0" w:type="auto"/>
                <w:jc w:val="center"/>
                <w:tblInd w:w="221" w:type="dxa"/>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90"/>
                <w:jc w:val="center"/>
              </w:trPr>
              <w:tc>
                <w:tcPr>
                  <w:tcW w:w="922" w:type="dxa"/>
                  <w:vAlign w:val="center"/>
                </w:tcPr>
                <w:p/>
              </w:tc>
              <w:tc>
                <w:tcPr>
                  <w:tcW w:w="2438" w:type="dxa"/>
                  <w:vAlign w:val="center"/>
                </w:tcPr>
                <w:p/>
              </w:tc>
              <w:tc>
                <w:tcPr>
                  <w:tcW w:w="2281" w:type="dxa"/>
                  <w:vAlign w:val="center"/>
                </w:tcPr>
                <w:p>
                  <w:pPr>
                    <w:spacing w:before="0"/>
                    <w:jc w:val="center"/>
                    <w:rPr>
                      <w:color w:val="auto"/>
                      <w:szCs w:val="21"/>
                      <w:u w:color="000000"/>
                    </w:rPr>
                  </w:pPr>
                  <w:r>
                    <w:rPr>
                      <w:rFonts w:hint="eastAsia"/>
                      <w:color w:val="auto"/>
                    </w:rPr>
                    <w:t>喷涂废气、胶粘、冷压废气采用密闭涂装房、密闭晾干房（干式过滤器（7套））、密闭UV涂装房）、集气罩（冷压机上方）+1套两级活性炭吸附箱+</w:t>
                  </w:r>
                  <w:r>
                    <w:rPr>
                      <w:rFonts w:hint="eastAsia"/>
                      <w:color w:val="auto"/>
                      <w:lang w:val="en-US" w:eastAsia="zh-CN"/>
                    </w:rPr>
                    <w:t>25m高排气筒</w:t>
                  </w:r>
                  <w:r>
                    <w:rPr>
                      <w:rFonts w:hint="eastAsia"/>
                      <w:color w:val="auto"/>
                    </w:rPr>
                    <w:t>DA002</w:t>
                  </w:r>
                  <w:r>
                    <w:rPr>
                      <w:rFonts w:hint="eastAsia"/>
                      <w:color w:val="auto"/>
                      <w:szCs w:val="21"/>
                      <w:u w:color="000000"/>
                    </w:rPr>
                    <w:t>达标排放</w:t>
                  </w:r>
                  <w:r>
                    <w:rPr>
                      <w:color w:val="auto"/>
                      <w:szCs w:val="21"/>
                      <w:u w:color="000000"/>
                    </w:rPr>
                    <w:t>。</w:t>
                  </w:r>
                </w:p>
              </w:tc>
              <w:tc>
                <w:tcPr>
                  <w:tcW w:w="727" w:type="dxa"/>
                  <w:vAlign w:val="center"/>
                </w:tcPr>
                <w:p/>
              </w:tc>
            </w:tr>
            <w:tr>
              <w:tblPrEx>
                <w:tblW w:w="0" w:type="auto"/>
                <w:jc w:val="center"/>
                <w:tblInd w:w="221" w:type="dxa"/>
                <w:tblLayout w:type="fixed"/>
                <w:tblCellMar>
                  <w:top w:w="0" w:type="dxa"/>
                  <w:left w:w="108" w:type="dxa"/>
                  <w:bottom w:w="0" w:type="dxa"/>
                  <w:right w:w="108" w:type="dxa"/>
                </w:tblCellMar>
                <w:tblLook w:val="0000"/>
              </w:tblPrEx>
              <w:trPr>
                <w:trHeight w:val="90"/>
                <w:jc w:val="center"/>
              </w:trPr>
              <w:tc>
                <w:tcPr>
                  <w:tcW w:w="922" w:type="dxa"/>
                  <w:vAlign w:val="center"/>
                </w:tcPr>
                <w:p>
                  <w:pPr>
                    <w:jc w:val="center"/>
                    <w:rPr>
                      <w:color w:val="auto"/>
                      <w:szCs w:val="21"/>
                    </w:rPr>
                  </w:pPr>
                  <w:r>
                    <w:rPr>
                      <w:color w:val="auto"/>
                      <w:szCs w:val="21"/>
                    </w:rPr>
                    <w:t>固废控制措施</w:t>
                  </w:r>
                </w:p>
              </w:tc>
              <w:tc>
                <w:tcPr>
                  <w:tcW w:w="2438" w:type="dxa"/>
                  <w:vAlign w:val="center"/>
                </w:tcPr>
                <w:p>
                  <w:pPr>
                    <w:jc w:val="center"/>
                    <w:rPr>
                      <w:color w:val="auto"/>
                      <w:szCs w:val="21"/>
                    </w:rPr>
                  </w:pPr>
                  <w:r>
                    <w:rPr>
                      <w:color w:val="auto"/>
                      <w:szCs w:val="21"/>
                      <w:u w:color="000000"/>
                    </w:rPr>
                    <w:t>园区内产生的生活垃圾，由园区统一收集后清运至周至县垃圾填埋场集中处置；一般工业固废按照减量化、资源化的原则，加强废物循环和回收再利用；危险废物委托有资质单位规范处置并严格执行转移联单制度。</w:t>
                  </w:r>
                </w:p>
              </w:tc>
              <w:tc>
                <w:tcPr>
                  <w:tcW w:w="2281" w:type="dxa"/>
                  <w:vAlign w:val="center"/>
                </w:tcPr>
                <w:p>
                  <w:pPr>
                    <w:jc w:val="center"/>
                    <w:rPr>
                      <w:color w:val="auto"/>
                      <w:szCs w:val="21"/>
                    </w:rPr>
                  </w:pPr>
                  <w:r>
                    <w:rPr>
                      <w:color w:val="auto"/>
                      <w:szCs w:val="21"/>
                      <w:u w:color="000000"/>
                    </w:rPr>
                    <w:t>项目生活垃圾由环卫部门清运处理，一般工业固废</w:t>
                  </w:r>
                  <w:r>
                    <w:rPr>
                      <w:rFonts w:hint="eastAsia"/>
                      <w:color w:val="auto"/>
                      <w:szCs w:val="21"/>
                      <w:u w:color="000000"/>
                    </w:rPr>
                    <w:t>外售物资回收部门</w:t>
                  </w:r>
                  <w:r>
                    <w:rPr>
                      <w:color w:val="auto"/>
                      <w:szCs w:val="21"/>
                      <w:u w:color="000000"/>
                    </w:rPr>
                    <w:t>，危险废物委托危废资质单位处置。</w:t>
                  </w:r>
                </w:p>
              </w:tc>
              <w:tc>
                <w:tcPr>
                  <w:tcW w:w="727" w:type="dxa"/>
                  <w:vAlign w:val="center"/>
                </w:tcPr>
                <w:p>
                  <w:pPr>
                    <w:jc w:val="center"/>
                    <w:rPr>
                      <w:color w:val="auto"/>
                      <w:szCs w:val="21"/>
                    </w:rPr>
                  </w:pPr>
                  <w:r>
                    <w:rPr>
                      <w:color w:val="auto"/>
                      <w:szCs w:val="21"/>
                    </w:rPr>
                    <w:t>符合</w:t>
                  </w:r>
                </w:p>
              </w:tc>
            </w:tr>
            <w:tr>
              <w:tblPrEx>
                <w:tblW w:w="0" w:type="auto"/>
                <w:jc w:val="center"/>
                <w:tblInd w:w="221" w:type="dxa"/>
                <w:tblLayout w:type="fixed"/>
                <w:tblCellMar>
                  <w:top w:w="0" w:type="dxa"/>
                  <w:left w:w="108" w:type="dxa"/>
                  <w:bottom w:w="0" w:type="dxa"/>
                  <w:right w:w="108" w:type="dxa"/>
                </w:tblCellMar>
                <w:tblLook w:val="0000"/>
              </w:tblPrEx>
              <w:trPr>
                <w:trHeight w:val="90"/>
                <w:jc w:val="center"/>
              </w:trPr>
              <w:tc>
                <w:tcPr>
                  <w:tcW w:w="922" w:type="dxa"/>
                  <w:vAlign w:val="center"/>
                </w:tcPr>
                <w:p>
                  <w:pPr>
                    <w:jc w:val="center"/>
                    <w:rPr>
                      <w:color w:val="auto"/>
                      <w:szCs w:val="21"/>
                    </w:rPr>
                  </w:pPr>
                  <w:r>
                    <w:rPr>
                      <w:color w:val="auto"/>
                      <w:szCs w:val="21"/>
                    </w:rPr>
                    <w:t>水环境保护措施</w:t>
                  </w:r>
                </w:p>
              </w:tc>
              <w:tc>
                <w:tcPr>
                  <w:tcW w:w="2438" w:type="dxa"/>
                  <w:vAlign w:val="center"/>
                </w:tcPr>
                <w:p>
                  <w:pPr>
                    <w:jc w:val="center"/>
                    <w:rPr>
                      <w:color w:val="auto"/>
                      <w:szCs w:val="21"/>
                    </w:rPr>
                  </w:pPr>
                  <w:r>
                    <w:rPr>
                      <w:color w:val="auto"/>
                      <w:szCs w:val="21"/>
                      <w:u w:color="000000"/>
                    </w:rPr>
                    <w:t>园区建设集中式污水处理厂，并实行雨污分流，入园企业排放废水必须经处理后达到《黄河流域（陕西段）污水综合排放标准》（DB61/224-2011）中的二级标准和《污水综合排放标准》（GB8978-1996）三级标准后排入园区污水处理厂。</w:t>
                  </w:r>
                </w:p>
              </w:tc>
              <w:tc>
                <w:tcPr>
                  <w:tcW w:w="2281" w:type="dxa"/>
                  <w:vAlign w:val="center"/>
                </w:tcPr>
                <w:p>
                  <w:pPr>
                    <w:jc w:val="center"/>
                    <w:rPr>
                      <w:color w:val="auto"/>
                      <w:szCs w:val="21"/>
                    </w:rPr>
                  </w:pPr>
                  <w:r>
                    <w:rPr>
                      <w:color w:val="auto"/>
                      <w:szCs w:val="21"/>
                      <w:u w:color="000000"/>
                    </w:rPr>
                    <w:t>项目生活污水经化粪池处理后满足《污水综合排放标准》（GB8978-1996）三级标准</w:t>
                  </w:r>
                  <w:r>
                    <w:rPr>
                      <w:rFonts w:hint="eastAsia"/>
                      <w:color w:val="auto"/>
                      <w:szCs w:val="21"/>
                      <w:u w:color="000000"/>
                    </w:rPr>
                    <w:t>和《污水排入城镇下水道水质标准》（GBT31962-2015）</w:t>
                  </w:r>
                  <w:r>
                    <w:rPr>
                      <w:color w:val="auto"/>
                      <w:szCs w:val="21"/>
                      <w:u w:color="000000"/>
                    </w:rPr>
                    <w:t>，而后排入集贤产业园污水处理厂。</w:t>
                  </w:r>
                </w:p>
              </w:tc>
              <w:tc>
                <w:tcPr>
                  <w:tcW w:w="727" w:type="dxa"/>
                  <w:vAlign w:val="center"/>
                </w:tcPr>
                <w:p>
                  <w:pPr>
                    <w:jc w:val="center"/>
                    <w:rPr>
                      <w:color w:val="auto"/>
                      <w:szCs w:val="21"/>
                    </w:rPr>
                  </w:pPr>
                  <w:r>
                    <w:rPr>
                      <w:color w:val="auto"/>
                      <w:szCs w:val="21"/>
                    </w:rPr>
                    <w:t>符合</w:t>
                  </w:r>
                </w:p>
              </w:tc>
            </w:tr>
          </w:tbl>
          <w:p>
            <w:pPr>
              <w:autoSpaceDE w:val="0"/>
              <w:autoSpaceDN w:val="0"/>
              <w:adjustRightInd w:val="0"/>
              <w:snapToGrid w:val="0"/>
              <w:spacing w:line="360" w:lineRule="auto"/>
              <w:jc w:val="center"/>
              <w:rPr>
                <w:bCs/>
                <w:color w:val="auto"/>
                <w:spacing w:val="-6"/>
                <w:sz w:val="24"/>
              </w:rPr>
            </w:pPr>
          </w:p>
        </w:tc>
      </w:tr>
      <w:tr>
        <w:tblPrEx>
          <w:tblW w:w="0" w:type="auto"/>
          <w:jc w:val="center"/>
          <w:tblInd w:w="3" w:type="dxa"/>
          <w:tblLayout w:type="fixed"/>
          <w:tblCellMar>
            <w:top w:w="0" w:type="dxa"/>
            <w:left w:w="108" w:type="dxa"/>
            <w:bottom w:w="0" w:type="dxa"/>
            <w:right w:w="108" w:type="dxa"/>
          </w:tblCellMar>
          <w:tblLook w:val="0000"/>
        </w:tblPrEx>
        <w:trPr>
          <w:trHeight w:val="90"/>
          <w:jc w:val="center"/>
        </w:trPr>
        <w:tc>
          <w:tcPr>
            <w:tcW w:w="456" w:type="dxa"/>
            <w:vAlign w:val="center"/>
          </w:tcPr>
          <w:p>
            <w:pPr>
              <w:autoSpaceDE w:val="0"/>
              <w:autoSpaceDN w:val="0"/>
              <w:adjustRightInd w:val="0"/>
              <w:snapToGrid w:val="0"/>
              <w:jc w:val="center"/>
              <w:rPr>
                <w:color w:val="auto"/>
                <w:kern w:val="0"/>
                <w:sz w:val="24"/>
              </w:rPr>
            </w:pPr>
            <w:r>
              <w:rPr>
                <w:color w:val="auto"/>
                <w:kern w:val="0"/>
                <w:sz w:val="24"/>
              </w:rPr>
              <w:t>其他符合性分析</w:t>
            </w:r>
          </w:p>
        </w:tc>
        <w:tc>
          <w:tcPr>
            <w:tcW w:w="8414" w:type="dxa"/>
            <w:gridSpan w:val="2"/>
            <w:vAlign w:val="center"/>
          </w:tcPr>
          <w:p>
            <w:pPr>
              <w:autoSpaceDE w:val="0"/>
              <w:autoSpaceDN w:val="0"/>
              <w:adjustRightInd w:val="0"/>
              <w:snapToGrid w:val="0"/>
              <w:spacing w:line="360" w:lineRule="auto"/>
              <w:jc w:val="left"/>
              <w:rPr>
                <w:color w:val="auto"/>
                <w:sz w:val="24"/>
              </w:rPr>
            </w:pPr>
            <w:r>
              <w:rPr>
                <w:color w:val="auto"/>
                <w:sz w:val="24"/>
              </w:rPr>
              <w:t>1、产业政策分析</w:t>
            </w:r>
          </w:p>
          <w:p>
            <w:pPr>
              <w:widowControl/>
              <w:spacing w:line="360" w:lineRule="auto"/>
              <w:ind w:firstLine="480" w:firstLineChars="200"/>
              <w:jc w:val="left"/>
              <w:rPr>
                <w:color w:val="auto"/>
                <w:sz w:val="24"/>
              </w:rPr>
            </w:pPr>
            <w:r>
              <w:rPr>
                <w:color w:val="auto"/>
                <w:sz w:val="24"/>
              </w:rPr>
              <w:t>根据《产业结构调整指导目录（2019年本）》，本项目不属于限制类和淘汰类建设项目，且本项目不在《陕西省限制投资类产业指导目录》（陕发改产业〔2007〕97号）里面，且项目已取得周至县发展和改革委员会《陕西省企业投资项目备案确认书》（附件2），项目代码：</w:t>
            </w:r>
            <w:r>
              <w:rPr>
                <w:rFonts w:hint="eastAsia"/>
                <w:color w:val="auto"/>
                <w:sz w:val="24"/>
              </w:rPr>
              <w:t>2109-610124-04-01-890541</w:t>
            </w:r>
            <w:r>
              <w:rPr>
                <w:color w:val="auto"/>
                <w:sz w:val="24"/>
              </w:rPr>
              <w:t>，同时本项目不属于《市场准入负面清单（2020版）》中的禁止准入类项目。</w:t>
            </w:r>
          </w:p>
          <w:p>
            <w:pPr>
              <w:widowControl/>
              <w:spacing w:line="360" w:lineRule="auto"/>
              <w:ind w:firstLine="480" w:firstLineChars="200"/>
              <w:jc w:val="left"/>
              <w:rPr>
                <w:color w:val="auto"/>
                <w:sz w:val="24"/>
              </w:rPr>
            </w:pPr>
            <w:r>
              <w:rPr>
                <w:color w:val="auto"/>
                <w:sz w:val="24"/>
              </w:rPr>
              <w:t>因此，本项目符合国家及地方产业政策。</w:t>
            </w:r>
          </w:p>
          <w:p>
            <w:pPr>
              <w:autoSpaceDE w:val="0"/>
              <w:autoSpaceDN w:val="0"/>
              <w:adjustRightInd w:val="0"/>
              <w:snapToGrid w:val="0"/>
              <w:spacing w:line="360" w:lineRule="auto"/>
              <w:jc w:val="left"/>
              <w:rPr>
                <w:color w:val="auto"/>
                <w:sz w:val="24"/>
              </w:rPr>
            </w:pPr>
            <w:r>
              <w:rPr>
                <w:color w:val="auto"/>
                <w:sz w:val="24"/>
              </w:rPr>
              <w:t>2、与“三线一单”的相符性</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eastAsia="宋体" w:hAnsi="宋体" w:cs="宋体" w:hint="eastAsia"/>
                <w:color w:val="auto"/>
                <w:kern w:val="0"/>
                <w:sz w:val="24"/>
                <w:lang w:bidi="ar"/>
              </w:rPr>
            </w:pPr>
            <w:r>
              <w:rPr>
                <w:rFonts w:ascii="宋体" w:eastAsia="宋体" w:hAnsi="宋体" w:cs="宋体" w:hint="eastAsia"/>
                <w:color w:val="auto"/>
                <w:kern w:val="0"/>
                <w:sz w:val="24"/>
                <w:szCs w:val="24"/>
                <w:lang w:val="en-US" w:eastAsia="zh-CN" w:bidi="ar"/>
              </w:rPr>
              <w:t>根据《西安市</w:t>
            </w:r>
            <w:r>
              <w:rPr>
                <w:rFonts w:ascii="Times New Roman" w:eastAsia="宋体" w:hAnsi="Times New Roman" w:cs="Times New Roman" w:hint="default"/>
                <w:color w:val="auto"/>
                <w:kern w:val="0"/>
                <w:sz w:val="24"/>
                <w:szCs w:val="24"/>
                <w:lang w:val="en-US" w:eastAsia="zh-CN" w:bidi="ar"/>
              </w:rPr>
              <w:t>“</w:t>
            </w:r>
            <w:r>
              <w:rPr>
                <w:rFonts w:ascii="宋体" w:eastAsia="宋体" w:hAnsi="宋体" w:cs="宋体" w:hint="eastAsia"/>
                <w:color w:val="auto"/>
                <w:kern w:val="0"/>
                <w:sz w:val="24"/>
                <w:szCs w:val="24"/>
                <w:lang w:val="en-US" w:eastAsia="zh-CN" w:bidi="ar"/>
              </w:rPr>
              <w:t>三线一单</w:t>
            </w:r>
            <w:r>
              <w:rPr>
                <w:rFonts w:ascii="Times New Roman" w:eastAsia="宋体" w:hAnsi="Times New Roman" w:cs="Times New Roman" w:hint="default"/>
                <w:color w:val="auto"/>
                <w:kern w:val="0"/>
                <w:sz w:val="24"/>
                <w:szCs w:val="24"/>
                <w:lang w:val="en-US" w:eastAsia="zh-CN" w:bidi="ar"/>
              </w:rPr>
              <w:t>”</w:t>
            </w:r>
            <w:r>
              <w:rPr>
                <w:rFonts w:ascii="宋体" w:eastAsia="宋体" w:hAnsi="宋体" w:cs="宋体" w:hint="eastAsia"/>
                <w:color w:val="auto"/>
                <w:kern w:val="0"/>
                <w:sz w:val="24"/>
                <w:szCs w:val="24"/>
                <w:lang w:val="en-US" w:eastAsia="zh-CN" w:bidi="ar"/>
              </w:rPr>
              <w:t>生态环境分区管控的意见》（市政发〔</w:t>
            </w:r>
            <w:r>
              <w:rPr>
                <w:rFonts w:ascii="Times New Roman" w:eastAsia="宋体" w:hAnsi="Times New Roman" w:cs="Times New Roman" w:hint="default"/>
                <w:color w:val="auto"/>
                <w:kern w:val="0"/>
                <w:sz w:val="24"/>
                <w:szCs w:val="24"/>
                <w:lang w:val="en-US" w:eastAsia="zh-CN" w:bidi="ar"/>
              </w:rPr>
              <w:t>2021</w:t>
            </w:r>
            <w:r>
              <w:rPr>
                <w:rFonts w:ascii="宋体" w:eastAsia="宋体" w:hAnsi="宋体" w:cs="宋体" w:hint="eastAsia"/>
                <w:color w:val="auto"/>
                <w:kern w:val="0"/>
                <w:sz w:val="24"/>
                <w:szCs w:val="24"/>
                <w:lang w:val="en-US" w:eastAsia="zh-CN" w:bidi="ar"/>
              </w:rPr>
              <w:t>〕</w:t>
            </w:r>
            <w:r>
              <w:rPr>
                <w:rFonts w:ascii="Times New Roman" w:eastAsia="宋体" w:hAnsi="Times New Roman" w:cs="Times New Roman" w:hint="default"/>
                <w:color w:val="auto"/>
                <w:kern w:val="0"/>
                <w:sz w:val="24"/>
                <w:szCs w:val="24"/>
                <w:lang w:val="en-US" w:eastAsia="zh-CN" w:bidi="ar"/>
              </w:rPr>
              <w:t xml:space="preserve">22 </w:t>
            </w:r>
            <w:r>
              <w:rPr>
                <w:rFonts w:ascii="宋体" w:eastAsia="宋体" w:hAnsi="宋体" w:cs="宋体" w:hint="eastAsia"/>
                <w:color w:val="auto"/>
                <w:kern w:val="0"/>
                <w:sz w:val="24"/>
                <w:szCs w:val="24"/>
                <w:lang w:val="en-US" w:eastAsia="zh-CN" w:bidi="ar"/>
              </w:rPr>
              <w:t>号）要求，本项目位于重点管控单元，通过合理利用水电资源，</w:t>
            </w:r>
            <w:r>
              <w:rPr>
                <w:rFonts w:ascii="Times New Roman" w:eastAsia="宋体" w:hAnsi="Times New Roman" w:cs="Times New Roman" w:hint="default"/>
                <w:color w:val="auto"/>
                <w:kern w:val="0"/>
                <w:sz w:val="24"/>
                <w:szCs w:val="24"/>
                <w:lang w:val="en-US" w:eastAsia="zh-CN" w:bidi="ar"/>
              </w:rPr>
              <w:t>“</w:t>
            </w:r>
            <w:r>
              <w:rPr>
                <w:rFonts w:ascii="宋体" w:eastAsia="宋体" w:hAnsi="宋体" w:cs="宋体" w:hint="eastAsia"/>
                <w:color w:val="auto"/>
                <w:kern w:val="0"/>
                <w:sz w:val="24"/>
                <w:szCs w:val="24"/>
                <w:lang w:val="en-US" w:eastAsia="zh-CN" w:bidi="ar"/>
              </w:rPr>
              <w:t>三废</w:t>
            </w:r>
            <w:r>
              <w:rPr>
                <w:rFonts w:ascii="Times New Roman" w:eastAsia="宋体" w:hAnsi="Times New Roman" w:cs="Times New Roman" w:hint="default"/>
                <w:color w:val="auto"/>
                <w:kern w:val="0"/>
                <w:sz w:val="24"/>
                <w:szCs w:val="24"/>
                <w:lang w:val="en-US" w:eastAsia="zh-CN" w:bidi="ar"/>
              </w:rPr>
              <w:t>”</w:t>
            </w:r>
            <w:r>
              <w:rPr>
                <w:rFonts w:ascii="宋体" w:eastAsia="宋体" w:hAnsi="宋体" w:cs="宋体" w:hint="eastAsia"/>
                <w:color w:val="auto"/>
                <w:kern w:val="0"/>
                <w:sz w:val="24"/>
                <w:szCs w:val="24"/>
                <w:lang w:val="en-US" w:eastAsia="zh-CN" w:bidi="ar"/>
              </w:rPr>
              <w:t>合理处理，可满足相关管控要求。</w:t>
            </w:r>
          </w:p>
          <w:p>
            <w:pPr>
              <w:adjustRightInd w:val="0"/>
              <w:snapToGrid w:val="0"/>
              <w:jc w:val="center"/>
              <w:rPr>
                <w:b/>
                <w:color w:val="auto"/>
                <w:szCs w:val="21"/>
              </w:rPr>
            </w:pPr>
          </w:p>
          <w:p>
            <w:pPr>
              <w:adjustRightInd w:val="0"/>
              <w:snapToGrid w:val="0"/>
              <w:jc w:val="center"/>
              <w:rPr>
                <w:b/>
                <w:color w:val="auto"/>
                <w:szCs w:val="21"/>
              </w:rPr>
            </w:pPr>
          </w:p>
          <w:p>
            <w:pPr>
              <w:adjustRightInd w:val="0"/>
              <w:snapToGrid w:val="0"/>
              <w:jc w:val="center"/>
              <w:rPr>
                <w:color w:val="auto"/>
              </w:rPr>
            </w:pPr>
            <w:r>
              <w:rPr>
                <w:b/>
                <w:color w:val="auto"/>
                <w:szCs w:val="21"/>
              </w:rPr>
              <w:t>表</w:t>
            </w:r>
            <w:r>
              <w:rPr>
                <w:rFonts w:hint="eastAsia"/>
                <w:b/>
                <w:color w:val="auto"/>
                <w:szCs w:val="21"/>
              </w:rPr>
              <w:t>2</w:t>
            </w:r>
            <w:r>
              <w:rPr>
                <w:b/>
                <w:color w:val="auto"/>
                <w:szCs w:val="21"/>
              </w:rPr>
              <w:t xml:space="preserve">   本项目与</w:t>
            </w:r>
            <w:r>
              <w:rPr>
                <w:b/>
                <w:color w:val="auto"/>
                <w:szCs w:val="21"/>
                <w:lang w:val="en-GB"/>
              </w:rPr>
              <w:t>“三线一单”</w:t>
            </w:r>
            <w:r>
              <w:rPr>
                <w:b/>
                <w:color w:val="auto"/>
                <w:szCs w:val="21"/>
              </w:rPr>
              <w:t>的符合性</w:t>
            </w:r>
          </w:p>
        </w:tc>
      </w:tr>
    </w:tbl>
    <w:p>
      <w:pPr>
        <w:sectPr>
          <w:footerReference w:type="default" r:id="rId6"/>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3"/>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6"/>
        <w:gridCol w:w="8414"/>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456" w:type="dxa"/>
            <w:vAlign w:val="center"/>
          </w:tcPr>
          <w:p/>
        </w:tc>
        <w:tc>
          <w:tcPr>
            <w:tcW w:w="8414" w:type="dxa"/>
            <w:vAlign w:val="center"/>
          </w:tcPr>
          <w:tbl>
            <w:tblPr>
              <w:tblStyle w:val="TableNormal"/>
              <w:tblW w:w="0" w:type="auto"/>
              <w:tblInd w:w="113"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07"/>
              <w:gridCol w:w="6134"/>
              <w:gridCol w:w="654"/>
            </w:tblGrid>
            <w:tr>
              <w:tblPrEx>
                <w:tblW w:w="0" w:type="auto"/>
                <w:tblInd w:w="113"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407" w:type="dxa"/>
                  <w:vAlign w:val="center"/>
                </w:tcPr>
                <w:p>
                  <w:pPr>
                    <w:adjustRightInd w:val="0"/>
                    <w:snapToGrid w:val="0"/>
                    <w:jc w:val="center"/>
                    <w:rPr>
                      <w:color w:val="auto"/>
                    </w:rPr>
                  </w:pPr>
                  <w:r>
                    <w:rPr>
                      <w:color w:val="auto"/>
                    </w:rPr>
                    <w:t>“三线一单”</w:t>
                  </w:r>
                </w:p>
              </w:tc>
              <w:tc>
                <w:tcPr>
                  <w:tcW w:w="6134" w:type="dxa"/>
                  <w:vAlign w:val="center"/>
                </w:tcPr>
                <w:p>
                  <w:pPr>
                    <w:adjustRightInd w:val="0"/>
                    <w:snapToGrid w:val="0"/>
                    <w:jc w:val="center"/>
                    <w:rPr>
                      <w:color w:val="auto"/>
                    </w:rPr>
                  </w:pPr>
                  <w:r>
                    <w:rPr>
                      <w:color w:val="auto"/>
                    </w:rPr>
                    <w:t>符合性分析</w:t>
                  </w:r>
                </w:p>
              </w:tc>
              <w:tc>
                <w:tcPr>
                  <w:tcW w:w="654" w:type="dxa"/>
                  <w:vAlign w:val="center"/>
                </w:tcPr>
                <w:p>
                  <w:pPr>
                    <w:adjustRightInd w:val="0"/>
                    <w:snapToGrid w:val="0"/>
                    <w:jc w:val="center"/>
                    <w:rPr>
                      <w:color w:val="auto"/>
                    </w:rPr>
                  </w:pPr>
                  <w:r>
                    <w:rPr>
                      <w:color w:val="auto"/>
                    </w:rPr>
                    <w:t>符合性</w:t>
                  </w:r>
                </w:p>
              </w:tc>
            </w:tr>
            <w:tr>
              <w:tblPrEx>
                <w:tblW w:w="0" w:type="auto"/>
                <w:tblInd w:w="113" w:type="dxa"/>
                <w:tblLayout w:type="fixed"/>
                <w:tblCellMar>
                  <w:top w:w="0" w:type="dxa"/>
                  <w:left w:w="108" w:type="dxa"/>
                  <w:bottom w:w="0" w:type="dxa"/>
                  <w:right w:w="108" w:type="dxa"/>
                </w:tblCellMar>
                <w:tblLook w:val="0000"/>
              </w:tblPrEx>
              <w:trPr>
                <w:trHeight w:val="1339"/>
              </w:trPr>
              <w:tc>
                <w:tcPr>
                  <w:tcW w:w="1407" w:type="dxa"/>
                  <w:vAlign w:val="center"/>
                </w:tcPr>
                <w:p>
                  <w:pPr>
                    <w:adjustRightInd w:val="0"/>
                    <w:snapToGrid w:val="0"/>
                    <w:jc w:val="center"/>
                    <w:rPr>
                      <w:color w:val="auto"/>
                    </w:rPr>
                  </w:pPr>
                  <w:r>
                    <w:rPr>
                      <w:color w:val="auto"/>
                    </w:rPr>
                    <w:t>生态保护红线</w:t>
                  </w:r>
                </w:p>
              </w:tc>
              <w:tc>
                <w:tcPr>
                  <w:tcW w:w="6134" w:type="dxa"/>
                  <w:vAlign w:val="center"/>
                </w:tcPr>
                <w:p>
                  <w:pPr>
                    <w:jc w:val="center"/>
                    <w:rPr>
                      <w:color w:val="auto"/>
                      <w:spacing w:val="-5"/>
                      <w:szCs w:val="22"/>
                      <w:lang w:val="zh-CN" w:bidi="zh-CN"/>
                    </w:rPr>
                  </w:pPr>
                  <w:r>
                    <w:rPr>
                      <w:color w:val="auto"/>
                      <w:szCs w:val="21"/>
                    </w:rPr>
                    <w:t>根据《西安市秦岭生态环境保护管理办法》，秦岭生态环境保护范围为周至县行政区域内北至107省道以北1000m，本项目位于107省道以北1.2km，故项目不在秦岭生态环境保护范围内，与《西安市秦岭生态环境保护管理办法》的要求相符合。</w:t>
                  </w:r>
                </w:p>
              </w:tc>
              <w:tc>
                <w:tcPr>
                  <w:tcW w:w="654" w:type="dxa"/>
                  <w:vAlign w:val="center"/>
                </w:tcPr>
                <w:p>
                  <w:pPr>
                    <w:adjustRightInd w:val="0"/>
                    <w:snapToGrid w:val="0"/>
                    <w:jc w:val="center"/>
                    <w:rPr>
                      <w:color w:val="auto"/>
                    </w:rPr>
                  </w:pPr>
                  <w:r>
                    <w:rPr>
                      <w:color w:val="auto"/>
                    </w:rPr>
                    <w:t>符合</w:t>
                  </w:r>
                </w:p>
              </w:tc>
            </w:tr>
            <w:tr>
              <w:tblPrEx>
                <w:tblW w:w="0" w:type="auto"/>
                <w:tblInd w:w="113" w:type="dxa"/>
                <w:tblLayout w:type="fixed"/>
                <w:tblCellMar>
                  <w:top w:w="0" w:type="dxa"/>
                  <w:left w:w="108" w:type="dxa"/>
                  <w:bottom w:w="0" w:type="dxa"/>
                  <w:right w:w="108" w:type="dxa"/>
                </w:tblCellMar>
                <w:tblLook w:val="0000"/>
              </w:tblPrEx>
              <w:tc>
                <w:tcPr>
                  <w:tcW w:w="1407" w:type="dxa"/>
                  <w:vAlign w:val="center"/>
                </w:tcPr>
                <w:p>
                  <w:pPr>
                    <w:adjustRightInd w:val="0"/>
                    <w:snapToGrid w:val="0"/>
                    <w:jc w:val="center"/>
                    <w:rPr>
                      <w:color w:val="auto"/>
                    </w:rPr>
                  </w:pPr>
                  <w:r>
                    <w:rPr>
                      <w:color w:val="auto"/>
                    </w:rPr>
                    <w:t>环境质量底线</w:t>
                  </w:r>
                </w:p>
              </w:tc>
              <w:tc>
                <w:tcPr>
                  <w:tcW w:w="6134" w:type="dxa"/>
                  <w:vAlign w:val="center"/>
                </w:tcPr>
                <w:p>
                  <w:pPr>
                    <w:adjustRightInd w:val="0"/>
                    <w:snapToGrid w:val="0"/>
                    <w:jc w:val="center"/>
                    <w:rPr>
                      <w:color w:val="auto"/>
                      <w:spacing w:val="-5"/>
                      <w:szCs w:val="22"/>
                      <w:lang w:val="zh-CN" w:bidi="zh-CN"/>
                    </w:rPr>
                  </w:pPr>
                  <w:r>
                    <w:rPr>
                      <w:color w:val="auto"/>
                      <w:szCs w:val="21"/>
                    </w:rPr>
                    <w:t>本项目所在区域空气质量为《环境空气质量标准》（GB3095-2012）二级</w:t>
                  </w:r>
                  <w:r>
                    <w:rPr>
                      <w:rFonts w:hint="eastAsia"/>
                      <w:color w:val="auto"/>
                      <w:szCs w:val="21"/>
                    </w:rPr>
                    <w:t>，项目所在区域空气质量现状中PM</w:t>
                  </w:r>
                  <w:r>
                    <w:rPr>
                      <w:rFonts w:hint="eastAsia"/>
                      <w:color w:val="auto"/>
                      <w:szCs w:val="21"/>
                      <w:vertAlign w:val="subscript"/>
                    </w:rPr>
                    <w:t>2.5</w:t>
                  </w:r>
                  <w:r>
                    <w:rPr>
                      <w:rFonts w:hint="eastAsia"/>
                      <w:color w:val="auto"/>
                      <w:szCs w:val="21"/>
                    </w:rPr>
                    <w:t>不满足二级标准要求，</w:t>
                  </w:r>
                  <w:r>
                    <w:rPr>
                      <w:rFonts w:ascii="宋体" w:hAnsi="宋体" w:cs="宋体" w:hint="eastAsia"/>
                      <w:color w:val="auto"/>
                      <w:spacing w:val="-5"/>
                      <w:szCs w:val="22"/>
                      <w:lang w:val="zh-CN" w:bidi="zh-CN"/>
                    </w:rPr>
                    <w:t>本项目</w:t>
                  </w:r>
                  <w:r>
                    <w:rPr>
                      <w:rFonts w:ascii="宋体" w:hAnsi="宋体" w:cs="宋体" w:hint="eastAsia"/>
                      <w:color w:val="auto"/>
                      <w:spacing w:val="-5"/>
                      <w:szCs w:val="22"/>
                      <w:lang w:bidi="zh-CN"/>
                    </w:rPr>
                    <w:t>采取密闭车间、布袋除尘器等措施能有效减小颗粒物对环境的影响</w:t>
                  </w:r>
                  <w:r>
                    <w:rPr>
                      <w:rFonts w:ascii="宋体" w:hAnsi="宋体" w:cs="宋体" w:hint="eastAsia"/>
                      <w:color w:val="auto"/>
                      <w:spacing w:val="-5"/>
                      <w:szCs w:val="22"/>
                      <w:lang w:val="zh-CN" w:bidi="zh-CN"/>
                    </w:rPr>
                    <w:t>。</w:t>
                  </w:r>
                </w:p>
              </w:tc>
              <w:tc>
                <w:tcPr>
                  <w:tcW w:w="654" w:type="dxa"/>
                  <w:vAlign w:val="center"/>
                </w:tcPr>
                <w:p>
                  <w:pPr>
                    <w:adjustRightInd w:val="0"/>
                    <w:snapToGrid w:val="0"/>
                    <w:jc w:val="center"/>
                    <w:rPr>
                      <w:color w:val="auto"/>
                    </w:rPr>
                  </w:pPr>
                  <w:r>
                    <w:rPr>
                      <w:color w:val="auto"/>
                    </w:rPr>
                    <w:t>符合</w:t>
                  </w:r>
                </w:p>
              </w:tc>
            </w:tr>
            <w:tr>
              <w:tblPrEx>
                <w:tblW w:w="0" w:type="auto"/>
                <w:tblInd w:w="113" w:type="dxa"/>
                <w:tblLayout w:type="fixed"/>
                <w:tblCellMar>
                  <w:top w:w="0" w:type="dxa"/>
                  <w:left w:w="108" w:type="dxa"/>
                  <w:bottom w:w="0" w:type="dxa"/>
                  <w:right w:w="108" w:type="dxa"/>
                </w:tblCellMar>
                <w:tblLook w:val="0000"/>
              </w:tblPrEx>
              <w:tc>
                <w:tcPr>
                  <w:tcW w:w="1407" w:type="dxa"/>
                  <w:vAlign w:val="center"/>
                </w:tcPr>
                <w:p>
                  <w:pPr>
                    <w:adjustRightInd w:val="0"/>
                    <w:snapToGrid w:val="0"/>
                    <w:jc w:val="center"/>
                    <w:rPr>
                      <w:color w:val="auto"/>
                    </w:rPr>
                  </w:pPr>
                  <w:r>
                    <w:rPr>
                      <w:color w:val="auto"/>
                    </w:rPr>
                    <w:t>资源利用上线</w:t>
                  </w:r>
                </w:p>
              </w:tc>
              <w:tc>
                <w:tcPr>
                  <w:tcW w:w="6134" w:type="dxa"/>
                  <w:vAlign w:val="center"/>
                </w:tcPr>
                <w:p>
                  <w:pPr>
                    <w:adjustRightInd w:val="0"/>
                    <w:snapToGrid w:val="0"/>
                    <w:jc w:val="center"/>
                    <w:rPr>
                      <w:color w:val="auto"/>
                      <w:lang w:val="zh-CN"/>
                    </w:rPr>
                  </w:pPr>
                  <w:r>
                    <w:rPr>
                      <w:color w:val="auto"/>
                    </w:rPr>
                    <w:t>项目原辅材料及能源消耗合理分配，</w:t>
                  </w:r>
                  <w:r>
                    <w:rPr>
                      <w:rFonts w:hint="eastAsia"/>
                      <w:color w:val="auto"/>
                    </w:rPr>
                    <w:t>项目位于</w:t>
                  </w:r>
                  <w:r>
                    <w:rPr>
                      <w:color w:val="auto"/>
                    </w:rPr>
                    <w:t>西安高新区集贤园</w:t>
                  </w:r>
                  <w:r>
                    <w:rPr>
                      <w:rFonts w:hint="eastAsia"/>
                      <w:color w:val="auto"/>
                    </w:rPr>
                    <w:t>创业东路以西</w:t>
                  </w:r>
                  <w:r>
                    <w:rPr>
                      <w:color w:val="auto"/>
                    </w:rPr>
                    <w:t>，土地规划利用性质为工业用地，已</w:t>
                  </w:r>
                  <w:r>
                    <w:rPr>
                      <w:rFonts w:hint="eastAsia"/>
                      <w:color w:val="auto"/>
                    </w:rPr>
                    <w:t>取得土地证</w:t>
                  </w:r>
                  <w:r>
                    <w:rPr>
                      <w:color w:val="auto"/>
                    </w:rPr>
                    <w:t>（见附件）</w:t>
                  </w:r>
                  <w:r>
                    <w:rPr>
                      <w:rFonts w:hint="eastAsia"/>
                      <w:color w:val="auto"/>
                    </w:rPr>
                    <w:t>，</w:t>
                  </w:r>
                  <w:r>
                    <w:rPr>
                      <w:color w:val="auto"/>
                    </w:rPr>
                    <w:t>不触及资源及土地利用上线。</w:t>
                  </w:r>
                </w:p>
              </w:tc>
              <w:tc>
                <w:tcPr>
                  <w:tcW w:w="654" w:type="dxa"/>
                  <w:vAlign w:val="center"/>
                </w:tcPr>
                <w:p>
                  <w:pPr>
                    <w:adjustRightInd w:val="0"/>
                    <w:snapToGrid w:val="0"/>
                    <w:jc w:val="center"/>
                    <w:rPr>
                      <w:color w:val="auto"/>
                    </w:rPr>
                  </w:pPr>
                  <w:r>
                    <w:rPr>
                      <w:color w:val="auto"/>
                    </w:rPr>
                    <w:t>符合</w:t>
                  </w:r>
                </w:p>
              </w:tc>
            </w:tr>
            <w:tr>
              <w:tblPrEx>
                <w:tblW w:w="0" w:type="auto"/>
                <w:tblInd w:w="113" w:type="dxa"/>
                <w:tblLayout w:type="fixed"/>
                <w:tblCellMar>
                  <w:top w:w="0" w:type="dxa"/>
                  <w:left w:w="108" w:type="dxa"/>
                  <w:bottom w:w="0" w:type="dxa"/>
                  <w:right w:w="108" w:type="dxa"/>
                </w:tblCellMar>
                <w:tblLook w:val="0000"/>
              </w:tblPrEx>
              <w:tc>
                <w:tcPr>
                  <w:tcW w:w="1407" w:type="dxa"/>
                  <w:vAlign w:val="center"/>
                </w:tcPr>
                <w:p>
                  <w:pPr>
                    <w:adjustRightInd w:val="0"/>
                    <w:snapToGrid w:val="0"/>
                    <w:jc w:val="center"/>
                    <w:rPr>
                      <w:color w:val="auto"/>
                    </w:rPr>
                  </w:pPr>
                  <w:r>
                    <w:rPr>
                      <w:color w:val="auto"/>
                    </w:rPr>
                    <w:t>环境准入负面清单</w:t>
                  </w:r>
                </w:p>
              </w:tc>
              <w:tc>
                <w:tcPr>
                  <w:tcW w:w="6134" w:type="dxa"/>
                  <w:vAlign w:val="center"/>
                </w:tcPr>
                <w:p>
                  <w:pPr>
                    <w:jc w:val="center"/>
                    <w:rPr>
                      <w:color w:val="auto"/>
                      <w:spacing w:val="-5"/>
                      <w:szCs w:val="22"/>
                      <w:lang w:val="zh-CN" w:bidi="zh-CN"/>
                    </w:rPr>
                  </w:pPr>
                  <w:r>
                    <w:rPr>
                      <w:color w:val="auto"/>
                      <w:lang w:val="en-GB"/>
                    </w:rPr>
                    <w:t>对照《</w:t>
                  </w:r>
                  <w:r>
                    <w:rPr>
                      <w:color w:val="auto"/>
                    </w:rPr>
                    <w:t>陕西省国家重点生态功能区产业准入负面清单</w:t>
                  </w:r>
                  <w:r>
                    <w:rPr>
                      <w:color w:val="auto"/>
                      <w:lang w:val="en-GB"/>
                    </w:rPr>
                    <w:t>》</w:t>
                  </w:r>
                  <w:r>
                    <w:rPr>
                      <w:color w:val="auto"/>
                    </w:rPr>
                    <w:t>中“陕西省西安市周至县国家重点生态功能区产业准入负面清单”的内容要求</w:t>
                  </w:r>
                  <w:r>
                    <w:rPr>
                      <w:color w:val="auto"/>
                      <w:lang w:val="en-GB"/>
                    </w:rPr>
                    <w:t>，本项目不属于“清单”中限制类、禁止类、</w:t>
                  </w:r>
                  <w:r>
                    <w:rPr>
                      <w:color w:val="auto"/>
                    </w:rPr>
                    <w:t>淘汰类</w:t>
                  </w:r>
                  <w:r>
                    <w:rPr>
                      <w:color w:val="auto"/>
                      <w:lang w:val="en-GB"/>
                    </w:rPr>
                    <w:t>项目，不涉及清单中落后生产工艺设备、落后产品。</w:t>
                  </w:r>
                </w:p>
              </w:tc>
              <w:tc>
                <w:tcPr>
                  <w:tcW w:w="654" w:type="dxa"/>
                  <w:vAlign w:val="center"/>
                </w:tcPr>
                <w:p>
                  <w:pPr>
                    <w:adjustRightInd w:val="0"/>
                    <w:snapToGrid w:val="0"/>
                    <w:jc w:val="center"/>
                    <w:rPr>
                      <w:color w:val="auto"/>
                    </w:rPr>
                  </w:pPr>
                  <w:r>
                    <w:rPr>
                      <w:color w:val="auto"/>
                    </w:rPr>
                    <w:t>符合</w:t>
                  </w:r>
                </w:p>
              </w:tc>
            </w:tr>
          </w:tbl>
          <w:p>
            <w:pPr>
              <w:autoSpaceDE w:val="0"/>
              <w:autoSpaceDN w:val="0"/>
              <w:adjustRightInd w:val="0"/>
              <w:snapToGrid w:val="0"/>
              <w:spacing w:line="360" w:lineRule="auto"/>
              <w:jc w:val="left"/>
              <w:rPr>
                <w:color w:val="auto"/>
                <w:sz w:val="24"/>
              </w:rPr>
            </w:pPr>
            <w:r>
              <w:rPr>
                <w:color w:val="auto"/>
                <w:sz w:val="24"/>
              </w:rPr>
              <w:t>3、与相关政策及规划相符性分析</w:t>
            </w:r>
          </w:p>
          <w:p>
            <w:pPr>
              <w:adjustRightInd w:val="0"/>
              <w:snapToGrid w:val="0"/>
              <w:jc w:val="center"/>
              <w:rPr>
                <w:b/>
                <w:color w:val="auto"/>
                <w:szCs w:val="21"/>
              </w:rPr>
            </w:pPr>
            <w:r>
              <w:rPr>
                <w:b/>
                <w:color w:val="auto"/>
                <w:szCs w:val="21"/>
              </w:rPr>
              <w:t>表</w:t>
            </w:r>
            <w:r>
              <w:rPr>
                <w:rFonts w:hint="eastAsia"/>
                <w:b/>
                <w:color w:val="auto"/>
                <w:szCs w:val="21"/>
              </w:rPr>
              <w:t>3</w:t>
            </w:r>
            <w:r>
              <w:rPr>
                <w:b/>
                <w:color w:val="auto"/>
                <w:szCs w:val="21"/>
              </w:rPr>
              <w:t xml:space="preserve">   与相关环境保护政策相符性分析</w:t>
            </w:r>
          </w:p>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30"/>
              <w:gridCol w:w="2494"/>
              <w:gridCol w:w="2708"/>
              <w:gridCol w:w="866"/>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4624" w:type="dxa"/>
                  <w:gridSpan w:val="2"/>
                  <w:vAlign w:val="center"/>
                </w:tcPr>
                <w:p>
                  <w:pPr>
                    <w:jc w:val="center"/>
                    <w:rPr>
                      <w:color w:val="auto"/>
                    </w:rPr>
                  </w:pPr>
                  <w:r>
                    <w:rPr>
                      <w:color w:val="auto"/>
                    </w:rPr>
                    <w:t>规划纲要内容</w:t>
                  </w:r>
                </w:p>
              </w:tc>
              <w:tc>
                <w:tcPr>
                  <w:tcW w:w="2708" w:type="dxa"/>
                  <w:vAlign w:val="center"/>
                </w:tcPr>
                <w:p>
                  <w:pPr>
                    <w:jc w:val="center"/>
                    <w:rPr>
                      <w:color w:val="auto"/>
                    </w:rPr>
                  </w:pPr>
                  <w:r>
                    <w:rPr>
                      <w:color w:val="auto"/>
                    </w:rPr>
                    <w:t>本项目与规划的关系</w:t>
                  </w:r>
                </w:p>
              </w:tc>
              <w:tc>
                <w:tcPr>
                  <w:tcW w:w="866" w:type="dxa"/>
                  <w:vAlign w:val="center"/>
                </w:tcPr>
                <w:p>
                  <w:pPr>
                    <w:jc w:val="center"/>
                    <w:rPr>
                      <w:color w:val="auto"/>
                    </w:rPr>
                  </w:pPr>
                  <w:r>
                    <w:rPr>
                      <w:color w:val="auto"/>
                    </w:rPr>
                    <w:t>是否符合</w:t>
                  </w:r>
                </w:p>
              </w:tc>
            </w:tr>
            <w:tr>
              <w:tblPrEx>
                <w:tblW w:w="0" w:type="auto"/>
                <w:jc w:val="center"/>
                <w:tblInd w:w="108" w:type="dxa"/>
                <w:tblLayout w:type="fixed"/>
                <w:tblCellMar>
                  <w:top w:w="0" w:type="dxa"/>
                  <w:left w:w="108" w:type="dxa"/>
                  <w:bottom w:w="0" w:type="dxa"/>
                  <w:right w:w="108" w:type="dxa"/>
                </w:tblCellMar>
                <w:tblLook w:val="0000"/>
              </w:tblPrEx>
              <w:trPr>
                <w:jc w:val="center"/>
              </w:trPr>
              <w:tc>
                <w:tcPr>
                  <w:tcW w:w="2130" w:type="dxa"/>
                  <w:vAlign w:val="center"/>
                </w:tcPr>
                <w:p>
                  <w:pPr>
                    <w:pStyle w:val="Heading11"/>
                    <w:keepNext/>
                    <w:keepLines/>
                    <w:widowControl w:val="0"/>
                    <w:shd w:val="clear" w:color="auto" w:fill="auto"/>
                    <w:bidi w:val="0"/>
                    <w:spacing w:before="0" w:line="240" w:lineRule="auto"/>
                    <w:ind w:left="0" w:right="0" w:firstLine="0"/>
                    <w:jc w:val="center"/>
                    <w:rPr>
                      <w:color w:val="auto"/>
                    </w:rPr>
                  </w:pPr>
                  <w:r>
                    <w:rPr>
                      <w:rFonts w:ascii="Times New Roman" w:eastAsia="宋体" w:hAnsi="Times New Roman" w:cs="Times New Roman" w:hint="eastAsia"/>
                      <w:color w:val="auto"/>
                      <w:kern w:val="2"/>
                      <w:sz w:val="21"/>
                      <w:szCs w:val="24"/>
                      <w:u w:val="none"/>
                      <w:shd w:val="clear" w:color="auto" w:fill="auto"/>
                      <w:lang w:val="en-US" w:eastAsia="zh-CN" w:bidi="ar-SA"/>
                    </w:rPr>
                    <w:t>《陕西省</w:t>
                  </w:r>
                  <w:r>
                    <w:rPr>
                      <w:rFonts w:ascii="Times New Roman" w:eastAsia="宋体" w:hAnsi="Times New Roman" w:cs="Times New Roman" w:hint="eastAsia"/>
                      <w:color w:val="auto"/>
                      <w:kern w:val="2"/>
                      <w:sz w:val="21"/>
                      <w:szCs w:val="24"/>
                      <w:u w:val="none"/>
                      <w:shd w:val="clear" w:color="auto" w:fill="auto"/>
                      <w:lang w:val="zh-CN" w:eastAsia="zh-CN" w:bidi="ar-SA"/>
                    </w:rPr>
                    <w:t>“</w:t>
                  </w:r>
                  <w:r>
                    <w:rPr>
                      <w:rFonts w:ascii="Times New Roman" w:eastAsia="宋体" w:hAnsi="Times New Roman" w:cs="Times New Roman" w:hint="eastAsia"/>
                      <w:color w:val="auto"/>
                      <w:kern w:val="2"/>
                      <w:sz w:val="21"/>
                      <w:szCs w:val="24"/>
                      <w:u w:val="none"/>
                      <w:shd w:val="clear" w:color="auto" w:fill="auto"/>
                      <w:lang w:val="zh-CN" w:eastAsia="zh-CN" w:bidi="ar-SA"/>
                    </w:rPr>
                    <w:t>十</w:t>
                  </w:r>
                  <w:r>
                    <w:rPr>
                      <w:rFonts w:ascii="Times New Roman" w:eastAsia="宋体" w:hAnsi="Times New Roman" w:cs="Times New Roman" w:hint="eastAsia"/>
                      <w:color w:val="auto"/>
                      <w:kern w:val="2"/>
                      <w:sz w:val="21"/>
                      <w:szCs w:val="24"/>
                      <w:u w:val="none"/>
                      <w:shd w:val="clear" w:color="auto" w:fill="auto"/>
                      <w:lang w:val="en-US" w:eastAsia="zh-CN" w:bidi="ar-SA"/>
                    </w:rPr>
                    <w:t>四五</w:t>
                  </w:r>
                  <w:r>
                    <w:rPr>
                      <w:rFonts w:ascii="Times New Roman" w:eastAsia="宋体" w:hAnsi="Times New Roman" w:cs="Times New Roman" w:hint="eastAsia"/>
                      <w:color w:val="auto"/>
                      <w:kern w:val="2"/>
                      <w:sz w:val="21"/>
                      <w:szCs w:val="24"/>
                      <w:u w:val="none"/>
                      <w:shd w:val="clear" w:color="auto" w:fill="auto"/>
                      <w:lang w:val="en-US" w:eastAsia="zh-CN" w:bidi="ar-SA"/>
                    </w:rPr>
                    <w:t>”</w:t>
                  </w:r>
                  <w:r>
                    <w:rPr>
                      <w:rFonts w:ascii="Times New Roman" w:eastAsia="宋体" w:hAnsi="Times New Roman" w:cs="Times New Roman" w:hint="eastAsia"/>
                      <w:color w:val="auto"/>
                      <w:kern w:val="2"/>
                      <w:sz w:val="21"/>
                      <w:szCs w:val="24"/>
                      <w:u w:val="none"/>
                      <w:shd w:val="clear" w:color="auto" w:fill="auto"/>
                      <w:lang w:val="en-US" w:eastAsia="zh-CN" w:bidi="ar-SA"/>
                    </w:rPr>
                    <w:t>生态环境保护规划》</w:t>
                  </w:r>
                </w:p>
              </w:tc>
              <w:tc>
                <w:tcPr>
                  <w:tcW w:w="2494" w:type="dxa"/>
                  <w:vAlign w:val="center"/>
                </w:tcPr>
                <w:p>
                  <w:pPr>
                    <w:jc w:val="center"/>
                    <w:rPr>
                      <w:rFonts w:ascii="Times New Roman" w:eastAsia="宋体" w:hAnsi="Times New Roman" w:cs="Times New Roman" w:hint="eastAsia"/>
                      <w:color w:val="auto"/>
                    </w:rPr>
                  </w:pPr>
                  <w:r>
                    <w:rPr>
                      <w:rFonts w:ascii="Times New Roman" w:eastAsia="宋体" w:hAnsi="Times New Roman" w:cs="Times New Roman" w:hint="eastAsia"/>
                      <w:color w:val="auto"/>
                    </w:rPr>
                    <w:t>建立健全生态环境分区管控体系。立足资源环境承载能力， 发挥各地比较优势，优化重大基础设施、重大生产力和公共资源 布局，建立以</w:t>
                  </w:r>
                  <w:r>
                    <w:rPr>
                      <w:rFonts w:ascii="Times New Roman" w:eastAsia="宋体" w:hAnsi="Times New Roman" w:cs="Times New Roman" w:hint="eastAsia"/>
                      <w:color w:val="auto"/>
                      <w:lang w:val="zh-CN" w:eastAsia="zh-CN"/>
                    </w:rPr>
                    <w:t>“</w:t>
                  </w:r>
                  <w:r>
                    <w:rPr>
                      <w:rFonts w:ascii="Times New Roman" w:eastAsia="宋体" w:hAnsi="Times New Roman" w:cs="Times New Roman" w:hint="eastAsia"/>
                      <w:color w:val="auto"/>
                      <w:lang w:val="zh-CN" w:eastAsia="zh-CN"/>
                    </w:rPr>
                    <w:t>三线</w:t>
                  </w:r>
                  <w:r>
                    <w:rPr>
                      <w:rFonts w:ascii="Times New Roman" w:eastAsia="宋体" w:hAnsi="Times New Roman" w:cs="Times New Roman" w:hint="eastAsia"/>
                      <w:color w:val="auto"/>
                    </w:rPr>
                    <w:t>一单</w:t>
                  </w:r>
                  <w:r>
                    <w:rPr>
                      <w:rFonts w:ascii="Times New Roman" w:eastAsia="宋体" w:hAnsi="Times New Roman" w:cs="Times New Roman" w:hint="eastAsia"/>
                      <w:color w:val="auto"/>
                    </w:rPr>
                    <w:t>”</w:t>
                  </w:r>
                  <w:r>
                    <w:rPr>
                      <w:rFonts w:ascii="Times New Roman" w:eastAsia="宋体" w:hAnsi="Times New Roman" w:cs="Times New Roman" w:hint="eastAsia"/>
                      <w:color w:val="auto"/>
                    </w:rPr>
                    <w:t>为核心的全省生态环境分区管控体系。加强</w:t>
                  </w:r>
                  <w:r>
                    <w:rPr>
                      <w:rFonts w:ascii="Times New Roman" w:eastAsia="宋体" w:hAnsi="Times New Roman" w:cs="Times New Roman" w:hint="eastAsia"/>
                      <w:color w:val="auto"/>
                      <w:lang w:val="zh-CN" w:eastAsia="zh-CN"/>
                    </w:rPr>
                    <w:t>“</w:t>
                  </w:r>
                  <w:r>
                    <w:rPr>
                      <w:rFonts w:ascii="Times New Roman" w:eastAsia="宋体" w:hAnsi="Times New Roman" w:cs="Times New Roman" w:hint="eastAsia"/>
                      <w:color w:val="auto"/>
                      <w:lang w:val="zh-CN" w:eastAsia="zh-CN"/>
                    </w:rPr>
                    <w:t>三线</w:t>
                  </w:r>
                  <w:r>
                    <w:rPr>
                      <w:rFonts w:ascii="Times New Roman" w:eastAsia="宋体" w:hAnsi="Times New Roman" w:cs="Times New Roman" w:hint="eastAsia"/>
                      <w:color w:val="auto"/>
                    </w:rPr>
                    <w:t>一单</w:t>
                  </w:r>
                  <w:r>
                    <w:rPr>
                      <w:rFonts w:ascii="Times New Roman" w:eastAsia="宋体" w:hAnsi="Times New Roman" w:cs="Times New Roman" w:hint="eastAsia"/>
                      <w:color w:val="auto"/>
                    </w:rPr>
                    <w:t>”</w:t>
                  </w:r>
                  <w:r>
                    <w:rPr>
                      <w:rFonts w:ascii="Times New Roman" w:eastAsia="宋体" w:hAnsi="Times New Roman" w:cs="Times New Roman" w:hint="eastAsia"/>
                      <w:color w:val="auto"/>
                    </w:rPr>
                    <w:t>在规划编制、 政策制定、环境准入、园区管理、执法监管等方面的应用，将环 境质量底线作为硬约束。</w:t>
                  </w:r>
                </w:p>
              </w:tc>
              <w:tc>
                <w:tcPr>
                  <w:tcW w:w="2708" w:type="dxa"/>
                  <w:vAlign w:val="center"/>
                </w:tcPr>
                <w:p>
                  <w:pPr>
                    <w:jc w:val="center"/>
                    <w:rPr>
                      <w:color w:val="auto"/>
                    </w:rPr>
                  </w:pPr>
                  <w:r>
                    <w:rPr>
                      <w:rFonts w:hint="eastAsia"/>
                      <w:color w:val="auto"/>
                    </w:rPr>
                    <w:t>本项目位于西安高新区集贤园集创业东路以西，属于重点管控单元。项目不产生生产废水，</w:t>
                  </w:r>
                  <w:r>
                    <w:rPr>
                      <w:color w:val="auto"/>
                    </w:rPr>
                    <w:t>项目</w:t>
                  </w:r>
                  <w:r>
                    <w:rPr>
                      <w:rFonts w:hint="eastAsia"/>
                      <w:color w:val="auto"/>
                    </w:rPr>
                    <w:t>木加工粉尘通过中央布袋除尘器处理，打磨粉尘通过脉冲式打磨除尘</w:t>
                  </w:r>
                  <w:r>
                    <w:rPr>
                      <w:rFonts w:hint="eastAsia"/>
                      <w:color w:val="auto"/>
                      <w:lang w:val="en-US" w:eastAsia="zh-CN"/>
                    </w:rPr>
                    <w:t>器</w:t>
                  </w:r>
                  <w:r>
                    <w:rPr>
                      <w:rFonts w:hint="eastAsia"/>
                      <w:color w:val="auto"/>
                    </w:rPr>
                    <w:t>处理后，一起通过</w:t>
                  </w:r>
                  <w:r>
                    <w:rPr>
                      <w:rFonts w:hint="eastAsia"/>
                      <w:color w:val="auto"/>
                      <w:lang w:val="en-US" w:eastAsia="zh-CN"/>
                    </w:rPr>
                    <w:t>25m排气筒</w:t>
                  </w:r>
                  <w:r>
                    <w:rPr>
                      <w:rFonts w:hint="eastAsia"/>
                      <w:color w:val="auto"/>
                    </w:rPr>
                    <w:t>排放；喷涂废气、胶粘、冷压废气采用密闭涂装房、密闭晾干房（干式过滤器（7套））、密闭UV涂装房+1套两级活性炭吸附箱+</w:t>
                  </w:r>
                  <w:r>
                    <w:rPr>
                      <w:rFonts w:hint="eastAsia"/>
                      <w:color w:val="FF0000"/>
                      <w:lang w:val="en-US" w:eastAsia="zh-CN"/>
                    </w:rPr>
                    <w:t>25m</w:t>
                  </w:r>
                  <w:r>
                    <w:rPr>
                      <w:rFonts w:hint="eastAsia"/>
                      <w:color w:val="auto"/>
                      <w:lang w:val="en-US" w:eastAsia="zh-CN"/>
                    </w:rPr>
                    <w:t>高排气筒</w:t>
                  </w:r>
                  <w:r>
                    <w:rPr>
                      <w:rFonts w:hint="eastAsia"/>
                      <w:color w:val="auto"/>
                    </w:rPr>
                    <w:t>DA002。对周边环境影响较小。</w:t>
                  </w:r>
                </w:p>
              </w:tc>
              <w:tc>
                <w:tcPr>
                  <w:tcW w:w="866" w:type="dxa"/>
                  <w:vAlign w:val="center"/>
                </w:tcPr>
                <w:p>
                  <w:pPr>
                    <w:jc w:val="center"/>
                    <w:rPr>
                      <w:color w:val="auto"/>
                    </w:rPr>
                  </w:pPr>
                  <w:r>
                    <w:rPr>
                      <w:color w:val="auto"/>
                    </w:rPr>
                    <w:t>符合</w:t>
                  </w:r>
                </w:p>
              </w:tc>
            </w:tr>
            <w:tr>
              <w:tblPrEx>
                <w:tblW w:w="0" w:type="auto"/>
                <w:jc w:val="center"/>
                <w:tblInd w:w="108" w:type="dxa"/>
                <w:tblLayout w:type="fixed"/>
                <w:tblCellMar>
                  <w:top w:w="0" w:type="dxa"/>
                  <w:left w:w="108" w:type="dxa"/>
                  <w:bottom w:w="0" w:type="dxa"/>
                  <w:right w:w="108" w:type="dxa"/>
                </w:tblCellMar>
                <w:tblLook w:val="0000"/>
              </w:tblPrEx>
              <w:trPr>
                <w:jc w:val="center"/>
              </w:trPr>
              <w:tc>
                <w:tcPr>
                  <w:tcW w:w="2130" w:type="dxa"/>
                  <w:vAlign w:val="center"/>
                </w:tcPr>
                <w:p>
                  <w:pPr>
                    <w:jc w:val="center"/>
                    <w:rPr>
                      <w:rFonts w:hint="eastAsia"/>
                      <w:color w:val="auto"/>
                    </w:rPr>
                  </w:pPr>
                  <w:r>
                    <w:rPr>
                      <w:rFonts w:hint="eastAsia"/>
                      <w:color w:val="auto"/>
                    </w:rPr>
                    <w:t>《低挥发性有机化合物含量涂料产品技术要求》（GB/T38597-2020）</w:t>
                  </w:r>
                </w:p>
              </w:tc>
              <w:tc>
                <w:tcPr>
                  <w:tcW w:w="2494" w:type="dxa"/>
                  <w:vAlign w:val="center"/>
                </w:tcPr>
                <w:p>
                  <w:pPr>
                    <w:jc w:val="center"/>
                    <w:rPr>
                      <w:rFonts w:eastAsia="宋体" w:hint="default"/>
                      <w:color w:val="auto"/>
                    </w:rPr>
                  </w:pPr>
                  <w:r>
                    <w:rPr>
                      <w:rFonts w:hint="eastAsia"/>
                      <w:color w:val="auto"/>
                      <w:lang w:val="en-US" w:eastAsia="zh-CN"/>
                    </w:rPr>
                    <w:t>表4辐射固化涂料中木质基材（非水性）VOC的含量要求为</w:t>
                  </w:r>
                  <w:r>
                    <w:rPr>
                      <w:rFonts w:hint="eastAsia"/>
                      <w:color w:val="auto"/>
                      <w:lang w:val="en-US" w:eastAsia="zh-CN"/>
                    </w:rPr>
                    <w:t>≤</w:t>
                  </w:r>
                  <w:r>
                    <w:rPr>
                      <w:rFonts w:hint="eastAsia"/>
                      <w:color w:val="auto"/>
                      <w:lang w:val="en-US" w:eastAsia="zh-CN"/>
                    </w:rPr>
                    <w:t>100</w:t>
                  </w:r>
                  <w:r>
                    <w:rPr>
                      <w:rFonts w:hint="eastAsia"/>
                      <w:color w:val="auto"/>
                    </w:rPr>
                    <w:t>g/L</w:t>
                  </w:r>
                </w:p>
              </w:tc>
              <w:tc>
                <w:tcPr>
                  <w:tcW w:w="2708" w:type="dxa"/>
                  <w:vAlign w:val="center"/>
                </w:tcPr>
                <w:p>
                  <w:pPr>
                    <w:jc w:val="center"/>
                    <w:rPr>
                      <w:rFonts w:eastAsia="宋体" w:hint="eastAsia"/>
                      <w:color w:val="auto"/>
                    </w:rPr>
                  </w:pPr>
                  <w:r>
                    <w:rPr>
                      <w:rFonts w:hint="eastAsia"/>
                      <w:color w:val="auto"/>
                    </w:rPr>
                    <w:t>本项目用UV漆属于紫外光固化涂料，挥发性有机物含量为99g/L</w:t>
                  </w:r>
                  <w:r>
                    <w:rPr>
                      <w:rFonts w:hint="eastAsia"/>
                      <w:color w:val="auto"/>
                      <w:lang w:eastAsia="zh-CN"/>
                    </w:rPr>
                    <w:t>。</w:t>
                  </w:r>
                </w:p>
              </w:tc>
              <w:tc>
                <w:tcPr>
                  <w:tcW w:w="866" w:type="dxa"/>
                  <w:vAlign w:val="center"/>
                </w:tcPr>
                <w:p>
                  <w:pPr>
                    <w:jc w:val="center"/>
                    <w:rPr>
                      <w:color w:val="auto"/>
                    </w:rPr>
                  </w:pPr>
                  <w:r>
                    <w:rPr>
                      <w:color w:val="auto"/>
                    </w:rPr>
                    <w:t>符合</w:t>
                  </w:r>
                </w:p>
              </w:tc>
            </w:tr>
            <w:tr>
              <w:tblPrEx>
                <w:tblW w:w="0" w:type="auto"/>
                <w:jc w:val="center"/>
                <w:tblInd w:w="108" w:type="dxa"/>
                <w:tblLayout w:type="fixed"/>
                <w:tblCellMar>
                  <w:top w:w="0" w:type="dxa"/>
                  <w:left w:w="108" w:type="dxa"/>
                  <w:bottom w:w="0" w:type="dxa"/>
                  <w:right w:w="108" w:type="dxa"/>
                </w:tblCellMar>
                <w:tblLook w:val="0000"/>
              </w:tblPrEx>
              <w:trPr>
                <w:jc w:val="center"/>
              </w:trPr>
              <w:tc>
                <w:tcPr>
                  <w:tcW w:w="2130" w:type="dxa"/>
                  <w:vAlign w:val="center"/>
                </w:tcPr>
                <w:p>
                  <w:pPr>
                    <w:jc w:val="center"/>
                    <w:rPr>
                      <w:rFonts w:hint="eastAsia"/>
                      <w:color w:val="auto"/>
                    </w:rPr>
                  </w:pPr>
                  <w:r>
                    <w:rPr>
                      <w:rFonts w:hint="eastAsia"/>
                      <w:color w:val="auto"/>
                    </w:rPr>
                    <w:t>《</w:t>
                  </w:r>
                  <w:r>
                    <w:rPr>
                      <w:rFonts w:hint="eastAsia"/>
                      <w:color w:val="auto"/>
                      <w:lang w:val="en-US" w:eastAsia="zh-CN"/>
                    </w:rPr>
                    <w:t>木器涂料中有害物质限量</w:t>
                  </w:r>
                  <w:r>
                    <w:rPr>
                      <w:rFonts w:hint="eastAsia"/>
                      <w:color w:val="auto"/>
                    </w:rPr>
                    <w:t>》（GB/T</w:t>
                  </w:r>
                  <w:r>
                    <w:rPr>
                      <w:rFonts w:hint="eastAsia"/>
                      <w:color w:val="auto"/>
                      <w:lang w:val="en-US" w:eastAsia="zh-CN"/>
                    </w:rPr>
                    <w:t>18581</w:t>
                  </w:r>
                  <w:r>
                    <w:rPr>
                      <w:rFonts w:hint="eastAsia"/>
                      <w:color w:val="auto"/>
                    </w:rPr>
                    <w:t>-2020）</w:t>
                  </w:r>
                </w:p>
              </w:tc>
              <w:tc>
                <w:tcPr>
                  <w:tcW w:w="2494" w:type="dxa"/>
                  <w:vAlign w:val="center"/>
                </w:tcPr>
                <w:p>
                  <w:pPr>
                    <w:jc w:val="center"/>
                    <w:rPr>
                      <w:rFonts w:hint="default"/>
                      <w:color w:val="auto"/>
                    </w:rPr>
                  </w:pPr>
                  <w:r>
                    <w:rPr>
                      <w:rFonts w:hint="eastAsia"/>
                      <w:color w:val="auto"/>
                      <w:lang w:val="en-US" w:eastAsia="zh-CN"/>
                    </w:rPr>
                    <w:t>表1中涂料VOC含量要求最低为</w:t>
                  </w:r>
                  <w:r>
                    <w:rPr>
                      <w:rFonts w:hint="eastAsia"/>
                      <w:color w:val="auto"/>
                      <w:lang w:val="en-US" w:eastAsia="zh-CN"/>
                    </w:rPr>
                    <w:t>≤</w:t>
                  </w:r>
                  <w:r>
                    <w:rPr>
                      <w:rFonts w:hint="eastAsia"/>
                      <w:color w:val="auto"/>
                      <w:lang w:val="en-US" w:eastAsia="zh-CN"/>
                    </w:rPr>
                    <w:t>250</w:t>
                  </w:r>
                  <w:r>
                    <w:rPr>
                      <w:rFonts w:hint="eastAsia"/>
                      <w:color w:val="auto"/>
                    </w:rPr>
                    <w:t>g/L</w:t>
                  </w:r>
                </w:p>
              </w:tc>
              <w:tc>
                <w:tcPr>
                  <w:tcW w:w="2708" w:type="dxa"/>
                  <w:vAlign w:val="center"/>
                </w:tcPr>
                <w:p>
                  <w:pPr>
                    <w:jc w:val="center"/>
                    <w:rPr>
                      <w:rFonts w:eastAsia="宋体" w:hint="eastAsia"/>
                      <w:color w:val="auto"/>
                    </w:rPr>
                  </w:pPr>
                  <w:r>
                    <w:rPr>
                      <w:rFonts w:hint="eastAsia"/>
                      <w:color w:val="auto"/>
                    </w:rPr>
                    <w:t>本项目用木蜡油挥发性有机物含量为105g/L</w:t>
                  </w:r>
                  <w:r>
                    <w:rPr>
                      <w:rFonts w:hint="eastAsia"/>
                      <w:color w:val="auto"/>
                      <w:lang w:eastAsia="zh-CN"/>
                    </w:rPr>
                    <w:t>。</w:t>
                  </w:r>
                </w:p>
              </w:tc>
              <w:tc>
                <w:tcPr>
                  <w:tcW w:w="866" w:type="dxa"/>
                  <w:vAlign w:val="center"/>
                </w:tcPr>
                <w:p>
                  <w:pPr>
                    <w:jc w:val="center"/>
                    <w:rPr>
                      <w:color w:val="auto"/>
                    </w:rPr>
                  </w:pPr>
                  <w:r>
                    <w:rPr>
                      <w:color w:val="auto"/>
                    </w:rPr>
                    <w:t>符合</w:t>
                  </w:r>
                </w:p>
              </w:tc>
            </w:tr>
            <w:tr>
              <w:tblPrEx>
                <w:tblW w:w="0" w:type="auto"/>
                <w:jc w:val="center"/>
                <w:tblInd w:w="108" w:type="dxa"/>
                <w:tblLayout w:type="fixed"/>
                <w:tblCellMar>
                  <w:top w:w="0" w:type="dxa"/>
                  <w:left w:w="108" w:type="dxa"/>
                  <w:bottom w:w="0" w:type="dxa"/>
                  <w:right w:w="108" w:type="dxa"/>
                </w:tblCellMar>
                <w:tblLook w:val="0000"/>
              </w:tblPrEx>
              <w:trPr>
                <w:jc w:val="center"/>
              </w:trPr>
              <w:tc>
                <w:tcPr>
                  <w:tcW w:w="2130" w:type="dxa"/>
                  <w:vAlign w:val="center"/>
                </w:tcPr>
                <w:p>
                  <w:pPr>
                    <w:jc w:val="center"/>
                    <w:rPr>
                      <w:rFonts w:hint="eastAsia"/>
                      <w:color w:val="auto"/>
                    </w:rPr>
                  </w:pPr>
                  <w:r>
                    <w:rPr>
                      <w:rFonts w:hint="eastAsia"/>
                      <w:color w:val="auto"/>
                    </w:rPr>
                    <w:t>《</w:t>
                  </w:r>
                  <w:r>
                    <w:rPr>
                      <w:rFonts w:hint="eastAsia"/>
                      <w:color w:val="auto"/>
                      <w:lang w:val="en-US" w:eastAsia="zh-CN"/>
                    </w:rPr>
                    <w:t>胶黏剂挥发性有机化合物限量</w:t>
                  </w:r>
                  <w:r>
                    <w:rPr>
                      <w:rFonts w:hint="eastAsia"/>
                      <w:color w:val="auto"/>
                    </w:rPr>
                    <w:t>》（GB/T</w:t>
                  </w:r>
                  <w:r>
                    <w:rPr>
                      <w:rFonts w:hint="eastAsia"/>
                      <w:color w:val="auto"/>
                      <w:lang w:val="en-US" w:eastAsia="zh-CN"/>
                    </w:rPr>
                    <w:t>33372</w:t>
                  </w:r>
                  <w:r>
                    <w:rPr>
                      <w:rFonts w:hint="eastAsia"/>
                      <w:color w:val="auto"/>
                    </w:rPr>
                    <w:t>-2020）</w:t>
                  </w:r>
                </w:p>
              </w:tc>
              <w:tc>
                <w:tcPr>
                  <w:tcW w:w="2494" w:type="dxa"/>
                  <w:vAlign w:val="center"/>
                </w:tcPr>
                <w:p>
                  <w:pPr>
                    <w:jc w:val="center"/>
                    <w:rPr>
                      <w:rFonts w:hint="eastAsia"/>
                      <w:color w:val="auto"/>
                    </w:rPr>
                  </w:pPr>
                  <w:r>
                    <w:rPr>
                      <w:rFonts w:hint="eastAsia"/>
                      <w:color w:val="auto"/>
                      <w:lang w:val="en-US" w:eastAsia="zh-CN"/>
                    </w:rPr>
                    <w:t>表2水机型胶黏剂VOC含量限值中木工与家具（聚乙酸乙烯酯类）VOC含量</w:t>
                  </w:r>
                  <w:r>
                    <w:rPr>
                      <w:rFonts w:hint="eastAsia"/>
                      <w:color w:val="auto"/>
                      <w:lang w:val="en-US" w:eastAsia="zh-CN"/>
                    </w:rPr>
                    <w:t>≤</w:t>
                  </w:r>
                  <w:r>
                    <w:rPr>
                      <w:rFonts w:hint="eastAsia"/>
                      <w:color w:val="auto"/>
                      <w:lang w:val="en-US" w:eastAsia="zh-CN"/>
                    </w:rPr>
                    <w:t>100</w:t>
                  </w:r>
                  <w:r>
                    <w:rPr>
                      <w:rFonts w:hint="eastAsia"/>
                      <w:color w:val="auto"/>
                    </w:rPr>
                    <w:t>g/L</w:t>
                  </w:r>
                </w:p>
              </w:tc>
              <w:tc>
                <w:tcPr>
                  <w:tcW w:w="2708" w:type="dxa"/>
                  <w:vAlign w:val="center"/>
                </w:tcPr>
                <w:p>
                  <w:pPr>
                    <w:jc w:val="center"/>
                    <w:rPr>
                      <w:rFonts w:eastAsia="宋体" w:hint="eastAsia"/>
                      <w:color w:val="auto"/>
                    </w:rPr>
                  </w:pPr>
                  <w:r>
                    <w:rPr>
                      <w:rFonts w:hint="eastAsia"/>
                      <w:color w:val="auto"/>
                    </w:rPr>
                    <w:t>项目用白乳胶中总挥发性有机物含量为未检出</w:t>
                  </w:r>
                  <w:r>
                    <w:rPr>
                      <w:rFonts w:hint="eastAsia"/>
                      <w:color w:val="auto"/>
                      <w:lang w:eastAsia="zh-CN"/>
                    </w:rPr>
                    <w:t>（</w:t>
                  </w:r>
                  <w:r>
                    <w:rPr>
                      <w:rFonts w:hint="eastAsia"/>
                      <w:color w:val="auto"/>
                      <w:lang w:val="en-US" w:eastAsia="zh-CN"/>
                    </w:rPr>
                    <w:t>检出限为50</w:t>
                  </w:r>
                  <w:r>
                    <w:rPr>
                      <w:rFonts w:hint="eastAsia"/>
                      <w:color w:val="auto"/>
                    </w:rPr>
                    <w:t>g/L</w:t>
                  </w:r>
                  <w:r>
                    <w:rPr>
                      <w:rFonts w:hint="eastAsia"/>
                      <w:color w:val="auto"/>
                      <w:lang w:eastAsia="zh-CN"/>
                    </w:rPr>
                    <w:t>）</w:t>
                  </w:r>
                </w:p>
              </w:tc>
              <w:tc>
                <w:tcPr>
                  <w:tcW w:w="866" w:type="dxa"/>
                  <w:vAlign w:val="center"/>
                </w:tcPr>
                <w:p>
                  <w:pPr>
                    <w:jc w:val="center"/>
                    <w:rPr>
                      <w:color w:val="auto"/>
                    </w:rPr>
                  </w:pPr>
                  <w:r>
                    <w:rPr>
                      <w:color w:val="auto"/>
                    </w:rPr>
                    <w:t>符合</w:t>
                  </w:r>
                </w:p>
              </w:tc>
            </w:tr>
          </w:tbl>
          <w:p/>
        </w:tc>
      </w:tr>
    </w:tbl>
    <w:p>
      <w:pPr>
        <w:sectPr>
          <w:footerReference w:type="default" r:id="rId7"/>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4"/>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6"/>
        <w:gridCol w:w="8414"/>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456" w:type="dxa"/>
            <w:vAlign w:val="center"/>
          </w:tcPr>
          <w:p/>
        </w:tc>
        <w:tc>
          <w:tcPr>
            <w:tcW w:w="8414" w:type="dxa"/>
            <w:vAlign w:val="center"/>
          </w:tcPr>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30"/>
              <w:gridCol w:w="2494"/>
              <w:gridCol w:w="2708"/>
              <w:gridCol w:w="866"/>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130" w:type="dxa"/>
                  <w:vMerge w:val="restart"/>
                  <w:vAlign w:val="center"/>
                </w:tcPr>
                <w:p>
                  <w:pPr>
                    <w:jc w:val="center"/>
                    <w:rPr>
                      <w:color w:val="auto"/>
                    </w:rPr>
                  </w:pPr>
                  <w:r>
                    <w:rPr>
                      <w:color w:val="auto"/>
                    </w:rPr>
                    <w:t>《重点行业挥发性有机物综合治理方案》</w:t>
                  </w:r>
                  <w:r>
                    <w:rPr>
                      <w:rFonts w:hint="eastAsia"/>
                      <w:color w:val="auto"/>
                    </w:rPr>
                    <w:t>（</w:t>
                  </w:r>
                  <w:r>
                    <w:rPr>
                      <w:color w:val="auto"/>
                    </w:rPr>
                    <w:t>环大气〔2019〕53号</w:t>
                  </w:r>
                  <w:r>
                    <w:rPr>
                      <w:rFonts w:hint="eastAsia"/>
                      <w:color w:val="auto"/>
                    </w:rPr>
                    <w:t>）</w:t>
                  </w:r>
                </w:p>
              </w:tc>
              <w:tc>
                <w:tcPr>
                  <w:tcW w:w="2494" w:type="dxa"/>
                  <w:vAlign w:val="center"/>
                </w:tcPr>
                <w:p>
                  <w:pPr>
                    <w:jc w:val="center"/>
                    <w:rPr>
                      <w:color w:val="auto"/>
                    </w:rPr>
                  </w:pPr>
                  <w:r>
                    <w:rPr>
                      <w:rFonts w:hint="eastAsia"/>
                      <w:color w:val="auto"/>
                    </w:rPr>
                    <w:t>大力推进源头替代。通过使用水性、粉末、高固体分、无溶剂、辐射固化等低VOCs含量的涂料，水性、辐射固化、植物基等低 VOCs 含量的油墨，水基、热熔、无溶剂、辐射固化、改性、生物降解等低VOCs含量的胶粘剂，以及低VOCs含量、低反应活性的清洗剂等，替代溶剂型涂料、油墨、胶粘剂、清洗剂等，从源头减少VOCs产生</w:t>
                  </w:r>
                </w:p>
              </w:tc>
              <w:tc>
                <w:tcPr>
                  <w:tcW w:w="2708" w:type="dxa"/>
                  <w:vAlign w:val="center"/>
                </w:tcPr>
                <w:p>
                  <w:pPr>
                    <w:jc w:val="center"/>
                    <w:rPr>
                      <w:color w:val="auto"/>
                    </w:rPr>
                  </w:pPr>
                  <w:r>
                    <w:rPr>
                      <w:rFonts w:hint="eastAsia"/>
                      <w:color w:val="auto"/>
                    </w:rPr>
                    <w:t>根据检测报告，本项目用UV漆</w:t>
                  </w:r>
                  <w:r>
                    <w:rPr>
                      <w:rFonts w:hint="eastAsia"/>
                      <w:color w:val="auto"/>
                      <w:lang w:eastAsia="zh-CN"/>
                    </w:rPr>
                    <w:t>、</w:t>
                  </w:r>
                  <w:r>
                    <w:rPr>
                      <w:rFonts w:hint="eastAsia"/>
                      <w:color w:val="auto"/>
                    </w:rPr>
                    <w:t>白乳胶</w:t>
                  </w:r>
                  <w:r>
                    <w:rPr>
                      <w:rFonts w:hint="eastAsia"/>
                      <w:color w:val="auto"/>
                      <w:lang w:eastAsia="zh-CN"/>
                    </w:rPr>
                    <w:t>、</w:t>
                  </w:r>
                  <w:r>
                    <w:rPr>
                      <w:rFonts w:hint="eastAsia"/>
                      <w:color w:val="auto"/>
                    </w:rPr>
                    <w:t>木蜡油均满足</w:t>
                  </w:r>
                  <w:r>
                    <w:rPr>
                      <w:rFonts w:hint="eastAsia"/>
                      <w:color w:val="auto"/>
                      <w:lang w:val="en-US" w:eastAsia="zh-CN"/>
                    </w:rPr>
                    <w:t>相关低</w:t>
                  </w:r>
                  <w:r>
                    <w:rPr>
                      <w:rFonts w:hint="eastAsia"/>
                      <w:color w:val="auto"/>
                    </w:rPr>
                    <w:t>VOCs</w:t>
                  </w:r>
                  <w:r>
                    <w:rPr>
                      <w:rFonts w:hint="eastAsia"/>
                      <w:color w:val="auto"/>
                      <w:lang w:val="en-US" w:eastAsia="zh-CN"/>
                    </w:rPr>
                    <w:t>要求，</w:t>
                  </w:r>
                  <w:r>
                    <w:rPr>
                      <w:rFonts w:hint="eastAsia"/>
                      <w:color w:val="auto"/>
                    </w:rPr>
                    <w:t>可从源头减少VOCs产生。</w:t>
                  </w:r>
                </w:p>
              </w:tc>
              <w:tc>
                <w:tcPr>
                  <w:tcW w:w="866" w:type="dxa"/>
                  <w:vAlign w:val="center"/>
                </w:tcPr>
                <w:p>
                  <w:pPr>
                    <w:jc w:val="center"/>
                    <w:rPr>
                      <w:color w:val="auto"/>
                    </w:rPr>
                  </w:pPr>
                  <w:r>
                    <w:rPr>
                      <w:color w:val="auto"/>
                    </w:rPr>
                    <w:t>符合</w:t>
                  </w:r>
                </w:p>
              </w:tc>
            </w:tr>
            <w:tr>
              <w:tblPrEx>
                <w:tblW w:w="0" w:type="auto"/>
                <w:jc w:val="center"/>
                <w:tblInd w:w="108" w:type="dxa"/>
                <w:tblLayout w:type="fixed"/>
                <w:tblCellMar>
                  <w:top w:w="0" w:type="dxa"/>
                  <w:left w:w="108" w:type="dxa"/>
                  <w:bottom w:w="0" w:type="dxa"/>
                  <w:right w:w="108" w:type="dxa"/>
                </w:tblCellMar>
                <w:tblLook w:val="0000"/>
              </w:tblPrEx>
              <w:trPr>
                <w:jc w:val="center"/>
              </w:trPr>
              <w:tc>
                <w:tcPr>
                  <w:tcW w:w="2130" w:type="dxa"/>
                  <w:vMerge/>
                  <w:vAlign w:val="center"/>
                </w:tcPr>
                <w:p>
                  <w:pPr>
                    <w:jc w:val="center"/>
                    <w:rPr>
                      <w:color w:val="auto"/>
                    </w:rPr>
                  </w:pPr>
                </w:p>
              </w:tc>
              <w:tc>
                <w:tcPr>
                  <w:tcW w:w="2494" w:type="dxa"/>
                  <w:vAlign w:val="center"/>
                </w:tcPr>
                <w:p>
                  <w:pPr>
                    <w:jc w:val="center"/>
                    <w:rPr>
                      <w:color w:val="auto"/>
                    </w:rPr>
                  </w:pPr>
                  <w:r>
                    <w:rPr>
                      <w:rFonts w:hint="eastAsia"/>
                      <w:color w:val="auto"/>
                    </w:rPr>
                    <w:t>提高废气收集率。遵循</w:t>
                  </w:r>
                  <w:r>
                    <w:rPr>
                      <w:rFonts w:hint="eastAsia"/>
                      <w:color w:val="auto"/>
                    </w:rPr>
                    <w:t>“</w:t>
                  </w:r>
                  <w:r>
                    <w:rPr>
                      <w:rFonts w:hint="eastAsia"/>
                      <w:color w:val="auto"/>
                    </w:rPr>
                    <w:t>应收尽收、分质收集</w:t>
                  </w:r>
                  <w:r>
                    <w:rPr>
                      <w:rFonts w:hint="eastAsia"/>
                      <w:color w:val="auto"/>
                    </w:rPr>
                    <w:t>”</w:t>
                  </w:r>
                  <w:r>
                    <w:rPr>
                      <w:rFonts w:hint="eastAsia"/>
                      <w:color w:val="auto"/>
                    </w:rPr>
                    <w:t>的原则，科学设计废气收集系统，将无组织排放转变为有组织排放进行控制。采用全密闭集气罩或密闭空间的，除行业有特殊要求外，应保持微负压状态，并根据相关规范合理设置通风量</w:t>
                  </w:r>
                </w:p>
              </w:tc>
              <w:tc>
                <w:tcPr>
                  <w:tcW w:w="2708" w:type="dxa"/>
                  <w:vAlign w:val="center"/>
                </w:tcPr>
                <w:p>
                  <w:pPr>
                    <w:jc w:val="center"/>
                    <w:rPr>
                      <w:color w:val="auto"/>
                    </w:rPr>
                  </w:pPr>
                  <w:r>
                    <w:rPr>
                      <w:color w:val="auto"/>
                    </w:rPr>
                    <w:t>本项目涂装工序均在密闭</w:t>
                  </w:r>
                  <w:r>
                    <w:rPr>
                      <w:rFonts w:hint="eastAsia"/>
                      <w:color w:val="auto"/>
                    </w:rPr>
                    <w:t>涂装房、密闭晾干房、密闭UV涂装房等</w:t>
                  </w:r>
                  <w:r>
                    <w:rPr>
                      <w:color w:val="auto"/>
                    </w:rPr>
                    <w:t>工房内进行，使区域保持微负压，以提高VOCs收集效率，</w:t>
                  </w:r>
                  <w:r>
                    <w:rPr>
                      <w:rFonts w:hint="eastAsia"/>
                      <w:color w:val="auto"/>
                    </w:rPr>
                    <w:t>设计满足相关通风量要求。</w:t>
                  </w:r>
                </w:p>
              </w:tc>
              <w:tc>
                <w:tcPr>
                  <w:tcW w:w="866" w:type="dxa"/>
                  <w:vAlign w:val="center"/>
                </w:tcPr>
                <w:p>
                  <w:pPr>
                    <w:jc w:val="center"/>
                    <w:rPr>
                      <w:rFonts w:eastAsia="宋体" w:hint="eastAsia"/>
                      <w:color w:val="auto"/>
                    </w:rPr>
                  </w:pPr>
                  <w:r>
                    <w:rPr>
                      <w:rFonts w:hint="eastAsia"/>
                      <w:color w:val="auto"/>
                      <w:lang w:val="en-US" w:eastAsia="zh-CN"/>
                    </w:rPr>
                    <w:t>符合</w:t>
                  </w:r>
                </w:p>
              </w:tc>
            </w:tr>
            <w:tr>
              <w:tblPrEx>
                <w:tblW w:w="0" w:type="auto"/>
                <w:jc w:val="center"/>
                <w:tblInd w:w="108" w:type="dxa"/>
                <w:tblLayout w:type="fixed"/>
                <w:tblCellMar>
                  <w:top w:w="0" w:type="dxa"/>
                  <w:left w:w="108" w:type="dxa"/>
                  <w:bottom w:w="0" w:type="dxa"/>
                  <w:right w:w="108" w:type="dxa"/>
                </w:tblCellMar>
                <w:tblLook w:val="0000"/>
              </w:tblPrEx>
              <w:trPr>
                <w:jc w:val="center"/>
              </w:trPr>
              <w:tc>
                <w:tcPr>
                  <w:tcW w:w="2130" w:type="dxa"/>
                  <w:vMerge/>
                  <w:vAlign w:val="center"/>
                </w:tcPr>
                <w:p>
                  <w:pPr>
                    <w:jc w:val="center"/>
                    <w:rPr>
                      <w:color w:val="auto"/>
                    </w:rPr>
                  </w:pPr>
                </w:p>
              </w:tc>
              <w:tc>
                <w:tcPr>
                  <w:tcW w:w="2494" w:type="dxa"/>
                  <w:vAlign w:val="center"/>
                </w:tcPr>
                <w:p>
                  <w:pPr>
                    <w:jc w:val="center"/>
                    <w:rPr>
                      <w:color w:val="auto"/>
                    </w:rPr>
                  </w:pPr>
                  <w:r>
                    <w:rPr>
                      <w:rFonts w:hint="eastAsia"/>
                      <w:color w:val="auto"/>
                    </w:rPr>
                    <w:t>鼓励企业采用多种技术的组合工艺，提高VOCs治理效率。低浓度、大风量废气，宜采用沸石转轮吸附、活性炭吸附、减风增浓等浓缩技术，提高VOCs浓度后净化处理。低温等离子、光催化、光氧化技术主要适用于恶臭异味等治理；生物法主要适用于低浓度VOCs废气治理和恶臭异味治理。采用一次性活性炭吸附技术的，应定期更换活性炭，废旧活性炭应再生或处理处置</w:t>
                  </w:r>
                </w:p>
              </w:tc>
              <w:tc>
                <w:tcPr>
                  <w:tcW w:w="2708" w:type="dxa"/>
                  <w:vAlign w:val="center"/>
                </w:tcPr>
                <w:p>
                  <w:pPr>
                    <w:jc w:val="center"/>
                    <w:rPr>
                      <w:color w:val="auto"/>
                    </w:rPr>
                  </w:pPr>
                  <w:r>
                    <w:rPr>
                      <w:color w:val="auto"/>
                    </w:rPr>
                    <w:t>本项目 VOCs 主要来自涂装工序，收集的有机废气拟采用“干式过滤器+</w:t>
                  </w:r>
                  <w:r>
                    <w:rPr>
                      <w:rFonts w:hint="eastAsia"/>
                      <w:color w:val="auto"/>
                    </w:rPr>
                    <w:t>两级活性炭吸附箱</w:t>
                  </w:r>
                  <w:r>
                    <w:rPr>
                      <w:color w:val="auto"/>
                    </w:rPr>
                    <w:t>”净化处理，评价要求活性炭定期更换，更换的废活性炭交由有资质的单位处置</w:t>
                  </w:r>
                  <w:r>
                    <w:rPr>
                      <w:rFonts w:hint="eastAsia"/>
                      <w:color w:val="auto"/>
                    </w:rPr>
                    <w:t>。</w:t>
                  </w:r>
                </w:p>
              </w:tc>
              <w:tc>
                <w:tcPr>
                  <w:tcW w:w="866" w:type="dxa"/>
                  <w:vAlign w:val="center"/>
                </w:tcPr>
                <w:p>
                  <w:pPr>
                    <w:jc w:val="center"/>
                    <w:rPr>
                      <w:rFonts w:eastAsia="宋体" w:hint="eastAsia"/>
                      <w:color w:val="auto"/>
                    </w:rPr>
                  </w:pPr>
                  <w:r>
                    <w:rPr>
                      <w:rFonts w:hint="eastAsia"/>
                      <w:color w:val="auto"/>
                      <w:lang w:val="en-US" w:eastAsia="zh-CN"/>
                    </w:rPr>
                    <w:t>符合</w:t>
                  </w:r>
                </w:p>
              </w:tc>
            </w:tr>
            <w:tr>
              <w:tblPrEx>
                <w:tblW w:w="0" w:type="auto"/>
                <w:jc w:val="center"/>
                <w:tblInd w:w="108" w:type="dxa"/>
                <w:tblLayout w:type="fixed"/>
                <w:tblCellMar>
                  <w:top w:w="0" w:type="dxa"/>
                  <w:left w:w="108" w:type="dxa"/>
                  <w:bottom w:w="0" w:type="dxa"/>
                  <w:right w:w="108" w:type="dxa"/>
                </w:tblCellMar>
                <w:tblLook w:val="0000"/>
              </w:tblPrEx>
              <w:trPr>
                <w:jc w:val="center"/>
              </w:trPr>
              <w:tc>
                <w:tcPr>
                  <w:tcW w:w="2130" w:type="dxa"/>
                  <w:vAlign w:val="center"/>
                </w:tcPr>
                <w:p>
                  <w:pPr>
                    <w:jc w:val="center"/>
                    <w:rPr>
                      <w:color w:val="auto"/>
                    </w:rPr>
                  </w:pPr>
                </w:p>
                <w:p>
                  <w:pPr>
                    <w:jc w:val="center"/>
                    <w:rPr>
                      <w:color w:val="auto"/>
                    </w:rPr>
                  </w:pPr>
                  <w:r>
                    <w:rPr>
                      <w:color w:val="auto"/>
                    </w:rPr>
                    <w:t>《挥发性有机物无组织排放控制标准》</w:t>
                  </w:r>
                </w:p>
                <w:p>
                  <w:pPr>
                    <w:jc w:val="center"/>
                    <w:rPr>
                      <w:color w:val="auto"/>
                    </w:rPr>
                  </w:pPr>
                  <w:r>
                    <w:rPr>
                      <w:color w:val="auto"/>
                    </w:rPr>
                    <w:t>（GB37822-201</w:t>
                  </w:r>
                </w:p>
                <w:p>
                  <w:pPr>
                    <w:jc w:val="center"/>
                    <w:rPr>
                      <w:color w:val="auto"/>
                    </w:rPr>
                  </w:pPr>
                  <w:r>
                    <w:rPr>
                      <w:color w:val="auto"/>
                    </w:rPr>
                    <w:t>9）</w:t>
                  </w:r>
                </w:p>
              </w:tc>
              <w:tc>
                <w:tcPr>
                  <w:tcW w:w="2494" w:type="dxa"/>
                  <w:vAlign w:val="center"/>
                </w:tcPr>
                <w:p>
                  <w:pPr>
                    <w:spacing w:after="0"/>
                    <w:jc w:val="center"/>
                    <w:rPr>
                      <w:color w:val="auto"/>
                    </w:rPr>
                  </w:pPr>
                  <w:r>
                    <w:rPr>
                      <w:color w:val="auto"/>
                    </w:rPr>
                    <w:t>VOCs物料应储存于密闭的容器、包装袋、储罐、储库、料仓中。盛装VOCs物料的容器或包装袋应存放于室内，或存放于设置有雨棚、遮阳和防渗设施的专用场地。盛装VOCs</w:t>
                  </w:r>
                </w:p>
              </w:tc>
              <w:tc>
                <w:tcPr>
                  <w:tcW w:w="2708" w:type="dxa"/>
                  <w:vAlign w:val="center"/>
                </w:tcPr>
                <w:p>
                  <w:pPr>
                    <w:spacing w:after="0"/>
                    <w:jc w:val="center"/>
                    <w:rPr>
                      <w:rFonts w:eastAsia="宋体" w:hint="eastAsia"/>
                      <w:color w:val="auto"/>
                    </w:rPr>
                  </w:pPr>
                  <w:r>
                    <w:rPr>
                      <w:color w:val="auto"/>
                    </w:rPr>
                    <w:t>项目用VOCs物料主要为白乳胶、木蜡油以及UV漆，</w:t>
                  </w:r>
                  <w:r>
                    <w:rPr>
                      <w:rFonts w:hint="eastAsia"/>
                      <w:color w:val="auto"/>
                    </w:rPr>
                    <w:t>均满足</w:t>
                  </w:r>
                  <w:r>
                    <w:rPr>
                      <w:rFonts w:hint="eastAsia"/>
                      <w:color w:val="auto"/>
                      <w:lang w:val="en-US" w:eastAsia="zh-CN"/>
                    </w:rPr>
                    <w:t>相关低</w:t>
                  </w:r>
                  <w:r>
                    <w:rPr>
                      <w:rFonts w:hint="eastAsia"/>
                      <w:color w:val="auto"/>
                    </w:rPr>
                    <w:t>VOCs</w:t>
                  </w:r>
                  <w:r>
                    <w:rPr>
                      <w:rFonts w:hint="eastAsia"/>
                      <w:color w:val="auto"/>
                      <w:lang w:val="en-US" w:eastAsia="zh-CN"/>
                    </w:rPr>
                    <w:t>要求，</w:t>
                  </w:r>
                </w:p>
              </w:tc>
              <w:tc>
                <w:tcPr>
                  <w:tcW w:w="866" w:type="dxa"/>
                  <w:vAlign w:val="center"/>
                </w:tcPr>
                <w:p>
                  <w:pPr>
                    <w:jc w:val="center"/>
                    <w:rPr>
                      <w:color w:val="auto"/>
                    </w:rPr>
                  </w:pPr>
                  <w:r>
                    <w:rPr>
                      <w:color w:val="auto"/>
                    </w:rPr>
                    <w:t>符合</w:t>
                  </w:r>
                </w:p>
              </w:tc>
            </w:tr>
          </w:tbl>
          <w:p/>
        </w:tc>
      </w:tr>
    </w:tbl>
    <w:p>
      <w:pPr>
        <w:sectPr>
          <w:footerReference w:type="default" r:id="rId8"/>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5"/>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6"/>
        <w:gridCol w:w="8414"/>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456" w:type="dxa"/>
            <w:vAlign w:val="center"/>
          </w:tcPr>
          <w:p/>
        </w:tc>
        <w:tc>
          <w:tcPr>
            <w:tcW w:w="8414" w:type="dxa"/>
            <w:vAlign w:val="center"/>
          </w:tcPr>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30"/>
              <w:gridCol w:w="2494"/>
              <w:gridCol w:w="2708"/>
              <w:gridCol w:w="866"/>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130" w:type="dxa"/>
                  <w:vMerge w:val="restart"/>
                  <w:vAlign w:val="center"/>
                </w:tcPr>
                <w:p/>
              </w:tc>
              <w:tc>
                <w:tcPr>
                  <w:tcW w:w="2494" w:type="dxa"/>
                  <w:vAlign w:val="center"/>
                </w:tcPr>
                <w:p>
                  <w:pPr>
                    <w:spacing w:before="0"/>
                    <w:jc w:val="center"/>
                    <w:rPr>
                      <w:color w:val="auto"/>
                    </w:rPr>
                  </w:pPr>
                  <w:r>
                    <w:rPr>
                      <w:color w:val="auto"/>
                    </w:rPr>
                    <w:t xml:space="preserve"> 物料的容器或包装袋在非取用状态时应加盖、封口，保持密闭</w:t>
                  </w:r>
                  <w:r>
                    <w:rPr>
                      <w:rFonts w:hint="eastAsia"/>
                      <w:color w:val="auto"/>
                    </w:rPr>
                    <w:t>。</w:t>
                  </w:r>
                </w:p>
              </w:tc>
              <w:tc>
                <w:tcPr>
                  <w:tcW w:w="2708" w:type="dxa"/>
                  <w:vAlign w:val="center"/>
                </w:tcPr>
                <w:p>
                  <w:pPr>
                    <w:spacing w:before="0"/>
                    <w:jc w:val="center"/>
                    <w:rPr>
                      <w:rFonts w:eastAsia="宋体" w:hint="eastAsia"/>
                      <w:color w:val="auto"/>
                    </w:rPr>
                  </w:pPr>
                  <w:r>
                    <w:rPr>
                      <w:color w:val="auto"/>
                    </w:rPr>
                    <w:t>均储存于密闭包装桶内，且设置专门的涂料仓库内，满足防雨、防晒以及防渗的基本要求，涂料仓库内的涂料、胶粘剂在非取用状态时，全部加盖、封口，保持密闭</w:t>
                  </w:r>
                  <w:r>
                    <w:rPr>
                      <w:rFonts w:hint="eastAsia"/>
                      <w:color w:val="auto"/>
                      <w:lang w:eastAsia="zh-CN"/>
                    </w:rPr>
                    <w:t>。</w:t>
                  </w:r>
                </w:p>
              </w:tc>
              <w:tc>
                <w:tcPr>
                  <w:tcW w:w="866" w:type="dxa"/>
                  <w:vAlign w:val="center"/>
                </w:tcPr>
                <w:p/>
              </w:tc>
            </w:tr>
            <w:tr>
              <w:tblPrEx>
                <w:tblW w:w="0" w:type="auto"/>
                <w:jc w:val="center"/>
                <w:tblInd w:w="108" w:type="dxa"/>
                <w:tblLayout w:type="fixed"/>
                <w:tblCellMar>
                  <w:top w:w="0" w:type="dxa"/>
                  <w:left w:w="108" w:type="dxa"/>
                  <w:bottom w:w="0" w:type="dxa"/>
                  <w:right w:w="108" w:type="dxa"/>
                </w:tblCellMar>
                <w:tblLook w:val="0000"/>
              </w:tblPrEx>
              <w:trPr>
                <w:jc w:val="center"/>
              </w:trPr>
              <w:tc>
                <w:tcPr>
                  <w:tcW w:w="2130" w:type="dxa"/>
                  <w:vMerge/>
                  <w:vAlign w:val="center"/>
                </w:tcPr>
                <w:p>
                  <w:pPr>
                    <w:jc w:val="center"/>
                    <w:rPr>
                      <w:color w:val="auto"/>
                    </w:rPr>
                  </w:pPr>
                </w:p>
              </w:tc>
              <w:tc>
                <w:tcPr>
                  <w:tcW w:w="2494" w:type="dxa"/>
                  <w:vAlign w:val="center"/>
                </w:tcPr>
                <w:p>
                  <w:pPr>
                    <w:jc w:val="center"/>
                    <w:rPr>
                      <w:color w:val="auto"/>
                    </w:rPr>
                  </w:pPr>
                  <w:r>
                    <w:rPr>
                      <w:color w:val="auto"/>
                    </w:rPr>
                    <w:t>VOCs排放的排气筒高度不低于15m（因安全考虑或有特殊工艺要求的除外），具体高度以及与周围建筑物的相对高度关系应根据环境影响评价文件确定</w:t>
                  </w:r>
                </w:p>
              </w:tc>
              <w:tc>
                <w:tcPr>
                  <w:tcW w:w="2708" w:type="dxa"/>
                  <w:vAlign w:val="center"/>
                </w:tcPr>
                <w:p>
                  <w:pPr>
                    <w:jc w:val="center"/>
                    <w:rPr>
                      <w:rFonts w:eastAsia="宋体" w:hint="eastAsia"/>
                      <w:color w:val="auto"/>
                    </w:rPr>
                  </w:pPr>
                  <w:r>
                    <w:rPr>
                      <w:color w:val="FF0000"/>
                    </w:rPr>
                    <w:t>项目排放VOCs的排气筒高度为</w:t>
                  </w:r>
                  <w:r>
                    <w:rPr>
                      <w:rFonts w:hint="eastAsia"/>
                      <w:color w:val="FF0000"/>
                      <w:lang w:val="en-US" w:eastAsia="zh-CN"/>
                    </w:rPr>
                    <w:t>25</w:t>
                  </w:r>
                  <w:r>
                    <w:rPr>
                      <w:color w:val="FF0000"/>
                    </w:rPr>
                    <w:t>m</w:t>
                  </w:r>
                  <w:r>
                    <w:rPr>
                      <w:rFonts w:hint="eastAsia"/>
                      <w:color w:val="FF0000"/>
                      <w:lang w:eastAsia="zh-CN"/>
                    </w:rPr>
                    <w:t>。</w:t>
                  </w:r>
                </w:p>
              </w:tc>
              <w:tc>
                <w:tcPr>
                  <w:tcW w:w="866" w:type="dxa"/>
                  <w:vAlign w:val="center"/>
                </w:tcPr>
                <w:p>
                  <w:pPr>
                    <w:jc w:val="center"/>
                    <w:rPr>
                      <w:color w:val="auto"/>
                    </w:rPr>
                  </w:pPr>
                  <w:r>
                    <w:rPr>
                      <w:color w:val="auto"/>
                    </w:rPr>
                    <w:t>符合</w:t>
                  </w:r>
                </w:p>
              </w:tc>
            </w:tr>
            <w:tr>
              <w:tblPrEx>
                <w:tblW w:w="0" w:type="auto"/>
                <w:jc w:val="center"/>
                <w:tblInd w:w="108" w:type="dxa"/>
                <w:tblLayout w:type="fixed"/>
                <w:tblCellMar>
                  <w:top w:w="0" w:type="dxa"/>
                  <w:left w:w="108" w:type="dxa"/>
                  <w:bottom w:w="0" w:type="dxa"/>
                  <w:right w:w="108" w:type="dxa"/>
                </w:tblCellMar>
                <w:tblLook w:val="0000"/>
              </w:tblPrEx>
              <w:trPr>
                <w:jc w:val="center"/>
              </w:trPr>
              <w:tc>
                <w:tcPr>
                  <w:tcW w:w="2130" w:type="dxa"/>
                  <w:vAlign w:val="center"/>
                </w:tcPr>
                <w:p>
                  <w:pPr>
                    <w:jc w:val="center"/>
                    <w:rPr>
                      <w:color w:val="auto"/>
                    </w:rPr>
                  </w:pPr>
                  <w:bookmarkStart w:id="1" w:name="bookmark0"/>
                  <w:bookmarkStart w:id="2" w:name="bookmark2"/>
                  <w:bookmarkStart w:id="3" w:name="bookmark1"/>
                  <w:r>
                    <w:rPr>
                      <w:color w:val="auto"/>
                    </w:rPr>
                    <w:t>《陕西省蓝天保卫战2021年工作方案</w:t>
                  </w:r>
                  <w:bookmarkEnd w:id="1"/>
                  <w:bookmarkEnd w:id="2"/>
                  <w:bookmarkEnd w:id="3"/>
                  <w:r>
                    <w:rPr>
                      <w:color w:val="auto"/>
                    </w:rPr>
                    <w:t>》</w:t>
                  </w:r>
                </w:p>
                <w:p>
                  <w:pPr>
                    <w:jc w:val="center"/>
                    <w:rPr>
                      <w:color w:val="auto"/>
                    </w:rPr>
                  </w:pPr>
                </w:p>
              </w:tc>
              <w:tc>
                <w:tcPr>
                  <w:tcW w:w="2494" w:type="dxa"/>
                  <w:vAlign w:val="center"/>
                </w:tcPr>
                <w:p>
                  <w:pPr>
                    <w:jc w:val="center"/>
                    <w:rPr>
                      <w:color w:val="auto"/>
                    </w:rPr>
                  </w:pPr>
                  <w:bookmarkStart w:id="4" w:name="bookmark28"/>
                  <w:r>
                    <w:rPr>
                      <w:color w:val="auto"/>
                    </w:rPr>
                    <w:t>（</w:t>
                  </w:r>
                  <w:bookmarkEnd w:id="4"/>
                  <w:r>
                    <w:rPr>
                      <w:color w:val="auto"/>
                    </w:rPr>
                    <w:t>五）深入推进面源污染治理。</w:t>
                  </w:r>
                </w:p>
                <w:p>
                  <w:pPr>
                    <w:jc w:val="center"/>
                    <w:rPr>
                      <w:color w:val="auto"/>
                    </w:rPr>
                  </w:pPr>
                  <w:r>
                    <w:rPr>
                      <w:color w:val="auto"/>
                    </w:rPr>
                    <w:t>推进建筑施工扬尘精细化管控。严格落实施工工地扬尘</w:t>
                  </w:r>
                  <w:bookmarkStart w:id="5" w:name="bookmark29"/>
                  <w:bookmarkEnd w:id="5"/>
                  <w:r>
                    <w:rPr>
                      <w:color w:val="auto"/>
                    </w:rPr>
                    <w:t>管控责任，建立施工工地动态管理清单，在工地公示具体防治措施及负责人信息，防治扬尘污染费用纳入工程造价。严格落实工地</w:t>
                  </w:r>
                  <w:r>
                    <w:rPr>
                      <w:rFonts w:hint="eastAsia"/>
                      <w:color w:val="auto"/>
                      <w:lang w:eastAsia="zh-CN"/>
                    </w:rPr>
                    <w:t>“</w:t>
                  </w:r>
                  <w:r>
                    <w:rPr>
                      <w:color w:val="auto"/>
                    </w:rPr>
                    <w:t>六个百分之百</w:t>
                  </w:r>
                  <w:r>
                    <w:rPr>
                      <w:rFonts w:hint="eastAsia"/>
                      <w:color w:val="auto"/>
                      <w:lang w:eastAsia="zh-CN"/>
                    </w:rPr>
                    <w:t>”</w:t>
                  </w:r>
                  <w:r>
                    <w:rPr>
                      <w:color w:val="auto"/>
                    </w:rPr>
                    <w:t>，将建筑施工扬尘防治落实情况纳入企业信用评价。核查渣土车密闭化改装改造，确保运输过程无扬尘、无遗漏、无抛洒，未达到改造升级要求的渣土车辆不得从事渣土运输活动。</w:t>
                  </w:r>
                </w:p>
              </w:tc>
              <w:tc>
                <w:tcPr>
                  <w:tcW w:w="2708" w:type="dxa"/>
                  <w:vAlign w:val="center"/>
                </w:tcPr>
                <w:p>
                  <w:pPr>
                    <w:jc w:val="center"/>
                    <w:rPr>
                      <w:rFonts w:eastAsia="宋体" w:hint="default"/>
                      <w:color w:val="FF0000"/>
                    </w:rPr>
                  </w:pPr>
                  <w:r>
                    <w:rPr>
                      <w:rFonts w:hint="eastAsia"/>
                      <w:color w:val="FF0000"/>
                    </w:rPr>
                    <w:t>项目</w:t>
                  </w:r>
                  <w:r>
                    <w:rPr>
                      <w:rFonts w:hint="eastAsia"/>
                      <w:color w:val="FF0000"/>
                      <w:lang w:val="en-US" w:eastAsia="zh-CN"/>
                    </w:rPr>
                    <w:t>施工期严格落实施工工地扬尘管控责任，</w:t>
                  </w:r>
                  <w:r>
                    <w:rPr>
                      <w:color w:val="FF0000"/>
                    </w:rPr>
                    <w:t>严格落实工地</w:t>
                  </w:r>
                  <w:r>
                    <w:rPr>
                      <w:rFonts w:hint="eastAsia"/>
                      <w:color w:val="FF0000"/>
                      <w:lang w:eastAsia="zh-CN"/>
                    </w:rPr>
                    <w:t>“</w:t>
                  </w:r>
                  <w:r>
                    <w:rPr>
                      <w:color w:val="FF0000"/>
                    </w:rPr>
                    <w:t>六个百分之百</w:t>
                  </w:r>
                  <w:r>
                    <w:rPr>
                      <w:rFonts w:hint="eastAsia"/>
                      <w:color w:val="FF0000"/>
                      <w:lang w:eastAsia="zh-CN"/>
                    </w:rPr>
                    <w:t>”</w:t>
                  </w:r>
                  <w:r>
                    <w:rPr>
                      <w:rFonts w:hint="eastAsia"/>
                      <w:color w:val="FF0000"/>
                      <w:lang w:eastAsia="zh-CN"/>
                    </w:rPr>
                    <w:t>、</w:t>
                  </w:r>
                  <w:r>
                    <w:rPr>
                      <w:rFonts w:hint="eastAsia"/>
                      <w:color w:val="FF0000"/>
                      <w:lang w:val="en-US" w:eastAsia="zh-CN"/>
                    </w:rPr>
                    <w:t>渣土车密闭。</w:t>
                  </w:r>
                </w:p>
              </w:tc>
              <w:tc>
                <w:tcPr>
                  <w:tcW w:w="866" w:type="dxa"/>
                  <w:vAlign w:val="center"/>
                </w:tcPr>
                <w:p>
                  <w:pPr>
                    <w:jc w:val="center"/>
                    <w:rPr>
                      <w:color w:val="auto"/>
                    </w:rPr>
                  </w:pPr>
                  <w:r>
                    <w:rPr>
                      <w:rFonts w:hint="eastAsia"/>
                      <w:color w:val="auto"/>
                    </w:rPr>
                    <w:t>符合</w:t>
                  </w:r>
                </w:p>
              </w:tc>
            </w:tr>
            <w:tr>
              <w:tblPrEx>
                <w:tblW w:w="0" w:type="auto"/>
                <w:jc w:val="center"/>
                <w:tblInd w:w="108" w:type="dxa"/>
                <w:tblLayout w:type="fixed"/>
                <w:tblCellMar>
                  <w:top w:w="0" w:type="dxa"/>
                  <w:left w:w="108" w:type="dxa"/>
                  <w:bottom w:w="0" w:type="dxa"/>
                  <w:right w:w="108" w:type="dxa"/>
                </w:tblCellMar>
                <w:tblLook w:val="0000"/>
              </w:tblPrEx>
              <w:trPr>
                <w:jc w:val="center"/>
              </w:trPr>
              <w:tc>
                <w:tcPr>
                  <w:tcW w:w="2130" w:type="dxa"/>
                  <w:vAlign w:val="center"/>
                </w:tcPr>
                <w:p>
                  <w:pPr>
                    <w:pStyle w:val="TableParagraph"/>
                    <w:jc w:val="center"/>
                    <w:rPr>
                      <w:rFonts w:ascii="Times New Roman" w:eastAsia="宋体" w:hAnsi="Times New Roman" w:cs="Times New Roman" w:hint="default"/>
                      <w:color w:val="FF0000"/>
                      <w:sz w:val="21"/>
                      <w:szCs w:val="21"/>
                      <w:lang w:val="en-US" w:eastAsia="zh-CN" w:bidi="ar-SA"/>
                    </w:rPr>
                  </w:pPr>
                  <w:r>
                    <w:rPr>
                      <w:color w:val="auto"/>
                      <w:sz w:val="21"/>
                      <w:szCs w:val="21"/>
                    </w:rPr>
                    <w:t>《</w:t>
                  </w:r>
                  <w:r>
                    <w:rPr>
                      <w:rFonts w:ascii="Times New Roman" w:eastAsia="宋体" w:hAnsi="Times New Roman" w:cs="Times New Roman" w:hint="eastAsia"/>
                      <w:color w:val="FF0000"/>
                      <w:sz w:val="21"/>
                      <w:szCs w:val="21"/>
                      <w:lang w:val="en-US" w:eastAsia="zh-CN"/>
                    </w:rPr>
                    <w:t>关于进一步加强重点地区涉VOCs项目环境影响评价管理工作的通知</w:t>
                  </w:r>
                  <w:r>
                    <w:rPr>
                      <w:color w:val="auto"/>
                      <w:sz w:val="21"/>
                      <w:szCs w:val="21"/>
                    </w:rPr>
                    <w:t>》</w:t>
                  </w:r>
                  <w:r>
                    <w:rPr>
                      <w:rFonts w:ascii="Times New Roman" w:eastAsia="宋体" w:hAnsi="Times New Roman" w:cs="Times New Roman" w:hint="eastAsia"/>
                      <w:color w:val="FF0000"/>
                      <w:sz w:val="21"/>
                      <w:szCs w:val="21"/>
                      <w:lang w:val="en-US" w:eastAsia="zh-CN"/>
                    </w:rPr>
                    <w:t>（陕环环评函（2020）61号）</w:t>
                  </w:r>
                </w:p>
              </w:tc>
              <w:tc>
                <w:tcPr>
                  <w:tcW w:w="2494" w:type="dxa"/>
                  <w:vAlign w:val="center"/>
                </w:tcPr>
                <w:p>
                  <w:pPr>
                    <w:autoSpaceDE w:val="0"/>
                    <w:autoSpaceDN w:val="0"/>
                    <w:adjustRightInd w:val="0"/>
                    <w:jc w:val="left"/>
                    <w:rPr>
                      <w:rFonts w:ascii="Times New Roman" w:eastAsia="宋体" w:hAnsi="Times New Roman" w:cs="Times New Roman" w:hint="eastAsia"/>
                      <w:color w:val="FF0000"/>
                      <w:szCs w:val="21"/>
                    </w:rPr>
                  </w:pPr>
                  <w:r>
                    <w:rPr>
                      <w:rFonts w:ascii="Times New Roman" w:eastAsia="宋体" w:hAnsi="Times New Roman" w:cs="Times New Roman" w:hint="eastAsia"/>
                      <w:color w:val="FF0000"/>
                      <w:szCs w:val="21"/>
                      <w:lang w:val="en-US" w:eastAsia="zh-CN"/>
                    </w:rPr>
                    <w:t>二、</w:t>
                  </w:r>
                  <w:r>
                    <w:rPr>
                      <w:rFonts w:ascii="Times New Roman" w:eastAsia="宋体" w:hAnsi="Times New Roman" w:cs="Times New Roman" w:hint="eastAsia"/>
                      <w:color w:val="FF0000"/>
                      <w:szCs w:val="21"/>
                    </w:rPr>
                    <w:t>严格涉VOCs建设项目环境影响评价，涉VOCs建设项目特别是石化、化工、包装印刷、工业涂装等新增VOCs排放量的建设项目，环评文件应明确V</w:t>
                  </w:r>
                  <w:r>
                    <w:rPr>
                      <w:rFonts w:ascii="Times New Roman" w:eastAsia="宋体" w:hAnsi="Times New Roman" w:cs="Times New Roman" w:hint="eastAsia"/>
                      <w:color w:val="FF0000"/>
                      <w:szCs w:val="21"/>
                      <w:lang w:val="en-US" w:eastAsia="zh-CN"/>
                    </w:rPr>
                    <w:t>O</w:t>
                  </w:r>
                  <w:r>
                    <w:rPr>
                      <w:rFonts w:ascii="Times New Roman" w:eastAsia="宋体" w:hAnsi="Times New Roman" w:cs="Times New Roman" w:hint="eastAsia"/>
                      <w:color w:val="FF0000"/>
                      <w:szCs w:val="21"/>
                    </w:rPr>
                    <w:t>Cs污染防治设施措施并预测排放量，按照国家和我省具体规定实行区域内VOCs排放等量或倍量削减替代</w:t>
                  </w:r>
                </w:p>
              </w:tc>
              <w:tc>
                <w:tcPr>
                  <w:tcW w:w="2708" w:type="dxa"/>
                  <w:vAlign w:val="center"/>
                </w:tcPr>
                <w:p>
                  <w:pPr>
                    <w:jc w:val="left"/>
                    <w:textAlignment w:val="baseline"/>
                    <w:rPr>
                      <w:rFonts w:hint="eastAsia"/>
                      <w:color w:val="FF0000"/>
                      <w:szCs w:val="21"/>
                    </w:rPr>
                  </w:pPr>
                  <w:r>
                    <w:rPr>
                      <w:rFonts w:hint="eastAsia"/>
                      <w:color w:val="FF0000"/>
                      <w:szCs w:val="21"/>
                      <w:lang w:val="en-US" w:eastAsia="zh-CN"/>
                    </w:rPr>
                    <w:t>企业承诺已知晓文件要求并严格执行，承诺书见附件5。</w:t>
                  </w:r>
                </w:p>
              </w:tc>
              <w:tc>
                <w:tcPr>
                  <w:tcW w:w="866" w:type="dxa"/>
                  <w:vAlign w:val="center"/>
                </w:tcPr>
                <w:p>
                  <w:pPr>
                    <w:autoSpaceDE w:val="0"/>
                    <w:snapToGrid w:val="0"/>
                    <w:spacing w:line="300" w:lineRule="exact"/>
                    <w:jc w:val="center"/>
                    <w:rPr>
                      <w:rFonts w:eastAsia="宋体" w:hint="eastAsia"/>
                      <w:bCs/>
                      <w:color w:val="FF0000"/>
                      <w:spacing w:val="-6"/>
                    </w:rPr>
                  </w:pPr>
                  <w:r>
                    <w:rPr>
                      <w:rFonts w:hint="eastAsia"/>
                      <w:bCs/>
                      <w:color w:val="FF0000"/>
                      <w:spacing w:val="-6"/>
                      <w:lang w:val="en-US" w:eastAsia="zh-CN"/>
                    </w:rPr>
                    <w:t>符合</w:t>
                  </w:r>
                </w:p>
              </w:tc>
            </w:tr>
          </w:tbl>
          <w:p>
            <w:pPr>
              <w:spacing w:line="360" w:lineRule="auto"/>
              <w:ind w:firstLine="480" w:firstLineChars="200"/>
              <w:rPr>
                <w:rFonts w:hint="eastAsia"/>
                <w:color w:val="auto"/>
                <w:sz w:val="24"/>
              </w:rPr>
            </w:pPr>
            <w:r>
              <w:rPr>
                <w:rFonts w:hint="eastAsia"/>
                <w:color w:val="auto"/>
                <w:sz w:val="24"/>
              </w:rPr>
              <w:t>4、项目选址合理性分析</w:t>
            </w:r>
          </w:p>
          <w:p>
            <w:pPr>
              <w:spacing w:line="360" w:lineRule="auto"/>
              <w:ind w:firstLine="480" w:firstLineChars="200"/>
              <w:rPr>
                <w:color w:val="auto"/>
                <w:sz w:val="24"/>
              </w:rPr>
            </w:pPr>
            <w:r>
              <w:rPr>
                <w:color w:val="auto"/>
                <w:sz w:val="24"/>
              </w:rPr>
              <w:t>本项目位于</w:t>
            </w:r>
            <w:r>
              <w:rPr>
                <w:rFonts w:hint="eastAsia"/>
                <w:color w:val="auto"/>
                <w:sz w:val="24"/>
              </w:rPr>
              <w:t>西安高新区集贤园集创业东路以西</w:t>
            </w:r>
            <w:r>
              <w:rPr>
                <w:color w:val="auto"/>
                <w:sz w:val="24"/>
              </w:rPr>
              <w:t>，</w:t>
            </w:r>
            <w:r>
              <w:rPr>
                <w:rFonts w:hint="eastAsia"/>
                <w:color w:val="auto"/>
                <w:sz w:val="24"/>
              </w:rPr>
              <w:t>项目东侧为创业东路，南侧和西侧均紧邻西安通中电器有限公司，北侧紧邻陕西宇之龙货架制造有限公司；</w:t>
            </w:r>
            <w:r>
              <w:rPr>
                <w:color w:val="auto"/>
                <w:sz w:val="24"/>
              </w:rPr>
              <w:t>项目所在区域路网完善、交通便利。</w:t>
            </w:r>
          </w:p>
          <w:p>
            <w:pPr>
              <w:spacing w:after="0" w:line="480" w:lineRule="exact"/>
              <w:ind w:firstLine="480" w:firstLineChars="200"/>
              <w:rPr>
                <w:color w:val="auto"/>
                <w:sz w:val="24"/>
              </w:rPr>
            </w:pPr>
            <w:r>
              <w:rPr>
                <w:rFonts w:hint="eastAsia"/>
                <w:color w:val="auto"/>
                <w:sz w:val="24"/>
              </w:rPr>
              <w:t>距离项目最近的</w:t>
            </w:r>
            <w:r>
              <w:rPr>
                <w:color w:val="auto"/>
                <w:sz w:val="24"/>
              </w:rPr>
              <w:t>环境敏感目标</w:t>
            </w:r>
            <w:r>
              <w:rPr>
                <w:rFonts w:hint="eastAsia"/>
                <w:color w:val="auto"/>
                <w:sz w:val="24"/>
              </w:rPr>
              <w:t>为南侧150m金凤村散户；</w:t>
            </w:r>
          </w:p>
        </w:tc>
      </w:tr>
    </w:tbl>
    <w:p>
      <w:pPr>
        <w:sectPr>
          <w:footerReference w:type="default" r:id="rId9"/>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6"/>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6"/>
        <w:gridCol w:w="8414"/>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456" w:type="dxa"/>
            <w:vAlign w:val="center"/>
          </w:tcPr>
          <w:p/>
        </w:tc>
        <w:tc>
          <w:tcPr>
            <w:tcW w:w="8414" w:type="dxa"/>
            <w:vAlign w:val="center"/>
          </w:tcPr>
          <w:p>
            <w:pPr>
              <w:spacing w:before="0" w:line="480" w:lineRule="exact"/>
              <w:ind w:firstLine="480" w:firstLineChars="200"/>
              <w:rPr>
                <w:color w:val="auto"/>
                <w:sz w:val="24"/>
              </w:rPr>
            </w:pPr>
            <w:r>
              <w:rPr>
                <w:color w:val="auto"/>
                <w:sz w:val="24"/>
              </w:rPr>
              <w:t>项目实施环评提出各项措施后，废气、噪声均能达标排放，固体废物做到了合理处置；从环境影响角度分析对周围环境造成的影响小。项目选址无重点保护野生动植物分布，也不涉及风景名胜区、自然保护区、基本农田、文物保护单位、饮用水水源地等敏感区域。</w:t>
            </w:r>
          </w:p>
          <w:p>
            <w:pPr>
              <w:spacing w:line="480" w:lineRule="exact"/>
              <w:ind w:firstLine="480" w:firstLineChars="200"/>
              <w:rPr>
                <w:rFonts w:hint="eastAsia"/>
                <w:color w:val="auto"/>
                <w:sz w:val="24"/>
              </w:rPr>
            </w:pPr>
            <w:r>
              <w:rPr>
                <w:color w:val="auto"/>
                <w:sz w:val="24"/>
              </w:rPr>
              <w:t>因此，在严格落实本报告提出的环保措施后，项目的建设和运行不会对外环境产生较大影响，从满足环境质量目标要求分析，项目选址</w:t>
            </w:r>
            <w:r>
              <w:rPr>
                <w:rFonts w:hint="eastAsia"/>
                <w:color w:val="auto"/>
                <w:sz w:val="24"/>
              </w:rPr>
              <w:t>合理</w:t>
            </w:r>
            <w:r>
              <w:rPr>
                <w:rFonts w:hint="eastAsia"/>
                <w:color w:val="auto"/>
                <w:sz w:val="24"/>
                <w:lang w:eastAsia="zh-CN"/>
              </w:rPr>
              <w:t>。</w:t>
            </w: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ind w:firstLine="480" w:firstLineChars="200"/>
              <w:rPr>
                <w:rFonts w:hint="eastAsia"/>
                <w:color w:val="auto"/>
                <w:sz w:val="24"/>
              </w:rPr>
            </w:pPr>
          </w:p>
          <w:p>
            <w:pPr>
              <w:spacing w:line="480" w:lineRule="exact"/>
              <w:rPr>
                <w:rFonts w:hint="eastAsia"/>
                <w:color w:val="auto"/>
              </w:rPr>
            </w:pPr>
          </w:p>
        </w:tc>
      </w:tr>
    </w:tbl>
    <w:p>
      <w:pPr>
        <w:autoSpaceDE w:val="0"/>
        <w:autoSpaceDN w:val="0"/>
        <w:adjustRightInd w:val="0"/>
        <w:snapToGrid w:val="0"/>
        <w:rPr>
          <w:color w:val="auto"/>
          <w:kern w:val="0"/>
          <w:sz w:val="24"/>
        </w:rPr>
        <w:sectPr>
          <w:footerReference w:type="default" r:id="rId10"/>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7"/>
          <w:cols w:space="708"/>
          <w:titlePg w:val="0"/>
          <w:docGrid w:linePitch="312"/>
        </w:sectPr>
      </w:pPr>
    </w:p>
    <w:p>
      <w:pPr>
        <w:pStyle w:val="NormalWeb"/>
        <w:jc w:val="center"/>
        <w:outlineLvl w:val="0"/>
        <w:rPr>
          <w:rFonts w:ascii="黑体" w:eastAsia="黑体" w:hAnsi="黑体"/>
          <w:snapToGrid w:val="0"/>
          <w:color w:val="auto"/>
          <w:sz w:val="30"/>
          <w:szCs w:val="30"/>
        </w:rPr>
      </w:pPr>
      <w:r>
        <w:rPr>
          <w:rFonts w:ascii="黑体" w:eastAsia="黑体" w:hAnsi="黑体" w:hint="eastAsia"/>
          <w:snapToGrid w:val="0"/>
          <w:color w:val="auto"/>
          <w:sz w:val="30"/>
          <w:szCs w:val="30"/>
        </w:rPr>
        <w:t>二、建设项目工程分析</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3"/>
        <w:gridCol w:w="8161"/>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581"/>
          <w:jc w:val="center"/>
        </w:trPr>
        <w:tc>
          <w:tcPr>
            <w:tcW w:w="823" w:type="dxa"/>
            <w:vAlign w:val="center"/>
          </w:tcPr>
          <w:p>
            <w:pPr>
              <w:pStyle w:val="NormalWeb"/>
              <w:adjustRightInd w:val="0"/>
              <w:snapToGrid w:val="0"/>
              <w:spacing w:before="0" w:beforeAutospacing="0" w:after="0" w:afterAutospacing="0"/>
              <w:jc w:val="center"/>
              <w:rPr>
                <w:rFonts w:ascii="Times New Roman" w:hAnsi="Times New Roman"/>
                <w:color w:val="auto"/>
                <w:sz w:val="21"/>
                <w:szCs w:val="21"/>
              </w:rPr>
            </w:pPr>
            <w:r>
              <w:rPr>
                <w:rFonts w:ascii="Times New Roman" w:hAnsi="Times New Roman"/>
                <w:color w:val="auto"/>
                <w:szCs w:val="24"/>
              </w:rPr>
              <w:t>建设内容</w:t>
            </w:r>
          </w:p>
        </w:tc>
        <w:tc>
          <w:tcPr>
            <w:tcW w:w="8161" w:type="dxa"/>
          </w:tcPr>
          <w:p>
            <w:pPr>
              <w:widowControl/>
              <w:adjustRightInd w:val="0"/>
              <w:snapToGrid w:val="0"/>
              <w:spacing w:line="360" w:lineRule="auto"/>
              <w:rPr>
                <w:b/>
                <w:color w:val="auto"/>
                <w:kern w:val="0"/>
                <w:sz w:val="24"/>
              </w:rPr>
            </w:pPr>
            <w:r>
              <w:rPr>
                <w:b/>
                <w:color w:val="auto"/>
                <w:kern w:val="0"/>
                <w:sz w:val="24"/>
              </w:rPr>
              <w:t>1、建设规模与内容</w:t>
            </w:r>
          </w:p>
          <w:p>
            <w:pPr>
              <w:pStyle w:val="BodyText"/>
              <w:tabs>
                <w:tab w:val="center" w:pos="4536"/>
              </w:tabs>
              <w:spacing w:after="0" w:line="360" w:lineRule="auto"/>
              <w:ind w:firstLine="480" w:firstLineChars="200"/>
              <w:rPr>
                <w:color w:val="auto"/>
                <w:sz w:val="24"/>
              </w:rPr>
            </w:pPr>
            <w:r>
              <w:rPr>
                <w:color w:val="auto"/>
                <w:sz w:val="24"/>
              </w:rPr>
              <w:t>（1）工程组成</w:t>
            </w:r>
          </w:p>
          <w:p>
            <w:pPr>
              <w:spacing w:line="360" w:lineRule="auto"/>
              <w:ind w:firstLine="480" w:firstLineChars="200"/>
              <w:rPr>
                <w:rFonts w:hint="eastAsia"/>
                <w:color w:val="auto"/>
              </w:rPr>
            </w:pPr>
            <w:r>
              <w:rPr>
                <w:color w:val="auto"/>
                <w:sz w:val="24"/>
              </w:rPr>
              <w:t>本项目总占地约</w:t>
            </w:r>
            <w:r>
              <w:rPr>
                <w:rFonts w:hint="eastAsia"/>
                <w:color w:val="auto"/>
                <w:sz w:val="24"/>
              </w:rPr>
              <w:t>9811.52</w:t>
            </w:r>
            <w:r>
              <w:rPr>
                <w:color w:val="auto"/>
                <w:sz w:val="24"/>
              </w:rPr>
              <w:t>平方米，</w:t>
            </w:r>
            <w:r>
              <w:rPr>
                <w:rFonts w:hint="eastAsia"/>
                <w:color w:val="auto"/>
                <w:sz w:val="24"/>
              </w:rPr>
              <w:t>总建筑面积24536</w:t>
            </w:r>
            <w:r>
              <w:rPr>
                <w:color w:val="auto"/>
                <w:sz w:val="24"/>
              </w:rPr>
              <w:t>平方米</w:t>
            </w:r>
            <w:r>
              <w:rPr>
                <w:rFonts w:hint="eastAsia"/>
                <w:color w:val="auto"/>
                <w:sz w:val="24"/>
              </w:rPr>
              <w:t>。项目建成后年产木制空间500余户，提供木制品打样300余套。</w:t>
            </w:r>
            <w:r>
              <w:rPr>
                <w:rFonts w:ascii="Times New Roman" w:eastAsia="宋体" w:hAnsi="Times New Roman" w:cs="Times New Roman"/>
                <w:bCs/>
                <w:color w:val="auto"/>
                <w:sz w:val="24"/>
              </w:rPr>
              <w:t>项目</w:t>
            </w:r>
            <w:r>
              <w:rPr>
                <w:rFonts w:ascii="Times New Roman" w:eastAsia="宋体" w:hAnsi="Times New Roman" w:cs="Times New Roman" w:hint="eastAsia"/>
                <w:bCs/>
                <w:color w:val="auto"/>
                <w:sz w:val="24"/>
              </w:rPr>
              <w:t>具体</w:t>
            </w:r>
            <w:r>
              <w:rPr>
                <w:rFonts w:ascii="Times New Roman" w:eastAsia="宋体" w:hAnsi="Times New Roman" w:cs="Times New Roman"/>
                <w:color w:val="auto"/>
                <w:sz w:val="24"/>
              </w:rPr>
              <w:t>组成见表</w:t>
            </w:r>
            <w:r>
              <w:rPr>
                <w:rFonts w:ascii="Times New Roman" w:eastAsia="宋体" w:hAnsi="Times New Roman" w:cs="Times New Roman" w:hint="eastAsia"/>
                <w:color w:val="auto"/>
                <w:sz w:val="24"/>
                <w:lang w:val="en-US" w:eastAsia="zh-CN"/>
              </w:rPr>
              <w:t>4</w:t>
            </w:r>
            <w:r>
              <w:rPr>
                <w:rFonts w:ascii="Times New Roman" w:eastAsia="宋体" w:hAnsi="Times New Roman" w:cs="Times New Roman"/>
                <w:color w:val="auto"/>
                <w:sz w:val="24"/>
              </w:rPr>
              <w:t>。</w:t>
            </w:r>
          </w:p>
          <w:p>
            <w:pPr>
              <w:adjustRightInd w:val="0"/>
              <w:snapToGrid w:val="0"/>
              <w:jc w:val="center"/>
              <w:rPr>
                <w:b/>
                <w:color w:val="auto"/>
                <w:szCs w:val="21"/>
              </w:rPr>
            </w:pPr>
            <w:r>
              <w:rPr>
                <w:b/>
                <w:color w:val="auto"/>
                <w:szCs w:val="21"/>
              </w:rPr>
              <w:t>表</w:t>
            </w:r>
            <w:r>
              <w:rPr>
                <w:rFonts w:hint="eastAsia"/>
                <w:b/>
                <w:color w:val="auto"/>
                <w:szCs w:val="21"/>
                <w:lang w:val="en-US" w:eastAsia="zh-CN"/>
              </w:rPr>
              <w:t>4</w:t>
            </w:r>
            <w:r>
              <w:rPr>
                <w:b/>
                <w:color w:val="auto"/>
                <w:szCs w:val="21"/>
              </w:rPr>
              <w:t xml:space="preserve">   项目主要建设内容</w:t>
            </w:r>
          </w:p>
          <w:tbl>
            <w:tblPr>
              <w:tblStyle w:val="TableNormal"/>
              <w:tblW w:w="0" w:type="auto"/>
              <w:tblInd w:w="17"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879"/>
              <w:gridCol w:w="367"/>
              <w:gridCol w:w="967"/>
              <w:gridCol w:w="5651"/>
            </w:tblGrid>
            <w:tr>
              <w:tblPrEx>
                <w:tblW w:w="0" w:type="auto"/>
                <w:tblInd w:w="17"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397"/>
              </w:trPr>
              <w:tc>
                <w:tcPr>
                  <w:tcW w:w="879" w:type="dxa"/>
                  <w:vAlign w:val="center"/>
                </w:tcPr>
                <w:p>
                  <w:pPr>
                    <w:jc w:val="center"/>
                    <w:rPr>
                      <w:color w:val="auto"/>
                      <w:szCs w:val="21"/>
                    </w:rPr>
                  </w:pPr>
                  <w:r>
                    <w:rPr>
                      <w:color w:val="auto"/>
                      <w:szCs w:val="21"/>
                    </w:rPr>
                    <w:t>工程</w:t>
                  </w:r>
                </w:p>
                <w:p>
                  <w:pPr>
                    <w:jc w:val="center"/>
                    <w:rPr>
                      <w:color w:val="auto"/>
                      <w:szCs w:val="21"/>
                    </w:rPr>
                  </w:pPr>
                  <w:r>
                    <w:rPr>
                      <w:color w:val="auto"/>
                      <w:szCs w:val="21"/>
                    </w:rPr>
                    <w:t>类别</w:t>
                  </w:r>
                </w:p>
              </w:tc>
              <w:tc>
                <w:tcPr>
                  <w:tcW w:w="1334" w:type="dxa"/>
                  <w:gridSpan w:val="2"/>
                  <w:vAlign w:val="center"/>
                </w:tcPr>
                <w:p>
                  <w:pPr>
                    <w:jc w:val="center"/>
                    <w:rPr>
                      <w:color w:val="auto"/>
                      <w:szCs w:val="21"/>
                    </w:rPr>
                  </w:pPr>
                  <w:r>
                    <w:rPr>
                      <w:color w:val="auto"/>
                      <w:szCs w:val="21"/>
                    </w:rPr>
                    <w:t>工程名称</w:t>
                  </w:r>
                </w:p>
              </w:tc>
              <w:tc>
                <w:tcPr>
                  <w:tcW w:w="5651" w:type="dxa"/>
                  <w:vAlign w:val="center"/>
                </w:tcPr>
                <w:p>
                  <w:pPr>
                    <w:jc w:val="center"/>
                    <w:rPr>
                      <w:color w:val="auto"/>
                      <w:szCs w:val="21"/>
                    </w:rPr>
                  </w:pPr>
                  <w:r>
                    <w:rPr>
                      <w:color w:val="auto"/>
                      <w:szCs w:val="21"/>
                    </w:rPr>
                    <w:t>建设内容及规模</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Align w:val="center"/>
                </w:tcPr>
                <w:p>
                  <w:pPr>
                    <w:snapToGrid w:val="0"/>
                    <w:jc w:val="center"/>
                    <w:rPr>
                      <w:color w:val="auto"/>
                      <w:szCs w:val="21"/>
                    </w:rPr>
                  </w:pPr>
                  <w:r>
                    <w:rPr>
                      <w:color w:val="auto"/>
                      <w:szCs w:val="21"/>
                    </w:rPr>
                    <w:t>主体</w:t>
                  </w:r>
                </w:p>
                <w:p>
                  <w:pPr>
                    <w:snapToGrid w:val="0"/>
                    <w:jc w:val="center"/>
                    <w:rPr>
                      <w:color w:val="auto"/>
                      <w:szCs w:val="21"/>
                    </w:rPr>
                  </w:pPr>
                  <w:r>
                    <w:rPr>
                      <w:color w:val="auto"/>
                      <w:szCs w:val="21"/>
                    </w:rPr>
                    <w:t>工程</w:t>
                  </w:r>
                </w:p>
              </w:tc>
              <w:tc>
                <w:tcPr>
                  <w:tcW w:w="1334" w:type="dxa"/>
                  <w:gridSpan w:val="2"/>
                  <w:vAlign w:val="center"/>
                </w:tcPr>
                <w:p>
                  <w:pPr>
                    <w:snapToGrid w:val="0"/>
                    <w:jc w:val="center"/>
                    <w:rPr>
                      <w:rFonts w:hint="eastAsia"/>
                      <w:color w:val="auto"/>
                      <w:szCs w:val="21"/>
                    </w:rPr>
                  </w:pPr>
                  <w:r>
                    <w:rPr>
                      <w:color w:val="auto"/>
                      <w:szCs w:val="21"/>
                    </w:rPr>
                    <w:t>生产车间</w:t>
                  </w:r>
                </w:p>
              </w:tc>
              <w:tc>
                <w:tcPr>
                  <w:tcW w:w="5651" w:type="dxa"/>
                  <w:vAlign w:val="center"/>
                </w:tcPr>
                <w:p>
                  <w:pPr>
                    <w:snapToGrid w:val="0"/>
                    <w:jc w:val="center"/>
                    <w:rPr>
                      <w:color w:val="auto"/>
                      <w:szCs w:val="21"/>
                    </w:rPr>
                  </w:pPr>
                  <w:r>
                    <w:rPr>
                      <w:rFonts w:hint="eastAsia"/>
                      <w:color w:val="auto"/>
                      <w:szCs w:val="21"/>
                      <w:lang w:bidi="zh-CN"/>
                    </w:rPr>
                    <w:t>5</w:t>
                  </w:r>
                  <w:r>
                    <w:rPr>
                      <w:rFonts w:hint="eastAsia"/>
                      <w:color w:val="auto"/>
                      <w:szCs w:val="21"/>
                      <w:lang w:val="zh-CN" w:bidi="zh-CN"/>
                    </w:rPr>
                    <w:t>层，</w:t>
                  </w:r>
                  <w:r>
                    <w:rPr>
                      <w:rFonts w:hint="eastAsia"/>
                      <w:color w:val="auto"/>
                      <w:szCs w:val="21"/>
                      <w:lang w:bidi="zh-CN"/>
                    </w:rPr>
                    <w:t>钢</w:t>
                  </w:r>
                  <w:r>
                    <w:rPr>
                      <w:rFonts w:hint="eastAsia"/>
                      <w:color w:val="auto"/>
                      <w:szCs w:val="21"/>
                      <w:lang w:val="en-US" w:bidi="zh-CN"/>
                    </w:rPr>
                    <w:t>架</w:t>
                  </w:r>
                  <w:r>
                    <w:rPr>
                      <w:rFonts w:hint="eastAsia"/>
                      <w:color w:val="auto"/>
                      <w:szCs w:val="21"/>
                      <w:lang w:val="zh-CN" w:bidi="zh-CN"/>
                    </w:rPr>
                    <w:t>结构，建筑高度约</w:t>
                  </w:r>
                  <w:r>
                    <w:rPr>
                      <w:rFonts w:hint="eastAsia"/>
                      <w:color w:val="auto"/>
                      <w:szCs w:val="21"/>
                      <w:lang w:val="en-US" w:bidi="zh-CN"/>
                    </w:rPr>
                    <w:t>19.5</w:t>
                  </w:r>
                  <w:r>
                    <w:rPr>
                      <w:rFonts w:hint="eastAsia"/>
                      <w:color w:val="auto"/>
                      <w:szCs w:val="21"/>
                      <w:lang w:val="zh-CN" w:bidi="zh-CN"/>
                    </w:rPr>
                    <w:t>m，建筑面积</w:t>
                  </w:r>
                  <w:r>
                    <w:rPr>
                      <w:rFonts w:hint="eastAsia"/>
                      <w:color w:val="auto"/>
                      <w:szCs w:val="21"/>
                      <w:lang w:bidi="zh-CN"/>
                    </w:rPr>
                    <w:t>1</w:t>
                  </w:r>
                  <w:r>
                    <w:rPr>
                      <w:rFonts w:hint="eastAsia"/>
                      <w:color w:val="auto"/>
                      <w:szCs w:val="21"/>
                      <w:lang w:val="en-US" w:bidi="zh-CN"/>
                    </w:rPr>
                    <w:t>5424</w:t>
                  </w:r>
                  <w:r>
                    <w:rPr>
                      <w:color w:val="auto"/>
                      <w:szCs w:val="21"/>
                    </w:rPr>
                    <w:t>m</w:t>
                  </w:r>
                  <w:r>
                    <w:rPr>
                      <w:color w:val="auto"/>
                      <w:szCs w:val="21"/>
                      <w:vertAlign w:val="superscript"/>
                    </w:rPr>
                    <w:t>2</w:t>
                  </w:r>
                  <w:r>
                    <w:rPr>
                      <w:rFonts w:hint="eastAsia"/>
                      <w:color w:val="auto"/>
                      <w:szCs w:val="21"/>
                      <w:lang w:val="zh-CN" w:bidi="zh-CN"/>
                    </w:rPr>
                    <w:t>。</w:t>
                  </w:r>
                  <w:r>
                    <w:rPr>
                      <w:rFonts w:hint="eastAsia"/>
                      <w:color w:val="auto"/>
                      <w:szCs w:val="21"/>
                      <w:lang w:bidi="zh-CN"/>
                    </w:rPr>
                    <w:t>建设一座集生产展示于一体的生产厂房。一层设置开料拼板区、木工加工区以及原材料库、展示库（位于整栋楼中部），二层设置</w:t>
                  </w:r>
                  <w:r>
                    <w:rPr>
                      <w:rFonts w:hint="eastAsia"/>
                      <w:color w:val="auto"/>
                      <w:szCs w:val="21"/>
                    </w:rPr>
                    <w:t>木蜡油喷涂房（3间）、木蜡油涂抹房（2间）、晾干房（2间）、打磨房（1间）、UV涂装房（1间）</w:t>
                  </w:r>
                  <w:r>
                    <w:rPr>
                      <w:rFonts w:hint="eastAsia"/>
                      <w:color w:val="auto"/>
                      <w:szCs w:val="21"/>
                      <w:lang w:bidi="zh-CN"/>
                    </w:rPr>
                    <w:t>进行木蜡油涂装、打磨、UV涂装等，中间为参观走廊；三层设置半成品区、库房、安装组装区；四层设置展厅；五层设置办公空间和展厅。</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restart"/>
                  <w:vAlign w:val="center"/>
                </w:tcPr>
                <w:p>
                  <w:pPr>
                    <w:snapToGrid w:val="0"/>
                    <w:jc w:val="center"/>
                    <w:rPr>
                      <w:rFonts w:hint="eastAsia"/>
                      <w:color w:val="auto"/>
                      <w:szCs w:val="21"/>
                    </w:rPr>
                  </w:pPr>
                  <w:r>
                    <w:rPr>
                      <w:rFonts w:hint="eastAsia"/>
                      <w:color w:val="auto"/>
                      <w:szCs w:val="21"/>
                    </w:rPr>
                    <w:t>储运工程</w:t>
                  </w:r>
                </w:p>
              </w:tc>
              <w:tc>
                <w:tcPr>
                  <w:tcW w:w="1334" w:type="dxa"/>
                  <w:gridSpan w:val="2"/>
                  <w:vAlign w:val="center"/>
                </w:tcPr>
                <w:p>
                  <w:pPr>
                    <w:jc w:val="center"/>
                    <w:rPr>
                      <w:rFonts w:eastAsia="宋体" w:hint="default"/>
                      <w:color w:val="auto"/>
                      <w:szCs w:val="21"/>
                    </w:rPr>
                  </w:pPr>
                  <w:r>
                    <w:rPr>
                      <w:rFonts w:hint="eastAsia"/>
                      <w:color w:val="auto"/>
                      <w:szCs w:val="21"/>
                      <w:lang w:val="en-US" w:eastAsia="zh-CN"/>
                    </w:rPr>
                    <w:t>厂内运输</w:t>
                  </w:r>
                </w:p>
              </w:tc>
              <w:tc>
                <w:tcPr>
                  <w:tcW w:w="5651" w:type="dxa"/>
                  <w:vAlign w:val="center"/>
                </w:tcPr>
                <w:p>
                  <w:pPr>
                    <w:snapToGrid w:val="0"/>
                    <w:jc w:val="center"/>
                    <w:rPr>
                      <w:rFonts w:eastAsia="宋体" w:hint="default"/>
                      <w:color w:val="auto"/>
                      <w:szCs w:val="21"/>
                    </w:rPr>
                  </w:pPr>
                  <w:r>
                    <w:rPr>
                      <w:rFonts w:hint="eastAsia"/>
                      <w:color w:val="auto"/>
                      <w:szCs w:val="21"/>
                      <w:lang w:val="en-US" w:eastAsia="zh-CN"/>
                    </w:rPr>
                    <w:t>上下楼层间运输，采用货梯；楼层内产品运输采用板车</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ign w:val="center"/>
                </w:tcPr>
                <w:p>
                  <w:pPr>
                    <w:snapToGrid w:val="0"/>
                    <w:jc w:val="center"/>
                    <w:rPr>
                      <w:rFonts w:hint="eastAsia"/>
                      <w:color w:val="auto"/>
                      <w:szCs w:val="21"/>
                    </w:rPr>
                  </w:pPr>
                </w:p>
              </w:tc>
              <w:tc>
                <w:tcPr>
                  <w:tcW w:w="1334" w:type="dxa"/>
                  <w:gridSpan w:val="2"/>
                  <w:vAlign w:val="center"/>
                </w:tcPr>
                <w:p>
                  <w:pPr>
                    <w:jc w:val="center"/>
                    <w:rPr>
                      <w:color w:val="auto"/>
                      <w:szCs w:val="21"/>
                      <w:highlight w:val="yellow"/>
                    </w:rPr>
                  </w:pPr>
                  <w:r>
                    <w:rPr>
                      <w:rFonts w:hint="eastAsia"/>
                      <w:color w:val="auto"/>
                      <w:szCs w:val="21"/>
                    </w:rPr>
                    <w:t>车间内原料区、成品区</w:t>
                  </w:r>
                </w:p>
              </w:tc>
              <w:tc>
                <w:tcPr>
                  <w:tcW w:w="5651" w:type="dxa"/>
                  <w:vAlign w:val="center"/>
                </w:tcPr>
                <w:p>
                  <w:pPr>
                    <w:snapToGrid w:val="0"/>
                    <w:jc w:val="center"/>
                    <w:rPr>
                      <w:color w:val="auto"/>
                      <w:szCs w:val="21"/>
                      <w:highlight w:val="yellow"/>
                    </w:rPr>
                  </w:pPr>
                  <w:r>
                    <w:rPr>
                      <w:rFonts w:hint="eastAsia"/>
                      <w:color w:val="auto"/>
                      <w:szCs w:val="21"/>
                    </w:rPr>
                    <w:t>项目生产车间三层</w:t>
                  </w:r>
                  <w:r>
                    <w:rPr>
                      <w:rFonts w:hint="eastAsia"/>
                      <w:color w:val="auto"/>
                      <w:szCs w:val="21"/>
                      <w:lang w:val="en-US" w:eastAsia="zh-CN"/>
                    </w:rPr>
                    <w:t>设置</w:t>
                  </w:r>
                  <w:r>
                    <w:rPr>
                      <w:rFonts w:hint="eastAsia"/>
                      <w:color w:val="auto"/>
                      <w:szCs w:val="21"/>
                      <w:lang w:bidi="zh-CN"/>
                    </w:rPr>
                    <w:t>半成品区、库房、安装组装区；四层设置展厅</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ign w:val="center"/>
                </w:tcPr>
                <w:p>
                  <w:pPr>
                    <w:snapToGrid w:val="0"/>
                    <w:jc w:val="center"/>
                    <w:rPr>
                      <w:rFonts w:hint="eastAsia"/>
                      <w:color w:val="auto"/>
                      <w:szCs w:val="21"/>
                    </w:rPr>
                  </w:pPr>
                </w:p>
              </w:tc>
              <w:tc>
                <w:tcPr>
                  <w:tcW w:w="1334" w:type="dxa"/>
                  <w:gridSpan w:val="2"/>
                  <w:vAlign w:val="center"/>
                </w:tcPr>
                <w:p>
                  <w:pPr>
                    <w:jc w:val="center"/>
                    <w:rPr>
                      <w:color w:val="auto"/>
                      <w:szCs w:val="21"/>
                    </w:rPr>
                  </w:pPr>
                  <w:r>
                    <w:rPr>
                      <w:rFonts w:hint="eastAsia"/>
                      <w:color w:val="auto"/>
                      <w:szCs w:val="21"/>
                    </w:rPr>
                    <w:t>库房</w:t>
                  </w:r>
                </w:p>
              </w:tc>
              <w:tc>
                <w:tcPr>
                  <w:tcW w:w="5651" w:type="dxa"/>
                  <w:vAlign w:val="center"/>
                </w:tcPr>
                <w:p>
                  <w:pPr>
                    <w:snapToGrid w:val="0"/>
                    <w:jc w:val="center"/>
                    <w:rPr>
                      <w:color w:val="auto"/>
                      <w:szCs w:val="21"/>
                    </w:rPr>
                  </w:pPr>
                  <w:r>
                    <w:rPr>
                      <w:rFonts w:hint="eastAsia"/>
                      <w:color w:val="auto"/>
                      <w:szCs w:val="21"/>
                      <w:lang w:val="en-US" w:eastAsia="zh-CN"/>
                    </w:rPr>
                    <w:t>5</w:t>
                  </w:r>
                  <w:r>
                    <w:rPr>
                      <w:rFonts w:hint="eastAsia"/>
                      <w:color w:val="auto"/>
                      <w:szCs w:val="21"/>
                    </w:rPr>
                    <w:t>层，钢</w:t>
                  </w:r>
                  <w:r>
                    <w:rPr>
                      <w:rFonts w:hint="eastAsia"/>
                      <w:color w:val="auto"/>
                      <w:szCs w:val="21"/>
                      <w:lang w:val="en-US" w:eastAsia="zh-CN"/>
                    </w:rPr>
                    <w:t>架</w:t>
                  </w:r>
                  <w:r>
                    <w:rPr>
                      <w:rFonts w:hint="eastAsia"/>
                      <w:color w:val="auto"/>
                      <w:szCs w:val="21"/>
                    </w:rPr>
                    <w:t>结构，建筑高度约</w:t>
                  </w:r>
                  <w:r>
                    <w:rPr>
                      <w:rFonts w:hint="eastAsia"/>
                      <w:color w:val="auto"/>
                      <w:szCs w:val="21"/>
                      <w:lang w:val="en-US" w:eastAsia="zh-CN"/>
                    </w:rPr>
                    <w:t>24</w:t>
                  </w:r>
                  <w:r>
                    <w:rPr>
                      <w:rFonts w:hint="eastAsia"/>
                      <w:color w:val="auto"/>
                      <w:szCs w:val="21"/>
                    </w:rPr>
                    <w:t>m，</w:t>
                  </w:r>
                  <w:r>
                    <w:rPr>
                      <w:rFonts w:hint="eastAsia"/>
                      <w:color w:val="auto"/>
                      <w:szCs w:val="21"/>
                      <w:lang w:val="en-US" w:eastAsia="zh-CN"/>
                    </w:rPr>
                    <w:t>建筑面积5000</w:t>
                  </w:r>
                  <w:r>
                    <w:rPr>
                      <w:color w:val="auto"/>
                      <w:szCs w:val="21"/>
                    </w:rPr>
                    <w:t>m</w:t>
                  </w:r>
                  <w:r>
                    <w:rPr>
                      <w:color w:val="auto"/>
                      <w:szCs w:val="21"/>
                      <w:vertAlign w:val="superscript"/>
                    </w:rPr>
                    <w:t>2</w:t>
                  </w:r>
                  <w:r>
                    <w:rPr>
                      <w:rFonts w:hint="eastAsia"/>
                      <w:color w:val="auto"/>
                      <w:szCs w:val="21"/>
                    </w:rPr>
                    <w:t>位于生产车间</w:t>
                  </w:r>
                  <w:r>
                    <w:rPr>
                      <w:rFonts w:hint="eastAsia"/>
                      <w:color w:val="auto"/>
                      <w:szCs w:val="21"/>
                      <w:lang w:val="en-US" w:eastAsia="zh-CN"/>
                    </w:rPr>
                    <w:t>南</w:t>
                  </w:r>
                  <w:r>
                    <w:rPr>
                      <w:rFonts w:hint="eastAsia"/>
                      <w:color w:val="auto"/>
                      <w:szCs w:val="21"/>
                    </w:rPr>
                    <w:t>侧，用来进行原料和产品储存。</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ign w:val="center"/>
                </w:tcPr>
                <w:p>
                  <w:pPr>
                    <w:snapToGrid w:val="0"/>
                    <w:jc w:val="center"/>
                    <w:rPr>
                      <w:rFonts w:hint="eastAsia"/>
                      <w:color w:val="auto"/>
                      <w:szCs w:val="21"/>
                    </w:rPr>
                  </w:pPr>
                </w:p>
              </w:tc>
              <w:tc>
                <w:tcPr>
                  <w:tcW w:w="1334" w:type="dxa"/>
                  <w:gridSpan w:val="2"/>
                  <w:vAlign w:val="center"/>
                </w:tcPr>
                <w:p>
                  <w:pPr>
                    <w:jc w:val="center"/>
                    <w:rPr>
                      <w:color w:val="auto"/>
                      <w:szCs w:val="21"/>
                    </w:rPr>
                  </w:pPr>
                  <w:r>
                    <w:rPr>
                      <w:color w:val="auto"/>
                      <w:szCs w:val="21"/>
                    </w:rPr>
                    <w:t>物料运输</w:t>
                  </w:r>
                </w:p>
              </w:tc>
              <w:tc>
                <w:tcPr>
                  <w:tcW w:w="5651" w:type="dxa"/>
                  <w:vAlign w:val="center"/>
                </w:tcPr>
                <w:p>
                  <w:pPr>
                    <w:snapToGrid w:val="0"/>
                    <w:jc w:val="center"/>
                    <w:rPr>
                      <w:color w:val="auto"/>
                      <w:szCs w:val="21"/>
                    </w:rPr>
                  </w:pPr>
                  <w:r>
                    <w:rPr>
                      <w:bCs/>
                      <w:color w:val="auto"/>
                      <w:szCs w:val="21"/>
                    </w:rPr>
                    <w:t>厂外运输由汽车运输</w:t>
                  </w:r>
                  <w:r>
                    <w:rPr>
                      <w:rFonts w:hint="eastAsia"/>
                      <w:bCs/>
                      <w:color w:val="auto"/>
                      <w:szCs w:val="21"/>
                    </w:rPr>
                    <w:t>。</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Align w:val="center"/>
                </w:tcPr>
                <w:p>
                  <w:pPr>
                    <w:snapToGrid w:val="0"/>
                    <w:jc w:val="center"/>
                    <w:rPr>
                      <w:rFonts w:hint="eastAsia"/>
                      <w:color w:val="auto"/>
                      <w:szCs w:val="21"/>
                    </w:rPr>
                  </w:pPr>
                  <w:r>
                    <w:rPr>
                      <w:rFonts w:hint="eastAsia"/>
                      <w:color w:val="auto"/>
                      <w:szCs w:val="21"/>
                    </w:rPr>
                    <w:t>辅助工程</w:t>
                  </w:r>
                </w:p>
              </w:tc>
              <w:tc>
                <w:tcPr>
                  <w:tcW w:w="1334" w:type="dxa"/>
                  <w:gridSpan w:val="2"/>
                  <w:vAlign w:val="center"/>
                </w:tcPr>
                <w:p>
                  <w:pPr>
                    <w:jc w:val="center"/>
                    <w:rPr>
                      <w:color w:val="auto"/>
                      <w:szCs w:val="21"/>
                    </w:rPr>
                  </w:pPr>
                  <w:r>
                    <w:rPr>
                      <w:color w:val="auto"/>
                      <w:szCs w:val="21"/>
                    </w:rPr>
                    <w:t>门房</w:t>
                  </w:r>
                </w:p>
              </w:tc>
              <w:tc>
                <w:tcPr>
                  <w:tcW w:w="5651" w:type="dxa"/>
                  <w:vAlign w:val="center"/>
                </w:tcPr>
                <w:p>
                  <w:pPr>
                    <w:snapToGrid w:val="0"/>
                    <w:jc w:val="center"/>
                    <w:rPr>
                      <w:color w:val="auto"/>
                      <w:szCs w:val="21"/>
                    </w:rPr>
                  </w:pPr>
                  <w:r>
                    <w:rPr>
                      <w:color w:val="auto"/>
                      <w:szCs w:val="21"/>
                    </w:rPr>
                    <w:t>位于项目区大门口</w:t>
                  </w:r>
                  <w:r>
                    <w:rPr>
                      <w:rFonts w:hint="eastAsia"/>
                      <w:color w:val="auto"/>
                      <w:szCs w:val="21"/>
                    </w:rPr>
                    <w:t>北</w:t>
                  </w:r>
                  <w:r>
                    <w:rPr>
                      <w:color w:val="auto"/>
                      <w:szCs w:val="21"/>
                    </w:rPr>
                    <w:t>侧，建筑面积</w:t>
                  </w:r>
                  <w:r>
                    <w:rPr>
                      <w:rFonts w:hint="eastAsia"/>
                      <w:color w:val="auto"/>
                      <w:szCs w:val="21"/>
                    </w:rPr>
                    <w:t>20</w:t>
                  </w:r>
                  <w:r>
                    <w:rPr>
                      <w:color w:val="auto"/>
                      <w:szCs w:val="21"/>
                    </w:rPr>
                    <w:t>m</w:t>
                  </w:r>
                  <w:r>
                    <w:rPr>
                      <w:color w:val="auto"/>
                      <w:szCs w:val="21"/>
                      <w:vertAlign w:val="superscript"/>
                    </w:rPr>
                    <w:t>2</w:t>
                  </w:r>
                  <w:r>
                    <w:rPr>
                      <w:color w:val="auto"/>
                      <w:szCs w:val="21"/>
                    </w:rPr>
                    <w:t>。</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restart"/>
                  <w:vAlign w:val="center"/>
                </w:tcPr>
                <w:p>
                  <w:pPr>
                    <w:snapToGrid w:val="0"/>
                    <w:jc w:val="center"/>
                    <w:rPr>
                      <w:color w:val="auto"/>
                      <w:szCs w:val="21"/>
                    </w:rPr>
                  </w:pPr>
                  <w:r>
                    <w:rPr>
                      <w:color w:val="auto"/>
                      <w:szCs w:val="21"/>
                    </w:rPr>
                    <w:t>公用</w:t>
                  </w:r>
                </w:p>
                <w:p>
                  <w:pPr>
                    <w:snapToGrid w:val="0"/>
                    <w:jc w:val="center"/>
                    <w:rPr>
                      <w:color w:val="auto"/>
                      <w:szCs w:val="21"/>
                    </w:rPr>
                  </w:pPr>
                  <w:r>
                    <w:rPr>
                      <w:color w:val="auto"/>
                      <w:szCs w:val="21"/>
                    </w:rPr>
                    <w:t>工程</w:t>
                  </w:r>
                </w:p>
              </w:tc>
              <w:tc>
                <w:tcPr>
                  <w:tcW w:w="1334" w:type="dxa"/>
                  <w:gridSpan w:val="2"/>
                  <w:vAlign w:val="center"/>
                </w:tcPr>
                <w:p>
                  <w:pPr>
                    <w:snapToGrid w:val="0"/>
                    <w:jc w:val="center"/>
                    <w:rPr>
                      <w:color w:val="auto"/>
                      <w:szCs w:val="21"/>
                    </w:rPr>
                  </w:pPr>
                  <w:r>
                    <w:rPr>
                      <w:color w:val="auto"/>
                      <w:szCs w:val="21"/>
                    </w:rPr>
                    <w:t>供电系统</w:t>
                  </w:r>
                </w:p>
              </w:tc>
              <w:tc>
                <w:tcPr>
                  <w:tcW w:w="5651" w:type="dxa"/>
                  <w:vAlign w:val="center"/>
                </w:tcPr>
                <w:p>
                  <w:pPr>
                    <w:snapToGrid w:val="0"/>
                    <w:jc w:val="center"/>
                    <w:rPr>
                      <w:color w:val="auto"/>
                      <w:szCs w:val="21"/>
                    </w:rPr>
                  </w:pPr>
                  <w:r>
                    <w:rPr>
                      <w:color w:val="auto"/>
                      <w:szCs w:val="21"/>
                    </w:rPr>
                    <w:t>园区电网</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ign w:val="center"/>
                </w:tcPr>
                <w:p>
                  <w:pPr>
                    <w:snapToGrid w:val="0"/>
                    <w:jc w:val="center"/>
                    <w:rPr>
                      <w:color w:val="auto"/>
                      <w:szCs w:val="21"/>
                    </w:rPr>
                  </w:pPr>
                </w:p>
              </w:tc>
              <w:tc>
                <w:tcPr>
                  <w:tcW w:w="1334" w:type="dxa"/>
                  <w:gridSpan w:val="2"/>
                  <w:vAlign w:val="center"/>
                </w:tcPr>
                <w:p>
                  <w:pPr>
                    <w:snapToGrid w:val="0"/>
                    <w:jc w:val="center"/>
                    <w:rPr>
                      <w:color w:val="auto"/>
                      <w:szCs w:val="21"/>
                    </w:rPr>
                  </w:pPr>
                  <w:r>
                    <w:rPr>
                      <w:color w:val="auto"/>
                      <w:szCs w:val="21"/>
                    </w:rPr>
                    <w:t>供水系统</w:t>
                  </w:r>
                </w:p>
              </w:tc>
              <w:tc>
                <w:tcPr>
                  <w:tcW w:w="5651" w:type="dxa"/>
                  <w:vAlign w:val="center"/>
                </w:tcPr>
                <w:p>
                  <w:pPr>
                    <w:snapToGrid w:val="0"/>
                    <w:jc w:val="center"/>
                    <w:rPr>
                      <w:color w:val="auto"/>
                      <w:szCs w:val="21"/>
                    </w:rPr>
                  </w:pPr>
                  <w:r>
                    <w:rPr>
                      <w:rFonts w:hint="eastAsia"/>
                      <w:color w:val="auto"/>
                      <w:szCs w:val="21"/>
                    </w:rPr>
                    <w:t>园区自来水管网</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ign w:val="center"/>
                </w:tcPr>
                <w:p>
                  <w:pPr>
                    <w:snapToGrid w:val="0"/>
                    <w:jc w:val="center"/>
                    <w:rPr>
                      <w:color w:val="auto"/>
                      <w:szCs w:val="21"/>
                    </w:rPr>
                  </w:pPr>
                </w:p>
              </w:tc>
              <w:tc>
                <w:tcPr>
                  <w:tcW w:w="1334" w:type="dxa"/>
                  <w:gridSpan w:val="2"/>
                  <w:vAlign w:val="center"/>
                </w:tcPr>
                <w:p>
                  <w:pPr>
                    <w:snapToGrid w:val="0"/>
                    <w:jc w:val="center"/>
                    <w:rPr>
                      <w:color w:val="auto"/>
                      <w:szCs w:val="21"/>
                    </w:rPr>
                  </w:pPr>
                  <w:r>
                    <w:rPr>
                      <w:color w:val="auto"/>
                      <w:szCs w:val="21"/>
                    </w:rPr>
                    <w:t>排水系统</w:t>
                  </w:r>
                </w:p>
              </w:tc>
              <w:tc>
                <w:tcPr>
                  <w:tcW w:w="5651" w:type="dxa"/>
                  <w:vAlign w:val="center"/>
                </w:tcPr>
                <w:p>
                  <w:pPr>
                    <w:jc w:val="center"/>
                    <w:rPr>
                      <w:rFonts w:eastAsia="宋体" w:hint="eastAsia"/>
                      <w:color w:val="auto"/>
                      <w:szCs w:val="21"/>
                    </w:rPr>
                  </w:pPr>
                  <w:r>
                    <w:rPr>
                      <w:color w:val="auto"/>
                      <w:szCs w:val="21"/>
                    </w:rPr>
                    <w:t>采用雨污分流制，雨水通过管道排入雨水管网</w:t>
                  </w:r>
                  <w:r>
                    <w:rPr>
                      <w:rFonts w:hint="eastAsia"/>
                      <w:color w:val="auto"/>
                      <w:szCs w:val="21"/>
                    </w:rPr>
                    <w:t>；生活污水经化粪池处理后进入集贤产业园污水处理厂深度处理</w:t>
                  </w:r>
                  <w:r>
                    <w:rPr>
                      <w:rFonts w:hint="eastAsia"/>
                      <w:color w:val="auto"/>
                      <w:szCs w:val="21"/>
                      <w:lang w:val="en-US" w:eastAsia="zh-CN"/>
                    </w:rPr>
                    <w:t>后最终排入</w:t>
                  </w:r>
                  <w:r>
                    <w:rPr>
                      <w:color w:val="auto"/>
                      <w:szCs w:val="21"/>
                    </w:rPr>
                    <w:t>排入</w:t>
                  </w:r>
                  <w:r>
                    <w:rPr>
                      <w:rFonts w:hint="eastAsia"/>
                      <w:color w:val="auto"/>
                      <w:szCs w:val="21"/>
                    </w:rPr>
                    <w:t>耿峪河</w:t>
                  </w:r>
                  <w:r>
                    <w:rPr>
                      <w:rFonts w:hint="eastAsia"/>
                      <w:color w:val="auto"/>
                      <w:szCs w:val="21"/>
                      <w:lang w:eastAsia="zh-CN"/>
                    </w:rPr>
                    <w:t>。</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restart"/>
                  <w:vAlign w:val="center"/>
                </w:tcPr>
                <w:p>
                  <w:pPr>
                    <w:snapToGrid w:val="0"/>
                    <w:jc w:val="center"/>
                    <w:rPr>
                      <w:color w:val="auto"/>
                      <w:szCs w:val="21"/>
                    </w:rPr>
                  </w:pPr>
                  <w:r>
                    <w:rPr>
                      <w:color w:val="auto"/>
                      <w:szCs w:val="21"/>
                    </w:rPr>
                    <w:t>环保</w:t>
                  </w:r>
                </w:p>
                <w:p>
                  <w:pPr>
                    <w:snapToGrid w:val="0"/>
                    <w:jc w:val="center"/>
                    <w:rPr>
                      <w:color w:val="auto"/>
                      <w:szCs w:val="21"/>
                    </w:rPr>
                  </w:pPr>
                  <w:r>
                    <w:rPr>
                      <w:color w:val="auto"/>
                      <w:szCs w:val="21"/>
                    </w:rPr>
                    <w:t>工程</w:t>
                  </w:r>
                </w:p>
              </w:tc>
              <w:tc>
                <w:tcPr>
                  <w:tcW w:w="367" w:type="dxa"/>
                  <w:vMerge w:val="restart"/>
                  <w:vAlign w:val="center"/>
                </w:tcPr>
                <w:p>
                  <w:pPr>
                    <w:jc w:val="center"/>
                    <w:rPr>
                      <w:color w:val="auto"/>
                      <w:szCs w:val="21"/>
                    </w:rPr>
                  </w:pPr>
                  <w:r>
                    <w:rPr>
                      <w:color w:val="auto"/>
                      <w:szCs w:val="21"/>
                    </w:rPr>
                    <w:t>废气</w:t>
                  </w:r>
                </w:p>
              </w:tc>
              <w:tc>
                <w:tcPr>
                  <w:tcW w:w="967" w:type="dxa"/>
                  <w:vAlign w:val="center"/>
                </w:tcPr>
                <w:p>
                  <w:pPr>
                    <w:jc w:val="center"/>
                    <w:rPr>
                      <w:color w:val="auto"/>
                      <w:szCs w:val="21"/>
                    </w:rPr>
                  </w:pPr>
                  <w:r>
                    <w:rPr>
                      <w:rFonts w:hint="eastAsia"/>
                      <w:color w:val="auto"/>
                      <w:kern w:val="44"/>
                      <w:szCs w:val="21"/>
                    </w:rPr>
                    <w:t>开料拼板及木工加工</w:t>
                  </w:r>
                </w:p>
              </w:tc>
              <w:tc>
                <w:tcPr>
                  <w:tcW w:w="5651" w:type="dxa"/>
                  <w:vAlign w:val="center"/>
                </w:tcPr>
                <w:p>
                  <w:pPr>
                    <w:jc w:val="center"/>
                    <w:rPr>
                      <w:rFonts w:hint="eastAsia"/>
                      <w:color w:val="auto"/>
                      <w:szCs w:val="21"/>
                    </w:rPr>
                  </w:pPr>
                  <w:r>
                    <w:rPr>
                      <w:rFonts w:hint="eastAsia"/>
                      <w:bCs/>
                      <w:color w:val="auto"/>
                      <w:szCs w:val="21"/>
                    </w:rPr>
                    <w:t>吸尘管道+中央布袋除尘器+</w:t>
                  </w:r>
                  <w:r>
                    <w:rPr>
                      <w:rFonts w:hint="eastAsia"/>
                      <w:bCs/>
                      <w:color w:val="auto"/>
                      <w:szCs w:val="21"/>
                      <w:lang w:val="en-US" w:eastAsia="zh-CN"/>
                    </w:rPr>
                    <w:t>2</w:t>
                  </w:r>
                  <w:r>
                    <w:rPr>
                      <w:rFonts w:hint="eastAsia"/>
                      <w:bCs/>
                      <w:color w:val="auto"/>
                      <w:szCs w:val="21"/>
                      <w:lang w:val="en-US" w:eastAsia="zh-CN"/>
                    </w:rPr>
                    <w:t>5</w:t>
                  </w:r>
                  <w:r>
                    <w:rPr>
                      <w:rFonts w:hint="eastAsia"/>
                      <w:bCs/>
                      <w:color w:val="auto"/>
                      <w:szCs w:val="21"/>
                      <w:lang w:eastAsia="zh-CN"/>
                    </w:rPr>
                    <w:t>m高排气筒</w:t>
                  </w:r>
                  <w:r>
                    <w:rPr>
                      <w:rFonts w:hint="eastAsia"/>
                      <w:color w:val="auto"/>
                      <w:szCs w:val="21"/>
                    </w:rPr>
                    <w:t>DA001</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ign w:val="center"/>
                </w:tcPr>
                <w:p>
                  <w:pPr>
                    <w:snapToGrid w:val="0"/>
                    <w:jc w:val="center"/>
                    <w:rPr>
                      <w:color w:val="auto"/>
                      <w:szCs w:val="21"/>
                    </w:rPr>
                  </w:pPr>
                </w:p>
              </w:tc>
              <w:tc>
                <w:tcPr>
                  <w:tcW w:w="367" w:type="dxa"/>
                  <w:vMerge/>
                  <w:vAlign w:val="center"/>
                </w:tcPr>
                <w:p>
                  <w:pPr>
                    <w:jc w:val="center"/>
                    <w:rPr>
                      <w:color w:val="auto"/>
                      <w:szCs w:val="21"/>
                    </w:rPr>
                  </w:pPr>
                </w:p>
              </w:tc>
              <w:tc>
                <w:tcPr>
                  <w:tcW w:w="967" w:type="dxa"/>
                  <w:vAlign w:val="center"/>
                </w:tcPr>
                <w:p>
                  <w:pPr>
                    <w:jc w:val="center"/>
                    <w:rPr>
                      <w:color w:val="auto"/>
                      <w:szCs w:val="21"/>
                    </w:rPr>
                  </w:pPr>
                  <w:r>
                    <w:rPr>
                      <w:rFonts w:hint="eastAsia"/>
                      <w:color w:val="auto"/>
                      <w:szCs w:val="21"/>
                    </w:rPr>
                    <w:t>打磨</w:t>
                  </w:r>
                </w:p>
              </w:tc>
              <w:tc>
                <w:tcPr>
                  <w:tcW w:w="5651" w:type="dxa"/>
                  <w:vAlign w:val="center"/>
                </w:tcPr>
                <w:p>
                  <w:pPr>
                    <w:autoSpaceDE w:val="0"/>
                    <w:autoSpaceDN w:val="0"/>
                    <w:adjustRightInd w:val="0"/>
                    <w:jc w:val="center"/>
                    <w:rPr>
                      <w:rFonts w:hint="eastAsia"/>
                      <w:color w:val="auto"/>
                      <w:szCs w:val="21"/>
                    </w:rPr>
                  </w:pPr>
                  <w:r>
                    <w:rPr>
                      <w:rFonts w:hint="eastAsia"/>
                      <w:color w:val="auto"/>
                      <w:szCs w:val="21"/>
                    </w:rPr>
                    <w:t>密闭打磨房+脉冲式打磨除尘柜（1套）+</w:t>
                  </w:r>
                  <w:r>
                    <w:rPr>
                      <w:rFonts w:hint="eastAsia"/>
                      <w:color w:val="auto"/>
                      <w:szCs w:val="21"/>
                      <w:lang w:val="en-US" w:eastAsia="zh-CN"/>
                    </w:rPr>
                    <w:t>25</w:t>
                  </w:r>
                  <w:r>
                    <w:rPr>
                      <w:rFonts w:hint="eastAsia"/>
                      <w:color w:val="auto"/>
                      <w:szCs w:val="21"/>
                    </w:rPr>
                    <w:t>m高排气筒DA001</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ign w:val="center"/>
                </w:tcPr>
                <w:p>
                  <w:pPr>
                    <w:snapToGrid w:val="0"/>
                    <w:jc w:val="center"/>
                    <w:rPr>
                      <w:color w:val="auto"/>
                      <w:szCs w:val="21"/>
                    </w:rPr>
                  </w:pPr>
                </w:p>
              </w:tc>
              <w:tc>
                <w:tcPr>
                  <w:tcW w:w="367" w:type="dxa"/>
                  <w:vMerge/>
                  <w:vAlign w:val="center"/>
                </w:tcPr>
                <w:p>
                  <w:pPr>
                    <w:jc w:val="center"/>
                    <w:rPr>
                      <w:color w:val="auto"/>
                      <w:szCs w:val="21"/>
                    </w:rPr>
                  </w:pPr>
                </w:p>
              </w:tc>
              <w:tc>
                <w:tcPr>
                  <w:tcW w:w="967" w:type="dxa"/>
                  <w:vAlign w:val="center"/>
                </w:tcPr>
                <w:p>
                  <w:pPr>
                    <w:jc w:val="center"/>
                    <w:rPr>
                      <w:color w:val="auto"/>
                      <w:szCs w:val="21"/>
                    </w:rPr>
                  </w:pPr>
                  <w:r>
                    <w:rPr>
                      <w:rFonts w:hint="eastAsia"/>
                      <w:color w:val="auto"/>
                      <w:szCs w:val="21"/>
                    </w:rPr>
                    <w:t>涂装</w:t>
                  </w:r>
                </w:p>
              </w:tc>
              <w:tc>
                <w:tcPr>
                  <w:tcW w:w="5651" w:type="dxa"/>
                  <w:vAlign w:val="center"/>
                </w:tcPr>
                <w:p>
                  <w:pPr>
                    <w:autoSpaceDE w:val="0"/>
                    <w:autoSpaceDN w:val="0"/>
                    <w:adjustRightInd w:val="0"/>
                    <w:jc w:val="center"/>
                    <w:rPr>
                      <w:rFonts w:hint="eastAsia"/>
                      <w:color w:val="auto"/>
                      <w:szCs w:val="21"/>
                    </w:rPr>
                  </w:pPr>
                  <w:r>
                    <w:rPr>
                      <w:rFonts w:hint="eastAsia"/>
                      <w:color w:val="auto"/>
                      <w:szCs w:val="21"/>
                    </w:rPr>
                    <w:t>密闭涂装房、密闭晾干房（干式过滤器（7套））、密闭UV涂装房+1套两级活性炭吸附箱+</w:t>
                  </w:r>
                  <w:r>
                    <w:rPr>
                      <w:rFonts w:hint="eastAsia"/>
                      <w:color w:val="auto"/>
                      <w:szCs w:val="21"/>
                      <w:lang w:val="en-US" w:eastAsia="zh-CN"/>
                    </w:rPr>
                    <w:t>25</w:t>
                  </w:r>
                  <w:r>
                    <w:rPr>
                      <w:rFonts w:hint="eastAsia"/>
                      <w:color w:val="auto"/>
                      <w:szCs w:val="21"/>
                      <w:lang w:eastAsia="zh-CN"/>
                    </w:rPr>
                    <w:t>m高排气筒</w:t>
                  </w:r>
                  <w:r>
                    <w:rPr>
                      <w:rFonts w:hint="eastAsia"/>
                      <w:color w:val="auto"/>
                      <w:szCs w:val="21"/>
                    </w:rPr>
                    <w:t>DA002</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ign w:val="center"/>
                </w:tcPr>
                <w:p>
                  <w:pPr>
                    <w:snapToGrid w:val="0"/>
                    <w:jc w:val="center"/>
                    <w:rPr>
                      <w:color w:val="auto"/>
                      <w:szCs w:val="21"/>
                    </w:rPr>
                  </w:pPr>
                </w:p>
              </w:tc>
              <w:tc>
                <w:tcPr>
                  <w:tcW w:w="367" w:type="dxa"/>
                  <w:vAlign w:val="center"/>
                </w:tcPr>
                <w:p>
                  <w:pPr>
                    <w:jc w:val="center"/>
                    <w:rPr>
                      <w:color w:val="auto"/>
                      <w:szCs w:val="21"/>
                      <w:highlight w:val="yellow"/>
                    </w:rPr>
                  </w:pPr>
                  <w:r>
                    <w:rPr>
                      <w:color w:val="auto"/>
                      <w:szCs w:val="21"/>
                    </w:rPr>
                    <w:t>废水</w:t>
                  </w:r>
                </w:p>
              </w:tc>
              <w:tc>
                <w:tcPr>
                  <w:tcW w:w="967" w:type="dxa"/>
                  <w:vAlign w:val="center"/>
                </w:tcPr>
                <w:p>
                  <w:pPr>
                    <w:jc w:val="center"/>
                    <w:rPr>
                      <w:color w:val="auto"/>
                      <w:szCs w:val="21"/>
                    </w:rPr>
                  </w:pPr>
                  <w:r>
                    <w:rPr>
                      <w:color w:val="auto"/>
                      <w:szCs w:val="21"/>
                    </w:rPr>
                    <w:t>生活污水</w:t>
                  </w:r>
                </w:p>
              </w:tc>
              <w:tc>
                <w:tcPr>
                  <w:tcW w:w="5651" w:type="dxa"/>
                  <w:vAlign w:val="center"/>
                </w:tcPr>
                <w:p>
                  <w:pPr>
                    <w:jc w:val="center"/>
                    <w:rPr>
                      <w:rFonts w:hint="eastAsia"/>
                      <w:color w:val="FF0000"/>
                      <w:szCs w:val="21"/>
                    </w:rPr>
                  </w:pPr>
                  <w:r>
                    <w:rPr>
                      <w:rFonts w:hint="eastAsia"/>
                      <w:color w:val="FF0000"/>
                      <w:szCs w:val="21"/>
                      <w:lang w:val="en-US" w:eastAsia="zh-CN"/>
                    </w:rPr>
                    <w:t>项目不产生生产废水，生活污水经</w:t>
                  </w:r>
                  <w:r>
                    <w:rPr>
                      <w:color w:val="FF0000"/>
                      <w:szCs w:val="21"/>
                    </w:rPr>
                    <w:t>1座</w:t>
                  </w:r>
                  <w:r>
                    <w:rPr>
                      <w:rFonts w:hint="eastAsia"/>
                      <w:color w:val="FF0000"/>
                      <w:szCs w:val="21"/>
                    </w:rPr>
                    <w:t>10</w:t>
                  </w:r>
                  <w:r>
                    <w:rPr>
                      <w:color w:val="FF0000"/>
                      <w:szCs w:val="21"/>
                    </w:rPr>
                    <w:t>m</w:t>
                  </w:r>
                  <w:r>
                    <w:rPr>
                      <w:color w:val="FF0000"/>
                      <w:szCs w:val="21"/>
                      <w:vertAlign w:val="superscript"/>
                    </w:rPr>
                    <w:t>3</w:t>
                  </w:r>
                  <w:r>
                    <w:rPr>
                      <w:color w:val="FF0000"/>
                      <w:szCs w:val="21"/>
                    </w:rPr>
                    <w:t>化粪池</w:t>
                  </w:r>
                  <w:r>
                    <w:rPr>
                      <w:rStyle w:val="CommentReference"/>
                      <w:rFonts w:hint="eastAsia"/>
                      <w:color w:val="FF0000"/>
                      <w:kern w:val="0"/>
                      <w:szCs w:val="20"/>
                    </w:rPr>
                    <w:t>处理后排入</w:t>
                  </w:r>
                  <w:r>
                    <w:rPr>
                      <w:rFonts w:hint="eastAsia"/>
                      <w:color w:val="FF0000"/>
                    </w:rPr>
                    <w:t>集贤产业园污水处理厂深度处理</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ign w:val="center"/>
                </w:tcPr>
                <w:p>
                  <w:pPr>
                    <w:snapToGrid w:val="0"/>
                    <w:jc w:val="center"/>
                    <w:rPr>
                      <w:color w:val="auto"/>
                      <w:szCs w:val="21"/>
                    </w:rPr>
                  </w:pPr>
                </w:p>
              </w:tc>
              <w:tc>
                <w:tcPr>
                  <w:tcW w:w="1334" w:type="dxa"/>
                  <w:gridSpan w:val="2"/>
                  <w:vAlign w:val="center"/>
                </w:tcPr>
                <w:p>
                  <w:pPr>
                    <w:jc w:val="center"/>
                    <w:rPr>
                      <w:color w:val="auto"/>
                      <w:szCs w:val="21"/>
                    </w:rPr>
                  </w:pPr>
                  <w:r>
                    <w:rPr>
                      <w:color w:val="auto"/>
                      <w:szCs w:val="21"/>
                    </w:rPr>
                    <w:t>噪声</w:t>
                  </w:r>
                </w:p>
              </w:tc>
              <w:tc>
                <w:tcPr>
                  <w:tcW w:w="5651" w:type="dxa"/>
                  <w:vAlign w:val="center"/>
                </w:tcPr>
                <w:p>
                  <w:pPr>
                    <w:jc w:val="center"/>
                    <w:rPr>
                      <w:color w:val="auto"/>
                      <w:szCs w:val="21"/>
                    </w:rPr>
                  </w:pPr>
                  <w:r>
                    <w:rPr>
                      <w:color w:val="auto"/>
                      <w:szCs w:val="21"/>
                    </w:rPr>
                    <w:t>选择低噪声设备；采取基础减振、厂房隔声。</w:t>
                  </w:r>
                </w:p>
              </w:tc>
            </w:tr>
            <w:tr>
              <w:tblPrEx>
                <w:tblW w:w="0" w:type="auto"/>
                <w:tblInd w:w="17" w:type="dxa"/>
                <w:tblLayout w:type="fixed"/>
                <w:tblCellMar>
                  <w:top w:w="0" w:type="dxa"/>
                  <w:left w:w="0" w:type="dxa"/>
                  <w:bottom w:w="0" w:type="dxa"/>
                  <w:right w:w="0" w:type="dxa"/>
                </w:tblCellMar>
                <w:tblLook w:val="0000"/>
              </w:tblPrEx>
              <w:trPr>
                <w:trHeight w:val="397"/>
              </w:trPr>
              <w:tc>
                <w:tcPr>
                  <w:tcW w:w="879" w:type="dxa"/>
                  <w:vMerge/>
                  <w:vAlign w:val="center"/>
                </w:tcPr>
                <w:p>
                  <w:pPr>
                    <w:snapToGrid w:val="0"/>
                    <w:jc w:val="center"/>
                    <w:rPr>
                      <w:color w:val="auto"/>
                      <w:szCs w:val="21"/>
                    </w:rPr>
                  </w:pPr>
                </w:p>
              </w:tc>
              <w:tc>
                <w:tcPr>
                  <w:tcW w:w="1334" w:type="dxa"/>
                  <w:gridSpan w:val="2"/>
                  <w:vAlign w:val="center"/>
                </w:tcPr>
                <w:p>
                  <w:pPr>
                    <w:jc w:val="center"/>
                    <w:rPr>
                      <w:color w:val="auto"/>
                      <w:szCs w:val="21"/>
                    </w:rPr>
                  </w:pPr>
                  <w:r>
                    <w:rPr>
                      <w:color w:val="auto"/>
                      <w:szCs w:val="21"/>
                    </w:rPr>
                    <w:t>固废</w:t>
                  </w:r>
                </w:p>
              </w:tc>
              <w:tc>
                <w:tcPr>
                  <w:tcW w:w="5651" w:type="dxa"/>
                  <w:vAlign w:val="center"/>
                </w:tcPr>
                <w:p>
                  <w:pPr>
                    <w:adjustRightInd w:val="0"/>
                    <w:snapToGrid w:val="0"/>
                    <w:spacing w:line="260" w:lineRule="exact"/>
                    <w:jc w:val="center"/>
                    <w:rPr>
                      <w:rFonts w:hint="eastAsia"/>
                      <w:color w:val="FF0000"/>
                      <w:szCs w:val="21"/>
                    </w:rPr>
                  </w:pPr>
                  <w:r>
                    <w:rPr>
                      <w:rFonts w:hint="eastAsia"/>
                      <w:color w:val="FF0000"/>
                      <w:szCs w:val="21"/>
                    </w:rPr>
                    <w:t>生活垃圾由垃圾桶收集，由环卫部门运往垃圾填埋场处置；</w:t>
                  </w:r>
                </w:p>
                <w:p>
                  <w:pPr>
                    <w:spacing w:after="0"/>
                    <w:jc w:val="center"/>
                    <w:rPr>
                      <w:color w:val="FF0000"/>
                      <w:szCs w:val="21"/>
                    </w:rPr>
                  </w:pPr>
                </w:p>
              </w:tc>
            </w:tr>
          </w:tbl>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https://d.book118.com/378000143137006046</w:t>
        </w:r>
      </w:hyperlink>
    </w:p>
    <w:p/>
    <w:sectPr>
      <w:footerReference w:type="default" r:id="rId12"/>
      <w:pgSz w:w="11906" w:h="16838"/>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start="8"/>
      <w:cols w:space="708"/>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embedRegular r:id="rId1" w:subsetted="1" w:fontKey="{D3DFCD3D-8790-4618-A008-B715C0A51F72}"/>
  </w:font>
  <w:font w:name="黑体">
    <w:panose1 w:val="02010609060101010101"/>
    <w:charset w:val="86"/>
    <w:family w:val="auto"/>
    <w:pitch w:val="default"/>
    <w:sig w:usb0="800002BF" w:usb1="38CF7CFA" w:usb2="00000016" w:usb3="00000000" w:csb0="00040001" w:csb1="00000000"/>
    <w:embedRegular r:id="rId2" w:subsetted="1" w:fontKey="{260516A8-894C-4FEE-85EC-E166CE7D7D5B}"/>
  </w:font>
  <w:font w:name="Calibri Light">
    <w:panose1 w:val="020F03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embedRegular r:id="rId3" w:subsetted="1" w:fontKey="{67EE5156-8319-4F58-A5DE-805893521C1D}"/>
  </w:font>
  <w:font w:name="SimSun">
    <w:charset w:val="00"/>
    <w:family w:val="auto"/>
    <w:pitch w:val="default"/>
    <w:sig w:usb0="00000000" w:usb1="00000000" w:usb2="00000000" w:usb3="00000000" w:csb0="00000001" w:csb1="00000000"/>
    <w:embedRegular r:id="rId4" w:subsetted="1" w:fontKey="{E9D654AC-F21F-448D-9210-C37B1C134A38}"/>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34"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34"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2</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34" o:spid="_x0000_s2051" type="#_x0000_t202" style="width:2in;height:2in;margin-top:0;margin-left:0;mso-position-horizontal:center;mso-position-horizontal-relative:margin;mso-wrap-style:none;position:absolute;z-index:251660288" filled="f" stroked="f">
          <v:fill o:detectmouseclick="t"/>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4</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34" o:spid="_x0000_s2052" type="#_x0000_t202" style="width:2in;height:2in;margin-top:0;margin-left:0;mso-position-horizontal:center;mso-position-horizontal-relative:margin;mso-wrap-style:none;position:absolute;z-index:251661312" filled="f" stroked="f">
          <v:fill o:detectmouseclick="t"/>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4</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34" o:spid="_x0000_s2053" type="#_x0000_t202" style="width:2in;height:2in;margin-top:0;margin-left:0;mso-position-horizontal:center;mso-position-horizontal-relative:margin;mso-wrap-style:none;position:absolute;z-index:251662336" filled="f" stroked="f">
          <v:fill o:detectmouseclick="t"/>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5</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34" o:spid="_x0000_s2054" type="#_x0000_t202" style="width:2in;height:2in;margin-top:0;margin-left:0;mso-position-horizontal:center;mso-position-horizontal-relative:margin;mso-wrap-style:none;position:absolute;z-index:251663360" filled="f" stroked="f">
          <v:fill o:detectmouseclick="t"/>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7</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pPr>
    <w:r>
      <w:pict>
        <v:shapetype id="_x0000_t202" coordsize="21600,21600" o:spt="202" path="m,l,21600r21600,l21600,xe">
          <v:stroke joinstyle="miter"/>
          <v:path gradientshapeok="t" o:connecttype="rect"/>
        </v:shapetype>
        <v:shape id="文本框 1034" o:spid="_x0000_s2055" type="#_x0000_t202" style="width:2in;height:2in;margin-top:0;margin-left:0;mso-position-horizontal:center;mso-position-horizontal-relative:margin;mso-wrap-style:none;position:absolute;z-index:251664384" filled="f" stroked="f">
          <v:fill o:detectmouseclick="t"/>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7</w:t>
                </w:r>
                <w: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r>
      <w:pict>
        <v:shapetype id="_x0000_t202" coordsize="21600,21600" o:spt="202" path="m,l,21600r21600,l21600,xe">
          <v:stroke joinstyle="miter"/>
          <v:path gradientshapeok="t" o:connecttype="rect"/>
        </v:shapetype>
        <v:shape id="文本框 1035" o:spid="_x0000_s2056" type="#_x0000_t202" style="width:2in;height:2in;margin-top:0;margin-left:0;mso-position-horizontal:center;mso-position-horizontal-relative:margin;mso-wrap-style:none;position:absolute;z-index:251665408" filled="f" stroked="f">
          <v:fill o:detectmouseclick="t"/>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8</w:t>
                </w:r>
                <w:r>
                  <w:fldChar w:fldCharType="end"/>
                </w:r>
              </w:p>
            </w:txbxContent>
          </v:textbox>
          <w10:wrap anchorx="margin"/>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E150327"/>
    <w:multiLevelType w:val="singleLevel"/>
    <w:tmpl w:val="FE150327"/>
    <w:lvl w:ilvl="0">
      <w:start w:val="2"/>
      <w:numFmt w:val="decimal"/>
      <w:suff w:val="nothing"/>
      <w:lvlText w:val="（%1）"/>
      <w:lvlJc w:val="left"/>
      <w:pPr>
        <w:ind w:left="360"/>
      </w:pPr>
    </w:lvl>
  </w:abstractNum>
  <w:abstractNum w:abstractNumId="1">
    <w:nsid w:val="1FCF1115"/>
    <w:multiLevelType w:val="multilevel"/>
    <w:tmpl w:val="1FCF1115"/>
    <w:lvl w:ilvl="0">
      <w:start w:val="1"/>
      <w:numFmt w:val="decimal"/>
      <w:lvlText w:val="表%1"/>
      <w:lvlJc w:val="left"/>
      <w:pPr>
        <w:ind w:left="4620" w:hanging="420"/>
      </w:pPr>
      <w:rPr>
        <w:rFonts w:ascii="Times New Roman" w:eastAsia="宋体" w:hAnsi="Times New Roman" w:hint="default"/>
        <w:b/>
        <w:i w:val="0"/>
        <w:sz w:val="21"/>
        <w:lang w:val="en-US"/>
      </w:rPr>
    </w:lvl>
    <w:lvl w:ilvl="1">
      <w:start w:val="1"/>
      <w:numFmt w:val="lowerLetter"/>
      <w:lvlText w:val="%2)"/>
      <w:lvlJc w:val="left"/>
      <w:pPr>
        <w:ind w:left="5040" w:hanging="420"/>
      </w:pPr>
    </w:lvl>
    <w:lvl w:ilvl="2">
      <w:start w:val="1"/>
      <w:numFmt w:val="lowerRoman"/>
      <w:lvlText w:val="%3."/>
      <w:lvlJc w:val="right"/>
      <w:pPr>
        <w:ind w:left="5460" w:hanging="420"/>
      </w:pPr>
    </w:lvl>
    <w:lvl w:ilvl="3">
      <w:start w:val="1"/>
      <w:numFmt w:val="decimal"/>
      <w:lvlText w:val="%4."/>
      <w:lvlJc w:val="left"/>
      <w:pPr>
        <w:ind w:left="5880" w:hanging="420"/>
      </w:pPr>
    </w:lvl>
    <w:lvl w:ilvl="4">
      <w:start w:val="1"/>
      <w:numFmt w:val="lowerLetter"/>
      <w:lvlText w:val="%5)"/>
      <w:lvlJc w:val="left"/>
      <w:pPr>
        <w:ind w:left="6300" w:hanging="420"/>
      </w:pPr>
    </w:lvl>
    <w:lvl w:ilvl="5">
      <w:start w:val="1"/>
      <w:numFmt w:val="lowerRoman"/>
      <w:lvlText w:val="%6."/>
      <w:lvlJc w:val="right"/>
      <w:pPr>
        <w:ind w:left="6720" w:hanging="420"/>
      </w:pPr>
    </w:lvl>
    <w:lvl w:ilvl="6">
      <w:start w:val="1"/>
      <w:numFmt w:val="decimal"/>
      <w:lvlText w:val="%7."/>
      <w:lvlJc w:val="left"/>
      <w:pPr>
        <w:ind w:left="7140" w:hanging="420"/>
      </w:pPr>
    </w:lvl>
    <w:lvl w:ilvl="7">
      <w:start w:val="1"/>
      <w:numFmt w:val="lowerLetter"/>
      <w:lvlText w:val="%8)"/>
      <w:lvlJc w:val="left"/>
      <w:pPr>
        <w:ind w:left="7560" w:hanging="420"/>
      </w:pPr>
    </w:lvl>
    <w:lvl w:ilvl="8">
      <w:start w:val="1"/>
      <w:numFmt w:val="lowerRoman"/>
      <w:lvlText w:val="%9."/>
      <w:lvlJc w:val="right"/>
      <w:pPr>
        <w:ind w:left="7980" w:hanging="420"/>
      </w:pPr>
    </w:lvl>
  </w:abstractNum>
  <w:abstractNum w:abstractNumId="2">
    <w:nsid w:val="3D6BE015"/>
    <w:multiLevelType w:val="singleLevel"/>
    <w:tmpl w:val="3D6BE015"/>
    <w:lvl w:ilvl="0">
      <w:start w:val="1"/>
      <w:numFmt w:val="upperLetter"/>
      <w:suff w:val="nothing"/>
      <w:lvlText w:val="%1）"/>
      <w:lvlJc w:val="left"/>
      <w:pPr>
        <w:ind w:left="150"/>
      </w:pPr>
      <w:rPr>
        <w:rFonts w:hint="default"/>
        <w:b w:val="0"/>
        <w:bCs w:val="0"/>
        <w:sz w:val="24"/>
        <w:szCs w:val="24"/>
      </w:rPr>
    </w:lvl>
  </w:abstractNum>
  <w:abstractNum w:abstractNumId="3">
    <w:nsid w:val="4A248991"/>
    <w:multiLevelType w:val="singleLevel"/>
    <w:tmpl w:val="4A248991"/>
    <w:lvl w:ilvl="0">
      <w:start w:val="2"/>
      <w:numFmt w:val="decimal"/>
      <w:suff w:val="nothing"/>
      <w:lvlText w:val="%1、"/>
      <w:lvlJc w:val="left"/>
    </w:lvl>
  </w:abstractNum>
  <w:abstractNum w:abstractNumId="4">
    <w:nsid w:val="55A0F1E8"/>
    <w:multiLevelType w:val="singleLevel"/>
    <w:tmpl w:val="55A0F1E8"/>
    <w:lvl w:ilvl="0">
      <w:start w:val="6"/>
      <w:numFmt w:val="decimal"/>
      <w:suff w:val="nothing"/>
      <w:lvlText w:val="%1、"/>
      <w:lvlJc w:val="left"/>
    </w:lvl>
  </w:abstractNum>
  <w:abstractNum w:abstractNumId="5">
    <w:nsid w:val="59A3CCA7"/>
    <w:multiLevelType w:val="multilevel"/>
    <w:tmpl w:val="59A3CCA7"/>
    <w:lvl w:ilvl="0">
      <w:start w:val="1"/>
      <w:numFmt w:val="decimal"/>
      <w:lvlText w:val="%1"/>
      <w:lvlJc w:val="left"/>
      <w:pPr>
        <w:ind w:left="432" w:hanging="432"/>
      </w:pPr>
      <w:rPr>
        <w:rFonts w:eastAsia="黑体" w:hint="default"/>
        <w:sz w:val="32"/>
      </w:rPr>
    </w:lvl>
    <w:lvl w:ilvl="1">
      <w:start w:val="1"/>
      <w:numFmt w:val="decimal"/>
      <w:lvlText w:val="%1.%2"/>
      <w:lvlJc w:val="left"/>
      <w:pPr>
        <w:ind w:left="1002" w:hanging="576"/>
      </w:pPr>
    </w:lvl>
    <w:lvl w:ilvl="2">
      <w:start w:val="1"/>
      <w:numFmt w:val="decimal"/>
      <w:lvlText w:val="%1.%2.%3"/>
      <w:lvlJc w:val="left"/>
      <w:pPr>
        <w:ind w:left="720" w:hanging="720"/>
      </w:pPr>
      <w:rPr>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6A302E60"/>
    <w:multiLevelType w:val="singleLevel"/>
    <w:tmpl w:val="6A302E60"/>
    <w:lvl w:ilvl="0">
      <w:start w:val="1"/>
      <w:numFmt w:val="decimal"/>
      <w:suff w:val="nothing"/>
      <w:lvlText w:val="%1、"/>
      <w:lvlJc w:val="left"/>
    </w:lvl>
  </w:abstractNum>
  <w:num w:numId="1">
    <w:abstractNumId w:val="5"/>
  </w:num>
  <w:num w:numId="2">
    <w:abstractNumId w:val="1"/>
  </w:num>
  <w:num w:numId="3">
    <w:abstractNumId w:val="3"/>
  </w:num>
  <w:num w:numId="4">
    <w:abstractNumId w:val="6"/>
  </w:num>
  <w:num w:numId="5">
    <w:abstractNumId w:val="0"/>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TrueTypeFonts/>
  <w:saveSubsetFonts/>
  <w:attachedTemplate r:id="rId1"/>
  <w:stylePaneFormatFilter w:val="3F01"/>
  <w:documentProtection w:edit="trackedChanges" w:enforcement="0"/>
  <w:defaultTabStop w:val="420"/>
  <w:doNotHyphenateCaps/>
  <w:drawingGridVerticalSpacing w:val="156"/>
  <w:noPunctuationKerning/>
  <w:characterSpacingControl w:val="compressPunctuation"/>
  <w:noLineBreaksAfter w:lang="en-US" w:val="([{·‘“〈《「『【〔〖（．［｛￡￥"/>
  <w:noLineBreaksBefore w:lang="en-US" w:val="!),.:;?]}¨·ˇˉ―‖’”…∶、。〃々〉》」』】〕〗！＂＇），．：；？］｀｜｝～￠"/>
  <w:doNotEmbedSmartTags/>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4947"/>
    <w:rsid w:val="00001430"/>
    <w:rsid w:val="000060B3"/>
    <w:rsid w:val="000072CE"/>
    <w:rsid w:val="0001066E"/>
    <w:rsid w:val="000220B8"/>
    <w:rsid w:val="000237DB"/>
    <w:rsid w:val="000259FF"/>
    <w:rsid w:val="00026A47"/>
    <w:rsid w:val="00033FDC"/>
    <w:rsid w:val="0004364B"/>
    <w:rsid w:val="00061B1F"/>
    <w:rsid w:val="00070653"/>
    <w:rsid w:val="000733C4"/>
    <w:rsid w:val="00074783"/>
    <w:rsid w:val="000771C0"/>
    <w:rsid w:val="0008070B"/>
    <w:rsid w:val="000810AC"/>
    <w:rsid w:val="00081A02"/>
    <w:rsid w:val="00082231"/>
    <w:rsid w:val="00085172"/>
    <w:rsid w:val="00092D38"/>
    <w:rsid w:val="0009377B"/>
    <w:rsid w:val="000949AE"/>
    <w:rsid w:val="000A20C9"/>
    <w:rsid w:val="000B058F"/>
    <w:rsid w:val="000B4467"/>
    <w:rsid w:val="000B4DB9"/>
    <w:rsid w:val="000B52B3"/>
    <w:rsid w:val="000C09AC"/>
    <w:rsid w:val="000C767F"/>
    <w:rsid w:val="000D302C"/>
    <w:rsid w:val="000D5A44"/>
    <w:rsid w:val="000E3EC9"/>
    <w:rsid w:val="000E3ED2"/>
    <w:rsid w:val="001156E8"/>
    <w:rsid w:val="00131F42"/>
    <w:rsid w:val="0013448F"/>
    <w:rsid w:val="001357F1"/>
    <w:rsid w:val="00140FA8"/>
    <w:rsid w:val="00142FEB"/>
    <w:rsid w:val="00143792"/>
    <w:rsid w:val="00143A2D"/>
    <w:rsid w:val="00143F3B"/>
    <w:rsid w:val="00145A41"/>
    <w:rsid w:val="00151675"/>
    <w:rsid w:val="00151B11"/>
    <w:rsid w:val="00157435"/>
    <w:rsid w:val="001626FC"/>
    <w:rsid w:val="00172004"/>
    <w:rsid w:val="0017504D"/>
    <w:rsid w:val="0017671A"/>
    <w:rsid w:val="00177422"/>
    <w:rsid w:val="00184590"/>
    <w:rsid w:val="00186870"/>
    <w:rsid w:val="00186AED"/>
    <w:rsid w:val="001870D1"/>
    <w:rsid w:val="0018781E"/>
    <w:rsid w:val="001904A9"/>
    <w:rsid w:val="0019262D"/>
    <w:rsid w:val="00194B42"/>
    <w:rsid w:val="001A1B35"/>
    <w:rsid w:val="001A48A2"/>
    <w:rsid w:val="001A612C"/>
    <w:rsid w:val="001A6F61"/>
    <w:rsid w:val="001B72B8"/>
    <w:rsid w:val="001C4B3C"/>
    <w:rsid w:val="001C69B3"/>
    <w:rsid w:val="001C71F6"/>
    <w:rsid w:val="001D5595"/>
    <w:rsid w:val="001D773A"/>
    <w:rsid w:val="001D7874"/>
    <w:rsid w:val="001D7F22"/>
    <w:rsid w:val="001E486A"/>
    <w:rsid w:val="001E7E3F"/>
    <w:rsid w:val="001F05AF"/>
    <w:rsid w:val="001F0F17"/>
    <w:rsid w:val="001F3347"/>
    <w:rsid w:val="001F69E4"/>
    <w:rsid w:val="0020565F"/>
    <w:rsid w:val="00210312"/>
    <w:rsid w:val="002125B4"/>
    <w:rsid w:val="00212D6D"/>
    <w:rsid w:val="00215588"/>
    <w:rsid w:val="002155B8"/>
    <w:rsid w:val="00224839"/>
    <w:rsid w:val="002249B2"/>
    <w:rsid w:val="00226574"/>
    <w:rsid w:val="002278EC"/>
    <w:rsid w:val="00230783"/>
    <w:rsid w:val="0023280E"/>
    <w:rsid w:val="002377D1"/>
    <w:rsid w:val="002506BC"/>
    <w:rsid w:val="00254345"/>
    <w:rsid w:val="00264557"/>
    <w:rsid w:val="002805AB"/>
    <w:rsid w:val="00284204"/>
    <w:rsid w:val="00291773"/>
    <w:rsid w:val="002924A6"/>
    <w:rsid w:val="002A0BF6"/>
    <w:rsid w:val="002A168C"/>
    <w:rsid w:val="002A3DC7"/>
    <w:rsid w:val="002B49E2"/>
    <w:rsid w:val="002B7B00"/>
    <w:rsid w:val="002B7C44"/>
    <w:rsid w:val="002C2B17"/>
    <w:rsid w:val="002C3179"/>
    <w:rsid w:val="002C3AD3"/>
    <w:rsid w:val="002D3DD0"/>
    <w:rsid w:val="002E1F3A"/>
    <w:rsid w:val="002E298A"/>
    <w:rsid w:val="002F4145"/>
    <w:rsid w:val="0030011F"/>
    <w:rsid w:val="00301978"/>
    <w:rsid w:val="00302B76"/>
    <w:rsid w:val="0030332C"/>
    <w:rsid w:val="003051C2"/>
    <w:rsid w:val="00312296"/>
    <w:rsid w:val="00314F0E"/>
    <w:rsid w:val="00321D8E"/>
    <w:rsid w:val="00325928"/>
    <w:rsid w:val="00332863"/>
    <w:rsid w:val="0033684D"/>
    <w:rsid w:val="00337B42"/>
    <w:rsid w:val="00341B42"/>
    <w:rsid w:val="00342313"/>
    <w:rsid w:val="0034348F"/>
    <w:rsid w:val="00343638"/>
    <w:rsid w:val="00353EBD"/>
    <w:rsid w:val="00356553"/>
    <w:rsid w:val="00356653"/>
    <w:rsid w:val="0035743F"/>
    <w:rsid w:val="00357BE2"/>
    <w:rsid w:val="0036170C"/>
    <w:rsid w:val="00364D06"/>
    <w:rsid w:val="00366E0F"/>
    <w:rsid w:val="003816B5"/>
    <w:rsid w:val="00381A72"/>
    <w:rsid w:val="00384676"/>
    <w:rsid w:val="00390857"/>
    <w:rsid w:val="003A4BF3"/>
    <w:rsid w:val="003A79C1"/>
    <w:rsid w:val="003B420D"/>
    <w:rsid w:val="003B5F03"/>
    <w:rsid w:val="003C42E3"/>
    <w:rsid w:val="003C6C16"/>
    <w:rsid w:val="003D794D"/>
    <w:rsid w:val="003E170F"/>
    <w:rsid w:val="003E3058"/>
    <w:rsid w:val="003E4633"/>
    <w:rsid w:val="003E5434"/>
    <w:rsid w:val="003E76A9"/>
    <w:rsid w:val="003F0809"/>
    <w:rsid w:val="003F3BB5"/>
    <w:rsid w:val="003F6A8C"/>
    <w:rsid w:val="003F6D0C"/>
    <w:rsid w:val="003F755C"/>
    <w:rsid w:val="00406F01"/>
    <w:rsid w:val="00416D50"/>
    <w:rsid w:val="00416FD5"/>
    <w:rsid w:val="00417772"/>
    <w:rsid w:val="00420E6A"/>
    <w:rsid w:val="00425A9E"/>
    <w:rsid w:val="00426D6B"/>
    <w:rsid w:val="00431E6C"/>
    <w:rsid w:val="00431EDB"/>
    <w:rsid w:val="004324D3"/>
    <w:rsid w:val="00433CE7"/>
    <w:rsid w:val="004410B0"/>
    <w:rsid w:val="00452738"/>
    <w:rsid w:val="00456091"/>
    <w:rsid w:val="00460C20"/>
    <w:rsid w:val="00461699"/>
    <w:rsid w:val="00466321"/>
    <w:rsid w:val="0046729B"/>
    <w:rsid w:val="004718AF"/>
    <w:rsid w:val="00476D96"/>
    <w:rsid w:val="00482A5C"/>
    <w:rsid w:val="00484B9B"/>
    <w:rsid w:val="004855F6"/>
    <w:rsid w:val="0048661E"/>
    <w:rsid w:val="00494670"/>
    <w:rsid w:val="00497EF2"/>
    <w:rsid w:val="004A3823"/>
    <w:rsid w:val="004B141F"/>
    <w:rsid w:val="004D4069"/>
    <w:rsid w:val="004D49EE"/>
    <w:rsid w:val="004E6946"/>
    <w:rsid w:val="004F1AD8"/>
    <w:rsid w:val="005039CB"/>
    <w:rsid w:val="0050558F"/>
    <w:rsid w:val="00506286"/>
    <w:rsid w:val="005107DB"/>
    <w:rsid w:val="00510813"/>
    <w:rsid w:val="00511990"/>
    <w:rsid w:val="00511DE0"/>
    <w:rsid w:val="00514870"/>
    <w:rsid w:val="00514B9B"/>
    <w:rsid w:val="00517F02"/>
    <w:rsid w:val="00524303"/>
    <w:rsid w:val="005258A2"/>
    <w:rsid w:val="00532258"/>
    <w:rsid w:val="005401AE"/>
    <w:rsid w:val="00542E07"/>
    <w:rsid w:val="005439AA"/>
    <w:rsid w:val="00545424"/>
    <w:rsid w:val="00545F07"/>
    <w:rsid w:val="00554A7B"/>
    <w:rsid w:val="0055572C"/>
    <w:rsid w:val="0056106A"/>
    <w:rsid w:val="005720AE"/>
    <w:rsid w:val="005736FA"/>
    <w:rsid w:val="00594D77"/>
    <w:rsid w:val="005969E4"/>
    <w:rsid w:val="005A06B7"/>
    <w:rsid w:val="005A1759"/>
    <w:rsid w:val="005A68A7"/>
    <w:rsid w:val="005D184B"/>
    <w:rsid w:val="005D36AB"/>
    <w:rsid w:val="005D69F8"/>
    <w:rsid w:val="005E106E"/>
    <w:rsid w:val="005E27EE"/>
    <w:rsid w:val="00602B30"/>
    <w:rsid w:val="00603EDC"/>
    <w:rsid w:val="00611DA2"/>
    <w:rsid w:val="00617CC3"/>
    <w:rsid w:val="006377A6"/>
    <w:rsid w:val="00637A3D"/>
    <w:rsid w:val="00640AAF"/>
    <w:rsid w:val="006411EF"/>
    <w:rsid w:val="006472F4"/>
    <w:rsid w:val="00651A89"/>
    <w:rsid w:val="006748B8"/>
    <w:rsid w:val="006775C3"/>
    <w:rsid w:val="0069290A"/>
    <w:rsid w:val="0069775A"/>
    <w:rsid w:val="00697813"/>
    <w:rsid w:val="006A3EE8"/>
    <w:rsid w:val="006A72BF"/>
    <w:rsid w:val="006B03F2"/>
    <w:rsid w:val="006B37DC"/>
    <w:rsid w:val="006B4F68"/>
    <w:rsid w:val="006C0592"/>
    <w:rsid w:val="006C272E"/>
    <w:rsid w:val="006C5479"/>
    <w:rsid w:val="006C6BE6"/>
    <w:rsid w:val="006C7890"/>
    <w:rsid w:val="006D13B5"/>
    <w:rsid w:val="006E12FF"/>
    <w:rsid w:val="006E607E"/>
    <w:rsid w:val="00701D49"/>
    <w:rsid w:val="0070475A"/>
    <w:rsid w:val="00706C5D"/>
    <w:rsid w:val="00721CBD"/>
    <w:rsid w:val="00732922"/>
    <w:rsid w:val="00732B9A"/>
    <w:rsid w:val="00732DDF"/>
    <w:rsid w:val="00737693"/>
    <w:rsid w:val="00751347"/>
    <w:rsid w:val="0075162E"/>
    <w:rsid w:val="00754034"/>
    <w:rsid w:val="00756556"/>
    <w:rsid w:val="007618C4"/>
    <w:rsid w:val="00767980"/>
    <w:rsid w:val="00770B19"/>
    <w:rsid w:val="0077463F"/>
    <w:rsid w:val="007836EA"/>
    <w:rsid w:val="00784CDA"/>
    <w:rsid w:val="007906C4"/>
    <w:rsid w:val="00792A79"/>
    <w:rsid w:val="007940EA"/>
    <w:rsid w:val="00795D21"/>
    <w:rsid w:val="007967E8"/>
    <w:rsid w:val="007A2170"/>
    <w:rsid w:val="007A22BF"/>
    <w:rsid w:val="007A2C45"/>
    <w:rsid w:val="007A3323"/>
    <w:rsid w:val="007B72B8"/>
    <w:rsid w:val="007B7A58"/>
    <w:rsid w:val="007C21B5"/>
    <w:rsid w:val="007D013F"/>
    <w:rsid w:val="007D1EBB"/>
    <w:rsid w:val="007D7493"/>
    <w:rsid w:val="007E0124"/>
    <w:rsid w:val="007E4BD2"/>
    <w:rsid w:val="007F44C2"/>
    <w:rsid w:val="007F4F64"/>
    <w:rsid w:val="00801393"/>
    <w:rsid w:val="00802F88"/>
    <w:rsid w:val="0080487E"/>
    <w:rsid w:val="0081293E"/>
    <w:rsid w:val="00815465"/>
    <w:rsid w:val="00816EA7"/>
    <w:rsid w:val="008175A0"/>
    <w:rsid w:val="00817E9A"/>
    <w:rsid w:val="008306BD"/>
    <w:rsid w:val="00831A80"/>
    <w:rsid w:val="00832109"/>
    <w:rsid w:val="00833743"/>
    <w:rsid w:val="008340A4"/>
    <w:rsid w:val="00842FD4"/>
    <w:rsid w:val="00845D93"/>
    <w:rsid w:val="00853A35"/>
    <w:rsid w:val="0087135F"/>
    <w:rsid w:val="0087283C"/>
    <w:rsid w:val="00872D94"/>
    <w:rsid w:val="00875E66"/>
    <w:rsid w:val="0087775A"/>
    <w:rsid w:val="00880364"/>
    <w:rsid w:val="0088230D"/>
    <w:rsid w:val="00891592"/>
    <w:rsid w:val="00891E9E"/>
    <w:rsid w:val="00892515"/>
    <w:rsid w:val="008A2F68"/>
    <w:rsid w:val="008B4287"/>
    <w:rsid w:val="008B4FA6"/>
    <w:rsid w:val="008B5282"/>
    <w:rsid w:val="008B7C17"/>
    <w:rsid w:val="008C0B01"/>
    <w:rsid w:val="008C2D01"/>
    <w:rsid w:val="008C40E6"/>
    <w:rsid w:val="008C500F"/>
    <w:rsid w:val="008D0F7A"/>
    <w:rsid w:val="008D321A"/>
    <w:rsid w:val="008D68E4"/>
    <w:rsid w:val="008E0506"/>
    <w:rsid w:val="008E0CFF"/>
    <w:rsid w:val="008E5D6B"/>
    <w:rsid w:val="008E76F0"/>
    <w:rsid w:val="008F079D"/>
    <w:rsid w:val="008F15FE"/>
    <w:rsid w:val="008F2D29"/>
    <w:rsid w:val="008F5187"/>
    <w:rsid w:val="008F60D8"/>
    <w:rsid w:val="00902727"/>
    <w:rsid w:val="00902AB3"/>
    <w:rsid w:val="0090312B"/>
    <w:rsid w:val="009103F6"/>
    <w:rsid w:val="0091736D"/>
    <w:rsid w:val="009217F1"/>
    <w:rsid w:val="00924B9C"/>
    <w:rsid w:val="0093037A"/>
    <w:rsid w:val="0094154D"/>
    <w:rsid w:val="00943277"/>
    <w:rsid w:val="0094598C"/>
    <w:rsid w:val="0095155F"/>
    <w:rsid w:val="00954429"/>
    <w:rsid w:val="009563CE"/>
    <w:rsid w:val="009639E6"/>
    <w:rsid w:val="00976328"/>
    <w:rsid w:val="0097680D"/>
    <w:rsid w:val="00982438"/>
    <w:rsid w:val="0098404C"/>
    <w:rsid w:val="0098491D"/>
    <w:rsid w:val="00985283"/>
    <w:rsid w:val="00995992"/>
    <w:rsid w:val="009A03E5"/>
    <w:rsid w:val="009A0F3B"/>
    <w:rsid w:val="009A1BB4"/>
    <w:rsid w:val="009A2628"/>
    <w:rsid w:val="009A3200"/>
    <w:rsid w:val="009A43F5"/>
    <w:rsid w:val="009A7207"/>
    <w:rsid w:val="009B0897"/>
    <w:rsid w:val="009B47D1"/>
    <w:rsid w:val="009B6B16"/>
    <w:rsid w:val="009B7BD9"/>
    <w:rsid w:val="009C7DD5"/>
    <w:rsid w:val="009E0E55"/>
    <w:rsid w:val="009E227D"/>
    <w:rsid w:val="009E5019"/>
    <w:rsid w:val="009E56D6"/>
    <w:rsid w:val="00A04F1B"/>
    <w:rsid w:val="00A0501B"/>
    <w:rsid w:val="00A066D2"/>
    <w:rsid w:val="00A140B9"/>
    <w:rsid w:val="00A14947"/>
    <w:rsid w:val="00A16305"/>
    <w:rsid w:val="00A16E4F"/>
    <w:rsid w:val="00A32A83"/>
    <w:rsid w:val="00A34111"/>
    <w:rsid w:val="00A35FB4"/>
    <w:rsid w:val="00A368DB"/>
    <w:rsid w:val="00A423AA"/>
    <w:rsid w:val="00A43A4B"/>
    <w:rsid w:val="00A5031B"/>
    <w:rsid w:val="00A53EC6"/>
    <w:rsid w:val="00A54795"/>
    <w:rsid w:val="00A556D8"/>
    <w:rsid w:val="00A55C0F"/>
    <w:rsid w:val="00A60F01"/>
    <w:rsid w:val="00A615AA"/>
    <w:rsid w:val="00A870AC"/>
    <w:rsid w:val="00A8713F"/>
    <w:rsid w:val="00A90BA1"/>
    <w:rsid w:val="00A97A9A"/>
    <w:rsid w:val="00AA0671"/>
    <w:rsid w:val="00AA1A3C"/>
    <w:rsid w:val="00AA2531"/>
    <w:rsid w:val="00AB1E09"/>
    <w:rsid w:val="00AB3411"/>
    <w:rsid w:val="00AB5330"/>
    <w:rsid w:val="00AB7747"/>
    <w:rsid w:val="00AC14CE"/>
    <w:rsid w:val="00AC2A56"/>
    <w:rsid w:val="00AC77C0"/>
    <w:rsid w:val="00AD055E"/>
    <w:rsid w:val="00AD47A7"/>
    <w:rsid w:val="00AD584F"/>
    <w:rsid w:val="00AE0660"/>
    <w:rsid w:val="00AE5C95"/>
    <w:rsid w:val="00AF0CBF"/>
    <w:rsid w:val="00AF257F"/>
    <w:rsid w:val="00AF33CF"/>
    <w:rsid w:val="00AF4D50"/>
    <w:rsid w:val="00AF6179"/>
    <w:rsid w:val="00AF6B09"/>
    <w:rsid w:val="00AF772B"/>
    <w:rsid w:val="00B1295A"/>
    <w:rsid w:val="00B20A45"/>
    <w:rsid w:val="00B22C5C"/>
    <w:rsid w:val="00B23097"/>
    <w:rsid w:val="00B24F30"/>
    <w:rsid w:val="00B31ABF"/>
    <w:rsid w:val="00B32912"/>
    <w:rsid w:val="00B33BE3"/>
    <w:rsid w:val="00B36B2D"/>
    <w:rsid w:val="00B421E5"/>
    <w:rsid w:val="00B53B5D"/>
    <w:rsid w:val="00B53B76"/>
    <w:rsid w:val="00B6055E"/>
    <w:rsid w:val="00B6317D"/>
    <w:rsid w:val="00B671BC"/>
    <w:rsid w:val="00B740C1"/>
    <w:rsid w:val="00B7462D"/>
    <w:rsid w:val="00B75640"/>
    <w:rsid w:val="00B7723F"/>
    <w:rsid w:val="00B80534"/>
    <w:rsid w:val="00B8433C"/>
    <w:rsid w:val="00B87491"/>
    <w:rsid w:val="00B95239"/>
    <w:rsid w:val="00BA29E9"/>
    <w:rsid w:val="00BA7142"/>
    <w:rsid w:val="00BB0BAC"/>
    <w:rsid w:val="00BB237C"/>
    <w:rsid w:val="00BB24FE"/>
    <w:rsid w:val="00BB41A3"/>
    <w:rsid w:val="00BC32DC"/>
    <w:rsid w:val="00BC35B6"/>
    <w:rsid w:val="00BD1B51"/>
    <w:rsid w:val="00BD4596"/>
    <w:rsid w:val="00BE1405"/>
    <w:rsid w:val="00BE312D"/>
    <w:rsid w:val="00BF1C20"/>
    <w:rsid w:val="00BF509C"/>
    <w:rsid w:val="00BF7F2B"/>
    <w:rsid w:val="00C06631"/>
    <w:rsid w:val="00C10578"/>
    <w:rsid w:val="00C135BC"/>
    <w:rsid w:val="00C15C95"/>
    <w:rsid w:val="00C2596A"/>
    <w:rsid w:val="00C27537"/>
    <w:rsid w:val="00C328FE"/>
    <w:rsid w:val="00C33507"/>
    <w:rsid w:val="00C372DA"/>
    <w:rsid w:val="00C40DF5"/>
    <w:rsid w:val="00C4409D"/>
    <w:rsid w:val="00C44E72"/>
    <w:rsid w:val="00C45A06"/>
    <w:rsid w:val="00C47E5B"/>
    <w:rsid w:val="00C529DF"/>
    <w:rsid w:val="00C602D7"/>
    <w:rsid w:val="00C61E4B"/>
    <w:rsid w:val="00C64BFF"/>
    <w:rsid w:val="00C675A7"/>
    <w:rsid w:val="00C704E9"/>
    <w:rsid w:val="00C747B9"/>
    <w:rsid w:val="00C763C9"/>
    <w:rsid w:val="00C80057"/>
    <w:rsid w:val="00C82232"/>
    <w:rsid w:val="00C82913"/>
    <w:rsid w:val="00C92683"/>
    <w:rsid w:val="00C972B1"/>
    <w:rsid w:val="00CA2CCE"/>
    <w:rsid w:val="00CA43FD"/>
    <w:rsid w:val="00CA7EF8"/>
    <w:rsid w:val="00CB4855"/>
    <w:rsid w:val="00CB76B6"/>
    <w:rsid w:val="00CC489B"/>
    <w:rsid w:val="00CC6117"/>
    <w:rsid w:val="00CC72F6"/>
    <w:rsid w:val="00CD2BCD"/>
    <w:rsid w:val="00CD3A4C"/>
    <w:rsid w:val="00CD5699"/>
    <w:rsid w:val="00CE10E9"/>
    <w:rsid w:val="00CE2910"/>
    <w:rsid w:val="00CE5393"/>
    <w:rsid w:val="00CE7B03"/>
    <w:rsid w:val="00CF36BE"/>
    <w:rsid w:val="00CF6000"/>
    <w:rsid w:val="00D003F3"/>
    <w:rsid w:val="00D0364F"/>
    <w:rsid w:val="00D06834"/>
    <w:rsid w:val="00D308ED"/>
    <w:rsid w:val="00D360F9"/>
    <w:rsid w:val="00D368D7"/>
    <w:rsid w:val="00D36D86"/>
    <w:rsid w:val="00D428AA"/>
    <w:rsid w:val="00D43779"/>
    <w:rsid w:val="00D50A34"/>
    <w:rsid w:val="00D50EDF"/>
    <w:rsid w:val="00D53EFA"/>
    <w:rsid w:val="00D55D06"/>
    <w:rsid w:val="00D70DA1"/>
    <w:rsid w:val="00D72929"/>
    <w:rsid w:val="00D84F90"/>
    <w:rsid w:val="00D94A7C"/>
    <w:rsid w:val="00D95896"/>
    <w:rsid w:val="00DB2983"/>
    <w:rsid w:val="00DC1257"/>
    <w:rsid w:val="00DC3DC0"/>
    <w:rsid w:val="00DC5B2B"/>
    <w:rsid w:val="00DD0346"/>
    <w:rsid w:val="00DD318D"/>
    <w:rsid w:val="00DF2E12"/>
    <w:rsid w:val="00DF419B"/>
    <w:rsid w:val="00DF514A"/>
    <w:rsid w:val="00DF663A"/>
    <w:rsid w:val="00DF6690"/>
    <w:rsid w:val="00DF6804"/>
    <w:rsid w:val="00E0358D"/>
    <w:rsid w:val="00E04323"/>
    <w:rsid w:val="00E070A2"/>
    <w:rsid w:val="00E138D2"/>
    <w:rsid w:val="00E149C8"/>
    <w:rsid w:val="00E2656A"/>
    <w:rsid w:val="00E26FA2"/>
    <w:rsid w:val="00E40E81"/>
    <w:rsid w:val="00E412D0"/>
    <w:rsid w:val="00E45B17"/>
    <w:rsid w:val="00E45B85"/>
    <w:rsid w:val="00E50AAB"/>
    <w:rsid w:val="00E56322"/>
    <w:rsid w:val="00E60982"/>
    <w:rsid w:val="00E60DC2"/>
    <w:rsid w:val="00E62C62"/>
    <w:rsid w:val="00E654C1"/>
    <w:rsid w:val="00E65D97"/>
    <w:rsid w:val="00E72A5A"/>
    <w:rsid w:val="00E73354"/>
    <w:rsid w:val="00E7508B"/>
    <w:rsid w:val="00E76DCE"/>
    <w:rsid w:val="00E82964"/>
    <w:rsid w:val="00E9242D"/>
    <w:rsid w:val="00E93A01"/>
    <w:rsid w:val="00EA175E"/>
    <w:rsid w:val="00EA2509"/>
    <w:rsid w:val="00EB26C6"/>
    <w:rsid w:val="00EB518A"/>
    <w:rsid w:val="00EB5255"/>
    <w:rsid w:val="00EB5C47"/>
    <w:rsid w:val="00EC5CE4"/>
    <w:rsid w:val="00ED0639"/>
    <w:rsid w:val="00ED2E38"/>
    <w:rsid w:val="00EF4755"/>
    <w:rsid w:val="00EF7135"/>
    <w:rsid w:val="00EF7EC4"/>
    <w:rsid w:val="00F003B9"/>
    <w:rsid w:val="00F027DB"/>
    <w:rsid w:val="00F14A7A"/>
    <w:rsid w:val="00F170A8"/>
    <w:rsid w:val="00F22985"/>
    <w:rsid w:val="00F24AA5"/>
    <w:rsid w:val="00F278DB"/>
    <w:rsid w:val="00F336C4"/>
    <w:rsid w:val="00F3383E"/>
    <w:rsid w:val="00F375F2"/>
    <w:rsid w:val="00F37CFC"/>
    <w:rsid w:val="00F45CCE"/>
    <w:rsid w:val="00F465A7"/>
    <w:rsid w:val="00F50B7C"/>
    <w:rsid w:val="00F550E6"/>
    <w:rsid w:val="00F63FA6"/>
    <w:rsid w:val="00F675E5"/>
    <w:rsid w:val="00F72C6B"/>
    <w:rsid w:val="00F74345"/>
    <w:rsid w:val="00F77147"/>
    <w:rsid w:val="00F80A0A"/>
    <w:rsid w:val="00F82B19"/>
    <w:rsid w:val="00F8409F"/>
    <w:rsid w:val="00F91F3F"/>
    <w:rsid w:val="00F9212D"/>
    <w:rsid w:val="00F965DA"/>
    <w:rsid w:val="00FA406A"/>
    <w:rsid w:val="00FA451D"/>
    <w:rsid w:val="00FB503A"/>
    <w:rsid w:val="00FB516C"/>
    <w:rsid w:val="00FC1FC2"/>
    <w:rsid w:val="00FC5301"/>
    <w:rsid w:val="00FD0236"/>
    <w:rsid w:val="00FD18F4"/>
    <w:rsid w:val="00FD1BF4"/>
    <w:rsid w:val="00FD54DB"/>
    <w:rsid w:val="00FD619F"/>
    <w:rsid w:val="00FE321E"/>
    <w:rsid w:val="00FF7831"/>
    <w:rsid w:val="01185509"/>
    <w:rsid w:val="011C5694"/>
    <w:rsid w:val="01290F7E"/>
    <w:rsid w:val="014F7E8A"/>
    <w:rsid w:val="015D1E09"/>
    <w:rsid w:val="0182681C"/>
    <w:rsid w:val="01C13B01"/>
    <w:rsid w:val="02176D28"/>
    <w:rsid w:val="024D4076"/>
    <w:rsid w:val="02697903"/>
    <w:rsid w:val="02A47ED2"/>
    <w:rsid w:val="02F96569"/>
    <w:rsid w:val="035F1458"/>
    <w:rsid w:val="03600FB3"/>
    <w:rsid w:val="038F23B6"/>
    <w:rsid w:val="03C912F6"/>
    <w:rsid w:val="03EA7B21"/>
    <w:rsid w:val="03F61FA0"/>
    <w:rsid w:val="045E2254"/>
    <w:rsid w:val="04AC2711"/>
    <w:rsid w:val="050A41FE"/>
    <w:rsid w:val="0563090D"/>
    <w:rsid w:val="056B1442"/>
    <w:rsid w:val="05A033AD"/>
    <w:rsid w:val="05E80B52"/>
    <w:rsid w:val="05F83EAE"/>
    <w:rsid w:val="06353082"/>
    <w:rsid w:val="063E7D85"/>
    <w:rsid w:val="06DF25D6"/>
    <w:rsid w:val="07293586"/>
    <w:rsid w:val="07295285"/>
    <w:rsid w:val="072E6074"/>
    <w:rsid w:val="07636392"/>
    <w:rsid w:val="07770C56"/>
    <w:rsid w:val="07C01947"/>
    <w:rsid w:val="07CD7218"/>
    <w:rsid w:val="07E66502"/>
    <w:rsid w:val="08104AEE"/>
    <w:rsid w:val="08C02B55"/>
    <w:rsid w:val="092217DD"/>
    <w:rsid w:val="093A7294"/>
    <w:rsid w:val="095F4DDD"/>
    <w:rsid w:val="097449AF"/>
    <w:rsid w:val="09E63ECF"/>
    <w:rsid w:val="0A1B27C4"/>
    <w:rsid w:val="0A263993"/>
    <w:rsid w:val="0A2D3AC2"/>
    <w:rsid w:val="0A6369B9"/>
    <w:rsid w:val="0AA755DF"/>
    <w:rsid w:val="0AE846D1"/>
    <w:rsid w:val="0AEF5A85"/>
    <w:rsid w:val="0B120D44"/>
    <w:rsid w:val="0B203B66"/>
    <w:rsid w:val="0B3A7A6C"/>
    <w:rsid w:val="0B7E1CEB"/>
    <w:rsid w:val="0B82562E"/>
    <w:rsid w:val="0BD27BF6"/>
    <w:rsid w:val="0C0E77B7"/>
    <w:rsid w:val="0C3B3C7D"/>
    <w:rsid w:val="0C9B7E4F"/>
    <w:rsid w:val="0CAB2EAE"/>
    <w:rsid w:val="0CD92F43"/>
    <w:rsid w:val="0CE822DB"/>
    <w:rsid w:val="0D171AF7"/>
    <w:rsid w:val="0D5415CD"/>
    <w:rsid w:val="0D621C7D"/>
    <w:rsid w:val="0E247D4B"/>
    <w:rsid w:val="0E73034D"/>
    <w:rsid w:val="0E825445"/>
    <w:rsid w:val="0EFD70AF"/>
    <w:rsid w:val="0F053294"/>
    <w:rsid w:val="0F13775A"/>
    <w:rsid w:val="0F5F45FE"/>
    <w:rsid w:val="0F6B7972"/>
    <w:rsid w:val="0F7F2362"/>
    <w:rsid w:val="0F9A112B"/>
    <w:rsid w:val="105C04C0"/>
    <w:rsid w:val="106D2F64"/>
    <w:rsid w:val="106F090C"/>
    <w:rsid w:val="10965941"/>
    <w:rsid w:val="10B63710"/>
    <w:rsid w:val="10F10820"/>
    <w:rsid w:val="111C2F7A"/>
    <w:rsid w:val="111F6C70"/>
    <w:rsid w:val="1122299E"/>
    <w:rsid w:val="11665CA1"/>
    <w:rsid w:val="11954AC2"/>
    <w:rsid w:val="12254280"/>
    <w:rsid w:val="123741C6"/>
    <w:rsid w:val="123B2948"/>
    <w:rsid w:val="13020803"/>
    <w:rsid w:val="131E6976"/>
    <w:rsid w:val="13951726"/>
    <w:rsid w:val="13C2222E"/>
    <w:rsid w:val="13DF5EB3"/>
    <w:rsid w:val="13F6229F"/>
    <w:rsid w:val="141365C9"/>
    <w:rsid w:val="14305FA0"/>
    <w:rsid w:val="14396509"/>
    <w:rsid w:val="14C968F2"/>
    <w:rsid w:val="14DD2C3C"/>
    <w:rsid w:val="15214E43"/>
    <w:rsid w:val="15291D89"/>
    <w:rsid w:val="15E363FF"/>
    <w:rsid w:val="16087E1D"/>
    <w:rsid w:val="16406583"/>
    <w:rsid w:val="16874B66"/>
    <w:rsid w:val="171F3BC7"/>
    <w:rsid w:val="17701D14"/>
    <w:rsid w:val="17735226"/>
    <w:rsid w:val="178E4E1F"/>
    <w:rsid w:val="17A0154D"/>
    <w:rsid w:val="17C273C2"/>
    <w:rsid w:val="17CA7812"/>
    <w:rsid w:val="181512A2"/>
    <w:rsid w:val="183F06DD"/>
    <w:rsid w:val="18410685"/>
    <w:rsid w:val="184F1ECC"/>
    <w:rsid w:val="189F624C"/>
    <w:rsid w:val="19372BFF"/>
    <w:rsid w:val="197435DF"/>
    <w:rsid w:val="19E22AC8"/>
    <w:rsid w:val="1A135C83"/>
    <w:rsid w:val="1A1C66C0"/>
    <w:rsid w:val="1A3326D0"/>
    <w:rsid w:val="1A42393B"/>
    <w:rsid w:val="1AAD45DE"/>
    <w:rsid w:val="1AB118B7"/>
    <w:rsid w:val="1ABC48F0"/>
    <w:rsid w:val="1AC61471"/>
    <w:rsid w:val="1B046F80"/>
    <w:rsid w:val="1B0C7D6A"/>
    <w:rsid w:val="1B3267B5"/>
    <w:rsid w:val="1B40161D"/>
    <w:rsid w:val="1B441859"/>
    <w:rsid w:val="1B6606B1"/>
    <w:rsid w:val="1BFD101C"/>
    <w:rsid w:val="1C160934"/>
    <w:rsid w:val="1C413419"/>
    <w:rsid w:val="1C5E7925"/>
    <w:rsid w:val="1C6A6FB2"/>
    <w:rsid w:val="1CAF11E7"/>
    <w:rsid w:val="1CE60EFC"/>
    <w:rsid w:val="1CFD070F"/>
    <w:rsid w:val="1D1F7B9C"/>
    <w:rsid w:val="1D5F6196"/>
    <w:rsid w:val="1D6132A5"/>
    <w:rsid w:val="1D8E56D5"/>
    <w:rsid w:val="1D9C654D"/>
    <w:rsid w:val="1DD4393A"/>
    <w:rsid w:val="1DEC348D"/>
    <w:rsid w:val="1E070394"/>
    <w:rsid w:val="1E522E75"/>
    <w:rsid w:val="1E5B0382"/>
    <w:rsid w:val="1E7A43DA"/>
    <w:rsid w:val="1F3720A5"/>
    <w:rsid w:val="1F8C73CF"/>
    <w:rsid w:val="1FA73825"/>
    <w:rsid w:val="1FB17F5D"/>
    <w:rsid w:val="1FE7539E"/>
    <w:rsid w:val="2025002B"/>
    <w:rsid w:val="20671BE0"/>
    <w:rsid w:val="208E4BEC"/>
    <w:rsid w:val="20963CB8"/>
    <w:rsid w:val="20A81A1B"/>
    <w:rsid w:val="20B07FB6"/>
    <w:rsid w:val="20B646FB"/>
    <w:rsid w:val="20E23E42"/>
    <w:rsid w:val="20E75904"/>
    <w:rsid w:val="210C7A92"/>
    <w:rsid w:val="213B74B1"/>
    <w:rsid w:val="215A2310"/>
    <w:rsid w:val="2165668A"/>
    <w:rsid w:val="21822E14"/>
    <w:rsid w:val="21A56B08"/>
    <w:rsid w:val="21DE318A"/>
    <w:rsid w:val="21EF5B80"/>
    <w:rsid w:val="22576990"/>
    <w:rsid w:val="229C4761"/>
    <w:rsid w:val="22DF73CD"/>
    <w:rsid w:val="22F47480"/>
    <w:rsid w:val="238A29CD"/>
    <w:rsid w:val="23DE1C48"/>
    <w:rsid w:val="23E32B97"/>
    <w:rsid w:val="240210CD"/>
    <w:rsid w:val="24BF09F7"/>
    <w:rsid w:val="24F813C8"/>
    <w:rsid w:val="252D53FE"/>
    <w:rsid w:val="255307A4"/>
    <w:rsid w:val="25994038"/>
    <w:rsid w:val="25D67696"/>
    <w:rsid w:val="25EC2D81"/>
    <w:rsid w:val="26380B9A"/>
    <w:rsid w:val="26837C48"/>
    <w:rsid w:val="26EC6D13"/>
    <w:rsid w:val="2712669E"/>
    <w:rsid w:val="27223508"/>
    <w:rsid w:val="27395854"/>
    <w:rsid w:val="27417D24"/>
    <w:rsid w:val="275415C7"/>
    <w:rsid w:val="277057A2"/>
    <w:rsid w:val="27822361"/>
    <w:rsid w:val="27A8259C"/>
    <w:rsid w:val="27DB3295"/>
    <w:rsid w:val="27E66760"/>
    <w:rsid w:val="283B062D"/>
    <w:rsid w:val="28483B03"/>
    <w:rsid w:val="28BF418C"/>
    <w:rsid w:val="28C2216A"/>
    <w:rsid w:val="28D8557F"/>
    <w:rsid w:val="28DD6FF5"/>
    <w:rsid w:val="29206EB8"/>
    <w:rsid w:val="29595666"/>
    <w:rsid w:val="29874881"/>
    <w:rsid w:val="29892E32"/>
    <w:rsid w:val="299A413D"/>
    <w:rsid w:val="29B0691B"/>
    <w:rsid w:val="29C61F2F"/>
    <w:rsid w:val="29E325E0"/>
    <w:rsid w:val="29EB5B5C"/>
    <w:rsid w:val="2A452503"/>
    <w:rsid w:val="2A5F2BA2"/>
    <w:rsid w:val="2AEA0B7B"/>
    <w:rsid w:val="2BA936A8"/>
    <w:rsid w:val="2C315A5A"/>
    <w:rsid w:val="2C4B1C25"/>
    <w:rsid w:val="2CB06A7E"/>
    <w:rsid w:val="2CC71655"/>
    <w:rsid w:val="2D292C6E"/>
    <w:rsid w:val="2D416568"/>
    <w:rsid w:val="2D4D7EA5"/>
    <w:rsid w:val="2D89145C"/>
    <w:rsid w:val="2D9E56F5"/>
    <w:rsid w:val="2DB12703"/>
    <w:rsid w:val="2DF67C17"/>
    <w:rsid w:val="2E645923"/>
    <w:rsid w:val="2E667F96"/>
    <w:rsid w:val="2E73047B"/>
    <w:rsid w:val="2E8226AB"/>
    <w:rsid w:val="2E995A17"/>
    <w:rsid w:val="2ECA395D"/>
    <w:rsid w:val="2F17517A"/>
    <w:rsid w:val="2FB75F3D"/>
    <w:rsid w:val="2FD065E6"/>
    <w:rsid w:val="2FD96870"/>
    <w:rsid w:val="30197347"/>
    <w:rsid w:val="304222F6"/>
    <w:rsid w:val="30580BC9"/>
    <w:rsid w:val="30DB0897"/>
    <w:rsid w:val="30F26DEE"/>
    <w:rsid w:val="31123FA3"/>
    <w:rsid w:val="311E2ED7"/>
    <w:rsid w:val="31364569"/>
    <w:rsid w:val="315619EE"/>
    <w:rsid w:val="315C449C"/>
    <w:rsid w:val="31B82709"/>
    <w:rsid w:val="31D05482"/>
    <w:rsid w:val="31D7558F"/>
    <w:rsid w:val="31E770DF"/>
    <w:rsid w:val="32400B34"/>
    <w:rsid w:val="325B2657"/>
    <w:rsid w:val="32985C0F"/>
    <w:rsid w:val="329E6876"/>
    <w:rsid w:val="32C4034C"/>
    <w:rsid w:val="32D44A48"/>
    <w:rsid w:val="333015F2"/>
    <w:rsid w:val="334B6320"/>
    <w:rsid w:val="335F02B9"/>
    <w:rsid w:val="339C4CEA"/>
    <w:rsid w:val="33AF6948"/>
    <w:rsid w:val="33D7155E"/>
    <w:rsid w:val="33D934D4"/>
    <w:rsid w:val="33FE2F6A"/>
    <w:rsid w:val="3409218B"/>
    <w:rsid w:val="340E07E5"/>
    <w:rsid w:val="341804FF"/>
    <w:rsid w:val="34235BF7"/>
    <w:rsid w:val="34AF2A77"/>
    <w:rsid w:val="35500A17"/>
    <w:rsid w:val="358C5FA8"/>
    <w:rsid w:val="35BF7F1B"/>
    <w:rsid w:val="35C15DF1"/>
    <w:rsid w:val="36074A7F"/>
    <w:rsid w:val="364E0F5D"/>
    <w:rsid w:val="36923549"/>
    <w:rsid w:val="36B75FBF"/>
    <w:rsid w:val="36BD0C45"/>
    <w:rsid w:val="376B2FDC"/>
    <w:rsid w:val="376B506F"/>
    <w:rsid w:val="37E00298"/>
    <w:rsid w:val="381904C6"/>
    <w:rsid w:val="38B302F9"/>
    <w:rsid w:val="38B55749"/>
    <w:rsid w:val="38F12CD3"/>
    <w:rsid w:val="38F94775"/>
    <w:rsid w:val="392971ED"/>
    <w:rsid w:val="39325651"/>
    <w:rsid w:val="3A872856"/>
    <w:rsid w:val="3B07691E"/>
    <w:rsid w:val="3B3763D1"/>
    <w:rsid w:val="3B630786"/>
    <w:rsid w:val="3B8116A9"/>
    <w:rsid w:val="3BB96529"/>
    <w:rsid w:val="3BE33974"/>
    <w:rsid w:val="3C0903CE"/>
    <w:rsid w:val="3C2F6E1E"/>
    <w:rsid w:val="3C4F64BA"/>
    <w:rsid w:val="3CDA245A"/>
    <w:rsid w:val="3D1E06B7"/>
    <w:rsid w:val="3D3E7182"/>
    <w:rsid w:val="3D6D57C8"/>
    <w:rsid w:val="3E8B1072"/>
    <w:rsid w:val="3EC3211E"/>
    <w:rsid w:val="3ECE0349"/>
    <w:rsid w:val="3EDA0523"/>
    <w:rsid w:val="3F4E087B"/>
    <w:rsid w:val="3F592371"/>
    <w:rsid w:val="3F905544"/>
    <w:rsid w:val="3FDC0054"/>
    <w:rsid w:val="3FF57AC5"/>
    <w:rsid w:val="404D7310"/>
    <w:rsid w:val="407A6407"/>
    <w:rsid w:val="40886572"/>
    <w:rsid w:val="40DD4745"/>
    <w:rsid w:val="40ED54D8"/>
    <w:rsid w:val="41BA4EF7"/>
    <w:rsid w:val="4200449D"/>
    <w:rsid w:val="423A3BCC"/>
    <w:rsid w:val="424E57D2"/>
    <w:rsid w:val="42B26C49"/>
    <w:rsid w:val="43097439"/>
    <w:rsid w:val="431D2FA6"/>
    <w:rsid w:val="433A6FE6"/>
    <w:rsid w:val="43480868"/>
    <w:rsid w:val="4350713C"/>
    <w:rsid w:val="436653E0"/>
    <w:rsid w:val="43B14445"/>
    <w:rsid w:val="43C4431A"/>
    <w:rsid w:val="442A39C5"/>
    <w:rsid w:val="4464567D"/>
    <w:rsid w:val="44B951CC"/>
    <w:rsid w:val="44BE50AD"/>
    <w:rsid w:val="44CD14E0"/>
    <w:rsid w:val="44F20B0B"/>
    <w:rsid w:val="44F34E1E"/>
    <w:rsid w:val="450B6D9B"/>
    <w:rsid w:val="451938AE"/>
    <w:rsid w:val="452B1C72"/>
    <w:rsid w:val="452E5F4C"/>
    <w:rsid w:val="45612018"/>
    <w:rsid w:val="458946E9"/>
    <w:rsid w:val="45936023"/>
    <w:rsid w:val="45A47C0E"/>
    <w:rsid w:val="45FF091C"/>
    <w:rsid w:val="46015A0A"/>
    <w:rsid w:val="46232F31"/>
    <w:rsid w:val="464E6942"/>
    <w:rsid w:val="46577FD6"/>
    <w:rsid w:val="46CE40B6"/>
    <w:rsid w:val="46D76D9D"/>
    <w:rsid w:val="46D955A7"/>
    <w:rsid w:val="47133957"/>
    <w:rsid w:val="47332EA4"/>
    <w:rsid w:val="47632335"/>
    <w:rsid w:val="47A07E0C"/>
    <w:rsid w:val="47E620EA"/>
    <w:rsid w:val="4870272E"/>
    <w:rsid w:val="48762D9F"/>
    <w:rsid w:val="48A50133"/>
    <w:rsid w:val="48C74432"/>
    <w:rsid w:val="48DB6706"/>
    <w:rsid w:val="49DC7715"/>
    <w:rsid w:val="4A023139"/>
    <w:rsid w:val="4A7B576F"/>
    <w:rsid w:val="4AF561A9"/>
    <w:rsid w:val="4B1A5EF5"/>
    <w:rsid w:val="4B746D3E"/>
    <w:rsid w:val="4B8A51BE"/>
    <w:rsid w:val="4BFC14B5"/>
    <w:rsid w:val="4C4A0649"/>
    <w:rsid w:val="4C7E5ECA"/>
    <w:rsid w:val="4C863F6C"/>
    <w:rsid w:val="4C876AA5"/>
    <w:rsid w:val="4CD337D7"/>
    <w:rsid w:val="4CEF4256"/>
    <w:rsid w:val="4D0E00FB"/>
    <w:rsid w:val="4D176606"/>
    <w:rsid w:val="4D5D3501"/>
    <w:rsid w:val="4DE83662"/>
    <w:rsid w:val="4DEC4FB0"/>
    <w:rsid w:val="4E075D8A"/>
    <w:rsid w:val="4E262A9E"/>
    <w:rsid w:val="4EB9161B"/>
    <w:rsid w:val="4EC00FAD"/>
    <w:rsid w:val="4EC67695"/>
    <w:rsid w:val="4F4440C0"/>
    <w:rsid w:val="4F9843DC"/>
    <w:rsid w:val="4FA81DC5"/>
    <w:rsid w:val="4FC62A8C"/>
    <w:rsid w:val="4FE20F0D"/>
    <w:rsid w:val="4FE51552"/>
    <w:rsid w:val="50504C4B"/>
    <w:rsid w:val="507D11A9"/>
    <w:rsid w:val="509C6E7C"/>
    <w:rsid w:val="50F250AA"/>
    <w:rsid w:val="5162104E"/>
    <w:rsid w:val="51977D30"/>
    <w:rsid w:val="51F5375D"/>
    <w:rsid w:val="526D11B2"/>
    <w:rsid w:val="52AD52E1"/>
    <w:rsid w:val="52B465AD"/>
    <w:rsid w:val="53306A1F"/>
    <w:rsid w:val="53A039CC"/>
    <w:rsid w:val="53A1505A"/>
    <w:rsid w:val="53A75B21"/>
    <w:rsid w:val="53D36C8B"/>
    <w:rsid w:val="53ED3FAA"/>
    <w:rsid w:val="53EE4916"/>
    <w:rsid w:val="54063E08"/>
    <w:rsid w:val="543437E8"/>
    <w:rsid w:val="543A63D2"/>
    <w:rsid w:val="546E4625"/>
    <w:rsid w:val="54F73313"/>
    <w:rsid w:val="54F80955"/>
    <w:rsid w:val="550B2946"/>
    <w:rsid w:val="555170A7"/>
    <w:rsid w:val="5587536D"/>
    <w:rsid w:val="55993F02"/>
    <w:rsid w:val="559B174B"/>
    <w:rsid w:val="55A4488D"/>
    <w:rsid w:val="55AC7976"/>
    <w:rsid w:val="55CE0CF4"/>
    <w:rsid w:val="55E237BF"/>
    <w:rsid w:val="56234580"/>
    <w:rsid w:val="56B22A9C"/>
    <w:rsid w:val="56BA5D62"/>
    <w:rsid w:val="56DB1F30"/>
    <w:rsid w:val="57676A5E"/>
    <w:rsid w:val="578C6E65"/>
    <w:rsid w:val="57B72A76"/>
    <w:rsid w:val="57C3426C"/>
    <w:rsid w:val="57CE1F93"/>
    <w:rsid w:val="58820E11"/>
    <w:rsid w:val="588743D1"/>
    <w:rsid w:val="5887701A"/>
    <w:rsid w:val="588C73F5"/>
    <w:rsid w:val="59464389"/>
    <w:rsid w:val="59C0439F"/>
    <w:rsid w:val="59E11F8B"/>
    <w:rsid w:val="5A382944"/>
    <w:rsid w:val="5A7B1071"/>
    <w:rsid w:val="5ABE2233"/>
    <w:rsid w:val="5AD8726B"/>
    <w:rsid w:val="5B761408"/>
    <w:rsid w:val="5B76594C"/>
    <w:rsid w:val="5B8A3993"/>
    <w:rsid w:val="5B914A01"/>
    <w:rsid w:val="5B963587"/>
    <w:rsid w:val="5BDF5D95"/>
    <w:rsid w:val="5BFE7528"/>
    <w:rsid w:val="5D0D5D96"/>
    <w:rsid w:val="5D707435"/>
    <w:rsid w:val="5DCB6F17"/>
    <w:rsid w:val="5E2467F1"/>
    <w:rsid w:val="5E283CB2"/>
    <w:rsid w:val="5E512DC3"/>
    <w:rsid w:val="5E7A502C"/>
    <w:rsid w:val="5E983999"/>
    <w:rsid w:val="5EB665FA"/>
    <w:rsid w:val="5ECE0D1B"/>
    <w:rsid w:val="5F006307"/>
    <w:rsid w:val="5F171F5D"/>
    <w:rsid w:val="5F1A2B43"/>
    <w:rsid w:val="5F24620E"/>
    <w:rsid w:val="5F61583B"/>
    <w:rsid w:val="5FAA3071"/>
    <w:rsid w:val="5FB837BB"/>
    <w:rsid w:val="5FCD292B"/>
    <w:rsid w:val="5FF675CE"/>
    <w:rsid w:val="602A71D5"/>
    <w:rsid w:val="60391ADB"/>
    <w:rsid w:val="6066586C"/>
    <w:rsid w:val="607F6B8A"/>
    <w:rsid w:val="60CC405A"/>
    <w:rsid w:val="60F07A44"/>
    <w:rsid w:val="61322D0F"/>
    <w:rsid w:val="613F21CA"/>
    <w:rsid w:val="615360B0"/>
    <w:rsid w:val="61E215D8"/>
    <w:rsid w:val="621B3775"/>
    <w:rsid w:val="62341736"/>
    <w:rsid w:val="62364782"/>
    <w:rsid w:val="629E564B"/>
    <w:rsid w:val="63236487"/>
    <w:rsid w:val="638779B2"/>
    <w:rsid w:val="6394356A"/>
    <w:rsid w:val="63AE011A"/>
    <w:rsid w:val="63C61B2C"/>
    <w:rsid w:val="63D40BE9"/>
    <w:rsid w:val="640D3093"/>
    <w:rsid w:val="64102431"/>
    <w:rsid w:val="649042F9"/>
    <w:rsid w:val="64A5243A"/>
    <w:rsid w:val="64B87C54"/>
    <w:rsid w:val="64F531DE"/>
    <w:rsid w:val="65373578"/>
    <w:rsid w:val="65B0017A"/>
    <w:rsid w:val="65FB7CDB"/>
    <w:rsid w:val="669D33D4"/>
    <w:rsid w:val="66E1759A"/>
    <w:rsid w:val="671F124A"/>
    <w:rsid w:val="675C0795"/>
    <w:rsid w:val="676E4606"/>
    <w:rsid w:val="677A33C6"/>
    <w:rsid w:val="677D5EE8"/>
    <w:rsid w:val="67DC5795"/>
    <w:rsid w:val="681F6961"/>
    <w:rsid w:val="684E3E99"/>
    <w:rsid w:val="68610A2F"/>
    <w:rsid w:val="686753DB"/>
    <w:rsid w:val="68676A49"/>
    <w:rsid w:val="6868387D"/>
    <w:rsid w:val="68805514"/>
    <w:rsid w:val="68B65D95"/>
    <w:rsid w:val="68EB2ACB"/>
    <w:rsid w:val="69316E2F"/>
    <w:rsid w:val="694E2071"/>
    <w:rsid w:val="69766163"/>
    <w:rsid w:val="697A3B33"/>
    <w:rsid w:val="69D44760"/>
    <w:rsid w:val="6A270C05"/>
    <w:rsid w:val="6A3564BD"/>
    <w:rsid w:val="6A520EC7"/>
    <w:rsid w:val="6A5E36D5"/>
    <w:rsid w:val="6AF87E20"/>
    <w:rsid w:val="6B1F669F"/>
    <w:rsid w:val="6B322639"/>
    <w:rsid w:val="6B3E1BF5"/>
    <w:rsid w:val="6B8A66CA"/>
    <w:rsid w:val="6B9B4F45"/>
    <w:rsid w:val="6BBF7980"/>
    <w:rsid w:val="6C636C38"/>
    <w:rsid w:val="6C8D3827"/>
    <w:rsid w:val="6CA44DF2"/>
    <w:rsid w:val="6CC079C1"/>
    <w:rsid w:val="6CE4695B"/>
    <w:rsid w:val="6D4C5D3C"/>
    <w:rsid w:val="6D533E68"/>
    <w:rsid w:val="6D6E7C5E"/>
    <w:rsid w:val="6DB34098"/>
    <w:rsid w:val="6DB545B6"/>
    <w:rsid w:val="6DB66549"/>
    <w:rsid w:val="6DC36570"/>
    <w:rsid w:val="6DE02FB4"/>
    <w:rsid w:val="6E452D95"/>
    <w:rsid w:val="6E514CED"/>
    <w:rsid w:val="6E587347"/>
    <w:rsid w:val="6E590827"/>
    <w:rsid w:val="6E9B6554"/>
    <w:rsid w:val="6EB04272"/>
    <w:rsid w:val="6EB563D5"/>
    <w:rsid w:val="6ED92677"/>
    <w:rsid w:val="6EE73B4F"/>
    <w:rsid w:val="6EF4784E"/>
    <w:rsid w:val="6F225983"/>
    <w:rsid w:val="6F815253"/>
    <w:rsid w:val="6FFC5590"/>
    <w:rsid w:val="701157E0"/>
    <w:rsid w:val="705F4AC0"/>
    <w:rsid w:val="70663C84"/>
    <w:rsid w:val="706D1DD0"/>
    <w:rsid w:val="70856B87"/>
    <w:rsid w:val="70AA56DD"/>
    <w:rsid w:val="70D527EE"/>
    <w:rsid w:val="71042ADC"/>
    <w:rsid w:val="712B53EF"/>
    <w:rsid w:val="715B5300"/>
    <w:rsid w:val="717574B7"/>
    <w:rsid w:val="71BB6BEB"/>
    <w:rsid w:val="71D27F8A"/>
    <w:rsid w:val="724C070F"/>
    <w:rsid w:val="72520154"/>
    <w:rsid w:val="72553024"/>
    <w:rsid w:val="72B02147"/>
    <w:rsid w:val="73122968"/>
    <w:rsid w:val="731F5D5E"/>
    <w:rsid w:val="73C51AD5"/>
    <w:rsid w:val="73EB2735"/>
    <w:rsid w:val="741E793C"/>
    <w:rsid w:val="745E3944"/>
    <w:rsid w:val="74A52818"/>
    <w:rsid w:val="74E33C32"/>
    <w:rsid w:val="75B43D83"/>
    <w:rsid w:val="760228B5"/>
    <w:rsid w:val="7635099D"/>
    <w:rsid w:val="765A2BC5"/>
    <w:rsid w:val="76800F27"/>
    <w:rsid w:val="769060CA"/>
    <w:rsid w:val="76D934F2"/>
    <w:rsid w:val="76F732F4"/>
    <w:rsid w:val="76F95081"/>
    <w:rsid w:val="77346BD8"/>
    <w:rsid w:val="77762421"/>
    <w:rsid w:val="77B56B1F"/>
    <w:rsid w:val="780F09F4"/>
    <w:rsid w:val="781E7D26"/>
    <w:rsid w:val="7820624A"/>
    <w:rsid w:val="78491E8D"/>
    <w:rsid w:val="78A43D3E"/>
    <w:rsid w:val="78A90480"/>
    <w:rsid w:val="78E85585"/>
    <w:rsid w:val="78F3135F"/>
    <w:rsid w:val="796D2A85"/>
    <w:rsid w:val="7A364017"/>
    <w:rsid w:val="7A3F73FD"/>
    <w:rsid w:val="7A4E1A10"/>
    <w:rsid w:val="7A5F06E1"/>
    <w:rsid w:val="7A8160E2"/>
    <w:rsid w:val="7A8265E1"/>
    <w:rsid w:val="7AEB1CAF"/>
    <w:rsid w:val="7B18614D"/>
    <w:rsid w:val="7B5247A7"/>
    <w:rsid w:val="7B686D42"/>
    <w:rsid w:val="7B841746"/>
    <w:rsid w:val="7C323369"/>
    <w:rsid w:val="7C6C5AC7"/>
    <w:rsid w:val="7CC6544B"/>
    <w:rsid w:val="7CFC19AA"/>
    <w:rsid w:val="7D0239FF"/>
    <w:rsid w:val="7D5E40CD"/>
    <w:rsid w:val="7DCD56F2"/>
    <w:rsid w:val="7DE5648C"/>
    <w:rsid w:val="7E36539E"/>
    <w:rsid w:val="7ED148FF"/>
    <w:rsid w:val="7EEA554C"/>
    <w:rsid w:val="7EFA2F18"/>
    <w:rsid w:val="7F001CE7"/>
    <w:rsid w:val="7F8A0667"/>
    <w:rsid w:val="7FCC3FFA"/>
    <w:rsid w:val="7FE47E50"/>
  </w:rsid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semiHidden="0" w:uiPriority="9"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0" w:uiPriority="0" w:unhideWhenUsed="0"/>
    <w:lsdException w:name="index 2" w:locked="1" w:semiHidden="0" w:uiPriority="0" w:unhideWhenUsed="0"/>
    <w:lsdException w:name="index 3" w:locked="1" w:semiHidden="0" w:uiPriority="0" w:unhideWhenUsed="0"/>
    <w:lsdException w:name="index 4" w:locked="1" w:semiHidden="0" w:uiPriority="0" w:unhideWhenUsed="0"/>
    <w:lsdException w:name="index 5" w:locked="1" w:semiHidden="0" w:uiPriority="0" w:unhideWhenUsed="0"/>
    <w:lsdException w:name="index 6" w:locked="1" w:semiHidden="0" w:uiPriority="0" w:unhideWhenUsed="0"/>
    <w:lsdException w:name="index 7" w:locked="1" w:semiHidden="0" w:uiPriority="0" w:unhideWhenUsed="0"/>
    <w:lsdException w:name="index 8" w:locked="1" w:semiHidden="0" w:uiPriority="0" w:unhideWhenUsed="0"/>
    <w:lsdException w:name="index 9" w:locked="1"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qFormat="1"/>
    <w:lsdException w:name="footnote text" w:locked="1" w:semiHidden="0" w:uiPriority="0" w:unhideWhenUsed="0"/>
    <w:lsdException w:name="annotation text" w:uiPriority="0" w:unhideWhenUsed="0"/>
    <w:lsdException w:name="header" w:semiHidden="0" w:uiPriority="0" w:unhideWhenUsed="0"/>
    <w:lsdException w:name="footer" w:semiHidden="0" w:unhideWhenUsed="0"/>
    <w:lsdException w:name="index heading" w:locked="1" w:semiHidden="0" w:uiPriority="0" w:unhideWhenUsed="0"/>
    <w:lsdException w:name="caption" w:locked="1" w:semiHidden="0" w:uiPriority="0" w:unhideWhenUsed="0" w:qFormat="1"/>
    <w:lsdException w:name="table of figures" w:locked="1" w:semiHidden="0" w:uiPriority="0" w:unhideWhenUsed="0"/>
    <w:lsdException w:name="envelope address" w:locked="1" w:semiHidden="0" w:uiPriority="0" w:unhideWhenUsed="0"/>
    <w:lsdException w:name="envelope return" w:locked="1" w:semiHidden="0" w:uiPriority="0" w:unhideWhenUsed="0"/>
    <w:lsdException w:name="footnote reference" w:locked="1" w:semiHidden="0" w:uiPriority="0" w:unhideWhenUsed="0"/>
    <w:lsdException w:name="annotation reference" w:uiPriority="0" w:unhideWhenUsed="0"/>
    <w:lsdException w:name="line number" w:locked="1" w:semiHidden="0" w:uiPriority="0" w:unhideWhenUsed="0"/>
    <w:lsdException w:name="page number" w:locked="1" w:semiHidden="0" w:uiPriority="0" w:unhideWhenUsed="0"/>
    <w:lsdException w:name="endnote reference" w:locked="1" w:semiHidden="0" w:uiPriority="0" w:unhideWhenUsed="0"/>
    <w:lsdException w:name="endnote text" w:locked="1" w:semiHidden="0" w:uiPriority="0" w:unhideWhenUsed="0"/>
    <w:lsdException w:name="table of authorities" w:locked="1" w:semiHidden="0" w:uiPriority="0" w:unhideWhenUsed="0"/>
    <w:lsdException w:name="macro" w:locked="1" w:semiHidden="0" w:uiPriority="0" w:unhideWhenUsed="0"/>
    <w:lsdException w:name="toa heading" w:locked="1" w:semiHidden="0" w:uiPriority="0" w:unhideWhenUsed="0"/>
    <w:lsdException w:name="List" w:locked="1" w:semiHidden="0" w:uiPriority="0" w:unhideWhenUsed="0"/>
    <w:lsdException w:name="List Bullet" w:locked="1" w:semiHidden="0" w:uiPriority="0" w:unhideWhenUsed="0"/>
    <w:lsdException w:name="List Number" w:locked="1" w:semiHidden="0" w:uiPriority="0" w:unhideWhenUsed="0"/>
    <w:lsdException w:name="List 2" w:locked="1" w:semiHidden="0" w:uiPriority="0" w:unhideWhenUsed="0"/>
    <w:lsdException w:name="List 3" w:locked="1" w:semiHidden="0" w:uiPriority="0" w:unhideWhenUsed="0"/>
    <w:lsdException w:name="List 4" w:locked="1" w:semiHidden="0" w:uiPriority="0" w:unhideWhenUsed="0"/>
    <w:lsdException w:name="List 5" w:locked="1" w:semiHidden="0" w:uiPriority="0" w:unhideWhenUsed="0"/>
    <w:lsdException w:name="List Bullet 2" w:locked="1" w:semiHidden="0" w:uiPriority="0" w:unhideWhenUsed="0"/>
    <w:lsdException w:name="List Bullet 3" w:locked="1" w:semiHidden="0" w:uiPriority="0" w:unhideWhenUsed="0"/>
    <w:lsdException w:name="List Bullet 4" w:locked="1" w:semiHidden="0" w:uiPriority="0" w:unhideWhenUsed="0"/>
    <w:lsdException w:name="List Bullet 5" w:locked="1" w:semiHidden="0" w:uiPriority="0" w:unhideWhenUsed="0"/>
    <w:lsdException w:name="List Number 2" w:locked="1" w:semiHidden="0" w:uiPriority="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Closing" w:locked="1" w:semiHidden="0" w:uiPriority="0" w:unhideWhenUsed="0"/>
    <w:lsdException w:name="Signature" w:locked="1"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locked="1" w:semiHidden="0" w:uiPriority="0" w:unhideWhenUsed="0"/>
    <w:lsdException w:name="List Continue 2" w:locked="1" w:semiHidden="0" w:uiPriority="0" w:unhideWhenUsed="0"/>
    <w:lsdException w:name="List Continue 3" w:locked="1" w:semiHidden="0" w:uiPriority="0" w:unhideWhenUsed="0"/>
    <w:lsdException w:name="List Continue 4" w:locked="1" w:semiHidden="0" w:uiPriority="0" w:unhideWhenUsed="0"/>
    <w:lsdException w:name="List Continue 5" w:locked="1" w:semiHidden="0" w:uiPriority="0" w:unhideWhenUsed="0"/>
    <w:lsdException w:name="Message Header" w:locked="1" w:semiHidden="0" w:uiPriority="0" w:unhideWhenUsed="0"/>
    <w:lsdException w:name="Subtitle" w:locked="1" w:semiHidden="0" w:uiPriority="0" w:unhideWhenUsed="0" w:qFormat="1"/>
    <w:lsdException w:name="Salutation" w:locked="1" w:semiHidden="0" w:uiPriority="0" w:unhideWhenUsed="0"/>
    <w:lsdException w:name="Date" w:semiHidden="0" w:uiPriority="0" w:unhideWhenUsed="0"/>
    <w:lsdException w:name="Body Text First Indent" w:locked="1" w:semiHidden="0" w:qFormat="1"/>
    <w:lsdException w:name="Body Text First Indent 2" w:locked="1" w:semiHidden="0" w:uiPriority="0" w:unhideWhenUsed="0" w:qFormat="1"/>
    <w:lsdException w:name="Note Heading" w:locked="1" w:semiHidden="0" w:uiPriority="0" w:unhideWhenUsed="0"/>
    <w:lsdException w:name="Body Text 2" w:locked="1" w:semiHidden="0" w:uiPriority="0" w:unhideWhenUsed="0"/>
    <w:lsdException w:name="Body Text 3" w:locked="1" w:semiHidden="0" w:uiPriority="0" w:unhideWhenUsed="0"/>
    <w:lsdException w:name="Body Text Indent 2" w:locked="1" w:semiHidden="0" w:uiPriority="0" w:unhideWhenUsed="0"/>
    <w:lsdException w:name="Body Text Indent 3" w:locked="1" w:semiHidden="0" w:uiPriority="0" w:unhideWhenUsed="0"/>
    <w:lsdException w:name="Block Text" w:locked="1" w:semiHidden="0" w:uiPriority="0" w:unhideWhenUsed="0"/>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Document Map" w:locked="1" w:semiHidden="0" w:uiPriority="0" w:unhideWhenUsed="0"/>
    <w:lsdException w:name="Plain Text" w:locked="1" w:semiHidden="0" w:uiPriority="0" w:unhideWhenUsed="0" w:qFormat="1"/>
    <w:lsdException w:name="E-mail Signature" w:locked="1" w:semiHidden="0" w:uiPriority="0" w:unhideWhenUsed="0"/>
    <w:lsdException w:name="Normal (Web)" w:semiHidden="0" w:uiPriority="0" w:unhideWhenUsed="0"/>
    <w:lsdException w:name="HTML Acronym" w:locked="1" w:semiHidden="0" w:uiPriority="0" w:unhideWhenUsed="0"/>
    <w:lsdException w:name="HTML Address" w:locked="1" w:semiHidden="0" w:uiPriority="0" w:unhideWhenUsed="0"/>
    <w:lsdException w:name="HTML Cite" w:locked="1" w:semiHidden="0" w:uiPriority="0" w:unhideWhenUsed="0"/>
    <w:lsdException w:name="HTML Code" w:locked="1" w:semiHidden="0" w:uiPriority="0" w:unhideWhenUsed="0"/>
    <w:lsdException w:name="HTML Definition" w:locked="1" w:semiHidden="0" w:uiPriority="0" w:unhideWhenUsed="0"/>
    <w:lsdException w:name="HTML Keyboard" w:locked="1" w:semiHidden="0" w:uiPriority="0" w:unhideWhenUsed="0"/>
    <w:lsdException w:name="HTML Preformatted" w:locked="1" w:semiHidden="0" w:uiPriority="0" w:unhideWhenUsed="0"/>
    <w:lsdException w:name="HTML Sample" w:locked="1" w:semiHidden="0" w:uiPriority="0" w:unhideWhenUsed="0"/>
    <w:lsdException w:name="HTML Typewriter" w:locked="1" w:semiHidden="0" w:uiPriority="0" w:unhideWhenUsed="0"/>
    <w:lsdException w:name="HTML Variable" w:locked="1" w:semiHidden="0" w:uiPriority="0" w:unhideWhenUsed="0"/>
    <w:lsdException w:name="Normal Table" w:uiPriority="0" w:unhideWhenUsed="0"/>
    <w:lsdException w:name="annotation subject" w:uiPriority="0" w:unhideWhenUsed="0"/>
    <w:lsdException w:name="Table Simple 1" w:locked="1" w:semiHidden="0" w:uiPriority="0" w:unhideWhenUsed="0"/>
    <w:lsdException w:name="Table Simple 2" w:locked="1" w:semiHidden="0" w:uiPriority="0" w:unhideWhenUsed="0"/>
    <w:lsdException w:name="Table Simple 3" w:locked="1" w:semiHidden="0" w:uiPriority="0" w:unhideWhenUsed="0"/>
    <w:lsdException w:name="Table Classic 1" w:locked="1" w:semiHidden="0" w:uiPriority="0" w:unhideWhenUsed="0"/>
    <w:lsdException w:name="Table Classic 2" w:locked="1" w:semiHidden="0" w:uiPriority="0" w:unhideWhenUsed="0"/>
    <w:lsdException w:name="Table Classic 3" w:locked="1" w:semiHidden="0" w:uiPriority="0" w:unhideWhenUsed="0"/>
    <w:lsdException w:name="Table Classic 4" w:locked="1" w:semiHidden="0" w:uiPriority="0" w:unhideWhenUsed="0"/>
    <w:lsdException w:name="Table Colorful 1" w:locked="1" w:semiHidden="0" w:uiPriority="0" w:unhideWhenUsed="0"/>
    <w:lsdException w:name="Table Colorful 2" w:locked="1" w:semiHidden="0" w:uiPriority="0" w:unhideWhenUsed="0"/>
    <w:lsdException w:name="Table Colorful 3" w:locked="1" w:semiHidden="0" w:uiPriority="0" w:unhideWhenUsed="0"/>
    <w:lsdException w:name="Table Columns 1" w:locked="1" w:semiHidden="0" w:uiPriority="0" w:unhideWhenUsed="0"/>
    <w:lsdException w:name="Table Columns 2" w:locked="1" w:semiHidden="0" w:uiPriority="0" w:unhideWhenUsed="0"/>
    <w:lsdException w:name="Table Columns 3" w:locked="1" w:semiHidden="0" w:uiPriority="0" w:unhideWhenUsed="0"/>
    <w:lsdException w:name="Table Columns 4" w:locked="1" w:semiHidden="0" w:uiPriority="0" w:unhideWhenUsed="0"/>
    <w:lsdException w:name="Table Columns 5" w:locked="1" w:semiHidden="0" w:uiPriority="0" w:unhideWhenUsed="0"/>
    <w:lsdException w:name="Table Grid 1" w:locked="1" w:semiHidden="0" w:uiPriority="0" w:unhideWhenUsed="0"/>
    <w:lsdException w:name="Table Grid 2" w:locked="1" w:semiHidden="0" w:uiPriority="0" w:unhideWhenUsed="0"/>
    <w:lsdException w:name="Table Grid 3" w:locked="1" w:semiHidden="0" w:uiPriority="0" w:unhideWhenUsed="0"/>
    <w:lsdException w:name="Table Grid 4" w:locked="1" w:semiHidden="0" w:uiPriority="0" w:unhideWhenUsed="0"/>
    <w:lsdException w:name="Table Grid 5" w:locked="1" w:semiHidden="0" w:uiPriority="0" w:unhideWhenUsed="0"/>
    <w:lsdException w:name="Table Grid 6" w:locked="1" w:semiHidden="0" w:uiPriority="0" w:unhideWhenUsed="0"/>
    <w:lsdException w:name="Table Grid 7" w:locked="1" w:semiHidden="0" w:uiPriority="0" w:unhideWhenUsed="0"/>
    <w:lsdException w:name="Table Grid 8" w:locked="1" w:semiHidden="0" w:uiPriority="0" w:unhideWhenUsed="0"/>
    <w:lsdException w:name="Table List 1" w:locked="1" w:semiHidden="0" w:uiPriority="0" w:unhideWhenUsed="0"/>
    <w:lsdException w:name="Table List 2" w:locked="1" w:semiHidden="0" w:uiPriority="0" w:unhideWhenUsed="0"/>
    <w:lsdException w:name="Table List 3" w:locked="1" w:semiHidden="0" w:uiPriority="0" w:unhideWhenUsed="0"/>
    <w:lsdException w:name="Table List 4" w:locked="1" w:semiHidden="0" w:uiPriority="0" w:unhideWhenUsed="0"/>
    <w:lsdException w:name="Table List 5" w:locked="1" w:semiHidden="0" w:uiPriority="0" w:unhideWhenUsed="0"/>
    <w:lsdException w:name="Table List 6" w:locked="1" w:semiHidden="0" w:uiPriority="0" w:unhideWhenUsed="0"/>
    <w:lsdException w:name="Table List 7" w:locked="1" w:semiHidden="0" w:uiPriority="0" w:unhideWhenUsed="0"/>
    <w:lsdException w:name="Table List 8" w:locked="1" w:semiHidden="0" w:uiPriority="0" w:unhideWhenUsed="0"/>
    <w:lsdException w:name="Table 3D effects 1" w:locked="1" w:semiHidden="0" w:uiPriority="0" w:unhideWhenUsed="0"/>
    <w:lsdException w:name="Table 3D effects 2" w:locked="1" w:semiHidden="0" w:uiPriority="0" w:unhideWhenUsed="0"/>
    <w:lsdException w:name="Table 3D effects 3" w:locked="1" w:semiHidden="0" w:uiPriority="0" w:unhideWhenUsed="0"/>
    <w:lsdException w:name="Table Contemporary" w:locked="1" w:semiHidden="0" w:uiPriority="0" w:unhideWhenUsed="0"/>
    <w:lsdException w:name="Table Elegant" w:locked="1" w:semiHidden="0" w:uiPriority="0" w:unhideWhenUsed="0"/>
    <w:lsdException w:name="Table Professional" w:locked="1" w:semiHidden="0" w:uiPriority="0" w:unhideWhenUsed="0"/>
    <w:lsdException w:name="Table Subtle 1" w:locked="1" w:semiHidden="0" w:uiPriority="0" w:unhideWhenUsed="0"/>
    <w:lsdException w:name="Table Subtle 2" w:locked="1" w:semiHidden="0" w:uiPriority="0" w:unhideWhenUsed="0"/>
    <w:lsdException w:name="Table Web 1" w:locked="1" w:semiHidden="0" w:uiPriority="0" w:unhideWhenUsed="0"/>
    <w:lsdException w:name="Table Web 2" w:locked="1" w:semiHidden="0" w:uiPriority="0" w:unhideWhenUsed="0"/>
    <w:lsdException w:name="Table Web 3" w:locked="1" w:semiHidden="0" w:uiPriority="0" w:unhideWhenUsed="0"/>
    <w:lsdException w:name="Balloon Text" w:uiPriority="0" w:unhideWhenUsed="0"/>
    <w:lsdException w:name="Table Grid" w:semiHidden="0" w:uiPriority="0" w:unhideWhenUsed="0"/>
    <w:lsdException w:name="Table Theme"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Default"/>
    <w:qFormat/>
    <w:pPr>
      <w:widowControl w:val="0"/>
      <w:jc w:val="both"/>
    </w:pPr>
    <w:rPr>
      <w:kern w:val="2"/>
      <w:sz w:val="21"/>
      <w:szCs w:val="24"/>
      <w:lang w:val="en-US" w:eastAsia="zh-CN" w:bidi="ar-SA"/>
    </w:rPr>
  </w:style>
  <w:style w:type="paragraph" w:styleId="Heading1">
    <w:name w:val="heading 1"/>
    <w:basedOn w:val="Normal"/>
    <w:next w:val="Normal"/>
    <w:uiPriority w:val="99"/>
    <w:qFormat/>
    <w:locked/>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Heading2">
    <w:name w:val="heading 2"/>
    <w:basedOn w:val="Normal"/>
    <w:next w:val="Normal"/>
    <w:link w:val="2"/>
    <w:qFormat/>
    <w:locked/>
    <w:pPr>
      <w:keepNext/>
      <w:keepLines/>
      <w:numPr>
        <w:ilvl w:val="1"/>
        <w:numId w:val="1"/>
      </w:numPr>
      <w:ind w:firstLine="0"/>
      <w:outlineLvl w:val="1"/>
    </w:pPr>
    <w:rPr>
      <w:rFonts w:ascii="Arial" w:eastAsia="仿宋_GB2312" w:hAnsi="Arial"/>
      <w:b/>
      <w:sz w:val="30"/>
    </w:rPr>
  </w:style>
  <w:style w:type="paragraph" w:styleId="Heading4">
    <w:name w:val="heading 4"/>
    <w:basedOn w:val="Normal"/>
    <w:next w:val="Normal"/>
    <w:uiPriority w:val="9"/>
    <w:qFormat/>
    <w:locked/>
    <w:pPr>
      <w:spacing w:before="100" w:beforeAutospacing="1" w:after="100" w:afterAutospacing="1"/>
      <w:jc w:val="left"/>
      <w:outlineLvl w:val="3"/>
    </w:pPr>
    <w:rPr>
      <w:rFonts w:ascii="宋体" w:eastAsia="宋体" w:hAnsi="宋体" w:cs="宋体" w:hint="eastAsia"/>
      <w:b/>
      <w:kern w:val="0"/>
      <w:sz w:val="24"/>
      <w:szCs w:val="24"/>
      <w:lang w:val="en-US" w:eastAsia="zh-CN" w:bidi="ar"/>
    </w:rPr>
  </w:style>
  <w:style w:type="character" w:default="1" w:styleId="DefaultParagraphFont">
    <w:name w:val="Default Paragraph Font"/>
    <w:semiHidden/>
  </w:style>
  <w:style w:type="table" w:default="1" w:styleId="TableNormal">
    <w:name w:val="Normal Table"/>
    <w:semiHidden/>
    <w:tblP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style>
  <w:style w:type="character" w:customStyle="1" w:styleId="NormalCharacter">
    <w:name w:val="NormalCharacter"/>
    <w:qFormat/>
    <w:rPr>
      <w:kern w:val="2"/>
      <w:sz w:val="24"/>
      <w:szCs w:val="24"/>
      <w:lang w:val="en-US" w:eastAsia="zh-CN" w:bidi="ar-SA"/>
    </w:rPr>
  </w:style>
  <w:style w:type="character" w:styleId="PageNumber">
    <w:name w:val="page number"/>
    <w:locked/>
  </w:style>
  <w:style w:type="character" w:styleId="Strong">
    <w:name w:val="Strong"/>
    <w:qFormat/>
    <w:locked/>
    <w:rPr>
      <w:b/>
    </w:rPr>
  </w:style>
  <w:style w:type="character" w:customStyle="1" w:styleId="a">
    <w:name w:val="页眉 字符"/>
    <w:link w:val="Header"/>
    <w:locked/>
    <w:rPr>
      <w:sz w:val="18"/>
    </w:rPr>
  </w:style>
  <w:style w:type="character" w:customStyle="1" w:styleId="a0">
    <w:name w:val="日期 字符"/>
    <w:semiHidden/>
    <w:rPr>
      <w:rFonts w:ascii="Times New Roman" w:eastAsia="宋体" w:hAnsi="Times New Roman"/>
      <w:sz w:val="24"/>
    </w:rPr>
  </w:style>
  <w:style w:type="character" w:customStyle="1" w:styleId="a1">
    <w:name w:val="页脚 字符"/>
    <w:uiPriority w:val="99"/>
  </w:style>
  <w:style w:type="character" w:customStyle="1" w:styleId="a2">
    <w:name w:val="批注主题 字符"/>
    <w:link w:val="CommentSubject"/>
    <w:semiHidden/>
    <w:locked/>
    <w:rPr>
      <w:rFonts w:ascii="Times New Roman" w:eastAsia="宋体" w:hAnsi="Times New Roman"/>
      <w:b/>
      <w:kern w:val="2"/>
      <w:sz w:val="24"/>
    </w:rPr>
  </w:style>
  <w:style w:type="character" w:customStyle="1" w:styleId="1">
    <w:name w:val="日期 字符1"/>
    <w:link w:val="Date"/>
    <w:locked/>
    <w:rPr>
      <w:rFonts w:ascii="Times New Roman" w:eastAsia="宋体" w:hAnsi="Times New Roman"/>
      <w:sz w:val="24"/>
    </w:rPr>
  </w:style>
  <w:style w:type="character" w:customStyle="1" w:styleId="a3">
    <w:name w:val="批注文字 字符"/>
    <w:link w:val="CommentText"/>
    <w:locked/>
    <w:rPr>
      <w:rFonts w:ascii="Times New Roman" w:eastAsia="宋体" w:hAnsi="Times New Roman"/>
      <w:sz w:val="24"/>
    </w:rPr>
  </w:style>
  <w:style w:type="character" w:customStyle="1" w:styleId="a4">
    <w:name w:val="正文文本 字符"/>
    <w:link w:val="BodyText"/>
    <w:locked/>
    <w:rPr>
      <w:sz w:val="18"/>
    </w:rPr>
  </w:style>
  <w:style w:type="character" w:customStyle="1" w:styleId="2">
    <w:name w:val="标题 2 字符"/>
    <w:link w:val="Heading2"/>
    <w:rPr>
      <w:rFonts w:ascii="Calibri Light" w:eastAsia="宋体" w:hAnsi="Calibri Light" w:cs="Times New Roman"/>
      <w:b/>
      <w:bCs/>
      <w:kern w:val="2"/>
      <w:sz w:val="32"/>
      <w:szCs w:val="32"/>
    </w:rPr>
  </w:style>
  <w:style w:type="character" w:styleId="Hyperlink">
    <w:name w:val="Hyperlink"/>
    <w:locked/>
    <w:rPr>
      <w:color w:val="0000FF"/>
      <w:u w:val="single"/>
    </w:rPr>
  </w:style>
  <w:style w:type="character" w:customStyle="1" w:styleId="a5">
    <w:name w:val="正文文本缩进 字符"/>
    <w:link w:val="BodyTextIndent"/>
    <w:semiHidden/>
    <w:locked/>
    <w:rPr>
      <w:rFonts w:ascii="Times New Roman" w:eastAsia="宋体" w:hAnsi="Times New Roman"/>
      <w:sz w:val="24"/>
    </w:rPr>
  </w:style>
  <w:style w:type="character" w:styleId="CommentReference">
    <w:name w:val="annotation reference"/>
    <w:semiHidden/>
    <w:rPr>
      <w:sz w:val="21"/>
    </w:rPr>
  </w:style>
  <w:style w:type="character" w:customStyle="1" w:styleId="10">
    <w:name w:val="页脚 字符1"/>
    <w:link w:val="Footer"/>
    <w:uiPriority w:val="99"/>
    <w:locked/>
    <w:rPr>
      <w:sz w:val="18"/>
    </w:rPr>
  </w:style>
  <w:style w:type="character" w:customStyle="1" w:styleId="a6">
    <w:name w:val="批注框文本 字符"/>
    <w:link w:val="BalloonText"/>
    <w:semiHidden/>
    <w:locked/>
    <w:rPr>
      <w:rFonts w:ascii="Times New Roman" w:eastAsia="宋体" w:hAnsi="Times New Roman"/>
      <w:sz w:val="18"/>
    </w:rPr>
  </w:style>
  <w:style w:type="character" w:customStyle="1" w:styleId="11">
    <w:name w:val="批注文字 字符1"/>
    <w:semiHidden/>
    <w:rPr>
      <w:rFonts w:ascii="Times New Roman" w:eastAsia="宋体" w:hAnsi="Times New Roman"/>
      <w:sz w:val="24"/>
    </w:rPr>
  </w:style>
  <w:style w:type="character" w:customStyle="1" w:styleId="12">
    <w:name w:val="正文文本 字符1"/>
    <w:semiHidden/>
    <w:rPr>
      <w:rFonts w:ascii="Times New Roman" w:eastAsia="宋体" w:hAnsi="Times New Roman"/>
      <w:sz w:val="24"/>
    </w:rPr>
  </w:style>
  <w:style w:type="character" w:customStyle="1" w:styleId="a7">
    <w:name w:val="普通(网站) 字符"/>
    <w:link w:val="NormalWeb"/>
    <w:locked/>
    <w:rPr>
      <w:rFonts w:ascii="宋体" w:eastAsia="宋体" w:hAnsi="宋体"/>
      <w:sz w:val="24"/>
    </w:rPr>
  </w:style>
  <w:style w:type="character" w:customStyle="1" w:styleId="Char">
    <w:name w:val="表格 Char"/>
    <w:link w:val="a18"/>
    <w:locked/>
    <w:rPr>
      <w:rFonts w:ascii="宋体"/>
      <w:sz w:val="21"/>
    </w:rPr>
  </w:style>
  <w:style w:type="character" w:customStyle="1" w:styleId="unnamed11">
    <w:name w:val="unnamed11"/>
    <w:qFormat/>
    <w:rPr>
      <w:sz w:val="21"/>
    </w:rPr>
  </w:style>
  <w:style w:type="character" w:customStyle="1" w:styleId="4CharChar">
    <w:name w:val="4正文 Char Char"/>
    <w:link w:val="4"/>
    <w:qFormat/>
    <w:rPr>
      <w:rFonts w:hint="eastAsia"/>
      <w:kern w:val="0"/>
      <w:sz w:val="20"/>
      <w:szCs w:val="24"/>
    </w:rPr>
  </w:style>
  <w:style w:type="paragraph" w:styleId="BodyText">
    <w:name w:val="Body Text"/>
    <w:basedOn w:val="Normal"/>
    <w:link w:val="a4"/>
    <w:pPr>
      <w:widowControl/>
      <w:snapToGrid w:val="0"/>
      <w:spacing w:before="60" w:after="160" w:line="259" w:lineRule="auto"/>
      <w:ind w:right="113"/>
    </w:pPr>
    <w:rPr>
      <w:kern w:val="0"/>
      <w:sz w:val="18"/>
      <w:szCs w:val="20"/>
    </w:rPr>
  </w:style>
  <w:style w:type="paragraph" w:styleId="BalloonText">
    <w:name w:val="Balloon Text"/>
    <w:basedOn w:val="Normal"/>
    <w:link w:val="a6"/>
    <w:semiHidden/>
    <w:rPr>
      <w:kern w:val="0"/>
      <w:sz w:val="18"/>
      <w:szCs w:val="20"/>
    </w:rPr>
  </w:style>
  <w:style w:type="paragraph" w:styleId="CommentText">
    <w:name w:val="annotation text"/>
    <w:basedOn w:val="Normal"/>
    <w:link w:val="a3"/>
    <w:semiHidden/>
    <w:pPr>
      <w:jc w:val="left"/>
    </w:pPr>
    <w:rPr>
      <w:kern w:val="0"/>
      <w:sz w:val="24"/>
      <w:szCs w:val="20"/>
    </w:rPr>
  </w:style>
  <w:style w:type="paragraph" w:styleId="BodyTextIndent">
    <w:name w:val="Body Text Indent"/>
    <w:basedOn w:val="Normal"/>
    <w:link w:val="a5"/>
    <w:pPr>
      <w:spacing w:after="120"/>
      <w:ind w:left="420" w:leftChars="200"/>
    </w:pPr>
    <w:rPr>
      <w:kern w:val="0"/>
      <w:sz w:val="24"/>
      <w:szCs w:val="20"/>
    </w:rPr>
  </w:style>
  <w:style w:type="paragraph" w:styleId="Caption">
    <w:name w:val="caption"/>
    <w:basedOn w:val="Normal"/>
    <w:next w:val="Normal"/>
    <w:qFormat/>
    <w:locked/>
    <w:pPr>
      <w:spacing w:before="152" w:after="160"/>
    </w:pPr>
    <w:rPr>
      <w:rFonts w:ascii="Arial" w:eastAsia="黑体" w:hAnsi="Arial" w:cs="Arial"/>
      <w:sz w:val="20"/>
    </w:rPr>
  </w:style>
  <w:style w:type="paragraph" w:styleId="Date">
    <w:name w:val="Date"/>
    <w:basedOn w:val="Normal"/>
    <w:next w:val="Normal"/>
    <w:link w:val="1"/>
    <w:pPr>
      <w:ind w:left="100" w:leftChars="2500"/>
    </w:pPr>
    <w:rPr>
      <w:kern w:val="0"/>
      <w:sz w:val="24"/>
      <w:szCs w:val="20"/>
    </w:rPr>
  </w:style>
  <w:style w:type="paragraph" w:styleId="PlainText">
    <w:name w:val="Plain Text"/>
    <w:basedOn w:val="Normal"/>
    <w:qFormat/>
    <w:locked/>
    <w:rPr>
      <w:rFonts w:ascii="宋体" w:hAnsi="Courier New"/>
      <w:sz w:val="20"/>
      <w:szCs w:val="20"/>
    </w:rPr>
  </w:style>
  <w:style w:type="paragraph" w:styleId="NormalIndent">
    <w:name w:val="Normal Indent"/>
    <w:basedOn w:val="Normal"/>
    <w:next w:val="Normal"/>
    <w:qFormat/>
    <w:locked/>
    <w:pPr>
      <w:ind w:firstLine="420" w:firstLineChars="200"/>
    </w:pPr>
  </w:style>
  <w:style w:type="paragraph" w:styleId="Header">
    <w:name w:val="header"/>
    <w:basedOn w:val="Normal"/>
    <w:link w:val="a"/>
    <w:pPr>
      <w:pBdr>
        <w:bottom w:val="single" w:sz="6" w:space="1" w:color="auto"/>
      </w:pBdr>
      <w:tabs>
        <w:tab w:val="center" w:pos="4153"/>
        <w:tab w:val="right" w:pos="8306"/>
      </w:tabs>
      <w:snapToGrid w:val="0"/>
      <w:jc w:val="center"/>
    </w:pPr>
    <w:rPr>
      <w:kern w:val="0"/>
      <w:sz w:val="18"/>
      <w:szCs w:val="20"/>
    </w:rPr>
  </w:style>
  <w:style w:type="paragraph" w:customStyle="1" w:styleId="21">
    <w:name w:val="中等深浅网格 21"/>
    <w:basedOn w:val="Normal"/>
    <w:next w:val="Normal"/>
    <w:qFormat/>
    <w:pPr>
      <w:jc w:val="center"/>
    </w:pPr>
  </w:style>
  <w:style w:type="paragraph" w:customStyle="1" w:styleId="a8">
    <w:name w:val="表格文字"/>
    <w:qFormat/>
    <w:pPr>
      <w:snapToGrid w:val="0"/>
      <w:jc w:val="both"/>
    </w:pPr>
    <w:rPr>
      <w:rFonts w:ascii="宋体" w:hAnsi="宋体"/>
      <w:sz w:val="21"/>
      <w:lang w:val="en-US" w:eastAsia="zh-CN" w:bidi="ar-SA"/>
    </w:rPr>
  </w:style>
  <w:style w:type="paragraph" w:customStyle="1" w:styleId="a9">
    <w:name w:val="表头样式"/>
    <w:basedOn w:val="BodyText"/>
    <w:qFormat/>
    <w:pPr>
      <w:widowControl w:val="0"/>
      <w:adjustRightInd w:val="0"/>
      <w:spacing w:before="0" w:after="0" w:line="240" w:lineRule="auto"/>
      <w:ind w:left="420" w:right="0" w:hanging="420"/>
      <w:jc w:val="center"/>
    </w:pPr>
    <w:rPr>
      <w:b/>
      <w:sz w:val="21"/>
      <w:szCs w:val="21"/>
    </w:rPr>
  </w:style>
  <w:style w:type="paragraph" w:customStyle="1" w:styleId="20">
    <w:name w:val="普通(网站)2"/>
    <w:basedOn w:val="Normal"/>
    <w:pPr>
      <w:widowControl/>
      <w:spacing w:before="100" w:beforeAutospacing="1" w:after="100" w:afterAutospacing="1"/>
      <w:jc w:val="left"/>
    </w:pPr>
    <w:rPr>
      <w:rFonts w:ascii="宋体" w:hAnsi="宋体"/>
      <w:sz w:val="24"/>
      <w:szCs w:val="20"/>
    </w:rPr>
  </w:style>
  <w:style w:type="paragraph" w:customStyle="1" w:styleId="Default">
    <w:name w:val="Default"/>
    <w:qFormat/>
    <w:pPr>
      <w:widowControl w:val="0"/>
      <w:autoSpaceDE w:val="0"/>
      <w:autoSpaceDN w:val="0"/>
      <w:adjustRightInd w:val="0"/>
    </w:pPr>
    <w:rPr>
      <w:rFonts w:ascii="宋体" w:cs="宋体"/>
      <w:color w:val="000000"/>
      <w:sz w:val="24"/>
      <w:szCs w:val="24"/>
      <w:lang w:val="en-US" w:eastAsia="zh-CN" w:bidi="ar-SA"/>
    </w:rPr>
  </w:style>
  <w:style w:type="paragraph" w:customStyle="1" w:styleId="100">
    <w:name w:val="正文_10"/>
    <w:pPr>
      <w:widowControl w:val="0"/>
      <w:jc w:val="both"/>
    </w:pPr>
    <w:rPr>
      <w:kern w:val="2"/>
      <w:sz w:val="21"/>
      <w:szCs w:val="22"/>
      <w:lang w:val="en-US" w:eastAsia="zh-CN" w:bidi="ar-SA"/>
    </w:rPr>
  </w:style>
  <w:style w:type="paragraph" w:customStyle="1" w:styleId="Heading11">
    <w:name w:val="Heading #1|1"/>
    <w:basedOn w:val="Normal"/>
    <w:qFormat/>
    <w:pPr>
      <w:widowControl w:val="0"/>
      <w:shd w:val="clear" w:color="auto" w:fill="auto"/>
      <w:spacing w:before="1480" w:after="280"/>
      <w:jc w:val="center"/>
      <w:outlineLvl w:val="0"/>
    </w:pPr>
    <w:rPr>
      <w:rFonts w:ascii="宋体" w:eastAsia="宋体" w:hAnsi="宋体" w:cs="宋体"/>
      <w:sz w:val="40"/>
      <w:szCs w:val="40"/>
      <w:u w:val="none"/>
      <w:shd w:val="clear" w:color="auto" w:fill="auto"/>
      <w:lang w:val="zh-TW" w:eastAsia="zh-TW" w:bidi="zh-TW"/>
    </w:rPr>
  </w:style>
  <w:style w:type="paragraph" w:customStyle="1" w:styleId="a10">
    <w:name w:val="表格内"/>
    <w:basedOn w:val="Normal"/>
    <w:qFormat/>
    <w:pPr>
      <w:jc w:val="center"/>
    </w:pPr>
  </w:style>
  <w:style w:type="paragraph" w:customStyle="1" w:styleId="a11">
    <w:name w:val="表格内容"/>
    <w:basedOn w:val="Normal"/>
    <w:qFormat/>
    <w:pPr>
      <w:ind w:left="-17" w:right="-86" w:leftChars="-7" w:rightChars="-36"/>
      <w:jc w:val="left"/>
    </w:pPr>
    <w:rPr>
      <w:bCs/>
      <w:szCs w:val="21"/>
    </w:rPr>
  </w:style>
  <w:style w:type="paragraph" w:customStyle="1" w:styleId="a12">
    <w:name w:val="..正文"/>
    <w:qFormat/>
    <w:pPr>
      <w:spacing w:line="480" w:lineRule="exact"/>
      <w:ind w:firstLine="200" w:firstLineChars="200"/>
      <w:jc w:val="both"/>
    </w:pPr>
    <w:rPr>
      <w:sz w:val="24"/>
      <w:szCs w:val="24"/>
      <w:lang w:val="en-US" w:eastAsia="zh-CN" w:bidi="ar-SA"/>
    </w:rPr>
  </w:style>
  <w:style w:type="paragraph" w:styleId="Footer">
    <w:name w:val="footer"/>
    <w:basedOn w:val="Normal"/>
    <w:link w:val="10"/>
    <w:uiPriority w:val="99"/>
    <w:pPr>
      <w:tabs>
        <w:tab w:val="center" w:pos="4153"/>
        <w:tab w:val="right" w:pos="8306"/>
      </w:tabs>
      <w:snapToGrid w:val="0"/>
      <w:jc w:val="left"/>
    </w:pPr>
    <w:rPr>
      <w:kern w:val="0"/>
      <w:sz w:val="18"/>
      <w:szCs w:val="20"/>
    </w:rPr>
  </w:style>
  <w:style w:type="paragraph" w:customStyle="1" w:styleId="p0">
    <w:name w:val="p0"/>
    <w:qFormat/>
    <w:rPr>
      <w:szCs w:val="21"/>
      <w:lang w:val="en-US" w:eastAsia="zh-CN" w:bidi="ar-SA"/>
    </w:rPr>
  </w:style>
  <w:style w:type="paragraph" w:customStyle="1" w:styleId="a13">
    <w:name w:val="段落"/>
    <w:basedOn w:val="Normal"/>
    <w:qFormat/>
    <w:pPr>
      <w:spacing w:line="500" w:lineRule="exact"/>
      <w:ind w:firstLine="200" w:firstLineChars="200"/>
    </w:pPr>
    <w:rPr>
      <w:spacing w:val="10"/>
    </w:rPr>
  </w:style>
  <w:style w:type="paragraph" w:styleId="NormalWeb">
    <w:name w:val="Normal (Web)"/>
    <w:basedOn w:val="Normal"/>
    <w:link w:val="a7"/>
    <w:pPr>
      <w:widowControl/>
      <w:spacing w:before="100" w:beforeAutospacing="1" w:after="100" w:afterAutospacing="1"/>
      <w:jc w:val="left"/>
    </w:pPr>
    <w:rPr>
      <w:rFonts w:ascii="宋体" w:hAnsi="宋体"/>
      <w:kern w:val="0"/>
      <w:sz w:val="24"/>
      <w:szCs w:val="20"/>
    </w:rPr>
  </w:style>
  <w:style w:type="paragraph" w:customStyle="1" w:styleId="TableParagraph">
    <w:name w:val="Table Paragraph"/>
    <w:basedOn w:val="Normal"/>
    <w:uiPriority w:val="1"/>
    <w:qFormat/>
    <w:pPr>
      <w:autoSpaceDE w:val="0"/>
      <w:autoSpaceDN w:val="0"/>
      <w:adjustRightInd w:val="0"/>
      <w:jc w:val="left"/>
    </w:pPr>
    <w:rPr>
      <w:kern w:val="0"/>
      <w:sz w:val="24"/>
    </w:rPr>
  </w:style>
  <w:style w:type="paragraph" w:styleId="BodyTextFirstIndent">
    <w:name w:val="Body Text First Indent"/>
    <w:basedOn w:val="BodyText"/>
    <w:uiPriority w:val="99"/>
    <w:unhideWhenUsed/>
    <w:qFormat/>
    <w:locked/>
  </w:style>
  <w:style w:type="paragraph" w:styleId="CommentSubject">
    <w:name w:val="annotation subject"/>
    <w:basedOn w:val="CommentText"/>
    <w:next w:val="CommentText"/>
    <w:link w:val="a2"/>
    <w:semiHidden/>
    <w:rPr>
      <w:b/>
      <w:kern w:val="2"/>
    </w:rPr>
  </w:style>
  <w:style w:type="paragraph" w:customStyle="1" w:styleId="22">
    <w:name w:val="样式 首行缩进:  2 字符"/>
    <w:basedOn w:val="Normal"/>
    <w:qFormat/>
    <w:pPr>
      <w:spacing w:line="360" w:lineRule="auto"/>
      <w:ind w:firstLine="480" w:firstLineChars="200"/>
    </w:pPr>
    <w:rPr>
      <w:rFonts w:cs="宋体"/>
      <w:sz w:val="24"/>
      <w:szCs w:val="20"/>
    </w:rPr>
  </w:style>
  <w:style w:type="paragraph" w:styleId="BodyTextFirstIndent2">
    <w:name w:val="Body Text First Indent 2"/>
    <w:basedOn w:val="BodyTextIndent"/>
    <w:next w:val="Normal"/>
    <w:qFormat/>
    <w:locked/>
    <w:pPr>
      <w:spacing w:after="120" w:line="240" w:lineRule="auto"/>
      <w:ind w:left="420" w:firstLine="420" w:leftChars="200" w:firstLineChars="200"/>
    </w:pPr>
    <w:rPr>
      <w:rFonts w:ascii="Times New Roman" w:eastAsia="宋体"/>
      <w:sz w:val="21"/>
      <w:szCs w:val="24"/>
    </w:rPr>
  </w:style>
  <w:style w:type="paragraph" w:customStyle="1" w:styleId="a14">
    <w:name w:val="环评正文"/>
    <w:basedOn w:val="Normal"/>
    <w:qFormat/>
    <w:pPr>
      <w:autoSpaceDE w:val="0"/>
      <w:autoSpaceDN w:val="0"/>
      <w:adjustRightInd w:val="0"/>
      <w:snapToGrid w:val="0"/>
      <w:spacing w:line="360" w:lineRule="auto"/>
      <w:ind w:firstLine="200" w:firstLineChars="200"/>
      <w:jc w:val="left"/>
    </w:pPr>
    <w:rPr>
      <w:kern w:val="0"/>
      <w:sz w:val="24"/>
    </w:rPr>
  </w:style>
  <w:style w:type="paragraph" w:customStyle="1" w:styleId="a15">
    <w:name w:val="表头"/>
    <w:basedOn w:val="NormalIndent"/>
    <w:qFormat/>
    <w:pPr>
      <w:numPr>
        <w:ilvl w:val="0"/>
        <w:numId w:val="2"/>
      </w:numPr>
      <w:adjustRightInd w:val="0"/>
      <w:snapToGrid w:val="0"/>
      <w:jc w:val="center"/>
    </w:pPr>
    <w:rPr>
      <w:b/>
      <w:color w:val="000000"/>
      <w:szCs w:val="21"/>
    </w:rPr>
  </w:style>
  <w:style w:type="paragraph" w:customStyle="1" w:styleId="cjk">
    <w:name w:val="cjk"/>
    <w:basedOn w:val="Normal"/>
    <w:qFormat/>
    <w:pPr>
      <w:jc w:val="left"/>
    </w:pPr>
    <w:rPr>
      <w:rFonts w:ascii="宋体" w:eastAsia="宋体" w:hAnsi="宋体" w:cs="宋体" w:hint="eastAsia"/>
      <w:kern w:val="0"/>
      <w:sz w:val="18"/>
      <w:szCs w:val="18"/>
      <w:lang w:val="en-US" w:eastAsia="zh-CN" w:bidi="ar"/>
    </w:rPr>
  </w:style>
  <w:style w:type="paragraph" w:customStyle="1" w:styleId="a16">
    <w:name w:val="图表题"/>
    <w:basedOn w:val="Normal"/>
    <w:next w:val="Normal"/>
    <w:qFormat/>
    <w:pPr>
      <w:adjustRightInd w:val="0"/>
      <w:snapToGrid w:val="0"/>
      <w:spacing w:line="360" w:lineRule="auto"/>
      <w:jc w:val="center"/>
    </w:pPr>
    <w:rPr>
      <w:rFonts w:eastAsia="黑体"/>
      <w:sz w:val="24"/>
      <w:szCs w:val="20"/>
    </w:rPr>
  </w:style>
  <w:style w:type="paragraph" w:customStyle="1" w:styleId="a17">
    <w:name w:val="表格标题样式"/>
    <w:basedOn w:val="Normal"/>
    <w:qFormat/>
    <w:pPr>
      <w:numPr>
        <w:ilvl w:val="0"/>
        <w:numId w:val="2"/>
      </w:numPr>
      <w:adjustRightInd w:val="0"/>
      <w:snapToGrid w:val="0"/>
      <w:jc w:val="center"/>
    </w:pPr>
    <w:rPr>
      <w:b/>
      <w:color w:val="000000"/>
      <w:szCs w:val="21"/>
    </w:rPr>
  </w:style>
  <w:style w:type="paragraph" w:customStyle="1" w:styleId="4">
    <w:name w:val="4正文"/>
    <w:basedOn w:val="Normal"/>
    <w:link w:val="4CharChar"/>
    <w:qFormat/>
    <w:pPr>
      <w:ind w:firstLine="480"/>
    </w:pPr>
    <w:rPr>
      <w:rFonts w:hint="eastAsia"/>
      <w:kern w:val="0"/>
      <w:sz w:val="20"/>
    </w:rPr>
  </w:style>
  <w:style w:type="paragraph" w:customStyle="1" w:styleId="Headerorfooter1">
    <w:name w:val="Header or footer|1"/>
    <w:basedOn w:val="Normal"/>
    <w:pPr>
      <w:widowControl w:val="0"/>
      <w:shd w:val="clear" w:color="auto" w:fill="auto"/>
    </w:pPr>
    <w:rPr>
      <w:sz w:val="26"/>
      <w:szCs w:val="26"/>
      <w:u w:val="none"/>
      <w:shd w:val="clear" w:color="auto" w:fill="auto"/>
      <w:lang w:val="zh-TW" w:eastAsia="zh-TW" w:bidi="zh-TW"/>
    </w:rPr>
  </w:style>
  <w:style w:type="paragraph" w:customStyle="1" w:styleId="a18">
    <w:name w:val="表格"/>
    <w:basedOn w:val="Normal"/>
    <w:next w:val="Normal"/>
    <w:link w:val="Char"/>
    <w:pPr>
      <w:adjustRightInd w:val="0"/>
      <w:snapToGrid w:val="0"/>
      <w:spacing w:beforeLines="10" w:afterLines="10" w:line="259" w:lineRule="auto"/>
      <w:jc w:val="center"/>
    </w:pPr>
    <w:rPr>
      <w:rFonts w:ascii="宋体"/>
      <w:kern w:val="0"/>
      <w:szCs w:val="20"/>
    </w:rPr>
  </w:style>
  <w:style w:type="paragraph" w:customStyle="1" w:styleId="001">
    <w:name w:val="正文001"/>
    <w:basedOn w:val="Normal"/>
    <w:qFormat/>
    <w:pPr>
      <w:spacing w:line="360" w:lineRule="auto"/>
      <w:ind w:firstLine="482"/>
    </w:pPr>
    <w:rPr>
      <w:sz w:val="24"/>
      <w:szCs w:val="22"/>
    </w:rPr>
  </w:style>
  <w:style w:type="paragraph" w:customStyle="1" w:styleId="23">
    <w:name w:val="目录2"/>
    <w:basedOn w:val="Normal"/>
    <w:next w:val="Normal"/>
    <w:qFormat/>
    <w:pPr>
      <w:tabs>
        <w:tab w:val="left" w:leader="dot" w:pos="8503"/>
      </w:tabs>
      <w:autoSpaceDE w:val="0"/>
      <w:autoSpaceDN w:val="0"/>
      <w:adjustRightInd w:val="0"/>
      <w:spacing w:line="317" w:lineRule="atLeast"/>
      <w:ind w:left="419" w:firstLine="419"/>
    </w:pPr>
    <w:rPr>
      <w:color w:val="000000"/>
      <w:kern w:val="0"/>
      <w:lang w:val="zh-CN"/>
    </w:rPr>
  </w:style>
  <w:style w:type="paragraph" w:customStyle="1" w:styleId="13">
    <w:name w:val="1_正文"/>
    <w:basedOn w:val="Normal"/>
    <w:qFormat/>
    <w:pPr>
      <w:adjustRightInd w:val="0"/>
      <w:snapToGrid w:val="0"/>
      <w:spacing w:line="360" w:lineRule="auto"/>
      <w:ind w:firstLine="480" w:firstLineChars="200"/>
    </w:pPr>
    <w:rPr>
      <w:color w:val="000000"/>
      <w:sz w:val="24"/>
      <w:szCs w:val="21"/>
    </w:rPr>
  </w:style>
  <w:style w:type="paragraph" w:customStyle="1" w:styleId="a19">
    <w:name w:val="正文样式"/>
    <w:basedOn w:val="Normal"/>
    <w:qFormat/>
    <w:pPr>
      <w:spacing w:line="460" w:lineRule="exact"/>
      <w:ind w:firstLine="200" w:firstLineChars="200"/>
    </w:pPr>
    <w:rPr>
      <w:rFonts w:ascii="宋体" w:hAnsi="宋体"/>
      <w:sz w:val="24"/>
    </w:rPr>
  </w:style>
  <w:style w:type="paragraph" w:customStyle="1" w:styleId="Bodytext1">
    <w:name w:val="Body text|1"/>
    <w:basedOn w:val="Normal"/>
    <w:pPr>
      <w:widowControl w:val="0"/>
      <w:shd w:val="clear" w:color="auto" w:fill="auto"/>
      <w:spacing w:line="449" w:lineRule="auto"/>
      <w:ind w:firstLine="400"/>
    </w:pPr>
    <w:rPr>
      <w:rFonts w:ascii="宋体" w:eastAsia="宋体" w:hAnsi="宋体" w:cs="宋体"/>
      <w:sz w:val="28"/>
      <w:szCs w:val="28"/>
      <w:u w:val="none"/>
      <w:shd w:val="clear" w:color="auto" w:fill="auto"/>
      <w:lang w:val="zh-TW" w:eastAsia="zh-TW" w:bidi="zh-TW"/>
    </w:rPr>
  </w:style>
  <w:style w:type="table" w:styleId="TableGrid">
    <w:name w:val="Table Grid"/>
    <w:basedOn w:val="TableNormal"/>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hyperlink" Target="https://d.book118.com/378000143137006046" TargetMode="External" /><Relationship Id="rId12" Type="http://schemas.openxmlformats.org/officeDocument/2006/relationships/footer" Target="footer8.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_rels/fontTable.xml.rels><?xml version="1.0" encoding="utf-8" standalone="yes"?><Relationships xmlns="http://schemas.openxmlformats.org/package/2006/relationships"><Relationship Id="rId1" Type="http://schemas.openxmlformats.org/officeDocument/2006/relationships/font" Target="fonts/font1.odttf" /><Relationship Id="rId2" Type="http://schemas.openxmlformats.org/officeDocument/2006/relationships/font" Target="fonts/font2.odttf" /><Relationship Id="rId3" Type="http://schemas.openxmlformats.org/officeDocument/2006/relationships/font" Target="fonts/font3.odttf" /><Relationship Id="rId4" Type="http://schemas.openxmlformats.org/officeDocument/2006/relationships/font" Target="fonts/font4.odttf" /></Relationships>
</file>

<file path=word/_rels/settings.xml.rels><?xml version="1.0" encoding="utf-8" standalone="yes"?><Relationships xmlns="http://schemas.openxmlformats.org/package/2006/relationships"><Relationship Id="rId1" Type="http://schemas.openxmlformats.org/officeDocument/2006/relationships/attachedTemplate" Target="file:///c:\dsoa\wdzx97.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wdzx97</Template>
  <TotalTime>157270560</TotalTime>
  <Pages>10</Pages>
  <Words>22514</Words>
  <Characters>26376</Characters>
  <Application>Microsoft Office Word</Application>
  <DocSecurity>0</DocSecurity>
  <Lines>224</Lines>
  <Paragraphs>63</Paragraphs>
  <ScaleCrop>false</ScaleCrop>
  <Company>微软中国</Company>
  <LinksUpToDate>false</LinksUpToDate>
  <CharactersWithSpaces>26617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lhj</dc:creator>
  <cp:lastModifiedBy>WPS_1559717548</cp:lastModifiedBy>
  <cp:revision>2</cp:revision>
  <cp:lastPrinted>2021-04-21T03:53:00Z</cp:lastPrinted>
  <dcterms:created xsi:type="dcterms:W3CDTF">2021-12-09T08:58:00Z</dcterms:created>
  <dcterms:modified xsi:type="dcterms:W3CDTF">2024-03-18T07:30:55Z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50871A5AAD4E47B5805060638AC40157</vt:lpwstr>
  </property>
  <property fmtid="{D5CDD505-2E9C-101B-9397-08002B2CF9AE}" pid="3" name="KSOProductBuildVer">
    <vt:lpwstr>2052-11.1.0.10009</vt:lpwstr>
  </property>
</Properties>
</file>