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spacing w:before="195" w:line="248" w:lineRule="auto"/>
        <w:ind w:left="4177" w:right="559" w:hanging="25"/>
        <w:outlineLvl w:val="0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2700">
            <w14:solidFill>
              <w14:srgbClr w14:val="000000"/>
            </w14:solidFill>
            <w14:miter w14:lim="10"/>
          </w14:textOutline>
        </w:rPr>
        <w:t>标准化厂房建设工程可行性研</w:t>
      </w:r>
      <w:r>
        <w:rPr>
          <w:rFonts w:ascii="SimSun" w:eastAsia="SimSun" w:hAnsi="SimSun" w:cs="SimSun"/>
          <w:spacing w:val="1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11"/>
          <w:sz w:val="60"/>
          <w:szCs w:val="60"/>
          <w14:textOutline w14:w="12700">
            <w14:solidFill>
              <w14:srgbClr w14:val="000000"/>
            </w14:solidFill>
            <w14:miter w14:lim="10"/>
          </w14:textOutline>
        </w:rPr>
        <w:t>究报告</w:t>
      </w:r>
    </w:p>
    <w:p>
      <w:pPr>
        <w:spacing w:line="248" w:lineRule="auto"/>
        <w:rPr>
          <w:rFonts w:ascii="SimSun" w:eastAsia="SimSun" w:hAnsi="SimSun" w:cs="SimSun"/>
          <w:sz w:val="60"/>
          <w:szCs w:val="60"/>
        </w:rPr>
        <w:sectPr>
          <w:pgSz w:w="17860" w:h="25258"/>
          <w:pgMar w:top="2146" w:right="2678" w:bottom="0" w:left="2678" w:header="0" w:footer="0" w:gutter="0"/>
          <w:cols w:space="708"/>
        </w:sectPr>
      </w:pPr>
    </w:p>
    <w:p>
      <w:pPr>
        <w:pStyle w:val="BodyText"/>
        <w:spacing w:line="301" w:lineRule="auto"/>
      </w:pPr>
    </w:p>
    <w:p>
      <w:pPr>
        <w:pStyle w:val="BodyText"/>
        <w:spacing w:line="302" w:lineRule="auto"/>
      </w:pPr>
    </w:p>
    <w:p>
      <w:pPr>
        <w:spacing w:before="180" w:line="187" w:lineRule="auto"/>
        <w:ind w:left="480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第一章</w:t>
      </w:r>
      <w:r>
        <w:rPr>
          <w:rFonts w:ascii="Microsoft YaHei" w:eastAsia="Microsoft YaHei" w:hAnsi="Microsoft YaHei" w:cs="Microsoft YaHei"/>
          <w:b/>
          <w:bCs/>
          <w:spacing w:val="15"/>
          <w:sz w:val="42"/>
          <w:szCs w:val="42"/>
        </w:rPr>
        <w:t xml:space="preserve">      </w:t>
      </w:r>
      <w:r>
        <w:rPr>
          <w:rFonts w:ascii="Microsoft YaHei" w:eastAsia="Microsoft YaHei" w:hAnsi="Microsoft YaHei" w:cs="Microsoft YaHei"/>
          <w:b/>
          <w:bCs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总论</w:t>
      </w:r>
    </w:p>
    <w:p>
      <w:pPr>
        <w:pStyle w:val="BodyText"/>
        <w:spacing w:line="280" w:lineRule="auto"/>
      </w:pPr>
    </w:p>
    <w:p>
      <w:pPr>
        <w:pStyle w:val="BodyText"/>
        <w:spacing w:line="280" w:lineRule="auto"/>
      </w:pPr>
    </w:p>
    <w:p>
      <w:pPr>
        <w:pStyle w:val="BodyText"/>
        <w:spacing w:line="281" w:lineRule="auto"/>
      </w:pPr>
    </w:p>
    <w:p>
      <w:pPr>
        <w:pStyle w:val="BodyText"/>
        <w:spacing w:line="281" w:lineRule="auto"/>
      </w:pPr>
    </w:p>
    <w:p>
      <w:pPr>
        <w:spacing w:before="180" w:line="187" w:lineRule="auto"/>
        <w:ind w:left="922"/>
        <w:outlineLvl w:val="0"/>
        <w:rPr>
          <w:rFonts w:ascii="Microsoft YaHei" w:eastAsia="Microsoft YaHei" w:hAnsi="Microsoft YaHei" w:cs="Microsoft YaHei"/>
          <w:sz w:val="42"/>
          <w:szCs w:val="42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17398</wp:posOffset>
            </wp:positionH>
            <wp:positionV relativeFrom="paragraph">
              <wp:posOffset>47759</wp:posOffset>
            </wp:positionV>
            <wp:extent cx="7924622" cy="9689862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24622" cy="968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b/>
          <w:bCs/>
          <w:spacing w:val="-7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1.1</w:t>
      </w:r>
      <w:r>
        <w:rPr>
          <w:rFonts w:ascii="Microsoft YaHei" w:eastAsia="Microsoft YaHei" w:hAnsi="Microsoft YaHei" w:cs="Microsoft YaHei"/>
          <w:b/>
          <w:bCs/>
          <w:spacing w:val="-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7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工程名称</w:t>
      </w:r>
    </w:p>
    <w:p>
      <w:pPr>
        <w:spacing w:before="374" w:line="187" w:lineRule="auto"/>
        <w:ind w:left="89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湖南平江工业园标准化厂房建设工程</w:t>
      </w:r>
    </w:p>
    <w:p>
      <w:pPr>
        <w:spacing w:before="375" w:line="186" w:lineRule="auto"/>
        <w:ind w:left="92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-2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1.2</w:t>
      </w:r>
      <w:r>
        <w:rPr>
          <w:rFonts w:ascii="Microsoft YaHei" w:eastAsia="Microsoft YaHei" w:hAnsi="Microsoft YaHei" w:cs="Microsoft YaHei"/>
          <w:b/>
          <w:bCs/>
          <w:spacing w:val="-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2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可行性争论报告编制单位及法人代表</w:t>
      </w:r>
    </w:p>
    <w:p>
      <w:pPr>
        <w:spacing w:before="377" w:line="936" w:lineRule="exact"/>
        <w:ind w:left="89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1"/>
          <w:position w:val="39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可行性争论报告编制单位：北京中天元工程设计</w:t>
      </w:r>
      <w:r>
        <w:rPr>
          <w:rFonts w:ascii="Microsoft YaHei" w:eastAsia="Microsoft YaHei" w:hAnsi="Microsoft YaHei" w:cs="Microsoft YaHei"/>
          <w:b/>
          <w:bCs/>
          <w:position w:val="39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有限责任公司</w:t>
      </w:r>
    </w:p>
    <w:p>
      <w:pPr>
        <w:spacing w:line="187" w:lineRule="auto"/>
        <w:ind w:left="89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工程询问资格等级：甲级</w:t>
      </w:r>
    </w:p>
    <w:p>
      <w:pPr>
        <w:spacing w:before="374" w:line="936" w:lineRule="exact"/>
        <w:ind w:left="89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position w:val="39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工程询问资格发证机关：国家进展和改革委员会</w:t>
      </w:r>
    </w:p>
    <w:p>
      <w:pPr>
        <w:spacing w:before="1" w:line="187" w:lineRule="auto"/>
        <w:ind w:left="89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-1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工程询问资格证书编号：工咨甲</w:t>
      </w:r>
      <w:r>
        <w:rPr>
          <w:rFonts w:ascii="Microsoft YaHei" w:eastAsia="Microsoft YaHei" w:hAnsi="Microsoft YaHei" w:cs="Microsoft YaHei"/>
          <w:b/>
          <w:bCs/>
          <w:spacing w:val="-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10120230002</w:t>
      </w:r>
    </w:p>
    <w:p>
      <w:pPr>
        <w:spacing w:before="373" w:line="187" w:lineRule="auto"/>
        <w:ind w:left="89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法定代表人：李促进</w:t>
      </w:r>
    </w:p>
    <w:p>
      <w:pPr>
        <w:spacing w:before="377" w:line="187" w:lineRule="auto"/>
        <w:ind w:left="92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-3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1.3</w:t>
      </w:r>
      <w:r>
        <w:rPr>
          <w:rFonts w:ascii="Microsoft YaHei" w:eastAsia="Microsoft YaHei" w:hAnsi="Microsoft YaHei" w:cs="Microsoft YaHei"/>
          <w:b/>
          <w:bCs/>
          <w:spacing w:val="-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3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可行性争论报告编制依据</w:t>
      </w:r>
    </w:p>
    <w:p>
      <w:pPr>
        <w:spacing w:before="372" w:line="183" w:lineRule="auto"/>
        <w:jc w:val="right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-26"/>
          <w:w w:val="99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1、国家发改委颁发的《投资工程可行性争论指南》〔2023</w:t>
      </w:r>
      <w:r>
        <w:rPr>
          <w:rFonts w:ascii="Microsoft YaHei" w:eastAsia="Microsoft YaHei" w:hAnsi="Microsoft YaHei" w:cs="Microsoft YaHei"/>
          <w:b/>
          <w:bCs/>
          <w:spacing w:val="-26"/>
          <w:w w:val="99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26"/>
          <w:w w:val="99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年版</w:t>
      </w:r>
      <w:r>
        <w:rPr>
          <w:rFonts w:ascii="Microsoft YaHei" w:eastAsia="Microsoft YaHei" w:hAnsi="Microsoft YaHei" w:cs="Microsoft YaHei"/>
          <w:b/>
          <w:bCs/>
          <w:spacing w:val="1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〕；</w:t>
      </w:r>
    </w:p>
    <w:p>
      <w:pPr>
        <w:spacing w:before="388" w:line="934" w:lineRule="exact"/>
        <w:ind w:right="16"/>
        <w:jc w:val="right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-7"/>
          <w:position w:val="39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2、国家发改委、建设部颁发的《建设工程经济评价方法与参数》</w:t>
      </w:r>
    </w:p>
    <w:p>
      <w:pPr>
        <w:spacing w:before="1" w:line="183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-10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〔2023</w:t>
      </w:r>
      <w:r>
        <w:rPr>
          <w:rFonts w:ascii="Microsoft YaHei" w:eastAsia="Microsoft YaHei" w:hAnsi="Microsoft YaHei" w:cs="Microsoft YaHei"/>
          <w:b/>
          <w:bCs/>
          <w:spacing w:val="-1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0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年第三版</w:t>
      </w:r>
      <w:r>
        <w:rPr>
          <w:rFonts w:ascii="Microsoft YaHei" w:eastAsia="Microsoft YaHei" w:hAnsi="Microsoft YaHei" w:cs="Microsoft YaHei"/>
          <w:b/>
          <w:bCs/>
          <w:spacing w:val="-14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〕；</w:t>
      </w:r>
    </w:p>
    <w:p>
      <w:pPr>
        <w:spacing w:before="384" w:line="940" w:lineRule="exact"/>
        <w:ind w:left="91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-2"/>
          <w:position w:val="40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3、国土资发</w:t>
      </w:r>
      <w:r>
        <w:rPr>
          <w:rFonts w:ascii="Microsoft YaHei" w:eastAsia="Microsoft YaHei" w:hAnsi="Microsoft YaHei" w:cs="Microsoft YaHei"/>
          <w:b/>
          <w:bCs/>
          <w:spacing w:val="64"/>
          <w:position w:val="4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2"/>
          <w:position w:val="40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2023〔24〕号国土资源部关于公布和实施《工业</w:t>
      </w:r>
    </w:p>
    <w:p>
      <w:pPr>
        <w:spacing w:before="2" w:line="186" w:lineRule="auto"/>
        <w:ind w:left="5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3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工程建设用地掌握指标》的通知；</w:t>
      </w:r>
    </w:p>
    <w:p>
      <w:pPr>
        <w:spacing w:before="372" w:line="184" w:lineRule="auto"/>
        <w:ind w:left="895"/>
        <w:outlineLvl w:val="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-1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4、国土资发</w:t>
      </w:r>
      <w:r>
        <w:rPr>
          <w:rFonts w:ascii="Microsoft YaHei" w:eastAsia="Microsoft YaHei" w:hAnsi="Microsoft YaHei" w:cs="Microsoft YaHei"/>
          <w:b/>
          <w:bCs/>
          <w:spacing w:val="55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2023〔56〕号国土资源部关于公布和实施《关于</w:t>
      </w:r>
    </w:p>
    <w:p>
      <w:pPr>
        <w:spacing w:before="388" w:line="186" w:lineRule="auto"/>
        <w:ind w:left="5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2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调整工业用地出让最低价标准实施政策》的通知；</w:t>
      </w:r>
    </w:p>
    <w:p>
      <w:pPr>
        <w:spacing w:before="374" w:line="939" w:lineRule="exact"/>
        <w:ind w:left="92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b/>
          <w:bCs/>
          <w:spacing w:val="-14"/>
          <w:position w:val="40"/>
          <w:sz w:val="42"/>
          <w:szCs w:val="42"/>
          <w14:textOutline w14:w="8915">
            <w14:solidFill>
              <w14:srgbClr w14:val="000000"/>
            </w14:solidFill>
            <w14:miter w14:lim="10"/>
          </w14:textOutline>
        </w:rPr>
        <w:t>5、《湖南平江工业园区总体规划〔2023-2023〕》文本；</w:t>
      </w:r>
      <w:r>
        <w:rPr>
          <w:rFonts w:ascii="Microsoft YaHei" w:eastAsia="Microsoft YaHei" w:hAnsi="Microsoft YaHei" w:cs="Microsoft YaHei"/>
          <w:sz w:val="42"/>
          <w:szCs w:val="42"/>
        </w:rPr>
        <w:br/>
      </w:r>
      <w:r>
        <w:rPr>
          <w:rFonts w:ascii="Microsoft YaHei" w:eastAsia="Microsoft YaHei" w:hAnsi="Microsoft YaHei" w:cs="Microsoft YaHei"/>
          <w:sz w:val="42"/>
          <w:szCs w:val="4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https://d.book118.com/378003040105006022</w:t>
        </w:r>
      </w:hyperlink>
    </w:p>
    <w:p>
      <w:pPr>
        <w:spacing w:before="374" w:line="939" w:lineRule="exact"/>
        <w:ind w:left="923"/>
        <w:rPr>
          <w:rFonts w:ascii="Microsoft YaHei" w:eastAsia="Microsoft YaHei" w:hAnsi="Microsoft YaHei" w:cs="Microsoft YaHei"/>
          <w:sz w:val="42"/>
          <w:szCs w:val="42"/>
        </w:rPr>
      </w:pPr>
    </w:p>
    <w:sectPr>
      <w:footerReference w:type="default" r:id="rId6"/>
      <w:pgSz w:w="17860" w:h="25258"/>
      <w:pgMar w:top="2146" w:right="2446" w:bottom="1981" w:left="2652" w:header="0" w:footer="1712" w:gutter="0"/>
      <w:pgNumType w:start="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7" w:lineRule="auto"/>
      <w:ind w:left="12387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z w:val="27"/>
        <w:szCs w:val="27"/>
        <w14:textOutline w14:w="5715">
          <w14:solidFill>
            <w14:srgbClr w14:val="000000"/>
          </w14:solidFill>
          <w14:miter w14:lim="10"/>
        </w14:textOutline>
      </w:rPr>
      <w:t>2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378003040105006022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2023-05-12T17:37:20Z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2023-11-03T16:49:59Z</vt:filetime>
  </property>
  <property fmtid="{D5CDD505-2E9C-101B-9397-08002B2CF9AE}" pid="3" name="CRO">
    <vt:lpwstr>wqlLaW5nc29mdCBQREYgdG8gV1BTIDkw</vt:lpwstr>
  </property>
</Properties>
</file>