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center"/>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一级建造师-公路工程管理与实务真题及答案汇编一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一级建造师-公路工程管理与实务真题及答案汇编一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根据《公路工程标准施工招标文件》，除合同另有规定外，已标价的工程量清单综合单价均已包括了为实施和完成合同工程所需的</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费用。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质量缺陷修复费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施工人员保险</w:t>
      </w:r>
      <w:r>
        <w:rPr>
          <w:rFonts w:ascii="宋体" w:eastAsia="宋体" w:hAnsi="宋体" w:cs="宋体" w:hint="eastAsia"/>
          <w:outline w:val="0"/>
          <w:shadow w:val="0"/>
          <w:emboss w:val="0"/>
          <w:imprint w:val="0"/>
          <w:vanish w:val="0"/>
          <w:w w:val="100"/>
          <w:sz w:val="28"/>
          <w:szCs w:val="28"/>
          <w:u w:val="none"/>
          <w:lang w:eastAsia="zh-CN"/>
        </w:rPr>
        <w:t>（江南博哥）</w:t>
      </w:r>
      <w:r>
        <w:rPr>
          <w:rFonts w:ascii="宋体" w:eastAsia="宋体" w:hAnsi="宋体" w:cs="宋体" w:hint="eastAsia"/>
          <w:outline w:val="0"/>
          <w:shadow w:val="0"/>
          <w:emboss w:val="0"/>
          <w:imprint w:val="0"/>
          <w:vanish w:val="0"/>
          <w:w w:val="100"/>
          <w:sz w:val="28"/>
          <w:szCs w:val="28"/>
          <w:u w:val="none"/>
        </w:rPr>
        <w:t>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税费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勘察设计费 E.安全生产费 </w:t>
      </w:r>
      <w:r>
        <w:rPr>
          <w:rFonts w:ascii="宋体" w:eastAsia="宋体" w:hAnsi="宋体" w:cs="宋体" w:hint="eastAsia"/>
          <w:outline w:val="0"/>
          <w:shadow w:val="0"/>
          <w:emboss w:val="0"/>
          <w:imprint w:val="0"/>
          <w:vanish w:val="0"/>
          <w:w w:val="100"/>
          <w:sz w:val="28"/>
          <w:szCs w:val="28"/>
          <w:u w:val="none"/>
          <w:lang w:eastAsia="zh-CN"/>
        </w:rPr>
        <w:t xml:space="preserve">（江南博哥）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 综合单价计算方法：按综合单价计算报价是所填入工程量清单的单价，应包括人工费、材料费、机械使用费、其他工程费、间接费、利润和税金以及风险金等全部费用，构成基础单价，即综合单价。此种方法用于单价合同的报价，报价金额等于工程量清单的汇总金额加上暂定金额。施工单位在工程投标报价中应当包含安全生产费用并单独计提，不得作为竞争性报价。工程量清单中有标价的单价和总额价均已包括了为实施和完成合同工程所需的劳务、材料、机械、质检（自检）、安装、缺陷修复、管理、保险、税费、利润等费用，不包括未明示的责任、义务和一般风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根据《公路工程设计施工总承包管理办法》，可以作为总承包单位或总承包联合体成员单位的是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初步设计单位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施工图设计单位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代建单位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监理单位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P443；总承包单位（包括总承包联合体成员单位）不得是总承包项目的初步设计单位、代建单位、监理单位或以上单位的附属单位。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根据《公路工程施工分包管理办法》，下列情形中，属于违法分包的有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承包人将承包的全部工程发包给他人的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分包人以他人名义承揽分包工程的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分包合同未报发包人备案的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分包人将分包合同再进行分包的 E.承包人将工程给不具备相应资格的企业或个人的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P446；承包人将承包的全部工程发包给他人的属于转包。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pgSz w:w="11906" w:h="16839"/>
          <w:pgMar w:top="1440" w:right="1080" w:bottom="1440" w:left="1080" w:header="851" w:footer="992" w:gutter="0"/>
          <w:cols w:num="1" w:space="0"/>
        </w:sectPr>
      </w:pPr>
      <w:r>
        <w:rPr>
          <w:rFonts w:ascii="宋体" w:eastAsia="宋体" w:hAnsi="宋体" w:cs="宋体" w:hint="eastAsia"/>
          <w:outline w:val="0"/>
          <w:shadow w:val="0"/>
          <w:emboss w:val="0"/>
          <w:imprint w:val="0"/>
          <w:vanish w:val="0"/>
          <w:w w:val="100"/>
          <w:sz w:val="28"/>
          <w:szCs w:val="28"/>
          <w:u w:val="none"/>
        </w:rPr>
        <w:t>根据《公路工程施工技术规范》，需要编制专项施工方案的大型临时工程有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围堰工程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施工便涵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挂篮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便桥 E.水上作业平台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详情解析请参考P344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根据《公路施工企业信用评价规则》，错误的是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公路施工企业投标行为由招标人负责评价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公路施工企业信用评价结果有效期为2年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公路施工企业资质升级的，其信用等级不变</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联合体参加投标时，其信用等级按照联合体各方最低等级认定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公路施工企业信用评价，定期评价工作每年开展一次。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工程变更通常实行分级审批管理制度，一般工程设计变更由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签署工程变更令。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驻地监理工程师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总监理工程师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业主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国家计划主管部门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P374；总监理工程师对驻地监理工程师审查的变更申请进行进一步的审定，并签署审批意见。总监理工程师签署工程变更令。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关于公路工程标线施工技术要求的说法，错误的是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标线工程正式开工前应在实验室进行试划试验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正式化标线前，应首先清理路面，保证路面表面清洁干燥，然后根设计图纸进行放样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划线时，通过控制划线机的行驶速度控制标线厚度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标线充分干燥前，应放置适当的警告标志，阻止车辆及行人在作业区内通行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P264；在标线工程正式开工前应进行实地试划试验。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关于公路工程自建房屋的要求，错误的是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最低标准为活动板房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建设宜选用阻燃材料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搭建不宜超过三层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每组最多不超过10栋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412；自建房屋最低标准为活动板房，建设宜选用阻燃材料，搭建不宜超过两层，每组最多不超过10栋，组与组之间的距离不小于8m，栋与栋之间的距离不小于4m，房间净高不低于2.6m。驻地办公区、生活区应采用集中供暖设施，严禁电力取暖。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关于桥梁上部结构竖转法施工特点的说法，正确的是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在桥台处设置转盘，将两岸预制的整垮或半跨转至设计合拢位置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转体重量大，施工中需设置转体平衡重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主要适用于转体重量不大的拱桥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主要针对大跨度拱桥施工，采用锚固体系代替平衡重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P187；竖转施工主要适用于转体重量不大的拱桥或某些桥梁预制部件（塔、斜腿、劲性骨架）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关于施工测量与工地试验的方法，正确的是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施工测量与工地试验人员只要能胜任工作，无须培训即可上岗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测量仪器，试验设备未经标定可以短期使用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测量、试验记录可以根据需要进行适当优化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现场测量数据处理计算资料必须换人复核，工地试验室应定期接受母体检测机构的检查指导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P314；现场测量数据处理计算资料必须换人复核。测量技术交底资料，必须由测量负责人和分管的主管工程师复核，工程技术部长审核后方可进行现场交底。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关于通信电缆中管道光、电缆敷设的说法，正确的有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敷设电缆时牵引力应小于电缆允许拉力的80%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敷设管道光。电缆时应以有机油脂、滑石粉作为润滑剂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光缆绕“8”数字敷设时，其内径应不小于2m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按要求堵塞光、电缆管孔，光、电缆端头应做密封防潮处理，不得浸水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敷设管道光、电缆时应以石蜡油、滑石粉等作为润滑剂，严禁使用有机油脂。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关于预制梁板台座施工的说法，错误的是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先张法施工的张拉台座采用钢筋混凝土框架式台座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台座施工时底模可采用混凝土底模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存梁区台座混凝土强度等级不低于C20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台座底模宜采用通长钢板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P416；底模宜采用通长钢板，不得采用混凝土底模。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既决定工程全局的关键，又是工程施工组织设计核心内容的是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工程设备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工程主要材料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工程工期要求</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施工方案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P307；施工方案是施工组织设计的核心，是决定整个工程全局的关键。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拟作为路堤填料的材料应取样，土的试验项目有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液限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塑限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CBR值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弯沉 E.天然含水率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P1；土的试验项目包括天然含水率、液限、塑限、标准击实试验、CBR试验等。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软基处理方法中，强夯置换应按照</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的方式施工。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由内向外，隔行跳打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由内向外，逐行跳打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由外向内，隔行跳打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由外向内，逐行跳打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P27；强夯置换应按照由内向外、隔行跳打的方式施工。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山区公路中，雨期路基施工地段不宜选择</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 xml:space="preserve">。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P13；重黏土、膨胀土及盐渍土地段不宜在雨期施工；平原地区排水困难，不宜安排雨期施工。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4"/>
          <w:cols w:num="1" w:space="0"/>
          <w:titlePg w:val="0"/>
        </w:sectPr>
      </w:pPr>
      <w:r>
        <w:rPr>
          <w:rFonts w:ascii="宋体" w:eastAsia="宋体" w:hAnsi="宋体" w:cs="宋体" w:hint="eastAsia"/>
          <w:outline w:val="0"/>
          <w:shadow w:val="0"/>
          <w:emboss w:val="0"/>
          <w:imprint w:val="0"/>
          <w:vanish w:val="0"/>
          <w:w w:val="100"/>
          <w:sz w:val="28"/>
          <w:szCs w:val="28"/>
          <w:u w:val="none"/>
        </w:rPr>
        <w:t>使用滑模摊铺机进行水泥混凝土路面施工的路尺是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纵坡大于5%的上坡路段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纵坡大于6%的下坡路段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平面半径为50mm—100mm的平曲线路段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超高横坡大于7%的路段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P97；上坡纵坡大于5%、下坡纵坡大于6%、平面半径小于50m或超高横坡超过7%的路段，不宜采用滑模摊铺机进行摊铺。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适用于路面基层施工的机械设备有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摊铺机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平地机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石屑撒布车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洒水车 E.羊脚碾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 摊铺机、平地机、石屑撒布车、洒水车均为适用于路面基层施工的机械设备。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适用于浅水河流的大跨径钢桥架设方法有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门式吊机整孔架设法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浮运平转假设法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拖拉架设法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自行吊机整孔架设法 E.支架架设法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P202；浮吊架设法：适于河水较深、备有大吨位浮吊的条件；自行吊机整孔架设法：适宜于架设短跨径的钢板梁。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适用于双车道公路隧道Ⅴ级围岩地段的施工方法有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全断面法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台阶法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环形开挖预留核心土法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侧壁导坑法 E.中导洞法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P230；全断面法适用用于Ⅰ—Ⅲ级围岩的中小跨度隧道，Ⅳ级围岩中跨度隧道和Ⅲ级围岩大跨度隧道在采用了有效的预加固措施后，也可采用全断面法开挖。中导洞法适用于连拱隧道。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水泥稳定碎石基层施工，确定每日施工作业长度，宜综合考虑的因素有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施工机械的生产速率和数量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施工人员数量及操作熟练程度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增加施工接缝的数量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施工季节和气候条件 E.水泥的初凝时间和延迟时间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稳定材料层宽11~12m时，每一流水作业段长度以500m为宜；稳定材料层宽大于12m时，作业段宜相应缩短。宜综合考虑下列因素，合理确定每日施工作业段长度：①施工机械和运输车辆的生产效率和数量；②施工人数量及操作熟练程度；③施工季节和气候条件；④水泥的初凝时间和延迟时间；⑤减少施工接缝的数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隧道衬砌裂缝形成的原因不包括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围岩压力不均</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衬砌背后有空洞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钢筋保护层厚度大于3cm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衬砌厚度严重不足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P259；隧道发生衬砌裂缝的原因主要有围岩压力不均、衬砌背后局部空洞、衬砌厚度严重不足、混凝土收缩、不均匀沉降及施工管理等。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隧道地质灾害分为四类,属于A级地质灾害的是（）。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存在中、小型突水,突泥隐患地段、物探有较大异常地段、断裂带B.非可溶岩地段,发生突水、突泥可能性较小地段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 xml:space="preserve">存在重大地质灾害地段,特殊地质地段、重大物探异常地段、可能发生大型、特大型突水、突泥隐患地段D,小型断层破碎带、发生突水、突泥可能性较小地段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P225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下列计划中，不属于资源计划的是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劳动力计划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施工进度计划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材料计划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施工机械设备计划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施工进度计划不属于资源计划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下列沥青路面面层施工缝处理的做法，错误的是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半幅施工不能采用热接缝时，采用人工顺直刨缝或切缝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半幅施工铺另半幅前必须将边缘清扫干净，并涂洒少量黏层沥青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横接缝首先用3m直尺检查端部平整度，不符合要求时，按45°斜交于路中线切齐清除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纵向冷接缝上、下层的缝错开15cm以上横向接缝错开1m以上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P81；横接缝的处理方法：首先用3m直尺检査端部平整度。不符合要求时，垂直于路中线切齐清除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下列内容中，属于施工总体部署主要内容的有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建立施工管理机构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划分施工任务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编制施工进度计划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确定施工顺序 E.制定各项资源需求计划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施工总体部署。主要内容包括：建立施工管理机构、施工任务划分、施工顺序。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下列施工段落划分中，不符合通常划分原则的是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各段落之间工程量基本平衡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土方段落中的小型构造物另划分一个工段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避免造成段落之间的施工干扰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保护构造物的完整性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P293；保持构造物的完整性，除了特大桥之外，尽可能不肢解完整的工程构造物。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一般土质路基中，低路堤应对地基表层土</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，分层回填压实，其处理深度不应小于路床深度。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超挖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振动碾压</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掺粉煤灰拌合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整平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P2；低路堤应对地基表层土进行超挖、分层回填压实，其处理深度不应小于路床深度。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由于铁路运输部门原因，承包方机械未按期运入现场，导致工期延误，该种工期延误属于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延误。</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可原谅，可补偿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可原谅，不可补偿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不可原谅，可补偿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不可原谅，不可补偿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可原谅不可补偿的延误是指既不是承包商也不是业主的原因，而是由客观原因引起起的工期延误。在这种情况下，承包商可获得一定的工期延长作为补偿，但一般得不到经济补偿。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预应力张拉的千斤顶与压力表，不需要重新标定的情形是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使用时间达到3个月</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张拉次数超过300次</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千斤顶检修后</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更换新压力表 </w:t>
      </w: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P141；当处于下列情况之一时，应重新进行标定：(1)使用时间超过6个月;(2)张拉次数超过300次;(3)使用过程中千斤顶或压力表出现异常情况;(4)千斤顶检修或更换配件后。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项目部驻地建设说法正确的是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A.自建房屋最低标准为活动板房</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宜为独立式庭院，四周设有围墙，有固定出入口</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离集中爆破区 300m 以外</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在适当位置设置临时室外消防水池和消防砂池 E.项目部驻地办公用房总面积不得低于 120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8"/>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A 说法正确，自建房屋最低标准为活动板房，建设宜选用阻燃材料。选项 B 说法正确， 宜为独立式庭院，四周设有围墙，有固定出入口。有条件的，可在出入口设置保卫人员。选项C 说法错误， 离集中爆破区 500m 以外，不得占用独立大桥下部空间、河道、互通匝道区及规划的取、弃土场。选项 D 说法正确，驻地内消防设施应满足《建设工程施工现场消防安全技术规范》的有关规定，在适当位置设置临时室外消防水池和消防砂池，配置相应的消防安全标识和消防安全器材，并经常 检查、维护、保养。选项 E 说法错误，项目部驻地办公用房面积应满足办公需要，一般不低于表 1B420091-1 的规定。</w: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IMG_256" style="width:453.6pt;height:129pt" coordsize="21600,21600" o:preferrelative="t" filled="f" stroked="f">
            <v:imagedata r:id="rId4" r:href="rId5" o:title="IMG_256"/>
            <o:lock v:ext="edit" aspectratio="t"/>
            <w10:anchorlock/>
          </v:shape>
        </w:pict>
      </w:r>
    </w:p>
    <w:p>
      <w:pPr>
        <w:pStyle w:val="NormalWeb"/>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【考点来源】1B420091 项目部驻地建设</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不属于安全设施的是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交通标志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交通标线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自动报警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隔离栅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交通安全设施主要包括交通标志、交通标线、防撞设施、隔离栅、轮廓标、防眩设施、 桥梁护网、里程标、百米标、公路界碑等。选项C.自动报警属于监控系统。 【考点来源】1B415011 交通安全设施的主要构成与功能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不属于间接防护的是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护坝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石笼</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丁坝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改移河道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护坝、丁坝和改移河道都属于间接防护，选项 B 属于直接防护。 【考点来源】1B411021 防护工程类型和适用条件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不宜采用强夯法施工的是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高饱和度的粉土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碎石土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杂填土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软土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强夯法适用于处理碎石土、低饱和度的粉土与蒙古性土、杂填土和软土等地基，所以本题选 A。 【考点来源】1B411018 特殊路基施工技术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不宜冬期施工的项目</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含水流动性开挖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河滩地段开挖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整修路基边坡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岩石地段的路堑开挖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A，含水率高的流动土质、流沙地段的路堑可利用冻结期开挖。选项 B，河滩地段可利用冬期水位低，开挖基坑修建防护工程，但应采取加温保温措施，注意养护。选项C，整修路基边坡不宜在冬期施工。选项 D，岩石地段的路堑或半填半挖地段，在冬期可进行开挖作业。 【考点来源】1B411016 路基季节性施工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材料预算价包括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材料原价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运杂费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场内、外运输损耗</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采购及保管费 E.操作性磨损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材料预算价格由材料原价、运杂费、场外运输损耗、采购及仓库保管费组成，所以本题选 ABD。 【考点来源】1B420072 公路项目标后预算编制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衬砌裂缝病害防治说法正确的是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正确选取衬砌形式及衬砌厚度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欠挖必须控制在容许范围内</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钢筋保护层厚度必须保证不小于 2cm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混凝土配合比设计，宜采用较小的骨灰比 E.混凝土拆模时，内外温差不得大于 20℃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A 说法正确，设计时应根据围岩级别、性状、结构等地质情况，正确选取衬砌形式及衬砌厚度，确保衬砌具有足够的承载能力。选项 B 说法正确，欠挖必须控制在容许范围内。选项C 说法错误， 钢筋保护层厚度必须保证不小于 3cm。选项 D 说法错误，混凝土强度必须符合设计要求，宜采用较大的骨灰比。选项 E 说法正确，混凝土拆模时，内外温差不得大于 20℃。 【考点来源】1B414052 隧道衬砌病害的防治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0"/>
          <w:cols w:num="1" w:space="0"/>
          <w:titlePg w:val="0"/>
        </w:sectPr>
      </w:pPr>
      <w:r>
        <w:rPr>
          <w:rFonts w:ascii="宋体" w:eastAsia="宋体" w:hAnsi="宋体" w:cs="宋体" w:hint="eastAsia"/>
          <w:outline w:val="0"/>
          <w:shadow w:val="0"/>
          <w:emboss w:val="0"/>
          <w:imprint w:val="0"/>
          <w:vanish w:val="0"/>
          <w:w w:val="100"/>
          <w:sz w:val="28"/>
          <w:szCs w:val="28"/>
          <w:u w:val="none"/>
        </w:rPr>
        <w:t>高性能混凝土不宜采用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强度等级 32.5 级的硅酸盐水泥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强度等级 42.5 级的硅酸盐水泥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强度等级 52.5 级的普通硅酸盐水泥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矿渣硅酸盐水泥 E.粉煤灰硅酸盐水泥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高性能混凝土水泥宜选用品质稳定、标准稠度低、强度等级不低于 42. 5 级的硅酸盐水泥或普通硅酸盐水泥，不宜采用矿渣硅酸盐水泥、火山灰质硅酸盐水泥及粉煤灰硅酸盐水泥。 【考点来源】1B413032 混凝土工程施工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工程各合同段交工验收结束后，由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对整个工程项目进行工程质量评定。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项目法人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监督机构</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监理单位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竣工验收委员会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合同段工程质量评分采用所含各单位工程质量评分的加权平均值。即工程各合同段交工验收结束后，由项目法人对整个工程项目进行工程质量评定，工程质量评分采用各合同段工程质量评分的加权平均值。所以选项A 正确。 【考点来源】1B431026 公路工程验收相关规定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公路工程质量保证体系包括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政府监督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法人管理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社会监理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企业自检 E.企业自律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公路工程实行政府监督、法人管理、社会监理、企业自检的质量保证体系。所以本题选 ABCD。 【考点来源】1B431022 公路建设市场管理的相关规定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关于场地清理，说法正确的是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原有构造物，应根据设计要求进行处理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填方高度大于 1m 的公路路堤，可保留树根，但根部不能露出地面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填方高度小于 1m 的公路路堤，应将路基基底范围内的树根全部挖除开将坑穴填平夯实</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二级及二级以上公路路堤应将路基基底范围内的树根全部挖除开将坑穴填平夯实 E.取土坑范围内的树根应全部挖除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选项A 说法正确，公路用地范围内原有构造物，应根据设计要求进行处理。选项 B 说法错误， 填方高度大于 1m 的二级以下公路路堤，可保留树根，但根部不能露出地面。选项 C 和 D 说法正确，二级及二级以上公路路堤和填方高度小于 1m 的公路路堤，应将路基基底范围内的树根全部挖除开将坑穴填平夯实。选项 E 说法正确，取土坑范围内的树根应全部挖除。 【考点来源】1B411011 路基施工技术准备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关于高强度混凝土施工说法错误的是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不得使用立窑水泥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高强度混凝土的水泥用量宜大于 600kg/m3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高强度混凝土的施工应采用强制式搅拌机拌制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搅拌混凝土时高效减水剂宜采用后掺法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A 说法正确，高强度混凝土水泥宜选用强度等级不低于 52. 5 级的硅酸盐水泥和普通硅酸盐水泥，不得使用立窑水泥。选项 B 说法错误，高强度混凝土的水泥用量不宜大于 500 kg/m3，胶凝材料总量不宜大于 600 kg/m3。选项 C 说法正确，高强度混凝土的施工应采用强制式搅拌机拌制，不得采用自落式搅拌机搅拌。选项 D 说法正确，搅拌混凝土时高效减水剂宜采用后掺法，且宜制成溶液后再加入，并应在混凝土用水量中扣除溶液用水量。 【考点来源】1B413032 混凝土工程施工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关于透层施工说法错误的是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气温低于 10℃或大风、即将降雨时不得喷洒透层油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透层油洒布后应自由流淌，应渗入基层一定深度，在表面形成油膜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应按设计喷油量一次均匀洒布，当有漏洒时，应人工补洒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在摊铺沥青前，应将局部尚有多余的未渗入基层的沥青清除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B 说法错误，透层油洒布后应不致流淌，应渗入基层一定深度，不得在表面形成油膜。选项 ACD 说法正确。 【考点来源】1B412024 沥青路面透层、粘层、封层施工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关于先张法预制梁板说法错误的是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钢横梁受力后，挠度不能大于 2mm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对热轧带肋钢筋，可采用乙炔—氧气切割</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同一构件内预应力钢丝、钢绞线的断丝数量不得超过 1%</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其位置与设计位置的偏差应不大于 8mm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2"/>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A 说法正确，横梁须有足够的刚度，受力后挠度应不大于 2mm。选项 B 说法正确，预应力筋放张后，对钢丝和钢绞线，应采用机械切割的方式进行切断；对热轧带肋钢筋，可采用乙炔—氧气切割。选项C 说法正确，张拉时，同一构件内预应力钢丝、钢绞线的断丝数量不得超过 1%，同时对于预应力钢筋不允许断筋。选项 D 说法错误，预应力筋张拉完毕后，其位置与设计位置的偏差应不大于 5mm，同时不应大于构件最短边长的 4%，且宜在 4h 内浇筑混凝土。 【考点来源】1B413061 桥梁上部结构装配式施工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关于预应力钢筋混凝土拆模说法错误的是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承包人应在拟定拆模时间的 12h 以前，并应取得监理工程师同意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非承重侧模板应在混凝土强度，设计未规定达到 2.5MPa 时方可拆除侧模板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钢筋混凝土结构的承重模板、支架，应在混凝土强度能承受其自重荷载及其他可能的叠加荷载时，方可拆除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预应力混凝土结构，其侧模、底模及支架应在结构建立预应力后方可拆除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D 说法错误，对预应力混凝土结构，其侧模应在预应力钢束张拉前拆除；底模及支架应在结构建立预应力后方可拆除。选项 ABC 说法正确。 【考点来源】1B413022 常用模板、支架和拱架的施工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关于预制梁场布设错误的是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结合梁板的尺寸、数量、架设要求以及运输条件等情况进行综合选址</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监理指定预制场位置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周围无塌方、滑坡、落石、泥石流、洪涝等地质灾害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场地建设前施工单位应将梁场布置方案报监理工程师审批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B 说法错误，并不是监理指定预制场的位置。预制梁场布设，以方便、合理、安全、经济、环保及满足工期为原则，结合施工合同段所属预制梁板的尺寸、数量、架设要求以及运输条件等情况进行综合选址。应满足用地合法，周围无塌方、滑坡、落石、泥石流、洪涝等地质灾害。无高频、高压电源及其他污染源；离集中爆破区 500m 以外；不得占用规划的取、弃土场。场地建设前施工单位应将梁场布置方案报监理工程师审批。 【考点来源】1B420092 预制场布设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合同约定共同延误按不利于承包商原则，由于恶劣环境和业主延迟发放图纸共同存在，承包商可以索赔</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工期补偿和经济补偿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工期补偿，不可以经济补偿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3"/>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工期不可补偿，经济可以补偿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工期和经济都不可补偿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不利于承包商原则:在交叉时段内，只要出现了承包商的责任或风险，不管其出现次序，亦不论干扰事件的性质，该时段的责任全部由承包商承担。恶劣环境延误是可原谅不可补偿的延误，业主延迟发放图纸是可原谅可补偿的延误，两种情况共同存在，承包人可获得工期延长，但不能要求经济补偿。 【考点来源】1B420065 公路项目施工索赔管理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滑模摊铺机摊铺速度应根据</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板厚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碾压能力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布料能力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振捣混凝土排气效果 E.混凝土工作性能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滑模摊铺速度应根据板厚、混凝土工作性、布料能力、振捣排气效果等确定，可在 0.75～ 2.5m/min 之间选择，宜采用 1m/min。 【考点来源】1B412032 水泥混凝土路面的施工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热拌沥青碎石配合比设计采用</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设计。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正交试验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针入度试验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马歇尔试验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洛杉矶磨耗试验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C 正确，热拌沥青碎石配合比设计采用马歇尔试验设计方法。 【考点来源】1B412013 路面沥青稳定基层（底基层）施工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施工进度计划检查不包括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工程量完成情况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资源使用及进度的互配情况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上次检查提出问题的处理情况</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标准化执行情况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公路工程项目进度检查应包括：（1）工作量的完成情况；（2）工作时间的执行情况；（3） 资源使用及进度的互配情况；（4）上次检查提出问题的处理情况。选项 D 不属于施工进度计划的检查内容。 【考点来源】1B420022 公路工程进度控制管理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4"/>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湿式凿岩水、风操作正确的是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先开风后开水，先关水后关风</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先开风后开水，先关风后关水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先开水后开风，先关风后关水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先开水后开风，先关水后关风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为了使湿式凿岩能正常进行，注意操作正规，应先开水后开风，先关风后关水，凿岩时机体与钻钎方向应一致，不得摆动，以免卡断水针。所以选项C 顺序正确。 【考点来源】1B414035 公路隧道通风防尘及水电作业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水泥混凝土抗压强度试件为边长</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mm 正方体。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100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150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200</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250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水泥混凝土抗压强度试验是以边长为 150mm 的正立方体标准试件，标准养护到 28d, 再在万能试验机上按规定方法进行破坏试验测得抗压强度。所以本题选 B。 【考点来源】1B420041 公路工程质量控制方法及措施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填方路肩施工说法正确的是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培路肩的方法施工既经济又简便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土路肩通常随着路面结构层的铺筑，相应地分层培筑</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先培更优于后培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培土路肩的材料，通常与填筑路堤的材料相同 E.后培路肩的缺点是，横断面上易形成一个三角区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选项A 说法正确，对填方路段来说，采用培路肩的方法施工既经济又简便。选项 B 说法正确， 土路肩通常随着路面结构层的铺筑，相应地分层培筑。选项 C 说法错误，路肩可以先培也可以后培，各有利弊。选项 D 说法正确，培土路肩的材料，通常与填筑路堤的材料相同，应在填筑路堤、修整边坡时，将削坡剩余的材料暂存在靠近路肩的边坡上。选项 E 说法错误，先培路肩的缺点是，横断面上易形成一个三角区。 【考点来源】1B412042 路肩施工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填石路基不得采用的填料是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膨胀性岩</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5"/>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易溶性岩石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中、硬岩石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软岩 E.盐化岩石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填石路堤填料要求：硬质岩石、中硬岩石可用作路床、路堤填料；软质岩石可用作路堤填料， 不得用于路床填料；膨胀性岩石、易溶性岩石和盐化岩石等不得用于路堤填筑。所以本题选 ABE。 【考点来源】1B411015 填方路基施工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悬索桥的猫道组成</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承重索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扶手绳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横向通道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防护栏 E.栏杆立柱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猫道的主要承重结构为猫道承重索，一般按三跨分离式设置，边跨的两端分别锚于锚碇与索塔的锚固位置上，中跨两端分别锚于两索塔的锚固位置上。其上有横梁、面层、横向通道、扶手绳、栏杆立柱、安全网等。为了抗风稳定，一般设有抗风缆、抗风吊杆等抗风构件。所以本题选ABCE。 【考点来源】1B413075 悬索桥施工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液体石油沥青施工说法正确的是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液体石油沥青宜采用针入度较小的石油沥青</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与沥青稀释剂混合加热，再搅拌、稀释制成</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掺配比例根据使用要求由经验确定</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基质沥青的加热温度严禁超过 140℃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A 说法错误，液体石油沥青宜采用针入度较大的石油沥青；选项 B 说法错误，使用前按先加热沥青后加稀释剂的顺序，掺配煤油或轻柴油，经适当的搅拌、稀释制成。选项 C 说法错误，掺配比例根据使用要求由试验确定。选项D 说法正确，基质沥青的加热温度严禁超过 140℃。 【考点来源】1B412022 沥青路面用料要求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应单独计量的是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模板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脚手架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垫圈</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箍筋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6"/>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工程量计量总原则：全部必需的模板、脚手架、装备、机具和联结螺栓、垫圈等其他材料，应 包括在其他支付细目中，不单独计量。所以本题选D。 【考点来源】1B420083 公路工程计量管理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应急预案评估每</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进行一次。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半年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一年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两年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三年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选项 D 正确，施工单位应当每三年进行一次应急预案评估。 【考点来源】1B420053 公路工程项目应急管理体系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中、小型突水泥的地段地质灾害分级为</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A 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B 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C 级</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D 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A 级：存在重大地质灾害隐患的地段。B 级：存在中、小型突水突泥隐患的地段，物探有较大异常的地段，断裂带等。C 级：水文地质条件较好的碳酸盐岩及碎屑岩地段、小型断层破碎带，发生突水突泥的可能性较小。D 级：非可溶岩地段，发生突水突泥的可能性极小。所以本题选 B。 【考点来源】1B414021 隧道地质超前预报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专职安全员职责不包括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组织或者参与本单位安全生产教育和培训</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及时排查、报告安全事故隐患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制止和纠正违章指挥、违章操作</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建立项目安全生产责任制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7"/>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施工单位的专职安全生产管理人员履行下列职责：</w:t>
      </w:r>
      <w:r>
        <w:rPr>
          <w:rFonts w:ascii="宋体" w:eastAsia="宋体" w:hAnsi="宋体" w:cs="宋体" w:hint="eastAsia"/>
          <w:outline w:val="0"/>
          <w:shadow w:val="0"/>
          <w:emboss w:val="0"/>
          <w:imprint w:val="0"/>
          <w:vanish w:val="0"/>
          <w:w w:val="100"/>
          <w:sz w:val="28"/>
          <w:szCs w:val="28"/>
          <w:u w:val="none"/>
        </w:rPr>
        <w:t xml:space="preserve"> （1）组织或者参与拟订本单位安全生产规章制度、操作规程，以及合同段施工专项应急预案和现场处置方案；</w:t>
      </w:r>
      <w:r>
        <w:rPr>
          <w:rFonts w:ascii="宋体" w:eastAsia="宋体" w:hAnsi="宋体" w:cs="宋体" w:hint="eastAsia"/>
          <w:outline w:val="0"/>
          <w:shadow w:val="0"/>
          <w:emboss w:val="0"/>
          <w:imprint w:val="0"/>
          <w:vanish w:val="0"/>
          <w:w w:val="100"/>
          <w:sz w:val="28"/>
          <w:szCs w:val="28"/>
          <w:u w:val="none"/>
        </w:rPr>
        <w:t xml:space="preserve"> （2）组织或者参与本单位安全生产教育和培训，如实记录安全生产教育和培训情况；</w:t>
      </w:r>
      <w:r>
        <w:rPr>
          <w:rFonts w:ascii="宋体" w:eastAsia="宋体" w:hAnsi="宋体" w:cs="宋体" w:hint="eastAsia"/>
          <w:outline w:val="0"/>
          <w:shadow w:val="0"/>
          <w:emboss w:val="0"/>
          <w:imprint w:val="0"/>
          <w:vanish w:val="0"/>
          <w:w w:val="100"/>
          <w:sz w:val="28"/>
          <w:szCs w:val="28"/>
          <w:u w:val="none"/>
        </w:rPr>
        <w:t xml:space="preserve"> （3）督促落实本单位施工安全风险管控措施；</w:t>
      </w:r>
      <w:r>
        <w:rPr>
          <w:rFonts w:ascii="宋体" w:eastAsia="宋体" w:hAnsi="宋体" w:cs="宋体" w:hint="eastAsia"/>
          <w:outline w:val="0"/>
          <w:shadow w:val="0"/>
          <w:emboss w:val="0"/>
          <w:imprint w:val="0"/>
          <w:vanish w:val="0"/>
          <w:w w:val="100"/>
          <w:sz w:val="28"/>
          <w:szCs w:val="28"/>
          <w:u w:val="none"/>
        </w:rPr>
        <w:t xml:space="preserve"> （4）组织或者参与本合同段施工应急救援演练；</w:t>
      </w:r>
      <w:r>
        <w:rPr>
          <w:rFonts w:ascii="宋体" w:eastAsia="宋体" w:hAnsi="宋体" w:cs="宋体" w:hint="eastAsia"/>
          <w:outline w:val="0"/>
          <w:shadow w:val="0"/>
          <w:emboss w:val="0"/>
          <w:imprint w:val="0"/>
          <w:vanish w:val="0"/>
          <w:w w:val="100"/>
          <w:sz w:val="28"/>
          <w:szCs w:val="28"/>
          <w:u w:val="none"/>
        </w:rPr>
        <w:t xml:space="preserve"> （5）检查施工现场安全生产状况，做好检查记录，提出改进安全生产标准化建设的建议；</w:t>
      </w:r>
      <w:r>
        <w:rPr>
          <w:rFonts w:ascii="宋体" w:eastAsia="宋体" w:hAnsi="宋体" w:cs="宋体" w:hint="eastAsia"/>
          <w:outline w:val="0"/>
          <w:shadow w:val="0"/>
          <w:emboss w:val="0"/>
          <w:imprint w:val="0"/>
          <w:vanish w:val="0"/>
          <w:w w:val="100"/>
          <w:sz w:val="28"/>
          <w:szCs w:val="28"/>
          <w:u w:val="none"/>
        </w:rPr>
        <w:t xml:space="preserve"> （6）及时排查、报告安全事故隐患，并督促落实事故隐患治理措施；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（7）制止和纠正违章指挥、违章操作和违反劳动纪律的行为。</w:t>
      </w:r>
      <w:r>
        <w:rPr>
          <w:rFonts w:ascii="宋体" w:eastAsia="宋体" w:hAnsi="宋体" w:cs="宋体" w:hint="eastAsia"/>
          <w:outline w:val="0"/>
          <w:shadow w:val="0"/>
          <w:emboss w:val="0"/>
          <w:imprint w:val="0"/>
          <w:vanish w:val="0"/>
          <w:w w:val="100"/>
          <w:sz w:val="28"/>
          <w:szCs w:val="28"/>
          <w:u w:val="none"/>
        </w:rPr>
        <w:t xml:space="preserve"> 选项</w:t>
      </w:r>
      <w:r>
        <w:rPr>
          <w:rFonts w:ascii="宋体" w:eastAsia="宋体" w:hAnsi="宋体" w:cs="宋体" w:hint="eastAsia"/>
          <w:outline w:val="0"/>
          <w:shadow w:val="0"/>
          <w:emboss w:val="0"/>
          <w:imprint w:val="0"/>
          <w:vanish w:val="0"/>
          <w:w w:val="100"/>
          <w:sz w:val="28"/>
          <w:szCs w:val="28"/>
          <w:u w:val="none"/>
        </w:rPr>
        <w:t xml:space="preserve"> D，建立项目安全生产责任制是项目负责人的职责。</w:t>
      </w:r>
      <w:r>
        <w:rPr>
          <w:rFonts w:ascii="宋体" w:eastAsia="宋体" w:hAnsi="宋体" w:cs="宋体" w:hint="eastAsia"/>
          <w:outline w:val="0"/>
          <w:shadow w:val="0"/>
          <w:emboss w:val="0"/>
          <w:imprint w:val="0"/>
          <w:vanish w:val="0"/>
          <w:w w:val="100"/>
          <w:sz w:val="28"/>
          <w:szCs w:val="28"/>
          <w:u w:val="none"/>
        </w:rPr>
        <w:t xml:space="preserve"> 【考点来源】1B432012</w:t>
      </w:r>
      <w:r>
        <w:rPr>
          <w:rFonts w:ascii="宋体" w:eastAsia="宋体" w:hAnsi="宋体" w:cs="宋体" w:hint="eastAsia"/>
          <w:outline w:val="0"/>
          <w:shadow w:val="0"/>
          <w:emboss w:val="0"/>
          <w:imprint w:val="0"/>
          <w:vanish w:val="0"/>
          <w:w w:val="100"/>
          <w:sz w:val="28"/>
          <w:szCs w:val="28"/>
          <w:u w:val="none"/>
        </w:rPr>
        <w:t xml:space="preserve"> 公路工程承包人安全责任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ETC 入口车道的配备设备有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车道控制器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车载单元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RSU（路侧单元）</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自动栏杆 E.车辆检测器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ETC 车道分为入口车道和岀口车道。入口车道和岀口车道配置的设备基本一致，主要由车道控制器、RSU（路侧单元）、自动栏杆、报警设备、信息显示屏、雨棚信号灯、车道信号灯、车辆检测器及车道摄像机等组成。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按矿料级配分类OGFC 路面结构属于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开级配沥青混合料 B 半开级配沥青混合料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密级配沥青混合料</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间断级配沥青混合料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OGFC、ATPCZB 属于开级配沥青混合料。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不能测定土的最佳含水量的试验方法是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轻型、重型击实试验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核子密度湿度仪</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表面振动击实仪法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振动台法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根据不同土的性质，测定最佳含水量的试验方法通常由：轻型、重型击实试验；振动台法；表面振动压实仪法。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二级以及二级以上公路级配碎石底基层施工，推荐采用的拌合工艺及摊铺工艺分别是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人工路拌，摊铺机摊铺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集中厂拌，,摊铺机摊铺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人工路拌，推土机摊铺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集中厂拌，推土机摊铺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二级以及二级以上的底基层宜采用集中厂拌，摊铺机摊铺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8"/>
          <w:cols w:num="1" w:space="0"/>
          <w:titlePg w:val="0"/>
        </w:sectPr>
      </w:pPr>
      <w:r>
        <w:rPr>
          <w:rFonts w:ascii="宋体" w:eastAsia="宋体" w:hAnsi="宋体" w:cs="宋体" w:hint="eastAsia"/>
          <w:outline w:val="0"/>
          <w:shadow w:val="0"/>
          <w:emboss w:val="0"/>
          <w:imprint w:val="0"/>
          <w:vanish w:val="0"/>
          <w:w w:val="100"/>
          <w:sz w:val="28"/>
          <w:szCs w:val="28"/>
          <w:u w:val="none"/>
        </w:rPr>
        <w:t>根据《公路工程建设项目概算预算编制办法》，属于施工场地建设费的有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场区平整、场地硬化</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场区范围内临时用水支管修建费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红线范围内进出场临时便道修建费</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工地实验室所发生的属于固定资产的试验设备租赁费 E.施工扬尘污染防治措施费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场地建设费。按照工地建设标准化要求进行承包人驻地、工地实验室建设、办公、生活居住房屋和生产用房屋等费用；场地平整、场地硬化、排水、绿化、标志、污水处理设施、围墙隔离设施等费用，以及以上范围内各种临时工作便道、人行便道，工地临时用水、用电的水管支管和电线支线，临时构筑物、其他小型临时设施等的塔设或租赁、维修、拆除及清理的费用；但不包括红线范围内贯通便道、进出场的临时便道、保通便道。工地实验室所发生的属于固定资产的试验设备和仪器等折旧、维修或租赁费用以及施工扬尘污染防治措施费和文明施工、职工健康生活的费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根据公路工程施工分包管理办法，分包人业绩证明由</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出具。</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承包人与发包人共同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发包人与监理共同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发包人</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承包人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分包人业绩由承包人与发包人共同出具。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工程项目的“计划成本偏差”等于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施工图预算成本-责任目标成本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施工图预算成本-投标计划成本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施工预算成本-责任目标成本</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施工预算成本-投标计划成本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将各项施工预算成本与相应项的责任目标成本进行比较，计算其计划成本偏差。即：计划成本偏差=施工预算成本-责任目标成本。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关于分包合同管理正确的有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发包人对分包合同的管理主要表现为对分包工程的批准</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监理工程师与承包人和分包人均有监理与被监理的关系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承包人对分包人具有全面管理责任</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19"/>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特殊情况下发包人可以向分包人直接付款 E.分包人可以按责任划分向承包人和监理工程师提出索赔要求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监理工程师只与承包人有监理与被监理的关系。分包人人不能直接向监理工程师提出支付要求，必须通过承包人。发包人也不能直接向分包人付款，也必须承包人。分包合同履行过程中，当分包人认为自己的合法权益受到损害，无论时间起因于发包人或监理工程师，还是承包人的责任，他都只能向承包人提出索赔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关于桥梁挖孔桩基础施工正确的有</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施工现场应配备气体浓度检测仪器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孔深超过15m 的桩孔作业人员连续作业不得超过2h</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孔深15m 时作业人员可利用卷扬机上下桩孔</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进入桩孔前应先通风10min 以上 E.岩溶和采空区不宜采用挖孔桩施工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作业人员不得利用卷扬机上下桩孔，施工现场应配备气体浓度检测仪器，进入桩孔前应先通风15min 以上。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关于施工段落的划分，错误的是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各段落之间工程量基本平衡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尽可能化整为零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避免造成段落之间的施工干扰</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保持构造物的完整性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工程性质相同的地段（如石方、软土段）或施工复杂难度较大而施工技术相同的地段尽可能避免化整为零，以免影响效率，也影响质量。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关于隧道洞门工程施工的说法，错误的是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基础应设于稳固的地基上，并将杂物、泥水、虚渣等清除</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洞口端墙的砌筑与回填应两侧对称进行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洞口边缘、仰坡、严禁采用大爆破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洞口的排水沟应在洞门工程完成后再施工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洞门的排水设施应与洞门工程配合施工，同步完成。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关于隧道开挖光面爆破要求的说法，错误的是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开挖轮廓成型规则，岩面平整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岩面上保存50%以上孔痕，且无明显爆破裂缝</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爆破后围岩壁无危石</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0"/>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粒径适中，有利于洞渣运输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排出法，ABC 为光面爆破的主要标准。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关于悬索桥猫道施工技术的说法，错误的是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线形宜与主缆空载时线形平行</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架设过程中须监测塔的偏移量和承重索的垂度</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承重索可采用钢丝绳或者钢绞线</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猫道上不宜设置抗风缆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为了抗风稳定，一般设有抗风缆、抗风吊杆等坑风构件。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关于蒸发池设置的说法,错误的是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池底宜设置0.5%横坡</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底面与侧面应采取防渗措施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蒸发池应紧邻路基设置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四周应采用隔离栅进行围护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蒸发池与路基之间的距离应满足路基稳定要求。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关于支架现浇法施工风险控制措施的说法,错误的是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支架法施工前，应进行专项安全设计,并制定安装、拆除程序和安全技术措施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支架立柱底部应铺设垫板或混凝土垫块扩散压力</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满堂支架应设置的纵向剪刀撑，应由底至顶按不大于2m 间隔设置</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支架地基处应有排水措施,严禁被水浸泡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C</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满堂式支架的四边和中间每隔四排立杆应设置一道纵向剪刀撑，由底至顶连续设置。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后张法预应力施工中,直径为32mm 的预应力筋施工锚固完毕,切割后其外露长度不宜小于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86</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87</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48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1"/>
          <w:cols w:num="1" w:space="0"/>
          <w:titlePg w:val="0"/>
        </w:sect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切割后预应力筋的外露长度不应小于30mm,且不应小于1.5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 xml:space="preserve"> 倍预应力筋直径。锚具应采用封端混凝土保护，当需长期外露时，应采取防止锈蚀的措施。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抗滑桩桩孔施工中,应监测</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地下水位</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地表水流量</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桩身变形</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石比例 E.滑坡体位移和变形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施工过程中，应对地下水位、滑坡体的变形和位移进行监测。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路堤实验路段施工总结的内容包括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过程工艺控制</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安全保证措施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环保措施</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质量控制标准 E.对初步设计文件的修改建议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ABCD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路堤试验路段施工总结宜包括的内容：（1）填料试验、检测报告等。（2）压实工艺主要参数：机械组合；压实机械规格、松铺厚度、碾压遍数、碾压速度、最佳含水率及碾压时含水率范围等。（3）过程工艺控制方法。（4）质量控制标准。（5）施工组织方案及工艺的优化。（6）原始记录、过程记录。（7）对施工图的修改建议等。（8）安全保证措施、环保措施。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路面垫层结构的作用包括</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粘结</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排水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隔水</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防污 E.防冻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BCDE</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垫层作用：排水、隔水、防冻、防污等作用。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路堑施工时，其路基地面排水设施包括边沟、截水沟、排水沟、急流槽、跌水等，一般应先施工的排水设施是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截水沟 B 边沟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排水沟</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跌水与急流槽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截水沟应先施工。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sectPr>
          <w:type w:val="nextPage"/>
          <w:pgSz w:w="11906" w:h="16839"/>
          <w:pgMar w:top="1440" w:right="1080" w:bottom="1440" w:left="1080" w:header="851" w:footer="992" w:gutter="0"/>
          <w:pgNumType w:start="22"/>
          <w:cols w:num="1" w:space="0"/>
          <w:titlePg w:val="0"/>
        </w:sect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热拌沥青混凝土路面施工艺包括。①路缘石安装；②试验段施工；③喷洒透层油；④沥青混合料压实；⑤沥青混合料摊铺；⑥路面成型检测，施工顺序是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②→③→①→⑥→⑤→④</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①→③→②→⑤→④→⑥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②→①→③→⑤→④→⑥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①→②→③→⑥→⑤→④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 热拌沥青混凝土路面施工工艺流程图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软土地区路提施工期间，坡脚水平位移速率24h 应不大于</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mm。</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3</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5</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8</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10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B</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施工期间，路堤中心线地面沉降速率24h 应不大于10～15mm，坡脚水平位移速率24h 应不大于5mm。应结合沉降和位移观测结果综合分析地基稳定性。填筑速率应以水平位移控制为主，超过标准应立即停止填筑。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施工安全风险评估工作包括：①制定评估计划；②开展风险分析；③确定风险等级；④选择评估方法；⑤进行风险估测；⑥编制评估报告。最优的评估步骤是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①②④③⑤⑥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①③②④⑤⑥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①②④⑤③⑥</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①④②⑤③⑥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D</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风险评估工作包括：制定评估计划、选择评估方法、开展风险分析、进行风险估测、确定风险等级、提出措施建议、编制评估报告。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rPr>
        <w:t>适用于时标网络进度计划检查的是</w:t>
      </w:r>
      <w:r>
        <w:rPr>
          <w:rFonts w:ascii="宋体" w:eastAsia="宋体" w:hAnsi="宋体" w:cs="宋体" w:hint="eastAsia"/>
          <w:outline w:val="0"/>
          <w:shadow w:val="0"/>
          <w:emboss w:val="0"/>
          <w:imprint w:val="0"/>
          <w:vanish w:val="0"/>
          <w:w w:val="100"/>
          <w:sz w:val="28"/>
          <w:szCs w:val="28"/>
          <w:u w:val="none"/>
          <w:lang w:eastAsia="zh-CN"/>
        </w:rPr>
        <w:t>()</w:t>
      </w:r>
      <w:r>
        <w:rPr>
          <w:rFonts w:ascii="宋体" w:eastAsia="宋体" w:hAnsi="宋体" w:cs="宋体" w:hint="eastAsia"/>
          <w:outline w:val="0"/>
          <w:shadow w:val="0"/>
          <w:emboss w:val="0"/>
          <w:imprint w:val="0"/>
          <w:vanish w:val="0"/>
          <w:w w:val="100"/>
          <w:sz w:val="28"/>
          <w:szCs w:val="28"/>
          <w:u w:val="none"/>
        </w:rPr>
        <w:t>。</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A.</w:t>
      </w:r>
      <w:r>
        <w:rPr>
          <w:rFonts w:ascii="宋体" w:eastAsia="宋体" w:hAnsi="宋体" w:cs="宋体" w:hint="eastAsia"/>
          <w:outline w:val="0"/>
          <w:shadow w:val="0"/>
          <w:emboss w:val="0"/>
          <w:imprint w:val="0"/>
          <w:vanish w:val="0"/>
          <w:w w:val="100"/>
          <w:sz w:val="28"/>
          <w:szCs w:val="28"/>
          <w:u w:val="none"/>
        </w:rPr>
        <w:t>前锋线比较法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B.</w:t>
      </w:r>
      <w:r>
        <w:rPr>
          <w:rFonts w:ascii="宋体" w:eastAsia="宋体" w:hAnsi="宋体" w:cs="宋体" w:hint="eastAsia"/>
          <w:outline w:val="0"/>
          <w:shadow w:val="0"/>
          <w:emboss w:val="0"/>
          <w:imprint w:val="0"/>
          <w:vanish w:val="0"/>
          <w:w w:val="100"/>
          <w:sz w:val="28"/>
          <w:szCs w:val="28"/>
          <w:u w:val="none"/>
        </w:rPr>
        <w:t>公路工程进度表</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C.</w:t>
      </w:r>
      <w:r>
        <w:rPr>
          <w:rFonts w:ascii="宋体" w:eastAsia="宋体" w:hAnsi="宋体" w:cs="宋体" w:hint="eastAsia"/>
          <w:outline w:val="0"/>
          <w:shadow w:val="0"/>
          <w:emboss w:val="0"/>
          <w:imprint w:val="0"/>
          <w:vanish w:val="0"/>
          <w:w w:val="100"/>
          <w:sz w:val="28"/>
          <w:szCs w:val="28"/>
          <w:u w:val="none"/>
        </w:rPr>
        <w:t>“香蕉”形曲线比较法</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D.</w:t>
      </w:r>
      <w:r>
        <w:rPr>
          <w:rFonts w:ascii="宋体" w:eastAsia="宋体" w:hAnsi="宋体" w:cs="宋体" w:hint="eastAsia"/>
          <w:outline w:val="0"/>
          <w:shadow w:val="0"/>
          <w:emboss w:val="0"/>
          <w:imprint w:val="0"/>
          <w:vanish w:val="0"/>
          <w:w w:val="100"/>
          <w:sz w:val="28"/>
          <w:szCs w:val="28"/>
          <w:u w:val="none"/>
        </w:rPr>
        <w:t xml:space="preserve">横道图比较法 </w:t>
      </w:r>
      <w:r>
        <w:rPr>
          <w:rFonts w:ascii="宋体" w:eastAsia="宋体" w:hAnsi="宋体" w:cs="宋体" w:hint="eastAsia"/>
          <w:outline w:val="0"/>
          <w:shadow w:val="0"/>
          <w:emboss w:val="0"/>
          <w:imprint w:val="0"/>
          <w:vanish w:val="0"/>
          <w:w w:val="100"/>
          <w:sz w:val="28"/>
          <w:szCs w:val="28"/>
          <w:u w:val="none"/>
          <w:lang w:eastAsia="zh-CN"/>
        </w:rPr>
        <w:t xml:space="preserve"> </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正确答案：</w:t>
      </w:r>
      <w:r>
        <w:rPr>
          <w:rFonts w:ascii="宋体" w:eastAsia="宋体" w:hAnsi="宋体" w:cs="宋体" w:hint="eastAsia"/>
          <w:outline w:val="0"/>
          <w:shadow w:val="0"/>
          <w:emboss w:val="0"/>
          <w:imprint w:val="0"/>
          <w:vanish w:val="0"/>
          <w:w w:val="100"/>
          <w:sz w:val="28"/>
          <w:szCs w:val="28"/>
          <w:u w:val="none"/>
        </w:rPr>
        <w:t>A</w:t>
      </w:r>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r>
        <w:rPr>
          <w:rFonts w:ascii="宋体" w:eastAsia="宋体" w:hAnsi="宋体" w:cs="宋体" w:hint="eastAsia"/>
          <w:outline w:val="0"/>
          <w:shadow w:val="0"/>
          <w:emboss w:val="0"/>
          <w:imprint w:val="0"/>
          <w:vanish w:val="0"/>
          <w:w w:val="100"/>
          <w:sz w:val="28"/>
          <w:szCs w:val="28"/>
          <w:u w:val="none"/>
          <w:lang w:eastAsia="zh-CN"/>
        </w:rPr>
        <w:t xml:space="preserve">  </w:t>
      </w:r>
      <w:r>
        <w:rPr>
          <w:rFonts w:ascii="宋体" w:eastAsia="宋体" w:hAnsi="宋体" w:cs="宋体" w:hint="eastAsia"/>
          <w:outline w:val="0"/>
          <w:shadow w:val="0"/>
          <w:emboss w:val="0"/>
          <w:imprint w:val="0"/>
          <w:vanish w:val="0"/>
          <w:color w:val="FF0000"/>
          <w:w w:val="100"/>
          <w:sz w:val="28"/>
          <w:szCs w:val="28"/>
          <w:u w:val="none"/>
          <w:lang w:eastAsia="zh-CN"/>
        </w:rPr>
        <w:t>参考解析：</w:t>
      </w:r>
      <w:r>
        <w:rPr>
          <w:rFonts w:ascii="宋体" w:eastAsia="宋体" w:hAnsi="宋体" w:cs="宋体" w:hint="eastAsia"/>
          <w:outline w:val="0"/>
          <w:shadow w:val="0"/>
          <w:emboss w:val="0"/>
          <w:imprint w:val="0"/>
          <w:vanish w:val="0"/>
          <w:w w:val="100"/>
          <w:sz w:val="28"/>
          <w:szCs w:val="28"/>
          <w:u w:val="none"/>
        </w:rPr>
        <w:t>前锋线比较法是通过绘制某检查时刻工程项目实际进度前锋线，进行工程实际进度与计划进度比较的方法，它主要适用于时标网络计划。 </w:t>
      </w:r>
      <w:r>
        <w:rPr>
          <w:rFonts w:ascii="宋体" w:eastAsia="宋体" w:hAnsi="宋体" w:cs="宋体" w:hint="eastAsia"/>
          <w:outline w:val="0"/>
          <w:shadow w:val="0"/>
          <w:emboss w:val="0"/>
          <w:imprint w:val="0"/>
          <w:vanish w:val="0"/>
          <w:w w:val="100"/>
          <w:sz w:val="28"/>
          <w:szCs w:val="28"/>
          <w:u w:val="none"/>
        </w:rPr>
        <w:br/>
      </w:r>
      <w:r>
        <w:rPr>
          <w:rFonts w:ascii="宋体" w:eastAsia="宋体" w:hAnsi="宋体" w:cs="宋体" w:hint="eastAsia"/>
          <w:outline w:val="0"/>
          <w:shadow w:val="0"/>
          <w:emboss w:val="0"/>
          <w:imprint w:val="0"/>
          <w:vanish w:val="0"/>
          <w:w w:val="100"/>
          <w:sz w:val="28"/>
          <w:szCs w:val="28"/>
          <w:u w:val="none"/>
        </w:rPr>
        <w:br/>
      </w:r>
    </w:p>
    <w:p>
      <w:pPr>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6" w:history="1">
        <w:r>
          <w:rPr>
            <w:rFonts w:ascii="SimSun" w:eastAsia="SimSun" w:hAnsi="SimSun" w:cs="SimSun"/>
            <w:b/>
            <w:bCs/>
            <w:color w:val="0000EE"/>
            <w:kern w:val="0"/>
            <w:sz w:val="30"/>
            <w:szCs w:val="30"/>
            <w:u w:val="single" w:color="0000EE"/>
          </w:rPr>
          <w:t>https://d.book118.com/378004102113006032</w:t>
        </w:r>
      </w:hyperlink>
    </w:p>
    <w:p>
      <w:pPr>
        <w:keepNext w:val="0"/>
        <w:keepLines w:val="0"/>
        <w:pageBreakBefore w:val="0"/>
        <w:widowControl w:val="0"/>
        <w:suppressLineNumbers w:val="0"/>
        <w:kinsoku/>
        <w:wordWrap/>
        <w:overflowPunct/>
        <w:topLinePunct w:val="0"/>
        <w:autoSpaceDE/>
        <w:autoSpaceDN/>
        <w:bidi w:val="0"/>
        <w:adjustRightInd/>
        <w:snapToGrid/>
        <w:spacing w:beforeAutospacing="0" w:afterAutospacing="0" w:line="0" w:lineRule="atLeast"/>
        <w:ind w:left="0" w:right="0" w:leftChars="0" w:rightChars="0"/>
        <w:jc w:val="left"/>
        <w:textAlignment w:val="auto"/>
        <w:rPr>
          <w:rFonts w:ascii="宋体" w:eastAsia="宋体" w:hAnsi="宋体" w:cs="宋体" w:hint="eastAsia"/>
          <w:outline w:val="0"/>
          <w:shadow w:val="0"/>
          <w:emboss w:val="0"/>
          <w:imprint w:val="0"/>
          <w:vanish w:val="0"/>
          <w:w w:val="100"/>
          <w:sz w:val="28"/>
          <w:szCs w:val="28"/>
          <w:u w:val="none"/>
        </w:rPr>
      </w:pPr>
    </w:p>
    <w:sectPr>
      <w:type w:val="nextPage"/>
      <w:pgSz w:w="11906" w:h="16839"/>
      <w:pgMar w:top="1440" w:right="1080" w:bottom="1440" w:left="1080" w:header="851" w:footer="992" w:gutter="0"/>
      <w:pgNumType w:start="23"/>
      <w:cols w:num="1" w:space="0"/>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420"/>
  <w:noPunctuationKerning/>
  <w:characterSpacingControl w:val="doNotCompress"/>
  <w:compat>
    <w:doNotBreakWrappedTables/>
    <w:doNotWrapTextWithPunct/>
    <w:doNotUseEastAsianBreakRules/>
    <w:growAutofit/>
    <w:useFELayout/>
    <w:doNotUseIndentAsNumberingTabStop/>
    <w:useAltKinsokuLineBreakRules/>
    <w:compatSetting w:name="compatibilityMode" w:uri="http://schemas.microsoft.com/office/word" w:val="11"/>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0976E8"/>
    <w:rsid w:val="0C8E19EC"/>
    <w:rsid w:val="0DD502C1"/>
  </w:rsids>
  <w:docVars>
    <w:docVar w:name="commondata" w:val="eyJoZGlkIjoiMzIxODdiYzkyZWJiMzc1YmY5NThiYjgyMjcxMWRjMmQifQ=="/>
  </w:docVar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jc w:val="left"/>
    </w:pPr>
    <w:rPr>
      <w:rFonts w:asciiTheme="minorEastAsia" w:eastAsiaTheme="minorEastAsia" w:hAnsiTheme="minorEastAsia" w:cstheme="minorEastAsia"/>
      <w:kern w:val="0"/>
      <w:sz w:val="24"/>
      <w:szCs w:val="24"/>
      <w:lang w:val="en-US" w:eastAsia="zh-CN" w:bidi="ar"/>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2">
    <w:name w:val="heading 2"/>
    <w:basedOn w:val="Normal"/>
    <w:next w:val="Normal"/>
    <w:autoRedefine/>
    <w:semiHidden/>
    <w:unhideWhenUsed/>
    <w:qFormat/>
    <w:pPr>
      <w:spacing w:before="0" w:beforeAutospacing="1" w:after="0" w:afterAutospacing="1"/>
      <w:jc w:val="left"/>
      <w:outlineLvl w:val="1"/>
    </w:pPr>
    <w:rPr>
      <w:rFonts w:ascii="宋体" w:eastAsia="宋体" w:hAnsi="宋体" w:cs="宋体" w:hint="eastAsia"/>
      <w:b/>
      <w:bCs/>
      <w:kern w:val="0"/>
      <w:sz w:val="36"/>
      <w:szCs w:val="36"/>
      <w:lang w:val="en-US" w:eastAsia="zh-CN" w:bidi="ar"/>
    </w:rPr>
  </w:style>
  <w:style w:type="paragraph" w:styleId="Heading3">
    <w:name w:val="heading 3"/>
    <w:basedOn w:val="Normal"/>
    <w:next w:val="Normal"/>
    <w:semiHidden/>
    <w:unhideWhenUsed/>
    <w:qFormat/>
    <w:pPr>
      <w:spacing w:before="0" w:beforeAutospacing="1" w:after="0" w:afterAutospacing="1"/>
      <w:jc w:val="left"/>
      <w:outlineLvl w:val="2"/>
    </w:pPr>
    <w:rPr>
      <w:rFonts w:ascii="宋体" w:eastAsia="宋体" w:hAnsi="宋体" w:cs="宋体" w:hint="eastAsia"/>
      <w:b/>
      <w:bCs/>
      <w:kern w:val="0"/>
      <w:sz w:val="27"/>
      <w:szCs w:val="27"/>
      <w:lang w:val="en-US" w:eastAsia="zh-CN" w:bidi="ar"/>
    </w:rPr>
  </w:style>
  <w:style w:type="paragraph" w:styleId="Heading4">
    <w:name w:val="heading 4"/>
    <w:basedOn w:val="Normal"/>
    <w:next w:val="Normal"/>
    <w:semiHidden/>
    <w:unhideWhenUsed/>
    <w:qFormat/>
    <w:pPr>
      <w:spacing w:before="0" w:beforeAutospacing="1" w:after="0" w:afterAutospacing="1"/>
      <w:jc w:val="left"/>
      <w:outlineLvl w:val="3"/>
    </w:pPr>
    <w:rPr>
      <w:rFonts w:ascii="宋体" w:eastAsia="宋体" w:hAnsi="宋体" w:cs="宋体" w:hint="eastAsia"/>
      <w:b/>
      <w:bCs/>
      <w:kern w:val="0"/>
      <w:sz w:val="24"/>
      <w:szCs w:val="24"/>
      <w:lang w:val="en-US" w:eastAsia="zh-CN" w:bidi="ar"/>
    </w:rPr>
  </w:style>
  <w:style w:type="paragraph" w:styleId="Heading5">
    <w:name w:val="heading 5"/>
    <w:basedOn w:val="Normal"/>
    <w:next w:val="Normal"/>
    <w:semiHidden/>
    <w:unhideWhenUsed/>
    <w:qFormat/>
    <w:pPr>
      <w:spacing w:before="0" w:beforeAutospacing="1" w:after="0" w:afterAutospacing="1"/>
      <w:jc w:val="left"/>
      <w:outlineLvl w:val="4"/>
    </w:pPr>
    <w:rPr>
      <w:rFonts w:ascii="宋体" w:eastAsia="宋体" w:hAnsi="宋体" w:cs="宋体" w:hint="eastAsia"/>
      <w:b/>
      <w:bCs/>
      <w:kern w:val="0"/>
      <w:sz w:val="20"/>
      <w:szCs w:val="20"/>
      <w:lang w:val="en-US" w:eastAsia="zh-CN" w:bidi="ar"/>
    </w:rPr>
  </w:style>
  <w:style w:type="paragraph" w:styleId="Heading6">
    <w:name w:val="heading 6"/>
    <w:basedOn w:val="Normal"/>
    <w:next w:val="Normal"/>
    <w:semiHidden/>
    <w:unhideWhenUsed/>
    <w:qFormat/>
    <w:pPr>
      <w:spacing w:before="0" w:beforeAutospacing="1" w:after="0" w:afterAutospacing="1"/>
      <w:jc w:val="left"/>
      <w:outlineLvl w:val="5"/>
    </w:pPr>
    <w:rPr>
      <w:rFonts w:ascii="宋体" w:eastAsia="宋体" w:hAnsi="宋体" w:cs="宋体" w:hint="eastAsia"/>
      <w:b/>
      <w:bCs/>
      <w:kern w:val="0"/>
      <w:sz w:val="15"/>
      <w:szCs w:val="15"/>
      <w:lang w:val="en-US" w:eastAsia="zh-CN" w:bidi="ar"/>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HTMLPreformatted">
    <w:name w:val="HTML Preformatted"/>
    <w:basedOn w:val="Normal"/>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hint="eastAsia"/>
      <w:kern w:val="0"/>
      <w:sz w:val="24"/>
      <w:szCs w:val="24"/>
      <w:lang w:val="en-US" w:eastAsia="zh-CN" w:bidi="ar"/>
    </w:rPr>
  </w:style>
  <w:style w:type="paragraph" w:styleId="NormalWeb">
    <w:name w:val="Normal (Web)"/>
    <w:basedOn w:val="Normal"/>
    <w:autoRedefine/>
    <w:qFormat/>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http://exam.dxwmedu.com///files/attach/files/content/20210608/16231402817891.png" TargetMode="External" /><Relationship Id="rId6" Type="http://schemas.openxmlformats.org/officeDocument/2006/relationships/hyperlink" Target="https://d.book118.com/378004102113006032"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江南博哥</cp:lastModifiedBy>
  <cp:revision>0</cp:revision>
  <dcterms:created xsi:type="dcterms:W3CDTF">2024-01-29T04:48:00Z</dcterms:created>
  <dcterms:modified xsi:type="dcterms:W3CDTF">2024-01-31T00:17:02Z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D62B27A7F6B64066800185654CAE32EE_13</vt:lpwstr>
  </property>
  <property fmtid="{D5CDD505-2E9C-101B-9397-08002B2CF9AE}" pid="3" name="KSOProductBuildVer">
    <vt:lpwstr>2052-12.1.0.16250</vt:lpwstr>
  </property>
</Properties>
</file>