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1、[题干]男，6岁，体检发现高血压。平素无头痛、头晕、浮肿等症状。生长发育正常，血压120/90mmHg，心率105次/分。血浆肾素、血管紧张素Ⅱ轻度增高。尿常规、腹部B超等检查未见异常。最可能的诊断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A.肾血管性高血压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B.多发性大动脉炎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C.原发高血压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D.甲状腺功能亢进。E,家族性高血压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2、[题干]患者不寐，性情急躁易怒，不思饮食，目赤口苦，小便黄赤，大便秘结，舌红苔黄，脉弦数。治疗应首选的方剂是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A.龙胆泻肝汤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B.丹栀逍遥散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C.玉女煎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D.当归龙荟丸。E,大承气汤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3、[题干]肝胃郁热型胃痛的特点是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A.隐痛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B.灼痛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C.胀痛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D.刺痛。E,暴痛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4、薄荷除了能疏散风热、利咽透疹外，还可以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A.清肝明目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B.疏肝行气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C.息风止痉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D.清热解毒。E,除烦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【解析】薄荷：疏散风热，清利头目，利咽透疹，疏肝行气。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5、[题干]关于小儿肥胖的治疗不妥的是()。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A.加强运动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B.食物能量来源主要为高蛋白、低脂肪、低糖类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C.食用体积较大的食物，易产生饱感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D.使用减肥药物。E,行为矫正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https://d.book118.com/378004132021006037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78004132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