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ind w:firstLine="2700" w:firstLineChars="900"/>
        <w:rPr>
          <w:b/>
          <w:bCs/>
          <w:sz w:val="30"/>
          <w:szCs w:val="30"/>
        </w:rPr>
      </w:pPr>
    </w:p>
    <w:p>
      <w:pPr>
        <w:jc w:val="center"/>
        <w:rPr>
          <w:rFonts w:ascii="黑体" w:eastAsia="黑体" w:hAnsi="黑体" w:cs="黑体"/>
          <w:b/>
          <w:bCs/>
          <w:sz w:val="32"/>
          <w:szCs w:val="32"/>
        </w:rPr>
        <w:sectPr>
          <w:footerReference w:type="default" r:id="rId6"/>
          <w:pgSz w:w="11906" w:h="16838"/>
          <w:pgMar w:top="1440" w:right="1797" w:bottom="1440" w:left="1797" w:header="851" w:footer="992" w:gutter="0"/>
          <w:cols w:num="1" w:space="0"/>
          <w:docGrid w:type="lines" w:linePitch="312" w:charSpace="0"/>
        </w:sectPr>
      </w:pPr>
    </w:p>
    <w:p>
      <w:pPr>
        <w:jc w:val="both"/>
        <w:rPr>
          <w:rFonts w:ascii="黑体" w:eastAsia="黑体" w:hAnsi="黑体" w:cs="黑体"/>
          <w:b/>
          <w:sz w:val="30"/>
          <w:szCs w:val="30"/>
        </w:rPr>
      </w:pPr>
      <w:bookmarkStart w:id="0" w:name="_GoBack"/>
      <w:r>
        <w:rPr>
          <w:rFonts w:ascii="黑体" w:eastAsia="黑体" w:hAnsi="黑体" w:cs="黑体" w:hint="eastAsia"/>
          <w:b/>
          <w:bCs/>
          <w:sz w:val="32"/>
          <w:szCs w:val="32"/>
        </w:rPr>
        <w:t>偿债能力分析</w:t>
      </w:r>
      <w:r>
        <w:rPr>
          <w:rFonts w:ascii="黑体" w:eastAsia="黑体" w:hAnsi="黑体" w:cs="黑体" w:hint="eastAsia"/>
          <w:b/>
          <w:sz w:val="30"/>
          <w:szCs w:val="30"/>
        </w:rPr>
        <w:t>——以美的集团为例</w:t>
      </w:r>
    </w:p>
    <w:bookmarkEnd w:id="0"/>
    <w:p>
      <w:pPr>
        <w:jc w:val="center"/>
        <w:rPr>
          <w:rFonts w:ascii="宋体" w:eastAsia="宋体" w:hAnsi="宋体"/>
          <w:sz w:val="24"/>
        </w:rPr>
      </w:pPr>
    </w:p>
    <w:p/>
    <w:p>
      <w:pPr>
        <w:spacing w:line="400" w:lineRule="exact"/>
        <w:rPr>
          <w:rFonts w:ascii="仿宋" w:eastAsia="仿宋" w:hAnsi="仿宋" w:cs="仿宋"/>
          <w:sz w:val="24"/>
        </w:rPr>
      </w:pPr>
      <w:bookmarkStart w:id="1" w:name="_Toc28015"/>
      <w:r>
        <w:rPr>
          <w:rStyle w:val="1Char"/>
          <w:rFonts w:ascii="黑体" w:eastAsia="黑体" w:hAnsi="黑体" w:hint="eastAsia"/>
        </w:rPr>
        <w:t>摘要</w:t>
      </w:r>
      <w:bookmarkEnd w:id="1"/>
      <w:r>
        <w:rPr>
          <w:rFonts w:ascii="黑体" w:eastAsia="黑体" w:hAnsi="黑体" w:cs="黑体" w:hint="eastAsia"/>
          <w:sz w:val="24"/>
        </w:rPr>
        <w:t>：</w:t>
      </w:r>
      <w:r>
        <w:rPr>
          <w:rFonts w:ascii="仿宋" w:eastAsia="仿宋" w:hAnsi="仿宋" w:cs="仿宋" w:hint="eastAsia"/>
          <w:sz w:val="24"/>
        </w:rPr>
        <w:t>随着我国科学技术的不断进步，经济的不断地发展，企业的规模也越来来越大。很多企业为了维持日常的经营活动资金周转和以后的长期发展，以及对于财务杠杆运用状况方面的考虑，企业一般会通过向外借债的方式筹集资金，以维持整个企业正常的经营活动，从而形成了企业的负债。现代企业的运营资金除了本身所拥有的之外，其他资金很大一部分都是通过向外借债的得来的，向外借债就形成了企业的债务，短期和长期两种负债方式决定了债务。一方面对于企业而言，一旦具备负债，企业就占有了更多资金，可满足企业日常使用和周转所需；另外一方面企业的财务会因为负债的原因，在债务到期的情况下需要付息以及偿还本金，增加了风险和负担，甚至有一部分企业的股东会因为企业没办法如期偿还债务而收益受损，企业也有可能破产。对于社会主义市场机制下的现代企业而言，在经营过程中为了在激烈的竞争中脱颖而出，负债经营已然成为诸多企业经营的常态，而不少投资者也开始关注企业是否具备偿债能力，判断一个现代企业是否具备偿债能力，经营能力、发展趋势、财务状况等都是重要的判断依据。基于此，企业的相关的团体利益以及企业的发展过程中，都应该把分析企业偿债能力放在首位。</w:t>
      </w:r>
    </w:p>
    <w:p>
      <w:pPr>
        <w:spacing w:line="400" w:lineRule="exact"/>
        <w:rPr>
          <w:rFonts w:ascii="仿宋" w:eastAsia="仿宋" w:hAnsi="仿宋" w:cs="仿宋"/>
          <w:sz w:val="24"/>
        </w:rPr>
      </w:pPr>
      <w:r>
        <w:rPr>
          <w:rFonts w:ascii="黑体" w:eastAsia="黑体" w:hAnsi="黑体" w:cs="黑体" w:hint="eastAsia"/>
          <w:sz w:val="24"/>
        </w:rPr>
        <w:t>关键词：</w:t>
      </w:r>
      <w:r>
        <w:rPr>
          <w:rFonts w:ascii="仿宋" w:eastAsia="仿宋" w:hAnsi="仿宋" w:cs="仿宋" w:hint="eastAsia"/>
          <w:sz w:val="24"/>
        </w:rPr>
        <w:t>举债；短期偿债能力；长期偿债能力</w:t>
      </w:r>
    </w:p>
    <w:p>
      <w:pPr>
        <w:spacing w:line="400" w:lineRule="exact"/>
        <w:rPr>
          <w:rFonts w:ascii="仿宋" w:eastAsia="仿宋" w:hAnsi="仿宋" w:cs="仿宋"/>
          <w:sz w:val="24"/>
        </w:rPr>
      </w:pPr>
    </w:p>
    <w:p>
      <w:pPr>
        <w:spacing w:line="400" w:lineRule="exact"/>
        <w:jc w:val="center"/>
        <w:rPr>
          <w:rFonts w:ascii="Times New Roman" w:eastAsia="宋体" w:hAnsi="Times New Roman" w:cs="Times New Roman"/>
          <w:b/>
          <w:bCs/>
          <w:kern w:val="0"/>
          <w:sz w:val="28"/>
          <w:szCs w:val="28"/>
          <w:lang w:bidi="ar"/>
        </w:rPr>
      </w:pPr>
      <w:r>
        <w:rPr>
          <w:rFonts w:ascii="Times New Roman" w:eastAsia="宋体" w:hAnsi="Times New Roman" w:cs="Times New Roman"/>
          <w:b/>
          <w:bCs/>
          <w:kern w:val="0"/>
          <w:sz w:val="28"/>
          <w:szCs w:val="28"/>
          <w:lang w:bidi="ar"/>
        </w:rPr>
        <w:t>Analysis of Meide Group's Debt Solvency</w:t>
      </w:r>
    </w:p>
    <w:p>
      <w:pPr>
        <w:spacing w:line="400" w:lineRule="exact"/>
        <w:jc w:val="center"/>
        <w:rPr>
          <w:rFonts w:ascii="Times New Roman" w:eastAsia="宋体" w:hAnsi="Times New Roman" w:cs="Times New Roman"/>
          <w:b/>
          <w:bCs/>
          <w:kern w:val="0"/>
          <w:sz w:val="28"/>
          <w:szCs w:val="28"/>
          <w:lang w:bidi="ar"/>
        </w:rPr>
      </w:pPr>
    </w:p>
    <w:p>
      <w:pPr>
        <w:spacing w:line="400" w:lineRule="exact"/>
        <w:rPr>
          <w:rFonts w:ascii="Times New Roman" w:hAnsi="Times New Roman" w:cs="Times New Roman"/>
          <w:bCs/>
          <w:sz w:val="24"/>
        </w:rPr>
      </w:pPr>
    </w:p>
    <w:p>
      <w:pPr>
        <w:widowControl/>
        <w:spacing w:line="400" w:lineRule="exact"/>
        <w:rPr>
          <w:rFonts w:ascii="Times New Roman" w:hAnsi="Times New Roman" w:cs="Times New Roman"/>
          <w:sz w:val="24"/>
        </w:rPr>
      </w:pPr>
      <w:bookmarkStart w:id="2" w:name="_Toc21313"/>
      <w:r>
        <w:rPr>
          <w:rStyle w:val="1Char"/>
          <w:rFonts w:ascii="Times New Roman" w:hAnsi="Times New Roman" w:cs="Times New Roman"/>
        </w:rPr>
        <w:t>Abstract</w:t>
      </w:r>
      <w:bookmarkEnd w:id="2"/>
      <w:r>
        <w:rPr>
          <w:rFonts w:ascii="Times New Roman" w:hAnsi="Times New Roman" w:cs="Times New Roman"/>
          <w:sz w:val="24"/>
        </w:rPr>
        <w:t>: T</w:t>
      </w:r>
      <w:r>
        <w:rPr>
          <w:rFonts w:ascii="Times New Roman" w:hAnsi="Times New Roman" w:cs="Times New Roman"/>
          <w:sz w:val="24"/>
        </w:rPr>
        <w:t>he</w:t>
      </w:r>
      <w:r>
        <w:rPr>
          <w:rFonts w:ascii="Times New Roman" w:hAnsi="Times New Roman" w:cs="Times New Roman"/>
          <w:sz w:val="24"/>
        </w:rPr>
        <w:t xml:space="preserve"> progress</w:t>
      </w:r>
      <w:r>
        <w:rPr>
          <w:rFonts w:ascii="Times New Roman" w:hAnsi="Times New Roman" w:cs="Times New Roman"/>
          <w:sz w:val="24"/>
        </w:rPr>
        <w:t xml:space="preserve"> of</w:t>
      </w:r>
      <w:r>
        <w:rPr>
          <w:rFonts w:ascii="Times New Roman" w:hAnsi="Times New Roman" w:cs="Times New Roman"/>
          <w:sz w:val="24"/>
        </w:rPr>
        <w:t xml:space="preserve"> science</w:t>
      </w:r>
      <w:r>
        <w:rPr>
          <w:rFonts w:ascii="Times New Roman" w:hAnsi="Times New Roman" w:cs="Times New Roman"/>
          <w:sz w:val="24"/>
        </w:rPr>
        <w:t xml:space="preserve"> and</w:t>
      </w:r>
      <w:r>
        <w:rPr>
          <w:rFonts w:ascii="Times New Roman" w:hAnsi="Times New Roman" w:cs="Times New Roman"/>
          <w:sz w:val="24"/>
        </w:rPr>
        <w:t xml:space="preserve"> technology</w:t>
      </w:r>
      <w:r>
        <w:rPr>
          <w:rFonts w:ascii="Times New Roman" w:hAnsi="Times New Roman" w:cs="Times New Roman"/>
          <w:sz w:val="24"/>
        </w:rPr>
        <w:t xml:space="preserve"> and</w:t>
      </w:r>
      <w:r>
        <w:rPr>
          <w:rFonts w:ascii="Times New Roman" w:hAnsi="Times New Roman" w:cs="Times New Roman"/>
          <w:sz w:val="24"/>
        </w:rPr>
        <w:t xml:space="preserve"> the</w:t>
      </w:r>
      <w:r>
        <w:rPr>
          <w:rFonts w:ascii="Times New Roman" w:hAnsi="Times New Roman" w:cs="Times New Roman"/>
          <w:sz w:val="24"/>
        </w:rPr>
        <w:t xml:space="preserve"> development</w:t>
      </w:r>
      <w:r>
        <w:rPr>
          <w:rFonts w:ascii="Times New Roman" w:hAnsi="Times New Roman" w:cs="Times New Roman"/>
          <w:sz w:val="24"/>
        </w:rPr>
        <w:t xml:space="preserve"> of</w:t>
      </w:r>
      <w:r>
        <w:rPr>
          <w:rFonts w:ascii="Times New Roman" w:hAnsi="Times New Roman" w:cs="Times New Roman"/>
          <w:sz w:val="24"/>
        </w:rPr>
        <w:t xml:space="preserve"> economy</w:t>
      </w:r>
      <w:r>
        <w:rPr>
          <w:rFonts w:ascii="Times New Roman" w:hAnsi="Times New Roman" w:cs="Times New Roman"/>
          <w:sz w:val="24"/>
        </w:rPr>
        <w:t xml:space="preserve"> in</w:t>
      </w:r>
      <w:r>
        <w:rPr>
          <w:rFonts w:ascii="Times New Roman" w:hAnsi="Times New Roman" w:cs="Times New Roman"/>
          <w:sz w:val="24"/>
        </w:rPr>
        <w:t xml:space="preserve"> China</w:t>
      </w:r>
      <w:r>
        <w:rPr>
          <w:rFonts w:ascii="Times New Roman" w:hAnsi="Times New Roman" w:cs="Times New Roman"/>
          <w:sz w:val="24"/>
        </w:rPr>
        <w:t xml:space="preserve"> have</w:t>
      </w:r>
      <w:r>
        <w:rPr>
          <w:rFonts w:ascii="Times New Roman" w:hAnsi="Times New Roman" w:cs="Times New Roman"/>
          <w:sz w:val="24"/>
        </w:rPr>
        <w:t xml:space="preserve"> promoted</w:t>
      </w:r>
      <w:r>
        <w:rPr>
          <w:rFonts w:ascii="Times New Roman" w:hAnsi="Times New Roman" w:cs="Times New Roman"/>
          <w:sz w:val="24"/>
        </w:rPr>
        <w:t xml:space="preserve"> the</w:t>
      </w:r>
      <w:r>
        <w:rPr>
          <w:rFonts w:ascii="Times New Roman" w:hAnsi="Times New Roman" w:cs="Times New Roman"/>
          <w:sz w:val="24"/>
        </w:rPr>
        <w:t xml:space="preserve"> continuous</w:t>
      </w:r>
      <w:r>
        <w:rPr>
          <w:rFonts w:ascii="Times New Roman" w:hAnsi="Times New Roman" w:cs="Times New Roman"/>
          <w:sz w:val="24"/>
        </w:rPr>
        <w:t xml:space="preserve"> expansion</w:t>
      </w:r>
      <w:r>
        <w:rPr>
          <w:rFonts w:ascii="Times New Roman" w:hAnsi="Times New Roman" w:cs="Times New Roman"/>
          <w:sz w:val="24"/>
        </w:rPr>
        <w:t xml:space="preserve"> of</w:t>
      </w:r>
      <w:r>
        <w:rPr>
          <w:rFonts w:ascii="Times New Roman" w:hAnsi="Times New Roman" w:cs="Times New Roman"/>
          <w:sz w:val="24"/>
        </w:rPr>
        <w:t xml:space="preserve"> the</w:t>
      </w:r>
      <w:r>
        <w:rPr>
          <w:rFonts w:ascii="Times New Roman" w:hAnsi="Times New Roman" w:cs="Times New Roman"/>
          <w:sz w:val="24"/>
        </w:rPr>
        <w:t xml:space="preserve"> scale</w:t>
      </w:r>
      <w:r>
        <w:rPr>
          <w:rFonts w:ascii="Times New Roman" w:hAnsi="Times New Roman" w:cs="Times New Roman"/>
          <w:sz w:val="24"/>
        </w:rPr>
        <w:t xml:space="preserve"> of</w:t>
      </w:r>
      <w:r>
        <w:rPr>
          <w:rFonts w:ascii="Times New Roman" w:hAnsi="Times New Roman" w:cs="Times New Roman"/>
          <w:sz w:val="24"/>
        </w:rPr>
        <w:t xml:space="preserve"> enterprises.In</w:t>
      </w:r>
      <w:r>
        <w:rPr>
          <w:rFonts w:ascii="Times New Roman" w:hAnsi="Times New Roman" w:cs="Times New Roman"/>
          <w:sz w:val="24"/>
        </w:rPr>
        <w:t xml:space="preserve"> order</w:t>
      </w:r>
      <w:r>
        <w:rPr>
          <w:rFonts w:ascii="Times New Roman" w:hAnsi="Times New Roman" w:cs="Times New Roman"/>
          <w:sz w:val="24"/>
        </w:rPr>
        <w:t xml:space="preserve"> to</w:t>
      </w:r>
      <w:r>
        <w:rPr>
          <w:rFonts w:ascii="Times New Roman" w:hAnsi="Times New Roman" w:cs="Times New Roman"/>
          <w:sz w:val="24"/>
        </w:rPr>
        <w:t xml:space="preserve"> maintain</w:t>
      </w:r>
      <w:r>
        <w:rPr>
          <w:rFonts w:ascii="Times New Roman" w:hAnsi="Times New Roman" w:cs="Times New Roman"/>
          <w:sz w:val="24"/>
        </w:rPr>
        <w:t xml:space="preserve"> the</w:t>
      </w:r>
      <w:r>
        <w:rPr>
          <w:rFonts w:ascii="Times New Roman" w:hAnsi="Times New Roman" w:cs="Times New Roman"/>
          <w:sz w:val="24"/>
        </w:rPr>
        <w:t xml:space="preserve"> capital</w:t>
      </w:r>
      <w:r>
        <w:rPr>
          <w:rFonts w:ascii="Times New Roman" w:hAnsi="Times New Roman" w:cs="Times New Roman"/>
          <w:sz w:val="24"/>
        </w:rPr>
        <w:t xml:space="preserve"> turnover</w:t>
      </w:r>
      <w:r>
        <w:rPr>
          <w:rFonts w:ascii="Times New Roman" w:hAnsi="Times New Roman" w:cs="Times New Roman"/>
          <w:sz w:val="24"/>
        </w:rPr>
        <w:t xml:space="preserve"> of</w:t>
      </w:r>
      <w:r>
        <w:rPr>
          <w:rFonts w:ascii="Times New Roman" w:hAnsi="Times New Roman" w:cs="Times New Roman"/>
          <w:sz w:val="24"/>
        </w:rPr>
        <w:t xml:space="preserve"> daily</w:t>
      </w:r>
      <w:r>
        <w:rPr>
          <w:rFonts w:ascii="Times New Roman" w:hAnsi="Times New Roman" w:cs="Times New Roman"/>
          <w:sz w:val="24"/>
        </w:rPr>
        <w:t xml:space="preserve"> business</w:t>
      </w:r>
      <w:r>
        <w:rPr>
          <w:rFonts w:ascii="Times New Roman" w:hAnsi="Times New Roman" w:cs="Times New Roman"/>
          <w:sz w:val="24"/>
        </w:rPr>
        <w:t xml:space="preserve"> activities</w:t>
      </w:r>
      <w:r>
        <w:rPr>
          <w:rFonts w:ascii="Times New Roman" w:hAnsi="Times New Roman" w:cs="Times New Roman"/>
          <w:sz w:val="24"/>
        </w:rPr>
        <w:t xml:space="preserve"> and</w:t>
      </w:r>
      <w:r>
        <w:rPr>
          <w:rFonts w:ascii="Times New Roman" w:hAnsi="Times New Roman" w:cs="Times New Roman"/>
          <w:sz w:val="24"/>
        </w:rPr>
        <w:t xml:space="preserve"> the</w:t>
      </w:r>
      <w:r>
        <w:rPr>
          <w:rFonts w:ascii="Times New Roman" w:hAnsi="Times New Roman" w:cs="Times New Roman"/>
          <w:sz w:val="24"/>
        </w:rPr>
        <w:t xml:space="preserve"> long-term</w:t>
      </w:r>
      <w:r>
        <w:rPr>
          <w:rFonts w:ascii="Times New Roman" w:hAnsi="Times New Roman" w:cs="Times New Roman"/>
          <w:sz w:val="24"/>
        </w:rPr>
        <w:t xml:space="preserve"> development</w:t>
      </w:r>
      <w:r>
        <w:rPr>
          <w:rFonts w:ascii="Times New Roman" w:hAnsi="Times New Roman" w:cs="Times New Roman"/>
          <w:sz w:val="24"/>
        </w:rPr>
        <w:t xml:space="preserve"> in</w:t>
      </w:r>
      <w:r>
        <w:rPr>
          <w:rFonts w:ascii="Times New Roman" w:hAnsi="Times New Roman" w:cs="Times New Roman"/>
          <w:sz w:val="24"/>
        </w:rPr>
        <w:t xml:space="preserve"> the</w:t>
      </w:r>
      <w:r>
        <w:rPr>
          <w:rFonts w:ascii="Times New Roman" w:hAnsi="Times New Roman" w:cs="Times New Roman"/>
          <w:sz w:val="24"/>
        </w:rPr>
        <w:t xml:space="preserve"> future,</w:t>
      </w:r>
      <w:r>
        <w:rPr>
          <w:rFonts w:ascii="Times New Roman" w:hAnsi="Times New Roman" w:cs="Times New Roman"/>
          <w:sz w:val="24"/>
        </w:rPr>
        <w:t xml:space="preserve"> as</w:t>
      </w:r>
      <w:r>
        <w:rPr>
          <w:rFonts w:ascii="Times New Roman" w:hAnsi="Times New Roman" w:cs="Times New Roman"/>
          <w:sz w:val="24"/>
        </w:rPr>
        <w:t xml:space="preserve"> well</w:t>
      </w:r>
      <w:r>
        <w:rPr>
          <w:rFonts w:ascii="Times New Roman" w:hAnsi="Times New Roman" w:cs="Times New Roman"/>
          <w:sz w:val="24"/>
        </w:rPr>
        <w:t xml:space="preserve"> as</w:t>
      </w:r>
      <w:r>
        <w:rPr>
          <w:rFonts w:ascii="Times New Roman" w:hAnsi="Times New Roman" w:cs="Times New Roman"/>
          <w:sz w:val="24"/>
        </w:rPr>
        <w:t xml:space="preserve"> the</w:t>
      </w:r>
      <w:r>
        <w:rPr>
          <w:rFonts w:ascii="Times New Roman" w:hAnsi="Times New Roman" w:cs="Times New Roman"/>
          <w:sz w:val="24"/>
        </w:rPr>
        <w:t xml:space="preserve"> consideration</w:t>
      </w:r>
      <w:r>
        <w:rPr>
          <w:rFonts w:ascii="Times New Roman" w:hAnsi="Times New Roman" w:cs="Times New Roman"/>
          <w:sz w:val="24"/>
        </w:rPr>
        <w:t xml:space="preserve"> of</w:t>
      </w:r>
      <w:r>
        <w:rPr>
          <w:rFonts w:ascii="Times New Roman" w:hAnsi="Times New Roman" w:cs="Times New Roman"/>
          <w:sz w:val="24"/>
        </w:rPr>
        <w:t xml:space="preserve"> the</w:t>
      </w:r>
      <w:r>
        <w:rPr>
          <w:rFonts w:ascii="Times New Roman" w:hAnsi="Times New Roman" w:cs="Times New Roman"/>
          <w:sz w:val="24"/>
        </w:rPr>
        <w:t xml:space="preserve"> use</w:t>
      </w:r>
      <w:r>
        <w:rPr>
          <w:rFonts w:ascii="Times New Roman" w:hAnsi="Times New Roman" w:cs="Times New Roman"/>
          <w:sz w:val="24"/>
        </w:rPr>
        <w:t xml:space="preserve"> of</w:t>
      </w:r>
      <w:r>
        <w:rPr>
          <w:rFonts w:ascii="Times New Roman" w:hAnsi="Times New Roman" w:cs="Times New Roman"/>
          <w:sz w:val="24"/>
        </w:rPr>
        <w:t xml:space="preserve"> financial</w:t>
      </w:r>
      <w:r>
        <w:rPr>
          <w:rFonts w:ascii="Times New Roman" w:hAnsi="Times New Roman" w:cs="Times New Roman"/>
          <w:sz w:val="24"/>
        </w:rPr>
        <w:t xml:space="preserve"> leverage,</w:t>
      </w:r>
      <w:r>
        <w:rPr>
          <w:rFonts w:ascii="Times New Roman" w:hAnsi="Times New Roman" w:cs="Times New Roman"/>
          <w:sz w:val="24"/>
        </w:rPr>
        <w:t xml:space="preserve"> many</w:t>
      </w:r>
      <w:r>
        <w:rPr>
          <w:rFonts w:ascii="Times New Roman" w:hAnsi="Times New Roman" w:cs="Times New Roman"/>
          <w:sz w:val="24"/>
        </w:rPr>
        <w:t xml:space="preserve"> enterprises</w:t>
      </w:r>
      <w:r>
        <w:rPr>
          <w:rFonts w:ascii="Times New Roman" w:hAnsi="Times New Roman" w:cs="Times New Roman"/>
          <w:sz w:val="24"/>
        </w:rPr>
        <w:t xml:space="preserve"> generally</w:t>
      </w:r>
      <w:r>
        <w:rPr>
          <w:rFonts w:ascii="Times New Roman" w:hAnsi="Times New Roman" w:cs="Times New Roman"/>
          <w:sz w:val="24"/>
        </w:rPr>
        <w:t xml:space="preserve"> raise</w:t>
      </w:r>
      <w:r>
        <w:rPr>
          <w:rFonts w:ascii="Times New Roman" w:hAnsi="Times New Roman" w:cs="Times New Roman"/>
          <w:sz w:val="24"/>
        </w:rPr>
        <w:t xml:space="preserve"> funds</w:t>
      </w:r>
      <w:r>
        <w:rPr>
          <w:rFonts w:ascii="Times New Roman" w:hAnsi="Times New Roman" w:cs="Times New Roman"/>
          <w:sz w:val="24"/>
        </w:rPr>
        <w:t xml:space="preserve"> by</w:t>
      </w:r>
      <w:r>
        <w:rPr>
          <w:rFonts w:ascii="Times New Roman" w:hAnsi="Times New Roman" w:cs="Times New Roman"/>
          <w:sz w:val="24"/>
        </w:rPr>
        <w:t xml:space="preserve"> borrowing</w:t>
      </w:r>
      <w:r>
        <w:rPr>
          <w:rFonts w:ascii="Times New Roman" w:hAnsi="Times New Roman" w:cs="Times New Roman"/>
          <w:sz w:val="24"/>
        </w:rPr>
        <w:t xml:space="preserve"> money</w:t>
      </w:r>
      <w:r>
        <w:rPr>
          <w:rFonts w:ascii="Times New Roman" w:hAnsi="Times New Roman" w:cs="Times New Roman"/>
          <w:sz w:val="24"/>
        </w:rPr>
        <w:t xml:space="preserve"> to</w:t>
      </w:r>
      <w:r>
        <w:rPr>
          <w:rFonts w:ascii="Times New Roman" w:hAnsi="Times New Roman" w:cs="Times New Roman"/>
          <w:sz w:val="24"/>
        </w:rPr>
        <w:t xml:space="preserve"> maintain</w:t>
      </w:r>
      <w:r>
        <w:rPr>
          <w:rFonts w:ascii="Times New Roman" w:hAnsi="Times New Roman" w:cs="Times New Roman"/>
          <w:sz w:val="24"/>
        </w:rPr>
        <w:t xml:space="preserve"> the</w:t>
      </w:r>
      <w:r>
        <w:rPr>
          <w:rFonts w:ascii="Times New Roman" w:hAnsi="Times New Roman" w:cs="Times New Roman"/>
          <w:sz w:val="24"/>
        </w:rPr>
        <w:t xml:space="preserve"> normal</w:t>
      </w:r>
      <w:r>
        <w:rPr>
          <w:rFonts w:ascii="Times New Roman" w:hAnsi="Times New Roman" w:cs="Times New Roman"/>
          <w:sz w:val="24"/>
        </w:rPr>
        <w:t xml:space="preserve"> business</w:t>
      </w:r>
      <w:r>
        <w:rPr>
          <w:rFonts w:ascii="Times New Roman" w:hAnsi="Times New Roman" w:cs="Times New Roman"/>
          <w:sz w:val="24"/>
        </w:rPr>
        <w:t xml:space="preserve"> activities</w:t>
      </w:r>
      <w:r>
        <w:rPr>
          <w:rFonts w:ascii="Times New Roman" w:hAnsi="Times New Roman" w:cs="Times New Roman"/>
          <w:sz w:val="24"/>
        </w:rPr>
        <w:t xml:space="preserve"> of</w:t>
      </w:r>
      <w:r>
        <w:rPr>
          <w:rFonts w:ascii="Times New Roman" w:hAnsi="Times New Roman" w:cs="Times New Roman"/>
          <w:sz w:val="24"/>
        </w:rPr>
        <w:t xml:space="preserve"> the</w:t>
      </w:r>
      <w:r>
        <w:rPr>
          <w:rFonts w:ascii="Times New Roman" w:hAnsi="Times New Roman" w:cs="Times New Roman"/>
          <w:sz w:val="24"/>
        </w:rPr>
        <w:t xml:space="preserve"> whole</w:t>
      </w:r>
      <w:r>
        <w:rPr>
          <w:rFonts w:ascii="Times New Roman" w:hAnsi="Times New Roman" w:cs="Times New Roman"/>
          <w:sz w:val="24"/>
        </w:rPr>
        <w:t xml:space="preserve"> enterprise,</w:t>
      </w:r>
      <w:r>
        <w:rPr>
          <w:rFonts w:ascii="Times New Roman" w:hAnsi="Times New Roman" w:cs="Times New Roman"/>
          <w:sz w:val="24"/>
        </w:rPr>
        <w:t xml:space="preserve"> thus</w:t>
      </w:r>
      <w:r>
        <w:rPr>
          <w:rFonts w:ascii="Times New Roman" w:hAnsi="Times New Roman" w:cs="Times New Roman"/>
          <w:sz w:val="24"/>
        </w:rPr>
        <w:t xml:space="preserve"> forming</w:t>
      </w:r>
      <w:r>
        <w:rPr>
          <w:rFonts w:ascii="Times New Roman" w:hAnsi="Times New Roman" w:cs="Times New Roman"/>
          <w:sz w:val="24"/>
        </w:rPr>
        <w:t xml:space="preserve"> the</w:t>
      </w:r>
      <w:r>
        <w:rPr>
          <w:rFonts w:ascii="Times New Roman" w:hAnsi="Times New Roman" w:cs="Times New Roman"/>
          <w:sz w:val="24"/>
        </w:rPr>
        <w:t xml:space="preserve"> enterprise's</w:t>
      </w:r>
      <w:r>
        <w:rPr>
          <w:rFonts w:ascii="Times New Roman" w:hAnsi="Times New Roman" w:cs="Times New Roman"/>
          <w:sz w:val="24"/>
        </w:rPr>
        <w:t xml:space="preserve"> liabilities.</w:t>
      </w:r>
      <w:r>
        <w:rPr>
          <w:rFonts w:ascii="Times New Roman" w:hAnsi="Times New Roman" w:cs="Times New Roman"/>
          <w:sz w:val="24"/>
        </w:rPr>
        <w:t xml:space="preserve"> In</w:t>
      </w:r>
      <w:r>
        <w:rPr>
          <w:rFonts w:ascii="Times New Roman" w:hAnsi="Times New Roman" w:cs="Times New Roman"/>
          <w:sz w:val="24"/>
        </w:rPr>
        <w:t xml:space="preserve"> addition</w:t>
      </w:r>
      <w:r>
        <w:rPr>
          <w:rFonts w:ascii="Times New Roman" w:hAnsi="Times New Roman" w:cs="Times New Roman"/>
          <w:sz w:val="24"/>
        </w:rPr>
        <w:t xml:space="preserve"> to</w:t>
      </w:r>
      <w:r>
        <w:rPr>
          <w:rFonts w:ascii="Times New Roman" w:hAnsi="Times New Roman" w:cs="Times New Roman"/>
          <w:sz w:val="24"/>
        </w:rPr>
        <w:t xml:space="preserve"> their</w:t>
      </w:r>
      <w:r>
        <w:rPr>
          <w:rFonts w:ascii="Times New Roman" w:hAnsi="Times New Roman" w:cs="Times New Roman"/>
          <w:sz w:val="24"/>
        </w:rPr>
        <w:t xml:space="preserve"> own</w:t>
      </w:r>
      <w:r>
        <w:rPr>
          <w:rFonts w:ascii="Times New Roman" w:hAnsi="Times New Roman" w:cs="Times New Roman"/>
          <w:sz w:val="24"/>
        </w:rPr>
        <w:t xml:space="preserve"> operating</w:t>
      </w:r>
      <w:r>
        <w:rPr>
          <w:rFonts w:ascii="Times New Roman" w:hAnsi="Times New Roman" w:cs="Times New Roman"/>
          <w:sz w:val="24"/>
        </w:rPr>
        <w:t xml:space="preserve"> funds,</w:t>
      </w:r>
      <w:r>
        <w:rPr>
          <w:rFonts w:ascii="Times New Roman" w:hAnsi="Times New Roman" w:cs="Times New Roman"/>
          <w:sz w:val="24"/>
        </w:rPr>
        <w:t xml:space="preserve"> a</w:t>
      </w:r>
      <w:r>
        <w:rPr>
          <w:rFonts w:ascii="Times New Roman" w:hAnsi="Times New Roman" w:cs="Times New Roman"/>
          <w:sz w:val="24"/>
        </w:rPr>
        <w:t xml:space="preserve"> large</w:t>
      </w:r>
      <w:r>
        <w:rPr>
          <w:rFonts w:ascii="Times New Roman" w:hAnsi="Times New Roman" w:cs="Times New Roman"/>
          <w:sz w:val="24"/>
        </w:rPr>
        <w:t xml:space="preserve"> part</w:t>
      </w:r>
      <w:r>
        <w:rPr>
          <w:rFonts w:ascii="Times New Roman" w:hAnsi="Times New Roman" w:cs="Times New Roman"/>
          <w:sz w:val="24"/>
        </w:rPr>
        <w:t xml:space="preserve"> of</w:t>
      </w:r>
      <w:r>
        <w:rPr>
          <w:rFonts w:ascii="Times New Roman" w:hAnsi="Times New Roman" w:cs="Times New Roman"/>
          <w:sz w:val="24"/>
        </w:rPr>
        <w:t xml:space="preserve"> the</w:t>
      </w:r>
      <w:r>
        <w:rPr>
          <w:rFonts w:ascii="Times New Roman" w:hAnsi="Times New Roman" w:cs="Times New Roman"/>
          <w:sz w:val="24"/>
        </w:rPr>
        <w:t xml:space="preserve"> other</w:t>
      </w:r>
      <w:r>
        <w:rPr>
          <w:rFonts w:ascii="Times New Roman" w:hAnsi="Times New Roman" w:cs="Times New Roman"/>
          <w:sz w:val="24"/>
        </w:rPr>
        <w:t xml:space="preserve"> funds</w:t>
      </w:r>
      <w:r>
        <w:rPr>
          <w:rFonts w:ascii="Times New Roman" w:hAnsi="Times New Roman" w:cs="Times New Roman"/>
          <w:sz w:val="24"/>
        </w:rPr>
        <w:t xml:space="preserve"> of</w:t>
      </w:r>
      <w:r>
        <w:rPr>
          <w:rFonts w:ascii="Times New Roman" w:hAnsi="Times New Roman" w:cs="Times New Roman"/>
          <w:sz w:val="24"/>
        </w:rPr>
        <w:t xml:space="preserve"> modern</w:t>
      </w:r>
      <w:r>
        <w:rPr>
          <w:rFonts w:ascii="Times New Roman" w:hAnsi="Times New Roman" w:cs="Times New Roman"/>
          <w:sz w:val="24"/>
        </w:rPr>
        <w:t xml:space="preserve"> enterprises</w:t>
      </w:r>
      <w:r>
        <w:rPr>
          <w:rFonts w:ascii="Times New Roman" w:hAnsi="Times New Roman" w:cs="Times New Roman"/>
          <w:sz w:val="24"/>
        </w:rPr>
        <w:t xml:space="preserve"> are</w:t>
      </w:r>
      <w:r>
        <w:rPr>
          <w:rFonts w:ascii="Times New Roman" w:hAnsi="Times New Roman" w:cs="Times New Roman"/>
          <w:sz w:val="24"/>
        </w:rPr>
        <w:t xml:space="preserve"> obtained</w:t>
      </w:r>
      <w:r>
        <w:rPr>
          <w:rFonts w:ascii="Times New Roman" w:hAnsi="Times New Roman" w:cs="Times New Roman"/>
          <w:sz w:val="24"/>
        </w:rPr>
        <w:t xml:space="preserve"> through</w:t>
      </w:r>
      <w:r>
        <w:rPr>
          <w:rFonts w:ascii="Times New Roman" w:hAnsi="Times New Roman" w:cs="Times New Roman"/>
          <w:sz w:val="24"/>
        </w:rPr>
        <w:t xml:space="preserve"> external</w:t>
      </w:r>
      <w:r>
        <w:rPr>
          <w:rFonts w:ascii="Times New Roman" w:hAnsi="Times New Roman" w:cs="Times New Roman"/>
          <w:sz w:val="24"/>
        </w:rPr>
        <w:t xml:space="preserve"> borrowing,</w:t>
      </w:r>
      <w:r>
        <w:rPr>
          <w:rFonts w:ascii="Times New Roman" w:hAnsi="Times New Roman" w:cs="Times New Roman"/>
          <w:sz w:val="24"/>
        </w:rPr>
        <w:t xml:space="preserve"> which</w:t>
      </w:r>
      <w:r>
        <w:rPr>
          <w:rFonts w:ascii="Times New Roman" w:hAnsi="Times New Roman" w:cs="Times New Roman"/>
          <w:sz w:val="24"/>
        </w:rPr>
        <w:t xml:space="preserve"> forms</w:t>
      </w:r>
      <w:r>
        <w:rPr>
          <w:rFonts w:ascii="Times New Roman" w:hAnsi="Times New Roman" w:cs="Times New Roman"/>
          <w:sz w:val="24"/>
        </w:rPr>
        <w:t xml:space="preserve"> the</w:t>
      </w:r>
      <w:r>
        <w:rPr>
          <w:rFonts w:ascii="Times New Roman" w:hAnsi="Times New Roman" w:cs="Times New Roman"/>
          <w:sz w:val="24"/>
        </w:rPr>
        <w:t xml:space="preserve"> debts</w:t>
      </w:r>
      <w:r>
        <w:rPr>
          <w:rFonts w:ascii="Times New Roman" w:hAnsi="Times New Roman" w:cs="Times New Roman"/>
          <w:sz w:val="24"/>
        </w:rPr>
        <w:t xml:space="preserve"> of</w:t>
      </w:r>
      <w:r>
        <w:rPr>
          <w:rFonts w:ascii="Times New Roman" w:hAnsi="Times New Roman" w:cs="Times New Roman"/>
          <w:sz w:val="24"/>
        </w:rPr>
        <w:t xml:space="preserve"> enterprises,</w:t>
      </w:r>
      <w:r>
        <w:rPr>
          <w:rFonts w:ascii="Times New Roman" w:hAnsi="Times New Roman" w:cs="Times New Roman"/>
          <w:sz w:val="24"/>
        </w:rPr>
        <w:t xml:space="preserve"> and</w:t>
      </w:r>
      <w:r>
        <w:rPr>
          <w:rFonts w:ascii="Times New Roman" w:hAnsi="Times New Roman" w:cs="Times New Roman"/>
          <w:sz w:val="24"/>
        </w:rPr>
        <w:t xml:space="preserve"> debts</w:t>
      </w:r>
      <w:r>
        <w:rPr>
          <w:rFonts w:ascii="Times New Roman" w:hAnsi="Times New Roman" w:cs="Times New Roman"/>
          <w:sz w:val="24"/>
        </w:rPr>
        <w:t xml:space="preserve"> can</w:t>
      </w:r>
      <w:r>
        <w:rPr>
          <w:rFonts w:ascii="Times New Roman" w:hAnsi="Times New Roman" w:cs="Times New Roman"/>
          <w:sz w:val="24"/>
        </w:rPr>
        <w:t xml:space="preserve"> be</w:t>
      </w:r>
      <w:r>
        <w:rPr>
          <w:rFonts w:ascii="Times New Roman" w:hAnsi="Times New Roman" w:cs="Times New Roman"/>
          <w:sz w:val="24"/>
        </w:rPr>
        <w:t xml:space="preserve"> divided</w:t>
      </w:r>
      <w:r>
        <w:rPr>
          <w:rFonts w:ascii="Times New Roman" w:hAnsi="Times New Roman" w:cs="Times New Roman"/>
          <w:sz w:val="24"/>
        </w:rPr>
        <w:t xml:space="preserve"> into</w:t>
      </w:r>
      <w:r>
        <w:rPr>
          <w:rFonts w:ascii="Times New Roman" w:hAnsi="Times New Roman" w:cs="Times New Roman"/>
          <w:sz w:val="24"/>
        </w:rPr>
        <w:t xml:space="preserve"> short-term</w:t>
      </w:r>
      <w:r>
        <w:rPr>
          <w:rFonts w:ascii="Times New Roman" w:hAnsi="Times New Roman" w:cs="Times New Roman"/>
          <w:sz w:val="24"/>
        </w:rPr>
        <w:t xml:space="preserve"> and</w:t>
      </w:r>
      <w:r>
        <w:rPr>
          <w:rFonts w:ascii="Times New Roman" w:hAnsi="Times New Roman" w:cs="Times New Roman"/>
          <w:sz w:val="24"/>
        </w:rPr>
        <w:t xml:space="preserve"> long-term</w:t>
      </w:r>
      <w:r>
        <w:rPr>
          <w:rFonts w:ascii="Times New Roman" w:hAnsi="Times New Roman" w:cs="Times New Roman"/>
          <w:sz w:val="24"/>
        </w:rPr>
        <w:t xml:space="preserve"> liabilities.</w:t>
      </w:r>
      <w:r>
        <w:rPr>
          <w:rFonts w:ascii="Times New Roman" w:hAnsi="Times New Roman" w:cs="Times New Roman"/>
          <w:sz w:val="24"/>
        </w:rPr>
        <w:t xml:space="preserve"> The</w:t>
      </w:r>
      <w:r>
        <w:rPr>
          <w:rFonts w:ascii="Times New Roman" w:hAnsi="Times New Roman" w:cs="Times New Roman"/>
          <w:sz w:val="24"/>
        </w:rPr>
        <w:t xml:space="preserve"> existence</w:t>
      </w:r>
      <w:r>
        <w:rPr>
          <w:rFonts w:ascii="Times New Roman" w:hAnsi="Times New Roman" w:cs="Times New Roman"/>
          <w:sz w:val="24"/>
        </w:rPr>
        <w:t xml:space="preserve"> of</w:t>
      </w:r>
      <w:r>
        <w:rPr>
          <w:rFonts w:ascii="Times New Roman" w:hAnsi="Times New Roman" w:cs="Times New Roman"/>
          <w:sz w:val="24"/>
        </w:rPr>
        <w:t xml:space="preserve"> liabilities,</w:t>
      </w:r>
      <w:r>
        <w:rPr>
          <w:rFonts w:ascii="Times New Roman" w:hAnsi="Times New Roman" w:cs="Times New Roman"/>
          <w:sz w:val="24"/>
        </w:rPr>
        <w:t xml:space="preserve"> on</w:t>
      </w:r>
      <w:r>
        <w:rPr>
          <w:rFonts w:ascii="Times New Roman" w:hAnsi="Times New Roman" w:cs="Times New Roman"/>
          <w:sz w:val="24"/>
        </w:rPr>
        <w:t xml:space="preserve"> the</w:t>
      </w:r>
      <w:r>
        <w:rPr>
          <w:rFonts w:ascii="Times New Roman" w:hAnsi="Times New Roman" w:cs="Times New Roman"/>
          <w:sz w:val="24"/>
        </w:rPr>
        <w:t xml:space="preserve"> one</w:t>
      </w:r>
      <w:r>
        <w:rPr>
          <w:rFonts w:ascii="Times New Roman" w:hAnsi="Times New Roman" w:cs="Times New Roman"/>
          <w:sz w:val="24"/>
        </w:rPr>
        <w:t xml:space="preserve"> hand,</w:t>
      </w:r>
      <w:r>
        <w:rPr>
          <w:rFonts w:ascii="Times New Roman" w:hAnsi="Times New Roman" w:cs="Times New Roman"/>
          <w:sz w:val="24"/>
        </w:rPr>
        <w:t xml:space="preserve"> can</w:t>
      </w:r>
      <w:r>
        <w:rPr>
          <w:rFonts w:ascii="Times New Roman" w:hAnsi="Times New Roman" w:cs="Times New Roman"/>
          <w:sz w:val="24"/>
        </w:rPr>
        <w:t xml:space="preserve"> increase</w:t>
      </w:r>
      <w:r>
        <w:rPr>
          <w:rFonts w:ascii="Times New Roman" w:hAnsi="Times New Roman" w:cs="Times New Roman"/>
          <w:sz w:val="24"/>
        </w:rPr>
        <w:t xml:space="preserve"> the</w:t>
      </w:r>
      <w:r>
        <w:rPr>
          <w:rFonts w:ascii="Times New Roman" w:hAnsi="Times New Roman" w:cs="Times New Roman"/>
          <w:sz w:val="24"/>
        </w:rPr>
        <w:t xml:space="preserve"> funds</w:t>
      </w:r>
      <w:r>
        <w:rPr>
          <w:rFonts w:ascii="Times New Roman" w:hAnsi="Times New Roman" w:cs="Times New Roman"/>
          <w:sz w:val="24"/>
        </w:rPr>
        <w:t xml:space="preserve"> that</w:t>
      </w:r>
      <w:r>
        <w:rPr>
          <w:rFonts w:ascii="Times New Roman" w:hAnsi="Times New Roman" w:cs="Times New Roman"/>
          <w:sz w:val="24"/>
        </w:rPr>
        <w:t xml:space="preserve"> can</w:t>
      </w:r>
      <w:r>
        <w:rPr>
          <w:rFonts w:ascii="Times New Roman" w:hAnsi="Times New Roman" w:cs="Times New Roman"/>
          <w:sz w:val="24"/>
        </w:rPr>
        <w:t xml:space="preserve"> be</w:t>
      </w:r>
      <w:r>
        <w:rPr>
          <w:rFonts w:ascii="Times New Roman" w:hAnsi="Times New Roman" w:cs="Times New Roman"/>
          <w:sz w:val="24"/>
        </w:rPr>
        <w:t xml:space="preserve"> occupied</w:t>
      </w:r>
      <w:r>
        <w:rPr>
          <w:rFonts w:ascii="Times New Roman" w:hAnsi="Times New Roman" w:cs="Times New Roman"/>
          <w:sz w:val="24"/>
        </w:rPr>
        <w:t xml:space="preserve"> and</w:t>
      </w:r>
      <w:r>
        <w:rPr>
          <w:rFonts w:ascii="Times New Roman" w:hAnsi="Times New Roman" w:cs="Times New Roman"/>
          <w:sz w:val="24"/>
        </w:rPr>
        <w:t xml:space="preserve"> used</w:t>
      </w:r>
      <w:r>
        <w:rPr>
          <w:rFonts w:ascii="Times New Roman" w:hAnsi="Times New Roman" w:cs="Times New Roman"/>
          <w:sz w:val="24"/>
        </w:rPr>
        <w:t xml:space="preserve"> by</w:t>
      </w:r>
      <w:r>
        <w:rPr>
          <w:rFonts w:ascii="Times New Roman" w:hAnsi="Times New Roman" w:cs="Times New Roman"/>
          <w:sz w:val="24"/>
        </w:rPr>
        <w:t xml:space="preserve"> enterprises,</w:t>
      </w:r>
      <w:r>
        <w:rPr>
          <w:rFonts w:ascii="Times New Roman" w:hAnsi="Times New Roman" w:cs="Times New Roman"/>
          <w:sz w:val="24"/>
        </w:rPr>
        <w:t xml:space="preserve"> so</w:t>
      </w:r>
      <w:r>
        <w:rPr>
          <w:rFonts w:ascii="Times New Roman" w:hAnsi="Times New Roman" w:cs="Times New Roman"/>
          <w:sz w:val="24"/>
        </w:rPr>
        <w:t xml:space="preserve"> that</w:t>
      </w:r>
      <w:r>
        <w:rPr>
          <w:rFonts w:ascii="Times New Roman" w:hAnsi="Times New Roman" w:cs="Times New Roman"/>
          <w:sz w:val="24"/>
        </w:rPr>
        <w:t xml:space="preserve"> the</w:t>
      </w:r>
      <w:r>
        <w:rPr>
          <w:rFonts w:ascii="Times New Roman" w:hAnsi="Times New Roman" w:cs="Times New Roman"/>
          <w:sz w:val="24"/>
        </w:rPr>
        <w:t xml:space="preserve"> funds</w:t>
      </w:r>
      <w:r>
        <w:rPr>
          <w:rFonts w:ascii="Times New Roman" w:hAnsi="Times New Roman" w:cs="Times New Roman"/>
          <w:sz w:val="24"/>
        </w:rPr>
        <w:t xml:space="preserve"> of</w:t>
      </w:r>
      <w:r>
        <w:rPr>
          <w:rFonts w:ascii="Times New Roman" w:hAnsi="Times New Roman" w:cs="Times New Roman"/>
          <w:sz w:val="24"/>
        </w:rPr>
        <w:t xml:space="preserve"> enterprises</w:t>
      </w:r>
      <w:r>
        <w:rPr>
          <w:rFonts w:ascii="Times New Roman" w:hAnsi="Times New Roman" w:cs="Times New Roman"/>
          <w:sz w:val="24"/>
        </w:rPr>
        <w:t xml:space="preserve"> can</w:t>
      </w:r>
      <w:r>
        <w:rPr>
          <w:rFonts w:ascii="Times New Roman" w:hAnsi="Times New Roman" w:cs="Times New Roman"/>
          <w:sz w:val="24"/>
        </w:rPr>
        <w:t xml:space="preserve"> be</w:t>
      </w:r>
      <w:r>
        <w:rPr>
          <w:rFonts w:ascii="Times New Roman" w:hAnsi="Times New Roman" w:cs="Times New Roman"/>
          <w:sz w:val="24"/>
        </w:rPr>
        <w:t xml:space="preserve"> better</w:t>
      </w:r>
      <w:r>
        <w:rPr>
          <w:rFonts w:ascii="Times New Roman" w:hAnsi="Times New Roman" w:cs="Times New Roman"/>
          <w:sz w:val="24"/>
        </w:rPr>
        <w:t xml:space="preserve"> turned</w:t>
      </w:r>
      <w:r>
        <w:rPr>
          <w:rFonts w:ascii="Times New Roman" w:hAnsi="Times New Roman" w:cs="Times New Roman"/>
          <w:sz w:val="24"/>
        </w:rPr>
        <w:t xml:space="preserve"> over</w:t>
      </w:r>
      <w:r>
        <w:rPr>
          <w:rFonts w:ascii="Times New Roman" w:hAnsi="Times New Roman" w:cs="Times New Roman"/>
          <w:sz w:val="24"/>
        </w:rPr>
        <w:t xml:space="preserve"> and</w:t>
      </w:r>
      <w:r>
        <w:rPr>
          <w:rFonts w:ascii="Times New Roman" w:hAnsi="Times New Roman" w:cs="Times New Roman"/>
          <w:sz w:val="24"/>
        </w:rPr>
        <w:br/>
      </w:r>
      <w:r>
        <w:rPr>
          <w:rFonts w:ascii="Times New Roman" w:hAnsi="Times New Roman" w:cs="Times New Roman"/>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https://d.book118.com/378024120004006026</w:t>
        </w:r>
      </w:hyperlink>
    </w:p>
    <w:p>
      <w:pPr>
        <w:widowControl/>
        <w:spacing w:line="400" w:lineRule="exact"/>
        <w:rPr>
          <w:rFonts w:ascii="Times New Roman" w:hAnsi="Times New Roman" w:cs="Times New Roman"/>
          <w:sz w:val="24"/>
        </w:rPr>
      </w:pPr>
    </w:p>
    <w:sectPr>
      <w:footerReference w:type="default" r:id="rId8"/>
      <w:pgSz w:w="11906" w:h="16838"/>
      <w:pgMar w:top="1440" w:right="1797" w:bottom="1440" w:left="1797" w:header="851" w:footer="992" w:gutter="0"/>
      <w:pgNumType w:fmt="upperRoman" w:start="1"/>
      <w:cols w:num="1" w:space="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right;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415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I</w:t>
                    </w:r>
                    <w:r>
                      <w:rPr>
                        <w:rFonts w:hint="eastAsia"/>
                        <w:sz w:val="18"/>
                      </w:rPr>
                      <w:fldChar w:fldCharType="end"/>
                    </w:r>
                  </w:p>
                </w:txbxContent>
              </v:textbox>
              <w10:wrap anchorx="margin"/>
            </v:shape>
          </w:pict>
        </mc:Fallback>
      </mc:AlternateContent>
    </w:r>
    <w:r>
      <w:rPr>
        <w:rFonts w:hint="eastAsia"/>
      </w:rP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CD24084"/>
    <w:multiLevelType w:val="singleLevel"/>
    <w:tmpl w:val="FCD24084"/>
    <w:lvl w:ilvl="0">
      <w:start w:val="1"/>
      <w:numFmt w:val="decimal"/>
      <w:lvlText w:val="[%1]"/>
      <w:lvlJc w:val="left"/>
      <w:pPr>
        <w:tabs>
          <w:tab w:val="left" w:pos="312"/>
        </w:tabs>
      </w:pPr>
    </w:lvl>
  </w:abstractNum>
  <w:abstractNum w:abstractNumId="1">
    <w:nsid w:val="5E2D6134"/>
    <w:multiLevelType w:val="singleLevel"/>
    <w:tmpl w:val="5E2D6134"/>
    <w:lvl w:ilvl="0">
      <w:start w:val="2"/>
      <w:numFmt w:val="chineseCounting"/>
      <w:suff w:val="nothing"/>
      <w:lvlText w:val="（%1）"/>
      <w:lvlJc w:val="left"/>
      <w:rPr>
        <w:rFonts w:hint="eastAsia"/>
      </w:rPr>
    </w:lvl>
  </w:abstractNum>
  <w:abstractNum w:abstractNumId="2">
    <w:nsid w:val="777963F0"/>
    <w:multiLevelType w:val="singleLevel"/>
    <w:tmpl w:val="777963F0"/>
    <w:lvl w:ilvl="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3352B"/>
    <w:rsid w:val="00006F05"/>
    <w:rsid w:val="00010B35"/>
    <w:rsid w:val="00012741"/>
    <w:rsid w:val="000368B2"/>
    <w:rsid w:val="00086ED2"/>
    <w:rsid w:val="000D0E48"/>
    <w:rsid w:val="000E5653"/>
    <w:rsid w:val="000E6735"/>
    <w:rsid w:val="00124F86"/>
    <w:rsid w:val="00143E02"/>
    <w:rsid w:val="00163469"/>
    <w:rsid w:val="001635F5"/>
    <w:rsid w:val="00166C13"/>
    <w:rsid w:val="001849AD"/>
    <w:rsid w:val="001A7F14"/>
    <w:rsid w:val="001B1B78"/>
    <w:rsid w:val="001D2D0B"/>
    <w:rsid w:val="00274FC3"/>
    <w:rsid w:val="003E21DD"/>
    <w:rsid w:val="003F0AC0"/>
    <w:rsid w:val="004D6305"/>
    <w:rsid w:val="004E2F9D"/>
    <w:rsid w:val="005247CA"/>
    <w:rsid w:val="00540B3D"/>
    <w:rsid w:val="0057380D"/>
    <w:rsid w:val="005773C3"/>
    <w:rsid w:val="005B51A9"/>
    <w:rsid w:val="005D46CF"/>
    <w:rsid w:val="005F60F3"/>
    <w:rsid w:val="006374CF"/>
    <w:rsid w:val="00646AEB"/>
    <w:rsid w:val="006E2B40"/>
    <w:rsid w:val="006E7487"/>
    <w:rsid w:val="00700BDD"/>
    <w:rsid w:val="0072799D"/>
    <w:rsid w:val="007B7F5A"/>
    <w:rsid w:val="007D1590"/>
    <w:rsid w:val="007F2896"/>
    <w:rsid w:val="00806F0A"/>
    <w:rsid w:val="008805FF"/>
    <w:rsid w:val="00904EC5"/>
    <w:rsid w:val="00950944"/>
    <w:rsid w:val="00976C47"/>
    <w:rsid w:val="009A45E6"/>
    <w:rsid w:val="00AA13C9"/>
    <w:rsid w:val="00AD3F51"/>
    <w:rsid w:val="00AE0273"/>
    <w:rsid w:val="00AE7537"/>
    <w:rsid w:val="00B11FB2"/>
    <w:rsid w:val="00B162F4"/>
    <w:rsid w:val="00B70796"/>
    <w:rsid w:val="00BF3638"/>
    <w:rsid w:val="00C0550B"/>
    <w:rsid w:val="00C34AB6"/>
    <w:rsid w:val="00C619DD"/>
    <w:rsid w:val="00C965AB"/>
    <w:rsid w:val="00CB6074"/>
    <w:rsid w:val="00CD2D16"/>
    <w:rsid w:val="00D5386E"/>
    <w:rsid w:val="00D6661B"/>
    <w:rsid w:val="00D71592"/>
    <w:rsid w:val="00DF4B80"/>
    <w:rsid w:val="00E026B9"/>
    <w:rsid w:val="00E32F6D"/>
    <w:rsid w:val="00E55051"/>
    <w:rsid w:val="00E9640F"/>
    <w:rsid w:val="00EB1578"/>
    <w:rsid w:val="00EF7190"/>
    <w:rsid w:val="00F930BC"/>
    <w:rsid w:val="00FB135D"/>
    <w:rsid w:val="00FF59AC"/>
    <w:rsid w:val="017A2A9C"/>
    <w:rsid w:val="02313D21"/>
    <w:rsid w:val="026A0647"/>
    <w:rsid w:val="03016DF1"/>
    <w:rsid w:val="046467CC"/>
    <w:rsid w:val="04CA465A"/>
    <w:rsid w:val="0528501B"/>
    <w:rsid w:val="053B5406"/>
    <w:rsid w:val="0719663D"/>
    <w:rsid w:val="07FA0CB1"/>
    <w:rsid w:val="08535D17"/>
    <w:rsid w:val="0865617B"/>
    <w:rsid w:val="0A645FB4"/>
    <w:rsid w:val="0B18090F"/>
    <w:rsid w:val="0E2F1328"/>
    <w:rsid w:val="0EB71607"/>
    <w:rsid w:val="0FD40ECC"/>
    <w:rsid w:val="109977B4"/>
    <w:rsid w:val="10AF2C6E"/>
    <w:rsid w:val="11E27489"/>
    <w:rsid w:val="122C4942"/>
    <w:rsid w:val="123E2FC4"/>
    <w:rsid w:val="12501268"/>
    <w:rsid w:val="12772C69"/>
    <w:rsid w:val="12DF21A7"/>
    <w:rsid w:val="12E45EC2"/>
    <w:rsid w:val="13B624C1"/>
    <w:rsid w:val="148719A5"/>
    <w:rsid w:val="18474E1A"/>
    <w:rsid w:val="1974635D"/>
    <w:rsid w:val="1AEE32D5"/>
    <w:rsid w:val="1B955E0C"/>
    <w:rsid w:val="1CF166E2"/>
    <w:rsid w:val="1E7419E8"/>
    <w:rsid w:val="1EBA1544"/>
    <w:rsid w:val="1FEC2EB0"/>
    <w:rsid w:val="24A45B37"/>
    <w:rsid w:val="24D3152C"/>
    <w:rsid w:val="24FB5C6A"/>
    <w:rsid w:val="255D26F1"/>
    <w:rsid w:val="25F74B19"/>
    <w:rsid w:val="264B6284"/>
    <w:rsid w:val="278321CB"/>
    <w:rsid w:val="279F7506"/>
    <w:rsid w:val="28302C3C"/>
    <w:rsid w:val="29A546B9"/>
    <w:rsid w:val="29E834A0"/>
    <w:rsid w:val="29F367EF"/>
    <w:rsid w:val="2A515A4C"/>
    <w:rsid w:val="2AF102EF"/>
    <w:rsid w:val="2C057F08"/>
    <w:rsid w:val="2DA53688"/>
    <w:rsid w:val="2EEC5B73"/>
    <w:rsid w:val="2FAD3407"/>
    <w:rsid w:val="31BB367D"/>
    <w:rsid w:val="33654C14"/>
    <w:rsid w:val="359C0FFE"/>
    <w:rsid w:val="371A3BE0"/>
    <w:rsid w:val="37206A8A"/>
    <w:rsid w:val="3A240AAA"/>
    <w:rsid w:val="3A574558"/>
    <w:rsid w:val="3AC73522"/>
    <w:rsid w:val="3B584411"/>
    <w:rsid w:val="3C2632FC"/>
    <w:rsid w:val="3F1E0CF9"/>
    <w:rsid w:val="3F2B3F99"/>
    <w:rsid w:val="3FB364F1"/>
    <w:rsid w:val="40145880"/>
    <w:rsid w:val="40936A52"/>
    <w:rsid w:val="40994D0F"/>
    <w:rsid w:val="41941033"/>
    <w:rsid w:val="41A61845"/>
    <w:rsid w:val="42C060A8"/>
    <w:rsid w:val="44BD1752"/>
    <w:rsid w:val="46F20452"/>
    <w:rsid w:val="48A91730"/>
    <w:rsid w:val="490761E1"/>
    <w:rsid w:val="4A363211"/>
    <w:rsid w:val="4C17455F"/>
    <w:rsid w:val="4C8876E6"/>
    <w:rsid w:val="4CD943A2"/>
    <w:rsid w:val="4EAF3DBF"/>
    <w:rsid w:val="51120EA7"/>
    <w:rsid w:val="51272B54"/>
    <w:rsid w:val="51B269E9"/>
    <w:rsid w:val="53991381"/>
    <w:rsid w:val="53DA7A0D"/>
    <w:rsid w:val="53EA58F4"/>
    <w:rsid w:val="54B350A0"/>
    <w:rsid w:val="54E30CAF"/>
    <w:rsid w:val="554420F4"/>
    <w:rsid w:val="55586DCB"/>
    <w:rsid w:val="57070523"/>
    <w:rsid w:val="57B423F6"/>
    <w:rsid w:val="5A763EE8"/>
    <w:rsid w:val="5A891FE7"/>
    <w:rsid w:val="5AED429F"/>
    <w:rsid w:val="5C857EB0"/>
    <w:rsid w:val="5D0D3384"/>
    <w:rsid w:val="5D45780D"/>
    <w:rsid w:val="5DE958B5"/>
    <w:rsid w:val="5E41211F"/>
    <w:rsid w:val="5FD4323C"/>
    <w:rsid w:val="5FE3352B"/>
    <w:rsid w:val="60180011"/>
    <w:rsid w:val="604C1B68"/>
    <w:rsid w:val="60A57AB0"/>
    <w:rsid w:val="60CA4080"/>
    <w:rsid w:val="62CA038A"/>
    <w:rsid w:val="630C7B3A"/>
    <w:rsid w:val="635725A0"/>
    <w:rsid w:val="6398017B"/>
    <w:rsid w:val="63EB4E00"/>
    <w:rsid w:val="6711781E"/>
    <w:rsid w:val="67246EEA"/>
    <w:rsid w:val="67E53179"/>
    <w:rsid w:val="68254760"/>
    <w:rsid w:val="69D26090"/>
    <w:rsid w:val="6C466D25"/>
    <w:rsid w:val="6CDE3A29"/>
    <w:rsid w:val="6CED4F6C"/>
    <w:rsid w:val="6D4B488C"/>
    <w:rsid w:val="6E4342F6"/>
    <w:rsid w:val="6E5553CC"/>
    <w:rsid w:val="6EBA1D0E"/>
    <w:rsid w:val="6EE629AB"/>
    <w:rsid w:val="6F9D7D4F"/>
    <w:rsid w:val="6FD86FE5"/>
    <w:rsid w:val="721C14EF"/>
    <w:rsid w:val="723F3539"/>
    <w:rsid w:val="73DD5706"/>
    <w:rsid w:val="74013468"/>
    <w:rsid w:val="74307AA3"/>
    <w:rsid w:val="748634C7"/>
    <w:rsid w:val="77647CF9"/>
    <w:rsid w:val="79794BFE"/>
    <w:rsid w:val="79D65584"/>
    <w:rsid w:val="7BBA068A"/>
    <w:rsid w:val="7E094663"/>
    <w:rsid w:val="7E787157"/>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semiHidden="0"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semiHidden="0" w:uiPriority="0" w:unhideWhenUsed="0" w:qFormat="1"/>
    <w:lsdException w:name="toc 6" w:semiHidden="0" w:uiPriority="0" w:unhideWhenUsed="0" w:qFormat="1"/>
    <w:lsdException w:name="toc 7" w:semiHidden="0" w:uiPriority="0" w:unhideWhenUsed="0" w:qFormat="1"/>
    <w:lsdException w:name="toc 8" w:semiHidden="0" w:uiPriority="0" w:unhideWhenUsed="0" w:qFormat="1"/>
    <w:lsdException w:name="toc 9" w:semiHidden="0" w:uiPriority="0" w:unhideWhenUsed="0" w:qFormat="1"/>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Char"/>
    <w:qFormat/>
    <w:pPr>
      <w:keepNext/>
      <w:keepLines/>
      <w:spacing w:line="400" w:lineRule="exact"/>
      <w:ind w:firstLine="880" w:firstLineChars="200"/>
      <w:outlineLvl w:val="0"/>
    </w:pPr>
    <w:rPr>
      <w:rFonts w:eastAsia="宋体"/>
      <w:b/>
      <w:kern w:val="44"/>
      <w:sz w:val="24"/>
    </w:rPr>
  </w:style>
  <w:style w:type="paragraph" w:styleId="Heading2">
    <w:name w:val="heading 2"/>
    <w:basedOn w:val="Normal"/>
    <w:next w:val="Normal"/>
    <w:link w:val="2Char"/>
    <w:unhideWhenUsed/>
    <w:qFormat/>
    <w:pPr>
      <w:keepNext/>
      <w:keepLines/>
      <w:spacing w:line="400" w:lineRule="exact"/>
      <w:ind w:firstLine="880" w:firstLineChars="200"/>
      <w:outlineLvl w:val="1"/>
    </w:pPr>
    <w:rPr>
      <w:rFonts w:ascii="Arial" w:eastAsia="宋体" w:hAnsi="Arial"/>
      <w:b/>
      <w:sz w:val="24"/>
    </w:rPr>
  </w:style>
  <w:style w:type="paragraph" w:styleId="Heading3">
    <w:name w:val="heading 3"/>
    <w:basedOn w:val="Normal"/>
    <w:next w:val="Normal"/>
    <w:link w:val="3Char"/>
    <w:autoRedefine/>
    <w:unhideWhenUsed/>
    <w:qFormat/>
    <w:pPr>
      <w:keepNext/>
      <w:keepLines/>
      <w:spacing w:line="400" w:lineRule="exact"/>
      <w:ind w:firstLine="880" w:firstLineChars="200"/>
      <w:outlineLvl w:val="2"/>
    </w:pPr>
    <w:rPr>
      <w:rFonts w:eastAsia="宋体"/>
      <w:b/>
      <w:sz w:val="24"/>
    </w:rPr>
  </w:style>
  <w:style w:type="paragraph" w:styleId="Heading4">
    <w:name w:val="heading 4"/>
    <w:basedOn w:val="Normal"/>
    <w:next w:val="Normal"/>
    <w:link w:val="4Char"/>
    <w:autoRedefine/>
    <w:unhideWhenUsed/>
    <w:qFormat/>
    <w:pPr>
      <w:keepNext/>
      <w:keepLines/>
      <w:spacing w:line="400" w:lineRule="exact"/>
      <w:ind w:firstLine="883" w:firstLineChars="200"/>
      <w:outlineLvl w:val="3"/>
    </w:pPr>
    <w:rPr>
      <w:rFonts w:ascii="Arial" w:eastAsia="宋体" w:hAnsi="Arial"/>
      <w:b/>
      <w:sz w:val="24"/>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tblPr>
      <w:tblCellMar>
        <w:top w:w="0" w:type="dxa"/>
        <w:left w:w="108" w:type="dxa"/>
        <w:bottom w:w="0" w:type="dxa"/>
        <w:right w:w="108" w:type="dxa"/>
      </w:tblCellMar>
    </w:tblPr>
  </w:style>
  <w:style w:type="paragraph" w:styleId="TOC7">
    <w:name w:val="toc 7"/>
    <w:basedOn w:val="Normal"/>
    <w:next w:val="Normal"/>
    <w:autoRedefine/>
    <w:qFormat/>
    <w:pPr>
      <w:ind w:left="2520" w:leftChars="1200"/>
    </w:pPr>
  </w:style>
  <w:style w:type="paragraph" w:styleId="CommentText">
    <w:name w:val="annotation text"/>
    <w:basedOn w:val="Normal"/>
    <w:autoRedefine/>
    <w:qFormat/>
    <w:pPr>
      <w:jc w:val="left"/>
    </w:pPr>
  </w:style>
  <w:style w:type="paragraph" w:styleId="TOC5">
    <w:name w:val="toc 5"/>
    <w:basedOn w:val="Normal"/>
    <w:next w:val="Normal"/>
    <w:autoRedefine/>
    <w:qFormat/>
    <w:pPr>
      <w:ind w:left="1680" w:leftChars="800"/>
    </w:pPr>
  </w:style>
  <w:style w:type="paragraph" w:styleId="TOC3">
    <w:name w:val="toc 3"/>
    <w:basedOn w:val="Normal"/>
    <w:next w:val="Normal"/>
    <w:autoRedefine/>
    <w:qFormat/>
    <w:pPr>
      <w:ind w:left="840" w:leftChars="400"/>
    </w:pPr>
  </w:style>
  <w:style w:type="paragraph" w:styleId="TOC8">
    <w:name w:val="toc 8"/>
    <w:basedOn w:val="Normal"/>
    <w:next w:val="Normal"/>
    <w:autoRedefine/>
    <w:qFormat/>
    <w:pPr>
      <w:ind w:left="2940" w:leftChars="1400"/>
    </w:p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autoRedefine/>
    <w:qFormat/>
  </w:style>
  <w:style w:type="paragraph" w:styleId="TOC4">
    <w:name w:val="toc 4"/>
    <w:basedOn w:val="Normal"/>
    <w:next w:val="Normal"/>
    <w:qFormat/>
    <w:pPr>
      <w:ind w:left="1260" w:leftChars="600"/>
    </w:pPr>
  </w:style>
  <w:style w:type="paragraph" w:styleId="TOC6">
    <w:name w:val="toc 6"/>
    <w:basedOn w:val="Normal"/>
    <w:next w:val="Normal"/>
    <w:autoRedefine/>
    <w:qFormat/>
    <w:pPr>
      <w:ind w:left="2100" w:leftChars="1000"/>
    </w:pPr>
  </w:style>
  <w:style w:type="paragraph" w:styleId="TOC2">
    <w:name w:val="toc 2"/>
    <w:basedOn w:val="Normal"/>
    <w:next w:val="Normal"/>
    <w:autoRedefine/>
    <w:qFormat/>
    <w:pPr>
      <w:ind w:left="420" w:leftChars="200"/>
    </w:pPr>
  </w:style>
  <w:style w:type="paragraph" w:styleId="TOC9">
    <w:name w:val="toc 9"/>
    <w:basedOn w:val="Normal"/>
    <w:next w:val="Normal"/>
    <w:qFormat/>
    <w:pPr>
      <w:ind w:left="3360" w:leftChars="1600"/>
    </w:p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autoRedefine/>
    <w:qFormat/>
    <w:rPr>
      <w:color w:val="808080"/>
      <w:u w:val="single"/>
    </w:rPr>
  </w:style>
  <w:style w:type="character" w:styleId="Hyperlink">
    <w:name w:val="Hyperlink"/>
    <w:basedOn w:val="DefaultParagraphFont"/>
    <w:autoRedefine/>
    <w:qFormat/>
    <w:rPr>
      <w:color w:val="323232"/>
      <w:u w:val="single"/>
    </w:rPr>
  </w:style>
  <w:style w:type="character" w:customStyle="1" w:styleId="3Char">
    <w:name w:val="标题 3 Char"/>
    <w:link w:val="Heading3"/>
    <w:autoRedefine/>
    <w:qFormat/>
    <w:rPr>
      <w:rFonts w:eastAsia="宋体" w:asciiTheme="minorHAnsi" w:hAnsiTheme="minorHAnsi"/>
      <w:b/>
      <w:sz w:val="24"/>
    </w:rPr>
  </w:style>
  <w:style w:type="character" w:customStyle="1" w:styleId="1Char">
    <w:name w:val="标题 1 Char"/>
    <w:link w:val="Heading1"/>
    <w:autoRedefine/>
    <w:qFormat/>
    <w:rPr>
      <w:rFonts w:eastAsia="宋体" w:asciiTheme="minorHAnsi" w:hAnsiTheme="minorHAnsi"/>
      <w:b/>
      <w:kern w:val="44"/>
      <w:sz w:val="24"/>
    </w:rPr>
  </w:style>
  <w:style w:type="character" w:customStyle="1" w:styleId="4Char">
    <w:name w:val="标题 4 Char"/>
    <w:link w:val="Heading4"/>
    <w:autoRedefine/>
    <w:qFormat/>
    <w:rPr>
      <w:rFonts w:ascii="Arial" w:eastAsia="宋体" w:hAnsi="Arial"/>
      <w:b/>
      <w:sz w:val="24"/>
    </w:rPr>
  </w:style>
  <w:style w:type="character" w:customStyle="1" w:styleId="2Char">
    <w:name w:val="标题 2 Char"/>
    <w:link w:val="Heading2"/>
    <w:autoRedefine/>
    <w:qFormat/>
    <w:rPr>
      <w:rFonts w:ascii="Arial" w:eastAsia="宋体"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hyperlink" Target="https://d.book118.com/378024120004006026" TargetMode="Externa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70B806-1E1E-4858-84B0-3A56FD42CD72}">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2716</Words>
  <Characters>15485</Characters>
  <Application>Microsoft Office Word</Application>
  <DocSecurity>0</DocSecurity>
  <Lines>129</Lines>
  <Paragraphs>36</Paragraphs>
  <ScaleCrop>false</ScaleCrop>
  <Company/>
  <LinksUpToDate>false</LinksUpToDate>
  <CharactersWithSpaces>18165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他</dc:creator>
  <cp:lastModifiedBy>张老师</cp:lastModifiedBy>
  <cp:revision>6</cp:revision>
  <cp:lastPrinted>2021-05-25T01:13:00Z</cp:lastPrinted>
  <dcterms:created xsi:type="dcterms:W3CDTF">2020-02-05T13:49:00Z</dcterms:created>
  <dcterms:modified xsi:type="dcterms:W3CDTF">2024-01-11T05:26:04Z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11C91B61F82643188DA1E7BB1ABC66A7_12</vt:lpwstr>
  </property>
  <property fmtid="{D5CDD505-2E9C-101B-9397-08002B2CF9AE}" pid="3" name="KSOProductBuildVer">
    <vt:lpwstr>2052-12.1.0.16120</vt:lpwstr>
  </property>
  <property fmtid="{D5CDD505-2E9C-101B-9397-08002B2CF9AE}" pid="4" name="KSORubyTemplateID">
    <vt:lpwstr>6</vt:lpwstr>
  </property>
</Properties>
</file>