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74AC">
      <w:pPr>
        <w:spacing w:line="360" w:lineRule="auto"/>
        <w:jc w:val="center"/>
        <w:rPr>
          <w:rFonts w:asciiTheme="minorEastAsia" w:eastAsiaTheme="minorEastAsia" w:hAnsiTheme="minorEastAsia"/>
          <w:sz w:val="96"/>
          <w:szCs w:val="96"/>
          <w:lang w:eastAsia="zh-CN"/>
        </w:rPr>
      </w:pPr>
    </w:p>
    <w:p w:rsidR="002274AC">
      <w:pPr>
        <w:spacing w:line="360" w:lineRule="auto"/>
        <w:jc w:val="center"/>
        <w:rPr>
          <w:rFonts w:asciiTheme="minorEastAsia" w:eastAsiaTheme="minorEastAsia" w:hAnsiTheme="minorEastAsia"/>
          <w:sz w:val="96"/>
          <w:szCs w:val="96"/>
          <w:lang w:eastAsia="zh-CN"/>
        </w:rPr>
      </w:pPr>
      <w:r>
        <w:rPr>
          <w:rFonts w:asciiTheme="minorEastAsia" w:eastAsiaTheme="minorEastAsia" w:hAnsiTheme="minorEastAsia" w:hint="eastAsia"/>
          <w:sz w:val="96"/>
          <w:szCs w:val="96"/>
          <w:lang w:eastAsia="zh-CN"/>
        </w:rPr>
        <w:t>某科技研发中心</w:t>
      </w:r>
    </w:p>
    <w:p w:rsidR="002274AC">
      <w:pPr>
        <w:spacing w:line="360" w:lineRule="auto"/>
        <w:jc w:val="center"/>
        <w:rPr>
          <w:rFonts w:eastAsia="宋体"/>
          <w:sz w:val="36"/>
          <w:szCs w:val="44"/>
          <w:lang w:eastAsia="zh-CN"/>
        </w:rPr>
      </w:pPr>
      <w:r>
        <w:rPr>
          <w:rFonts w:eastAsia="宋体" w:hint="eastAsia"/>
          <w:sz w:val="36"/>
          <w:szCs w:val="44"/>
          <w:lang w:eastAsia="zh-CN"/>
        </w:rPr>
        <w:t>高低压配电工程</w:t>
      </w:r>
    </w:p>
    <w:p w:rsidR="002274AC">
      <w:pPr>
        <w:spacing w:line="360" w:lineRule="auto"/>
        <w:jc w:val="center"/>
        <w:rPr>
          <w:rFonts w:eastAsia="宋体"/>
          <w:sz w:val="36"/>
          <w:szCs w:val="44"/>
          <w:lang w:eastAsia="zh-CN"/>
        </w:rPr>
      </w:pPr>
    </w:p>
    <w:p w:rsidR="002274AC">
      <w:pPr>
        <w:spacing w:line="360" w:lineRule="auto"/>
        <w:jc w:val="center"/>
        <w:rPr>
          <w:rFonts w:eastAsia="宋体"/>
          <w:sz w:val="36"/>
          <w:szCs w:val="44"/>
          <w:lang w:eastAsia="zh-CN"/>
        </w:rPr>
      </w:pPr>
      <w:r>
        <w:rPr>
          <w:rFonts w:eastAsia="宋体" w:hint="eastAsia"/>
          <w:sz w:val="36"/>
          <w:szCs w:val="44"/>
          <w:lang w:eastAsia="zh-CN"/>
        </w:rPr>
        <w:t>技术规格说明书</w:t>
      </w:r>
    </w:p>
    <w:p w:rsidR="002274AC">
      <w:pPr>
        <w:spacing w:line="360" w:lineRule="auto"/>
        <w:jc w:val="center"/>
        <w:rPr>
          <w:rFonts w:eastAsia="宋体"/>
          <w:sz w:val="36"/>
          <w:szCs w:val="44"/>
          <w:lang w:eastAsia="zh-CN"/>
        </w:rPr>
      </w:pPr>
      <w:r>
        <w:rPr>
          <w:rFonts w:eastAsia="宋体" w:hint="eastAsia"/>
          <w:sz w:val="36"/>
          <w:szCs w:val="44"/>
          <w:lang w:eastAsia="zh-CN"/>
        </w:rPr>
        <w:t>第二部分</w:t>
      </w: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Cs w:val="28"/>
          <w:lang w:eastAsia="zh-CN"/>
        </w:rPr>
      </w:pPr>
    </w:p>
    <w:p w:rsidR="002274AC">
      <w:pPr>
        <w:rPr>
          <w:rFonts w:eastAsia="宋体"/>
          <w:sz w:val="24"/>
          <w:szCs w:val="28"/>
          <w:lang w:eastAsia="zh-CN"/>
        </w:rPr>
      </w:pPr>
    </w:p>
    <w:p w:rsidR="002274AC">
      <w:pPr>
        <w:rPr>
          <w:rFonts w:eastAsia="宋体"/>
          <w:sz w:val="24"/>
          <w:szCs w:val="28"/>
          <w:lang w:eastAsia="zh-CN"/>
        </w:rPr>
      </w:pPr>
    </w:p>
    <w:p w:rsidR="002274AC">
      <w:pPr>
        <w:autoSpaceDE w:val="0"/>
        <w:autoSpaceDN w:val="0"/>
        <w:adjustRightInd w:val="0"/>
        <w:spacing w:line="360" w:lineRule="auto"/>
        <w:rPr>
          <w:rFonts w:eastAsia="宋体"/>
          <w:sz w:val="28"/>
          <w:szCs w:val="28"/>
          <w:u w:val="single"/>
          <w:lang w:eastAsia="zh-CN"/>
        </w:rPr>
      </w:pPr>
      <w:r>
        <w:rPr>
          <w:rFonts w:eastAsia="宋体" w:hint="eastAsia"/>
          <w:sz w:val="24"/>
          <w:szCs w:val="28"/>
          <w:lang w:eastAsia="zh-CN"/>
        </w:rPr>
        <w:t>日期：</w:t>
      </w:r>
      <w:r>
        <w:rPr>
          <w:rFonts w:eastAsia="宋体"/>
          <w:sz w:val="24"/>
          <w:szCs w:val="28"/>
          <w:lang w:eastAsia="zh-CN"/>
        </w:rPr>
        <w:tab/>
      </w:r>
      <w:r>
        <w:rPr>
          <w:rFonts w:eastAsia="宋体"/>
          <w:sz w:val="24"/>
          <w:szCs w:val="28"/>
          <w:lang w:eastAsia="zh-CN"/>
        </w:rPr>
        <w:tab/>
      </w:r>
      <w:r w:rsidR="00CD710D">
        <w:rPr>
          <w:rFonts w:eastAsia="宋体"/>
          <w:sz w:val="24"/>
          <w:szCs w:val="28"/>
          <w:u w:val="single"/>
          <w:lang w:eastAsia="zh-CN"/>
        </w:rPr>
        <w:t xml:space="preserve"> </w:t>
      </w:r>
    </w:p>
    <w:p w:rsidR="002274AC">
      <w:pPr>
        <w:rPr>
          <w:rStyle w:val="HR-12"/>
          <w:rFonts w:ascii="Times New Roman" w:eastAsia="宋体" w:hAnsi="Times New Roman"/>
          <w:bCs/>
          <w:caps/>
          <w:lang w:eastAsia="zh-CN"/>
        </w:rPr>
        <w:sectPr>
          <w:pgSz w:w="11906" w:h="16838"/>
          <w:pgMar w:top="1814" w:right="1418" w:bottom="1418" w:left="1814" w:header="851" w:footer="992" w:gutter="0"/>
          <w:pgNumType w:start="0"/>
          <w:cols w:space="425"/>
          <w:titlePg/>
          <w:docGrid w:linePitch="312"/>
        </w:sectPr>
      </w:pPr>
      <w:bookmarkStart w:id="0" w:name="_GoBack"/>
      <w:bookmarkEnd w:id="0"/>
    </w:p>
    <w:p w:rsidR="002274AC">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某科技研发中心</w:t>
      </w:r>
    </w:p>
    <w:p w:rsidR="002274AC">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高低压配电工程技术规格说明书</w:t>
      </w:r>
    </w:p>
    <w:p w:rsidR="002274AC">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目录</w:t>
      </w:r>
    </w:p>
    <w:p w:rsidR="002274AC">
      <w:pPr>
        <w:spacing w:before="60" w:after="60"/>
        <w:jc w:val="center"/>
        <w:rPr>
          <w:rStyle w:val="HR-12"/>
          <w:rFonts w:ascii="Times New Roman" w:eastAsia="宋体" w:hAnsi="Times New Roman"/>
          <w:bCs/>
          <w:caps/>
          <w:lang w:eastAsia="zh-CN"/>
        </w:rPr>
      </w:pPr>
    </w:p>
    <w:p w:rsidR="002274AC">
      <w:pPr>
        <w:tabs>
          <w:tab w:val="right" w:pos="8647"/>
        </w:tabs>
        <w:rPr>
          <w:rStyle w:val="HR-12"/>
          <w:rFonts w:asciiTheme="minorEastAsia" w:eastAsiaTheme="minorEastAsia" w:hAnsiTheme="minorEastAsia"/>
          <w:bCs/>
          <w:caps/>
          <w:lang w:eastAsia="zh-CN"/>
        </w:rPr>
      </w:pPr>
      <w:r>
        <w:rPr>
          <w:rStyle w:val="HR-12"/>
          <w:rFonts w:asciiTheme="minorEastAsia" w:eastAsiaTheme="minorEastAsia" w:hAnsiTheme="minorEastAsia" w:hint="eastAsia"/>
          <w:bCs/>
          <w:caps/>
          <w:lang w:eastAsia="zh-CN"/>
        </w:rPr>
        <w:t>第二部分</w:t>
      </w:r>
      <w:r>
        <w:rPr>
          <w:rStyle w:val="HR-12"/>
          <w:rFonts w:asciiTheme="minorEastAsia" w:eastAsiaTheme="minorEastAsia" w:hAnsiTheme="minorEastAsia"/>
          <w:bCs/>
          <w:caps/>
          <w:lang w:eastAsia="zh-CN"/>
        </w:rPr>
        <w:tab/>
      </w:r>
      <w:r>
        <w:rPr>
          <w:rStyle w:val="HR-12"/>
          <w:rFonts w:asciiTheme="minorEastAsia" w:eastAsiaTheme="minorEastAsia" w:hAnsiTheme="minorEastAsia" w:hint="eastAsia"/>
          <w:bCs/>
          <w:caps/>
          <w:u w:val="single"/>
          <w:lang w:eastAsia="zh-CN"/>
        </w:rPr>
        <w:t>页数</w:t>
      </w:r>
    </w:p>
    <w:sdt>
      <w:sdtPr>
        <w:rPr>
          <w:rFonts w:asciiTheme="minorEastAsia" w:eastAsiaTheme="minorEastAsia" w:hAnsiTheme="minorEastAsia" w:cs="Times New Roman"/>
          <w:color w:val="auto"/>
          <w:sz w:val="22"/>
          <w:szCs w:val="20"/>
          <w:lang w:val="zh-CN" w:eastAsia="en-US"/>
        </w:rPr>
        <w:id w:val="1236365407"/>
        <w:docPartObj>
          <w:docPartGallery w:val="Table of Contents"/>
          <w:docPartUnique/>
        </w:docPartObj>
      </w:sdtPr>
      <w:sdtEndPr>
        <w:rPr>
          <w:b/>
          <w:bCs/>
        </w:rPr>
      </w:sdtEndPr>
      <w:sdtContent>
        <w:p w:rsidR="002274AC">
          <w:pPr>
            <w:pStyle w:val="TOC10"/>
            <w:rPr>
              <w:rFonts w:asciiTheme="minorEastAsia" w:eastAsiaTheme="minorEastAsia" w:hAnsiTheme="minorEastAsia"/>
              <w:color w:val="auto"/>
              <w:sz w:val="15"/>
              <w:szCs w:val="15"/>
            </w:rPr>
          </w:pPr>
        </w:p>
        <w:p w:rsidR="002274AC">
          <w:pPr>
            <w:pStyle w:val="TOC1"/>
            <w:tabs>
              <w:tab w:val="right" w:leader="dot" w:pos="8674"/>
            </w:tabs>
          </w:pPr>
          <w:r>
            <w:rPr>
              <w:rFonts w:asciiTheme="minorEastAsia" w:eastAsiaTheme="minorEastAsia" w:hAnsiTheme="minorEastAsia"/>
              <w:b w:val="0"/>
              <w:caps w:val="0"/>
            </w:rPr>
            <w:fldChar w:fldCharType="begin"/>
          </w:r>
          <w:r>
            <w:rPr>
              <w:rFonts w:asciiTheme="minorEastAsia" w:eastAsiaTheme="minorEastAsia" w:hAnsiTheme="minorEastAsia"/>
              <w:b w:val="0"/>
              <w:caps w:val="0"/>
            </w:rPr>
            <w:instrText xml:space="preserve"> TOC \o "1-1" \h \z \u </w:instrText>
          </w:r>
          <w:r>
            <w:rPr>
              <w:rFonts w:asciiTheme="minorEastAsia" w:eastAsiaTheme="minorEastAsia" w:hAnsiTheme="minorEastAsia"/>
              <w:b w:val="0"/>
              <w:caps w:val="0"/>
            </w:rPr>
            <w:fldChar w:fldCharType="separate"/>
          </w:r>
          <w:hyperlink w:anchor="_Toc24371" w:history="1">
            <w:r>
              <w:rPr>
                <w:rFonts w:ascii="宋体" w:hAnsi="宋体" w:hint="eastAsia"/>
                <w:bCs/>
                <w:szCs w:val="30"/>
                <w:lang w:eastAsia="zh-CN"/>
              </w:rPr>
              <w:t>第二部分</w:t>
            </w:r>
            <w:r>
              <w:tab/>
            </w:r>
            <w:r>
              <w:fldChar w:fldCharType="begin"/>
            </w:r>
            <w:r>
              <w:instrText xml:space="preserve"> PAGEREF _Toc24371 \h </w:instrText>
            </w:r>
            <w:r>
              <w:fldChar w:fldCharType="separate"/>
            </w:r>
            <w:r>
              <w:t>1</w:t>
            </w:r>
            <w:r>
              <w:fldChar w:fldCharType="end"/>
            </w:r>
          </w:hyperlink>
        </w:p>
        <w:p w:rsidR="002274AC">
          <w:pPr>
            <w:pStyle w:val="TOC1"/>
            <w:tabs>
              <w:tab w:val="right" w:leader="dot" w:pos="8674"/>
            </w:tabs>
          </w:pPr>
          <w:hyperlink w:anchor="_Toc12531" w:history="1">
            <w:r>
              <w:rPr>
                <w:rFonts w:ascii="Times New Roman Bold" w:hAnsi="Times New Roman Bold" w:eastAsiaTheme="minorEastAsia" w:cs="Arial"/>
                <w:szCs w:val="21"/>
                <w:lang w:eastAsia="zh-CN"/>
              </w:rPr>
              <w:t xml:space="preserve">1. </w:t>
            </w:r>
            <w:r>
              <w:rPr>
                <w:rFonts w:asciiTheme="minorEastAsia" w:eastAsiaTheme="minorEastAsia" w:hAnsiTheme="minorEastAsia" w:cs="Arial"/>
                <w:szCs w:val="21"/>
                <w:lang w:eastAsia="zh-CN"/>
              </w:rPr>
              <w:t>高压配电屏</w:t>
            </w:r>
            <w:r>
              <w:tab/>
            </w:r>
            <w:r>
              <w:fldChar w:fldCharType="begin"/>
            </w:r>
            <w:r>
              <w:instrText xml:space="preserve"> PAGEREF _Toc12531 \h </w:instrText>
            </w:r>
            <w:r>
              <w:fldChar w:fldCharType="separate"/>
            </w:r>
            <w:r>
              <w:t>1</w:t>
            </w:r>
            <w:r>
              <w:fldChar w:fldCharType="end"/>
            </w:r>
          </w:hyperlink>
        </w:p>
        <w:p w:rsidR="002274AC">
          <w:pPr>
            <w:pStyle w:val="TOC1"/>
            <w:tabs>
              <w:tab w:val="right" w:leader="dot" w:pos="8674"/>
            </w:tabs>
          </w:pPr>
          <w:hyperlink w:anchor="_Toc20521" w:history="1">
            <w:r>
              <w:rPr>
                <w:rFonts w:ascii="Times New Roman Bold" w:hAnsi="Times New Roman Bold" w:eastAsiaTheme="minorEastAsia" w:cs="Arial"/>
                <w:szCs w:val="21"/>
                <w:lang w:eastAsia="zh-CN"/>
              </w:rPr>
              <w:t xml:space="preserve">2. </w:t>
            </w:r>
            <w:r>
              <w:rPr>
                <w:rFonts w:asciiTheme="minorEastAsia" w:eastAsiaTheme="minorEastAsia" w:hAnsiTheme="minorEastAsia" w:cs="Arial"/>
                <w:szCs w:val="21"/>
                <w:lang w:eastAsia="zh-CN"/>
              </w:rPr>
              <w:t>高压电缆</w:t>
            </w:r>
            <w:r>
              <w:tab/>
            </w:r>
            <w:r>
              <w:fldChar w:fldCharType="begin"/>
            </w:r>
            <w:r>
              <w:instrText xml:space="preserve"> PAGEREF _Toc20521 \h </w:instrText>
            </w:r>
            <w:r>
              <w:fldChar w:fldCharType="separate"/>
            </w:r>
            <w:r>
              <w:t>15</w:t>
            </w:r>
            <w:r>
              <w:fldChar w:fldCharType="end"/>
            </w:r>
          </w:hyperlink>
        </w:p>
        <w:p w:rsidR="002274AC">
          <w:pPr>
            <w:pStyle w:val="TOC1"/>
            <w:tabs>
              <w:tab w:val="right" w:leader="dot" w:pos="8674"/>
            </w:tabs>
          </w:pPr>
          <w:hyperlink w:anchor="_Toc24786" w:history="1">
            <w:r>
              <w:rPr>
                <w:rFonts w:ascii="Times New Roman Bold" w:hAnsi="Times New Roman Bold" w:eastAsiaTheme="minorEastAsia" w:cs="Arial"/>
                <w:szCs w:val="21"/>
                <w:lang w:eastAsia="zh-CN"/>
              </w:rPr>
              <w:t xml:space="preserve">3. </w:t>
            </w:r>
            <w:r>
              <w:rPr>
                <w:rFonts w:asciiTheme="minorEastAsia" w:eastAsiaTheme="minorEastAsia" w:hAnsiTheme="minorEastAsia" w:cs="Arial"/>
                <w:szCs w:val="21"/>
                <w:lang w:eastAsia="zh-CN"/>
              </w:rPr>
              <w:t>变压器</w:t>
            </w:r>
            <w:r>
              <w:tab/>
            </w:r>
            <w:r>
              <w:fldChar w:fldCharType="begin"/>
            </w:r>
            <w:r>
              <w:instrText xml:space="preserve"> PAGEREF _Toc24786 \h </w:instrText>
            </w:r>
            <w:r>
              <w:fldChar w:fldCharType="separate"/>
            </w:r>
            <w:r>
              <w:t>17</w:t>
            </w:r>
            <w:r>
              <w:fldChar w:fldCharType="end"/>
            </w:r>
          </w:hyperlink>
        </w:p>
        <w:p w:rsidR="002274AC">
          <w:pPr>
            <w:pStyle w:val="TOC1"/>
            <w:tabs>
              <w:tab w:val="right" w:leader="dot" w:pos="8674"/>
            </w:tabs>
          </w:pPr>
          <w:hyperlink w:anchor="_Toc8423" w:history="1">
            <w:r>
              <w:rPr>
                <w:rFonts w:ascii="Times New Roman Bold" w:hAnsi="Times New Roman Bold" w:eastAsiaTheme="minorEastAsia" w:cs="Arial"/>
                <w:szCs w:val="21"/>
                <w:lang w:eastAsia="zh-CN"/>
              </w:rPr>
              <w:t xml:space="preserve">4. </w:t>
            </w:r>
            <w:r>
              <w:rPr>
                <w:rFonts w:asciiTheme="minorEastAsia" w:eastAsiaTheme="minorEastAsia" w:hAnsiTheme="minorEastAsia" w:cs="Arial"/>
                <w:szCs w:val="21"/>
                <w:lang w:eastAsia="zh-CN"/>
              </w:rPr>
              <w:t>直流屏</w:t>
            </w:r>
            <w:r>
              <w:tab/>
            </w:r>
            <w:r>
              <w:fldChar w:fldCharType="begin"/>
            </w:r>
            <w:r>
              <w:instrText xml:space="preserve"> PAGEREF _Toc8423 \h </w:instrText>
            </w:r>
            <w:r>
              <w:fldChar w:fldCharType="separate"/>
            </w:r>
            <w:r>
              <w:t>20</w:t>
            </w:r>
            <w:r>
              <w:fldChar w:fldCharType="end"/>
            </w:r>
          </w:hyperlink>
        </w:p>
        <w:p w:rsidR="002274AC">
          <w:pPr>
            <w:pStyle w:val="TOC1"/>
            <w:tabs>
              <w:tab w:val="right" w:leader="dot" w:pos="8674"/>
            </w:tabs>
          </w:pPr>
          <w:hyperlink w:anchor="_Toc5032" w:history="1">
            <w:r>
              <w:rPr>
                <w:rFonts w:ascii="Times New Roman Bold" w:hAnsi="Times New Roman Bold" w:eastAsiaTheme="minorEastAsia" w:cs="Arial"/>
                <w:szCs w:val="21"/>
                <w:lang w:eastAsia="zh-CN"/>
              </w:rPr>
              <w:t xml:space="preserve">5. </w:t>
            </w:r>
            <w:r>
              <w:rPr>
                <w:rFonts w:asciiTheme="minorEastAsia" w:eastAsiaTheme="minorEastAsia" w:hAnsiTheme="minorEastAsia" w:cs="Arial"/>
                <w:szCs w:val="21"/>
                <w:lang w:eastAsia="zh-CN"/>
              </w:rPr>
              <w:t>低压配电设备</w:t>
            </w:r>
            <w:r>
              <w:tab/>
            </w:r>
            <w:r>
              <w:fldChar w:fldCharType="begin"/>
            </w:r>
            <w:r>
              <w:instrText xml:space="preserve"> PAGEREF _Toc5032 \h </w:instrText>
            </w:r>
            <w:r>
              <w:fldChar w:fldCharType="separate"/>
            </w:r>
            <w:r>
              <w:t>25</w:t>
            </w:r>
            <w:r>
              <w:fldChar w:fldCharType="end"/>
            </w:r>
          </w:hyperlink>
        </w:p>
        <w:p w:rsidR="002274AC">
          <w:pPr>
            <w:pStyle w:val="TOC1"/>
            <w:tabs>
              <w:tab w:val="right" w:leader="dot" w:pos="8674"/>
            </w:tabs>
          </w:pPr>
          <w:hyperlink w:anchor="_Toc18139" w:history="1">
            <w:r>
              <w:rPr>
                <w:rFonts w:ascii="Times New Roman Bold" w:hAnsi="Times New Roman Bold" w:eastAsiaTheme="minorEastAsia" w:cs="Arial"/>
                <w:szCs w:val="21"/>
                <w:lang w:eastAsia="zh-CN"/>
              </w:rPr>
              <w:t xml:space="preserve">6. </w:t>
            </w:r>
            <w:r>
              <w:rPr>
                <w:rFonts w:asciiTheme="minorEastAsia" w:eastAsiaTheme="minorEastAsia" w:hAnsiTheme="minorEastAsia" w:cs="Arial"/>
                <w:szCs w:val="21"/>
                <w:lang w:eastAsia="zh-CN"/>
              </w:rPr>
              <w:t>母线槽系统</w:t>
            </w:r>
            <w:r>
              <w:tab/>
            </w:r>
            <w:r>
              <w:fldChar w:fldCharType="begin"/>
            </w:r>
            <w:r>
              <w:instrText xml:space="preserve"> PAGEREF _Toc18139 \h </w:instrText>
            </w:r>
            <w:r>
              <w:fldChar w:fldCharType="separate"/>
            </w:r>
            <w:r>
              <w:t>40</w:t>
            </w:r>
            <w:r>
              <w:fldChar w:fldCharType="end"/>
            </w:r>
          </w:hyperlink>
        </w:p>
        <w:p w:rsidR="002274AC">
          <w:pPr>
            <w:pStyle w:val="TOC1"/>
            <w:tabs>
              <w:tab w:val="right" w:leader="dot" w:pos="8674"/>
            </w:tabs>
          </w:pPr>
          <w:hyperlink w:anchor="_Toc23955" w:history="1">
            <w:r>
              <w:rPr>
                <w:rFonts w:ascii="Times New Roman Bold" w:hAnsi="Times New Roman Bold" w:eastAsiaTheme="minorEastAsia" w:cs="Arial"/>
                <w:szCs w:val="21"/>
                <w:lang w:eastAsia="zh-CN"/>
              </w:rPr>
              <w:t xml:space="preserve">7. </w:t>
            </w:r>
            <w:r>
              <w:rPr>
                <w:rFonts w:asciiTheme="minorEastAsia" w:eastAsiaTheme="minorEastAsia" w:hAnsiTheme="minorEastAsia" w:cs="Arial"/>
                <w:szCs w:val="21"/>
                <w:lang w:eastAsia="zh-CN"/>
              </w:rPr>
              <w:t>线路配件及其他电气设备</w:t>
            </w:r>
            <w:r>
              <w:tab/>
            </w:r>
            <w:r>
              <w:fldChar w:fldCharType="begin"/>
            </w:r>
            <w:r>
              <w:instrText xml:space="preserve"> PAGEREF _Toc23955 \h </w:instrText>
            </w:r>
            <w:r>
              <w:fldChar w:fldCharType="separate"/>
            </w:r>
            <w:r>
              <w:t>43</w:t>
            </w:r>
            <w:r>
              <w:fldChar w:fldCharType="end"/>
            </w:r>
          </w:hyperlink>
        </w:p>
        <w:p w:rsidR="002274AC">
          <w:pPr>
            <w:pStyle w:val="TOC1"/>
            <w:tabs>
              <w:tab w:val="right" w:leader="dot" w:pos="8674"/>
            </w:tabs>
          </w:pPr>
          <w:hyperlink w:anchor="_Toc20583" w:history="1">
            <w:r>
              <w:rPr>
                <w:rFonts w:ascii="Times New Roman Bold" w:hAnsi="Times New Roman Bold" w:eastAsiaTheme="minorEastAsia"/>
                <w:szCs w:val="21"/>
                <w:lang w:eastAsia="zh-CN"/>
              </w:rPr>
              <w:t xml:space="preserve">8. </w:t>
            </w:r>
            <w:r>
              <w:rPr>
                <w:rFonts w:asciiTheme="minorEastAsia" w:eastAsiaTheme="minorEastAsia" w:hAnsiTheme="minorEastAsia" w:hint="eastAsia"/>
                <w:szCs w:val="21"/>
                <w:lang w:val="en-US" w:eastAsia="zh-CN"/>
              </w:rPr>
              <w:t>电力监控系统</w:t>
            </w:r>
            <w:r>
              <w:tab/>
            </w:r>
            <w:r>
              <w:fldChar w:fldCharType="begin"/>
            </w:r>
            <w:r>
              <w:instrText xml:space="preserve"> PAGEREF _Toc20583 \h </w:instrText>
            </w:r>
            <w:r>
              <w:fldChar w:fldCharType="separate"/>
            </w:r>
            <w:r>
              <w:t>51</w:t>
            </w:r>
            <w:r>
              <w:fldChar w:fldCharType="end"/>
            </w:r>
          </w:hyperlink>
        </w:p>
        <w:p w:rsidR="002274AC">
          <w:pPr>
            <w:pStyle w:val="TOC1"/>
            <w:tabs>
              <w:tab w:val="right" w:leader="dot" w:pos="8674"/>
            </w:tabs>
          </w:pPr>
          <w:hyperlink w:anchor="_Toc15142" w:history="1">
            <w:r>
              <w:rPr>
                <w:rFonts w:ascii="Times New Roman Bold" w:hAnsi="Times New Roman Bold" w:eastAsiaTheme="minorEastAsia"/>
                <w:szCs w:val="21"/>
                <w:lang w:val="en-US" w:eastAsia="zh-CN"/>
              </w:rPr>
              <w:t xml:space="preserve">9. </w:t>
            </w:r>
            <w:r>
              <w:rPr>
                <w:rFonts w:asciiTheme="minorEastAsia" w:eastAsiaTheme="minorEastAsia" w:hAnsiTheme="minorEastAsia"/>
                <w:szCs w:val="21"/>
                <w:lang w:val="en-US" w:eastAsia="zh-CN"/>
              </w:rPr>
              <w:t>油漆及标签</w:t>
            </w:r>
            <w:r>
              <w:tab/>
            </w:r>
            <w:r>
              <w:fldChar w:fldCharType="begin"/>
            </w:r>
            <w:r>
              <w:instrText xml:space="preserve"> PAGEREF _Toc15142 \h </w:instrText>
            </w:r>
            <w:r>
              <w:fldChar w:fldCharType="separate"/>
            </w:r>
            <w:r>
              <w:t>55</w:t>
            </w:r>
            <w:r>
              <w:fldChar w:fldCharType="end"/>
            </w:r>
          </w:hyperlink>
        </w:p>
        <w:p w:rsidR="002274AC">
          <w:pPr>
            <w:pStyle w:val="TOC1"/>
            <w:tabs>
              <w:tab w:val="right" w:leader="dot" w:pos="8674"/>
            </w:tabs>
          </w:pPr>
          <w:hyperlink w:anchor="_Toc14503" w:history="1">
            <w:r>
              <w:rPr>
                <w:rFonts w:ascii="Times New Roman Bold" w:hAnsi="Times New Roman Bold" w:eastAsiaTheme="minorEastAsia"/>
                <w:szCs w:val="21"/>
                <w:lang w:val="en-US" w:eastAsia="zh-CN"/>
              </w:rPr>
              <w:t xml:space="preserve">10. </w:t>
            </w:r>
            <w:r>
              <w:rPr>
                <w:rFonts w:asciiTheme="minorEastAsia" w:eastAsiaTheme="minorEastAsia" w:hAnsiTheme="minorEastAsia" w:hint="eastAsia"/>
                <w:szCs w:val="21"/>
                <w:lang w:val="en-US" w:eastAsia="zh-CN"/>
              </w:rPr>
              <w:t>抗震支吊架</w:t>
            </w:r>
            <w:r>
              <w:tab/>
            </w:r>
            <w:r>
              <w:fldChar w:fldCharType="begin"/>
            </w:r>
            <w:r>
              <w:instrText xml:space="preserve"> PAGEREF _Toc14503 \h </w:instrText>
            </w:r>
            <w:r>
              <w:fldChar w:fldCharType="separate"/>
            </w:r>
            <w:r>
              <w:t>60</w:t>
            </w:r>
            <w:r>
              <w:fldChar w:fldCharType="end"/>
            </w:r>
          </w:hyperlink>
        </w:p>
        <w:p w:rsidR="002274AC">
          <w:pPr>
            <w:pStyle w:val="TOC1"/>
            <w:tabs>
              <w:tab w:val="right" w:leader="dot" w:pos="8674"/>
            </w:tabs>
          </w:pPr>
          <w:hyperlink w:anchor="_Toc12439" w:history="1">
            <w:r>
              <w:rPr>
                <w:rFonts w:ascii="Times New Roman Bold" w:hAnsi="Times New Roman Bold" w:eastAsiaTheme="minorEastAsia"/>
                <w:szCs w:val="21"/>
                <w:lang w:val="en-US" w:eastAsia="zh-CN"/>
              </w:rPr>
              <w:t xml:space="preserve">11. </w:t>
            </w:r>
            <w:r>
              <w:rPr>
                <w:rFonts w:asciiTheme="minorEastAsia" w:eastAsiaTheme="minorEastAsia" w:hAnsiTheme="minorEastAsia" w:hint="eastAsia"/>
                <w:szCs w:val="21"/>
                <w:lang w:val="en-US" w:eastAsia="zh-CN"/>
              </w:rPr>
              <w:t>防火封堵材料</w:t>
            </w:r>
            <w:r>
              <w:tab/>
            </w:r>
            <w:r>
              <w:fldChar w:fldCharType="begin"/>
            </w:r>
            <w:r>
              <w:instrText xml:space="preserve"> PAGEREF _Toc12439 \h </w:instrText>
            </w:r>
            <w:r>
              <w:fldChar w:fldCharType="separate"/>
            </w:r>
            <w:r>
              <w:t>64</w:t>
            </w:r>
            <w:r>
              <w:fldChar w:fldCharType="end"/>
            </w:r>
          </w:hyperlink>
        </w:p>
        <w:p w:rsidR="002274AC">
          <w:pPr>
            <w:pStyle w:val="TOC1"/>
            <w:tabs>
              <w:tab w:val="right" w:leader="dot" w:pos="8674"/>
            </w:tabs>
          </w:pPr>
          <w:hyperlink w:anchor="_Toc14938" w:history="1">
            <w:r>
              <w:rPr>
                <w:rFonts w:ascii="Times New Roman Bold" w:hAnsi="Times New Roman Bold" w:eastAsiaTheme="minorEastAsia"/>
                <w:szCs w:val="21"/>
                <w:lang w:val="en-US" w:eastAsia="zh-CN"/>
              </w:rPr>
              <w:t xml:space="preserve">12. </w:t>
            </w:r>
            <w:r>
              <w:rPr>
                <w:rFonts w:asciiTheme="minorEastAsia" w:eastAsiaTheme="minorEastAsia" w:hAnsiTheme="minorEastAsia"/>
                <w:szCs w:val="21"/>
                <w:lang w:val="en-US" w:eastAsia="zh-CN"/>
              </w:rPr>
              <w:t>检验和测试一般要求</w:t>
            </w:r>
            <w:r>
              <w:tab/>
            </w:r>
            <w:r>
              <w:fldChar w:fldCharType="begin"/>
            </w:r>
            <w:r>
              <w:instrText xml:space="preserve"> PAGEREF _Toc14938 \h </w:instrText>
            </w:r>
            <w:r>
              <w:fldChar w:fldCharType="separate"/>
            </w:r>
            <w:r>
              <w:t>67</w:t>
            </w:r>
            <w:r>
              <w:fldChar w:fldCharType="end"/>
            </w:r>
          </w:hyperlink>
        </w:p>
        <w:p w:rsidR="002274AC">
          <w:pPr>
            <w:pStyle w:val="TOC1"/>
            <w:tabs>
              <w:tab w:val="right" w:leader="dot" w:pos="8674"/>
            </w:tabs>
          </w:pPr>
          <w:hyperlink w:anchor="_Toc16261" w:history="1">
            <w:r>
              <w:rPr>
                <w:rFonts w:ascii="Times New Roman Bold" w:hAnsi="Times New Roman Bold" w:eastAsiaTheme="minorEastAsia"/>
                <w:szCs w:val="21"/>
                <w:lang w:eastAsia="zh-CN"/>
              </w:rPr>
              <w:t xml:space="preserve">13. </w:t>
            </w:r>
            <w:r>
              <w:rPr>
                <w:rFonts w:asciiTheme="minorEastAsia" w:eastAsiaTheme="minorEastAsia" w:hAnsiTheme="minorEastAsia"/>
                <w:szCs w:val="21"/>
                <w:lang w:val="en-US" w:eastAsia="zh-CN"/>
              </w:rPr>
              <w:t>强电系统测试和试运行</w:t>
            </w:r>
            <w:r>
              <w:tab/>
            </w:r>
            <w:r>
              <w:fldChar w:fldCharType="begin"/>
            </w:r>
            <w:r>
              <w:instrText xml:space="preserve"> PAGEREF _Toc16261 \h </w:instrText>
            </w:r>
            <w:r>
              <w:fldChar w:fldCharType="separate"/>
            </w:r>
            <w:r>
              <w:t>70</w:t>
            </w:r>
            <w:r>
              <w:fldChar w:fldCharType="end"/>
            </w:r>
          </w:hyperlink>
        </w:p>
        <w:p w:rsidR="002274AC">
          <w:pPr>
            <w:rPr>
              <w:rFonts w:asciiTheme="minorEastAsia" w:eastAsiaTheme="minorEastAsia" w:hAnsiTheme="minorEastAsia"/>
            </w:rPr>
          </w:pPr>
          <w:r>
            <w:rPr>
              <w:rFonts w:asciiTheme="minorEastAsia" w:eastAsiaTheme="minorEastAsia" w:hAnsiTheme="minorEastAsia"/>
              <w:caps/>
            </w:rPr>
            <w:fldChar w:fldCharType="end"/>
          </w:r>
        </w:p>
      </w:sdtContent>
    </w:sdt>
    <w:p w:rsidR="002274AC">
      <w:pPr>
        <w:pStyle w:val="TOC1"/>
        <w:tabs>
          <w:tab w:val="left" w:pos="426"/>
          <w:tab w:val="right" w:leader="dot" w:pos="8664"/>
        </w:tabs>
        <w:rPr>
          <w:rFonts w:asciiTheme="minorEastAsia" w:eastAsiaTheme="minorEastAsia" w:hAnsiTheme="minorEastAsia"/>
          <w:lang w:eastAsia="zh-CN"/>
        </w:rPr>
        <w:sectPr>
          <w:type w:val="nextPage"/>
          <w:pgSz w:w="11906" w:h="16838"/>
          <w:pgMar w:top="1814" w:right="1418" w:bottom="1418" w:left="1814" w:header="851" w:footer="992" w:gutter="0"/>
          <w:pgNumType w:start="1"/>
          <w:cols w:space="425"/>
          <w:titlePg w:val="0"/>
          <w:docGrid w:linePitch="312"/>
        </w:sectPr>
      </w:pPr>
    </w:p>
    <w:p w:rsidR="002274AC">
      <w:pPr>
        <w:pStyle w:val="Heading1"/>
        <w:numPr>
          <w:ilvl w:val="0"/>
          <w:numId w:val="0"/>
        </w:numPr>
        <w:spacing w:before="240" w:beforeLines="100" w:after="240" w:afterLines="100"/>
        <w:jc w:val="center"/>
        <w:rPr>
          <w:rFonts w:ascii="宋体" w:hAnsi="宋体"/>
          <w:bCs/>
          <w:sz w:val="30"/>
          <w:szCs w:val="30"/>
          <w:lang w:eastAsia="zh-CN"/>
        </w:rPr>
      </w:pPr>
      <w:bookmarkStart w:id="1" w:name="_Toc20952"/>
      <w:bookmarkStart w:id="2" w:name="_Toc116305056"/>
      <w:bookmarkStart w:id="3" w:name="_Toc502752662"/>
      <w:bookmarkStart w:id="4" w:name="_Toc502756896"/>
      <w:bookmarkStart w:id="5" w:name="_Toc24371"/>
      <w:r>
        <w:rPr>
          <w:rFonts w:ascii="宋体" w:hAnsi="宋体" w:hint="eastAsia"/>
          <w:bCs/>
          <w:sz w:val="30"/>
          <w:szCs w:val="30"/>
          <w:lang w:eastAsia="zh-CN"/>
        </w:rPr>
        <w:t>第二部分</w:t>
      </w:r>
      <w:bookmarkEnd w:id="1"/>
      <w:bookmarkEnd w:id="2"/>
      <w:bookmarkEnd w:id="3"/>
      <w:bookmarkEnd w:id="4"/>
      <w:bookmarkEnd w:id="5"/>
    </w:p>
    <w:p w:rsidR="002274AC">
      <w:pPr>
        <w:pStyle w:val="ReportLevel1"/>
        <w:keepLines/>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6" w:name="_Toc163277109"/>
      <w:bookmarkStart w:id="7" w:name="_Toc162931962"/>
      <w:bookmarkStart w:id="8" w:name="_Toc733"/>
      <w:bookmarkStart w:id="9" w:name="_Toc237079517"/>
      <w:bookmarkStart w:id="10" w:name="_Toc163292353"/>
      <w:bookmarkStart w:id="11" w:name="_Toc116305057"/>
      <w:bookmarkStart w:id="12" w:name="_Toc12531"/>
      <w:bookmarkStart w:id="13" w:name="_Toc505082061"/>
      <w:bookmarkStart w:id="14" w:name="_Toc502849559"/>
      <w:bookmarkStart w:id="15" w:name="_Toc502859492"/>
      <w:bookmarkStart w:id="16" w:name="_Toc502857476"/>
      <w:bookmarkStart w:id="17" w:name="_Toc502853422"/>
      <w:bookmarkStart w:id="18" w:name="_Toc502860476"/>
      <w:r>
        <w:rPr>
          <w:rFonts w:asciiTheme="minorEastAsia" w:eastAsiaTheme="minorEastAsia" w:hAnsiTheme="minorEastAsia" w:cs="Arial"/>
          <w:sz w:val="21"/>
          <w:szCs w:val="21"/>
          <w:lang w:eastAsia="zh-CN"/>
        </w:rPr>
        <w:t>高压配电屏</w:t>
      </w:r>
      <w:bookmarkEnd w:id="6"/>
      <w:bookmarkEnd w:id="7"/>
      <w:bookmarkEnd w:id="8"/>
      <w:bookmarkEnd w:id="9"/>
      <w:bookmarkEnd w:id="10"/>
      <w:bookmarkEnd w:id="11"/>
      <w:bookmarkEnd w:id="12"/>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一般要求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bookmarkStart w:id="19" w:name="_Toc237079518"/>
      <w:bookmarkStart w:id="20" w:name="_Toc162931963"/>
      <w:r>
        <w:rPr>
          <w:rFonts w:asciiTheme="minorEastAsia" w:eastAsiaTheme="minorEastAsia" w:hAnsiTheme="minorEastAsia" w:cs="Arial" w:hint="eastAsia"/>
          <w:sz w:val="21"/>
          <w:szCs w:val="21"/>
          <w:lang w:eastAsia="zh-CN"/>
        </w:rPr>
        <w:t>高压开关柜及有关之设备，例如开关组件、母线组装、熔断器负荷开关等，均须附有证明所指定之负载，而母线系统须具由国际</w:t>
      </w:r>
      <w:r>
        <w:rPr>
          <w:rFonts w:asciiTheme="minorEastAsia" w:eastAsiaTheme="minorEastAsia" w:hAnsiTheme="minorEastAsia" w:cs="Arial" w:hint="eastAsia"/>
          <w:sz w:val="21"/>
          <w:szCs w:val="21"/>
          <w:lang w:val="en-US" w:eastAsia="zh-CN"/>
        </w:rPr>
        <w:t>或</w:t>
      </w:r>
      <w:r>
        <w:rPr>
          <w:rFonts w:asciiTheme="minorEastAsia" w:eastAsiaTheme="minorEastAsia" w:hAnsiTheme="minorEastAsia" w:cs="Arial" w:hint="eastAsia"/>
          <w:sz w:val="21"/>
          <w:szCs w:val="21"/>
          <w:lang w:eastAsia="zh-CN"/>
        </w:rPr>
        <w:t>国家性认可的定型测试机构对其短路故障水平的表现发出证明。</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zh-CN" w:eastAsia="zh-CN"/>
        </w:rPr>
        <w:t>通过国家级高压电器质量监督检验机构的型式试验。制造商拟采购品牌、型号的型式检验报告，送检单位需与制造商一致。</w:t>
      </w:r>
      <w:r>
        <w:rPr>
          <w:rFonts w:asciiTheme="minorEastAsia" w:eastAsiaTheme="minorEastAsia" w:hAnsiTheme="minorEastAsia" w:cs="Arial" w:hint="eastAsia"/>
          <w:sz w:val="21"/>
          <w:szCs w:val="21"/>
          <w:lang w:eastAsia="zh-CN"/>
        </w:rPr>
        <w:t>投标人投标的主要设备、主要元器件不接受任何形式的转包、贴牌及高仿产品。柜内元器件均应具有</w:t>
      </w:r>
      <w:r>
        <w:rPr>
          <w:rFonts w:asciiTheme="minorEastAsia" w:eastAsiaTheme="minorEastAsia" w:hAnsiTheme="minorEastAsia" w:cs="Arial"/>
          <w:sz w:val="21"/>
          <w:szCs w:val="21"/>
          <w:lang w:eastAsia="zh-CN"/>
        </w:rPr>
        <w:t>CCC</w:t>
      </w:r>
      <w:r>
        <w:rPr>
          <w:rFonts w:asciiTheme="minorEastAsia" w:eastAsiaTheme="minorEastAsia" w:hAnsiTheme="minorEastAsia" w:cs="Arial" w:hint="eastAsia"/>
          <w:sz w:val="21"/>
          <w:szCs w:val="21"/>
          <w:lang w:eastAsia="zh-CN"/>
        </w:rPr>
        <w:t>认证。</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zh-CN" w:eastAsia="zh-CN"/>
        </w:rPr>
      </w:pPr>
      <w:r>
        <w:rPr>
          <w:rFonts w:asciiTheme="minorEastAsia" w:eastAsiaTheme="minorEastAsia" w:hAnsiTheme="minorEastAsia" w:cs="Arial" w:hint="eastAsia"/>
          <w:sz w:val="21"/>
          <w:szCs w:val="21"/>
          <w:lang w:val="zh-CN" w:eastAsia="zh-CN"/>
        </w:rPr>
        <w:t>真空断路器、负荷开关、微机综合保护装置选用同一品牌产品。柜内其他高压电器组件均应是符合国家标准的名优产品，互感器、高压熔断器等应附有合格证，均具有耐久而清晰的铭牌。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zh-CN" w:eastAsia="zh-CN"/>
        </w:rPr>
      </w:pPr>
      <w:r>
        <w:rPr>
          <w:rFonts w:asciiTheme="minorEastAsia" w:eastAsiaTheme="minorEastAsia" w:hAnsiTheme="minorEastAsia" w:cs="Arial" w:hint="eastAsia"/>
          <w:sz w:val="21"/>
          <w:szCs w:val="21"/>
          <w:lang w:val="zh-CN" w:eastAsia="zh-CN"/>
        </w:rPr>
        <w:t>高压开关柜须为经过</w:t>
      </w:r>
      <w:r>
        <w:rPr>
          <w:rFonts w:asciiTheme="minorEastAsia" w:eastAsiaTheme="minorEastAsia" w:hAnsiTheme="minorEastAsia" w:cs="Arial" w:hint="eastAsia"/>
          <w:sz w:val="21"/>
          <w:szCs w:val="21"/>
          <w:lang w:val="zh-CN" w:eastAsia="zh-CN"/>
        </w:rPr>
        <w:t>GB/T 16927.1-2011</w:t>
      </w:r>
      <w:r>
        <w:rPr>
          <w:rFonts w:asciiTheme="minorEastAsia" w:eastAsiaTheme="minorEastAsia" w:hAnsiTheme="minorEastAsia" w:cs="Arial" w:hint="eastAsia"/>
          <w:sz w:val="21"/>
          <w:szCs w:val="21"/>
          <w:lang w:val="zh-CN" w:eastAsia="zh-CN"/>
        </w:rPr>
        <w:t>所规定的定型试验的组装，并在厂内组装和试验。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zh-CN" w:eastAsia="zh-CN"/>
        </w:rPr>
      </w:pPr>
      <w:r>
        <w:rPr>
          <w:rFonts w:asciiTheme="minorEastAsia" w:eastAsiaTheme="minorEastAsia" w:hAnsiTheme="minorEastAsia" w:cs="Arial" w:hint="eastAsia"/>
          <w:sz w:val="21"/>
          <w:szCs w:val="21"/>
          <w:lang w:val="zh-CN" w:eastAsia="zh-CN"/>
        </w:rPr>
        <w:t>产品符合深圳市供电局有关规定和要求，符合深圳市质量监督检测站有关规定和要求。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zh-CN" w:eastAsia="zh-CN"/>
        </w:rPr>
      </w:pPr>
      <w:r>
        <w:rPr>
          <w:rFonts w:asciiTheme="minorEastAsia" w:eastAsiaTheme="minorEastAsia" w:hAnsiTheme="minorEastAsia" w:cs="Arial" w:hint="eastAsia"/>
          <w:sz w:val="21"/>
          <w:szCs w:val="21"/>
          <w:lang w:val="zh-CN" w:eastAsia="zh-CN"/>
        </w:rPr>
        <w:t>高压计量柜需带有经过供电部门规定的计量表。</w:t>
      </w:r>
    </w:p>
    <w:p w:rsidR="002274AC">
      <w:pPr>
        <w:pStyle w:val="ReportLevel3"/>
        <w:keepNext w:val="0"/>
        <w:keepLines/>
        <w:tabs>
          <w:tab w:val="clear" w:pos="1077"/>
          <w:tab w:val="left" w:pos="1080"/>
        </w:tabs>
        <w:spacing w:before="120" w:beforeLines="50" w:after="120" w:afterLines="50"/>
        <w:ind w:left="0" w:firstLine="0"/>
        <w:rPr>
          <w:rFonts w:asciiTheme="minorEastAsia" w:eastAsiaTheme="minorEastAsia" w:hAnsiTheme="minorEastAsia" w:cs="Arial"/>
          <w:sz w:val="21"/>
          <w:szCs w:val="21"/>
          <w:lang w:val="zh-CN" w:eastAsia="zh-CN"/>
        </w:rPr>
      </w:pPr>
      <w:r>
        <w:rPr>
          <w:rFonts w:asciiTheme="minorEastAsia" w:eastAsiaTheme="minorEastAsia" w:hAnsiTheme="minorEastAsia" w:cs="Arial" w:hint="eastAsia"/>
          <w:sz w:val="21"/>
          <w:szCs w:val="21"/>
          <w:lang w:val="zh-CN" w:eastAsia="zh-CN"/>
        </w:rPr>
        <w:t>整个高压开关柜的设计和制造须符合下列标准：</w:t>
      </w:r>
    </w:p>
    <w:tbl>
      <w:tblPr>
        <w:tblStyle w:val="TableNormal"/>
        <w:tblW w:w="7606" w:type="dxa"/>
        <w:tblInd w:w="1098" w:type="dxa"/>
        <w:tblLook w:val="04A0"/>
      </w:tblPr>
      <w:tblGrid>
        <w:gridCol w:w="2573"/>
        <w:gridCol w:w="5033"/>
      </w:tblGrid>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GB/T 3906-2020</w:t>
            </w:r>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3.6 kV</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40.5 kV</w:t>
            </w:r>
            <w:r>
              <w:rPr>
                <w:rFonts w:asciiTheme="minorEastAsia" w:eastAsiaTheme="minorEastAsia" w:hAnsiTheme="minorEastAsia" w:cs="Arial"/>
                <w:sz w:val="21"/>
                <w:szCs w:val="21"/>
                <w:lang w:val="en-US" w:eastAsia="zh-CN"/>
              </w:rPr>
              <w:t>交流金属封闭开关设备和控</w:t>
            </w:r>
            <w:r>
              <w:rPr>
                <w:rFonts w:asciiTheme="minorEastAsia" w:eastAsiaTheme="minorEastAsia" w:hAnsiTheme="minorEastAsia" w:cs="Arial"/>
                <w:sz w:val="21"/>
                <w:szCs w:val="21"/>
                <w:lang w:val="en-US" w:eastAsia="zh-CN"/>
              </w:rPr>
              <w:t>制设备</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hyperlink r:id="rId5" w:tgtFrame="https://cn.bing.com/_blank" w:history="1">
              <w:r>
                <w:rPr>
                  <w:rFonts w:asciiTheme="minorEastAsia" w:eastAsiaTheme="minorEastAsia" w:hAnsiTheme="minorEastAsia" w:cs="Arial"/>
                  <w:sz w:val="21"/>
                  <w:szCs w:val="21"/>
                  <w:lang w:val="en-US" w:eastAsia="zh-CN"/>
                </w:rPr>
                <w:t>GB/T 1984-2014</w:t>
              </w:r>
            </w:hyperlink>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高压交流断路器</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GB1985</w:t>
            </w:r>
            <w:r>
              <w:rPr>
                <w:rFonts w:asciiTheme="minorEastAsia" w:eastAsiaTheme="minorEastAsia" w:hAnsiTheme="minorEastAsia" w:cs="Arial" w:hint="eastAsia"/>
                <w:sz w:val="21"/>
                <w:szCs w:val="21"/>
                <w:lang w:val="en-US" w:eastAsia="zh-CN"/>
              </w:rPr>
              <w:t>-2014</w:t>
            </w:r>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高压隔离开关和接地开关</w:t>
            </w:r>
          </w:p>
        </w:tc>
      </w:tr>
      <w:tr>
        <w:tblPrEx>
          <w:tblW w:w="7606" w:type="dxa"/>
          <w:tblInd w:w="1098" w:type="dxa"/>
          <w:tblLook w:val="04A0"/>
        </w:tblPrEx>
        <w:trPr>
          <w:trHeight w:val="457"/>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GB/T 11022-2020</w:t>
            </w:r>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高压交流开关设备和控制设备标准的共用技术要求</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GB3804</w:t>
            </w:r>
            <w:r>
              <w:rPr>
                <w:rFonts w:asciiTheme="minorEastAsia" w:eastAsiaTheme="minorEastAsia" w:hAnsiTheme="minorEastAsia" w:cs="Arial" w:hint="eastAsia"/>
                <w:sz w:val="21"/>
                <w:szCs w:val="21"/>
                <w:lang w:val="en-US" w:eastAsia="zh-CN"/>
              </w:rPr>
              <w:t>-2004</w:t>
            </w:r>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3.6kV~40.5kV</w:t>
            </w:r>
            <w:r>
              <w:rPr>
                <w:rFonts w:asciiTheme="minorEastAsia" w:eastAsiaTheme="minorEastAsia" w:hAnsiTheme="minorEastAsia" w:cs="Arial"/>
                <w:sz w:val="21"/>
                <w:szCs w:val="21"/>
                <w:lang w:val="en-US" w:eastAsia="zh-CN"/>
              </w:rPr>
              <w:t>高压</w:t>
            </w:r>
            <w:r>
              <w:rPr>
                <w:rFonts w:asciiTheme="minorEastAsia" w:eastAsiaTheme="minorEastAsia" w:hAnsiTheme="minorEastAsia" w:cs="Arial" w:hint="eastAsia"/>
                <w:sz w:val="21"/>
                <w:szCs w:val="21"/>
                <w:lang w:val="en-US" w:eastAsia="zh-CN"/>
              </w:rPr>
              <w:t>交流</w:t>
            </w:r>
            <w:r>
              <w:rPr>
                <w:rFonts w:asciiTheme="minorEastAsia" w:eastAsiaTheme="minorEastAsia" w:hAnsiTheme="minorEastAsia" w:cs="Arial"/>
                <w:sz w:val="21"/>
                <w:szCs w:val="21"/>
                <w:lang w:val="en-US" w:eastAsia="zh-CN"/>
              </w:rPr>
              <w:t>负荷开关</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GB/T 16927.1-2011</w:t>
            </w:r>
          </w:p>
        </w:tc>
        <w:tc>
          <w:tcPr>
            <w:tcW w:w="5032"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高电压试验技术</w:t>
            </w:r>
            <w:r>
              <w:rPr>
                <w:rFonts w:asciiTheme="minorEastAsia" w:eastAsiaTheme="minorEastAsia" w:hAnsiTheme="minorEastAsia" w:cs="Arial"/>
                <w:sz w:val="21"/>
                <w:szCs w:val="21"/>
                <w:lang w:val="en-US" w:eastAsia="zh-CN"/>
              </w:rPr>
              <w:t xml:space="preserve"> </w:t>
            </w:r>
            <w:r>
              <w:rPr>
                <w:rFonts w:asciiTheme="minorEastAsia" w:eastAsiaTheme="minorEastAsia" w:hAnsiTheme="minorEastAsia" w:cs="Arial"/>
                <w:sz w:val="21"/>
                <w:szCs w:val="21"/>
                <w:lang w:val="en-US" w:eastAsia="zh-CN"/>
              </w:rPr>
              <w:t>第</w:t>
            </w:r>
            <w:r>
              <w:rPr>
                <w:rFonts w:asciiTheme="minorEastAsia" w:eastAsiaTheme="minorEastAsia" w:hAnsiTheme="minorEastAsia" w:cs="Arial"/>
                <w:sz w:val="21"/>
                <w:szCs w:val="21"/>
                <w:lang w:val="en-US" w:eastAsia="zh-CN"/>
              </w:rPr>
              <w:t>1</w:t>
            </w:r>
            <w:r>
              <w:rPr>
                <w:rFonts w:asciiTheme="minorEastAsia" w:eastAsiaTheme="minorEastAsia" w:hAnsiTheme="minorEastAsia" w:cs="Arial"/>
                <w:sz w:val="21"/>
                <w:szCs w:val="21"/>
                <w:lang w:val="en-US" w:eastAsia="zh-CN"/>
              </w:rPr>
              <w:t>部分：一般定义及试验要求</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 7251.1-2013</w:t>
            </w:r>
          </w:p>
        </w:tc>
        <w:tc>
          <w:tcPr>
            <w:tcW w:w="5032" w:type="dxa"/>
          </w:tcPr>
          <w:p w:rsidR="002274AC">
            <w:pPr>
              <w:keepLine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低压成套开关设备和控制设备</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DL</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T404-2007</w:t>
            </w:r>
          </w:p>
        </w:tc>
        <w:tc>
          <w:tcPr>
            <w:tcW w:w="5032" w:type="dxa"/>
          </w:tcPr>
          <w:p w:rsidR="002274AC">
            <w:pPr>
              <w:keepLine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3.6kV</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hint="eastAsia"/>
                <w:sz w:val="21"/>
                <w:szCs w:val="21"/>
                <w:lang w:eastAsia="zh-CN"/>
              </w:rPr>
              <w:t>40.5kV</w:t>
            </w:r>
            <w:r>
              <w:rPr>
                <w:rFonts w:asciiTheme="minorEastAsia" w:eastAsiaTheme="minorEastAsia" w:hAnsiTheme="minorEastAsia" w:cs="Arial" w:hint="eastAsia"/>
                <w:sz w:val="21"/>
                <w:szCs w:val="21"/>
                <w:lang w:eastAsia="zh-CN"/>
              </w:rPr>
              <w:t>交流金属封闭开关设备和控制设备</w:t>
            </w:r>
          </w:p>
        </w:tc>
      </w:tr>
      <w:tr>
        <w:tblPrEx>
          <w:tblW w:w="7606" w:type="dxa"/>
          <w:tblInd w:w="1098" w:type="dxa"/>
          <w:tblLook w:val="04A0"/>
        </w:tblPrEx>
        <w:trPr>
          <w:trHeight w:val="440"/>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IEC 60694</w:t>
            </w:r>
          </w:p>
        </w:tc>
        <w:tc>
          <w:tcPr>
            <w:tcW w:w="5032" w:type="dxa"/>
          </w:tcPr>
          <w:p w:rsidR="002274AC">
            <w:pPr>
              <w:keepLine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高压开关设备和控制设备的共用技术条件</w:t>
            </w:r>
          </w:p>
        </w:tc>
      </w:tr>
      <w:tr>
        <w:tblPrEx>
          <w:tblW w:w="7606" w:type="dxa"/>
          <w:tblInd w:w="1098" w:type="dxa"/>
          <w:tblLook w:val="04A0"/>
        </w:tblPrEx>
        <w:trPr>
          <w:trHeight w:val="457"/>
        </w:trPr>
        <w:tc>
          <w:tcPr>
            <w:tcW w:w="2573" w:type="dxa"/>
          </w:tcPr>
          <w:p w:rsidR="002274AC">
            <w:pPr>
              <w:keepLine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IEC 62271</w:t>
            </w:r>
          </w:p>
        </w:tc>
        <w:tc>
          <w:tcPr>
            <w:tcW w:w="5032" w:type="dxa"/>
          </w:tcPr>
          <w:p w:rsidR="002274AC">
            <w:pPr>
              <w:keepLine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高压开关设备和控制设备</w:t>
            </w:r>
          </w:p>
        </w:tc>
      </w:tr>
      <w:tr>
        <w:tblPrEx>
          <w:tblW w:w="7606" w:type="dxa"/>
          <w:tblInd w:w="1098" w:type="dxa"/>
          <w:tblLook w:val="04A0"/>
        </w:tblPrEx>
        <w:trPr>
          <w:trHeight w:val="440"/>
        </w:trPr>
        <w:tc>
          <w:tcPr>
            <w:tcW w:w="7606" w:type="dxa"/>
            <w:gridSpan w:val="2"/>
          </w:tcPr>
          <w:p w:rsidR="002274AC">
            <w:pPr>
              <w:keepLine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val="zh-CN" w:eastAsia="zh-CN"/>
              </w:rPr>
              <w:t>其他有关的现行</w:t>
            </w:r>
            <w:r>
              <w:rPr>
                <w:rFonts w:asciiTheme="minorEastAsia" w:eastAsiaTheme="minorEastAsia" w:hAnsiTheme="minorEastAsia" w:cs="Arial" w:hint="eastAsia"/>
                <w:sz w:val="21"/>
                <w:szCs w:val="21"/>
                <w:lang w:val="en-US" w:eastAsia="zh-CN"/>
              </w:rPr>
              <w:t>国际、</w:t>
            </w:r>
            <w:r>
              <w:rPr>
                <w:rFonts w:asciiTheme="minorEastAsia" w:eastAsiaTheme="minorEastAsia" w:hAnsiTheme="minorEastAsia" w:cs="Arial"/>
                <w:sz w:val="21"/>
                <w:szCs w:val="21"/>
                <w:lang w:val="zh-CN" w:eastAsia="zh-CN"/>
              </w:rPr>
              <w:t>国家标准及广东省、深圳供电主管部门地方标准</w:t>
            </w:r>
            <w:r>
              <w:rPr>
                <w:rFonts w:asciiTheme="minorEastAsia" w:eastAsiaTheme="minorEastAsia" w:hAnsiTheme="minorEastAsia" w:cs="Arial" w:hint="eastAsia"/>
                <w:sz w:val="21"/>
                <w:szCs w:val="21"/>
                <w:lang w:val="zh-CN" w:eastAsia="zh-CN"/>
              </w:rPr>
              <w:t>。</w:t>
            </w:r>
          </w:p>
        </w:tc>
      </w:tr>
    </w:tbl>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val="en-US" w:eastAsia="zh-CN"/>
        </w:rPr>
        <w:t xml:space="preserve">10kV </w:t>
      </w:r>
      <w:r>
        <w:rPr>
          <w:rFonts w:asciiTheme="minorEastAsia" w:eastAsiaTheme="minorEastAsia" w:hAnsiTheme="minorEastAsia" w:cs="Arial" w:hint="eastAsia"/>
          <w:b/>
          <w:bCs/>
          <w:sz w:val="21"/>
          <w:szCs w:val="21"/>
          <w:lang w:val="en-US" w:eastAsia="zh-CN"/>
        </w:rPr>
        <w:t>中置式开关柜</w:t>
      </w:r>
    </w:p>
    <w:p w:rsidR="002274AC">
      <w:pPr>
        <w:pStyle w:val="ReportLevel3"/>
        <w:keepNext w:val="0"/>
        <w:keepLine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hint="eastAsia"/>
          <w:b/>
          <w:bCs/>
          <w:sz w:val="21"/>
          <w:szCs w:val="21"/>
          <w:lang w:val="en-US" w:eastAsia="zh-CN"/>
        </w:rPr>
        <w:t>主要技术参数如下：</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sectPr>
          <w:footerReference w:type="default" r:id="rId6"/>
          <w:pgSz w:w="11906" w:h="16838"/>
          <w:pgMar w:top="1814" w:right="1418" w:bottom="1418" w:left="1814" w:header="851" w:footer="992" w:gutter="0"/>
          <w:pgNumType w:start="1"/>
          <w:cols w:space="425"/>
          <w:docGrid w:linePitch="312"/>
        </w:sectPr>
      </w:pPr>
      <w:r>
        <w:rPr>
          <w:rFonts w:asciiTheme="minorEastAsia" w:eastAsiaTheme="minorEastAsia" w:hAnsiTheme="minorEastAsia" w:hint="eastAsia"/>
          <w:sz w:val="21"/>
          <w:szCs w:val="21"/>
          <w:lang w:val="en-US" w:eastAsia="zh-CN"/>
        </w:rPr>
        <w:t>额定电压：</w:t>
      </w:r>
      <w:r>
        <w:rPr>
          <w:rFonts w:asciiTheme="minorEastAsia" w:eastAsiaTheme="minorEastAsia" w:hAnsiTheme="minorEastAsia" w:hint="eastAsia"/>
          <w:sz w:val="21"/>
          <w:szCs w:val="21"/>
          <w:lang w:val="en-US" w:eastAsia="zh-CN"/>
        </w:rPr>
        <w:t>1</w:t>
      </w:r>
      <w:r>
        <w:rPr>
          <w:rFonts w:asciiTheme="minorEastAsia" w:eastAsiaTheme="minorEastAsia" w:hAnsiTheme="minorEastAsia"/>
          <w:sz w:val="21"/>
          <w:szCs w:val="21"/>
          <w:lang w:val="en-US" w:eastAsia="zh-CN"/>
        </w:rPr>
        <w:t>2</w:t>
      </w:r>
      <w:r>
        <w:rPr>
          <w:rFonts w:asciiTheme="minorEastAsia" w:eastAsiaTheme="minorEastAsia" w:hAnsiTheme="minorEastAsia" w:hint="eastAsia"/>
          <w:sz w:val="21"/>
          <w:szCs w:val="21"/>
          <w:lang w:val="en-US" w:eastAsia="zh-CN"/>
        </w:rPr>
        <w:t>kV</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cs="宋体" w:hint="eastAsia"/>
          <w:szCs w:val="21"/>
          <w:lang w:val="zh-CN"/>
        </w:rPr>
        <w:t>额定频率</w:t>
      </w:r>
      <w:r>
        <w:rPr>
          <w:rFonts w:asciiTheme="minorEastAsia" w:eastAsiaTheme="minorEastAsia" w:hAnsiTheme="minorEastAsia" w:hint="eastAsia"/>
          <w:szCs w:val="21"/>
          <w:lang w:eastAsia="zh-CN"/>
        </w:rPr>
        <w:t>：</w:t>
      </w:r>
      <w:r>
        <w:rPr>
          <w:rFonts w:asciiTheme="minorEastAsia" w:eastAsiaTheme="minorEastAsia" w:hAnsiTheme="minorEastAsia"/>
          <w:szCs w:val="21"/>
        </w:rPr>
        <w:t>5</w:t>
      </w:r>
      <w:r>
        <w:rPr>
          <w:rFonts w:asciiTheme="minorEastAsia" w:eastAsiaTheme="minorEastAsia" w:hAnsiTheme="minorEastAsia" w:hint="eastAsia"/>
          <w:szCs w:val="21"/>
        </w:rPr>
        <w:t>0</w:t>
      </w:r>
      <w:r>
        <w:rPr>
          <w:rFonts w:asciiTheme="minorEastAsia" w:eastAsiaTheme="minorEastAsia" w:hAnsiTheme="minorEastAsia"/>
          <w:szCs w:val="21"/>
        </w:rPr>
        <w:t>H</w:t>
      </w:r>
      <w:r>
        <w:rPr>
          <w:rFonts w:asciiTheme="minorEastAsia" w:eastAsiaTheme="minorEastAsia" w:hAnsiTheme="minorEastAsia" w:hint="eastAsia"/>
          <w:szCs w:val="21"/>
          <w:lang w:val="en-US" w:eastAsia="zh-CN"/>
        </w:rPr>
        <w:t>z</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冲击耐压（峰值）：相间及对地</w:t>
      </w:r>
      <w:r>
        <w:rPr>
          <w:rFonts w:asciiTheme="minorEastAsia" w:eastAsiaTheme="minorEastAsia" w:hAnsiTheme="minorEastAsia"/>
          <w:sz w:val="21"/>
          <w:szCs w:val="21"/>
          <w:lang w:val="en-US" w:eastAsia="zh-CN"/>
        </w:rPr>
        <w:t xml:space="preserve">≥ 75kV </w:t>
      </w:r>
    </w:p>
    <w:p w:rsidR="002274AC">
      <w:pPr>
        <w:pStyle w:val="ListParagraph"/>
        <w:keepLines/>
        <w:widowControl w:val="0"/>
        <w:tabs>
          <w:tab w:val="left" w:pos="1701"/>
        </w:tabs>
        <w:autoSpaceDE w:val="0"/>
        <w:autoSpaceDN w:val="0"/>
        <w:spacing w:before="120" w:beforeLines="50" w:after="120" w:afterLines="50"/>
        <w:ind w:left="3681" w:leftChars="16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隔离断口</w:t>
      </w:r>
      <w:r>
        <w:rPr>
          <w:rFonts w:asciiTheme="minorEastAsia" w:eastAsiaTheme="minorEastAsia" w:hAnsiTheme="minorEastAsia"/>
          <w:sz w:val="21"/>
          <w:szCs w:val="21"/>
          <w:lang w:val="en-US" w:eastAsia="zh-CN"/>
        </w:rPr>
        <w:t xml:space="preserve">≥ 85kV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 xml:space="preserve">1 </w:t>
      </w:r>
      <w:r>
        <w:rPr>
          <w:rFonts w:asciiTheme="minorEastAsia" w:eastAsiaTheme="minorEastAsia" w:hAnsiTheme="minorEastAsia" w:hint="eastAsia"/>
          <w:sz w:val="21"/>
          <w:szCs w:val="21"/>
          <w:lang w:val="en-US" w:eastAsia="zh-CN"/>
        </w:rPr>
        <w:t>分钟工频耐压（有效值）：相间及对地</w:t>
      </w:r>
      <w:r>
        <w:rPr>
          <w:rFonts w:asciiTheme="minorEastAsia" w:eastAsiaTheme="minorEastAsia" w:hAnsiTheme="minorEastAsia"/>
          <w:sz w:val="21"/>
          <w:szCs w:val="21"/>
          <w:lang w:val="en-US" w:eastAsia="zh-CN"/>
        </w:rPr>
        <w:t xml:space="preserve">≥ 42kV </w:t>
      </w:r>
    </w:p>
    <w:p w:rsidR="002274AC">
      <w:pPr>
        <w:pStyle w:val="ListParagraph"/>
        <w:keepLines/>
        <w:widowControl w:val="0"/>
        <w:tabs>
          <w:tab w:val="left" w:pos="1701"/>
        </w:tabs>
        <w:autoSpaceDE w:val="0"/>
        <w:autoSpaceDN w:val="0"/>
        <w:spacing w:before="120" w:beforeLines="50" w:after="120" w:afterLines="50"/>
        <w:ind w:left="4341" w:leftChars="19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隔离断口</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val="en-US" w:eastAsia="zh-CN"/>
        </w:rPr>
        <w:t xml:space="preserve">48kV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开关额定电流：</w:t>
      </w:r>
      <w:r>
        <w:rPr>
          <w:rFonts w:asciiTheme="minorEastAsia" w:eastAsiaTheme="minorEastAsia" w:hAnsiTheme="minorEastAsia" w:hint="eastAsia"/>
          <w:sz w:val="21"/>
          <w:szCs w:val="21"/>
          <w:lang w:val="en-US" w:eastAsia="zh-CN"/>
        </w:rPr>
        <w:t>1250</w:t>
      </w:r>
      <w:r>
        <w:rPr>
          <w:rFonts w:asciiTheme="minorEastAsia" w:eastAsiaTheme="minorEastAsia" w:hAnsiTheme="minorEastAsia"/>
          <w:sz w:val="21"/>
          <w:szCs w:val="21"/>
          <w:lang w:val="en-US" w:eastAsia="zh-CN"/>
        </w:rPr>
        <w:t>A</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353" w:firstLine="1890" w:leftChars="615" w:firstLineChars="900"/>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630A</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短路开断电流（有效值）</w:t>
      </w:r>
      <w:r>
        <w:rPr>
          <w:rFonts w:asciiTheme="minorEastAsia" w:eastAsiaTheme="minorEastAsia" w:hAnsiTheme="minorEastAsia"/>
          <w:sz w:val="21"/>
          <w:szCs w:val="21"/>
          <w:lang w:val="en-US" w:eastAsia="zh-CN"/>
        </w:rPr>
        <w:t xml:space="preserve">31.5kA </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134" w:firstLine="567" w:firstLineChars="27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短路开断电流（有效值）</w:t>
      </w:r>
      <w:r>
        <w:rPr>
          <w:rFonts w:asciiTheme="minorEastAsia" w:eastAsiaTheme="minorEastAsia" w:hAnsiTheme="minorEastAsia" w:hint="eastAsia"/>
          <w:sz w:val="21"/>
          <w:szCs w:val="21"/>
          <w:lang w:val="en-US" w:eastAsia="zh-CN"/>
        </w:rPr>
        <w:t>25</w:t>
      </w:r>
      <w:r>
        <w:rPr>
          <w:rFonts w:asciiTheme="minorEastAsia" w:eastAsiaTheme="minorEastAsia" w:hAnsiTheme="minorEastAsia"/>
          <w:sz w:val="21"/>
          <w:szCs w:val="21"/>
          <w:lang w:val="en-US" w:eastAsia="zh-CN"/>
        </w:rPr>
        <w:t xml:space="preserve">kA </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热稳定电流</w:t>
      </w:r>
      <w:r>
        <w:rPr>
          <w:rFonts w:asciiTheme="minorEastAsia" w:eastAsiaTheme="minorEastAsia" w:hAnsiTheme="minorEastAsia"/>
          <w:sz w:val="21"/>
          <w:szCs w:val="21"/>
          <w:lang w:val="en-US" w:eastAsia="zh-CN"/>
        </w:rPr>
        <w:t xml:space="preserve">≥ 31.5kA </w:t>
      </w:r>
      <w:r>
        <w:rPr>
          <w:rFonts w:asciiTheme="minorEastAsia" w:eastAsiaTheme="minorEastAsia" w:hAnsiTheme="minorEastAsia" w:hint="eastAsia"/>
          <w:sz w:val="21"/>
          <w:szCs w:val="21"/>
          <w:lang w:val="en-US" w:eastAsia="zh-CN"/>
        </w:rPr>
        <w:t>4</w:t>
      </w:r>
      <w:r>
        <w:rPr>
          <w:rFonts w:asciiTheme="minorEastAsia" w:eastAsiaTheme="minorEastAsia" w:hAnsiTheme="minorEastAsia"/>
          <w:sz w:val="21"/>
          <w:szCs w:val="21"/>
          <w:lang w:val="en-US" w:eastAsia="zh-CN"/>
        </w:rPr>
        <w:t xml:space="preserve">S </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134" w:firstLine="567" w:firstLineChars="27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热稳定电流</w:t>
      </w: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25</w:t>
      </w:r>
      <w:r>
        <w:rPr>
          <w:rFonts w:asciiTheme="minorEastAsia" w:eastAsiaTheme="minorEastAsia" w:hAnsiTheme="minorEastAsia"/>
          <w:sz w:val="21"/>
          <w:szCs w:val="21"/>
          <w:lang w:val="en-US" w:eastAsia="zh-CN"/>
        </w:rPr>
        <w:t xml:space="preserve">kA </w:t>
      </w:r>
      <w:r>
        <w:rPr>
          <w:rFonts w:asciiTheme="minorEastAsia" w:eastAsiaTheme="minorEastAsia" w:hAnsiTheme="minorEastAsia" w:hint="eastAsia"/>
          <w:sz w:val="21"/>
          <w:szCs w:val="21"/>
          <w:lang w:val="en-US" w:eastAsia="zh-CN"/>
        </w:rPr>
        <w:t>4</w:t>
      </w:r>
      <w:r>
        <w:rPr>
          <w:rFonts w:asciiTheme="minorEastAsia" w:eastAsiaTheme="minorEastAsia" w:hAnsiTheme="minorEastAsia"/>
          <w:sz w:val="21"/>
          <w:szCs w:val="21"/>
          <w:lang w:val="en-US" w:eastAsia="zh-CN"/>
        </w:rPr>
        <w:t xml:space="preserve">S </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动稳定电流</w:t>
      </w:r>
      <w:r>
        <w:rPr>
          <w:rFonts w:asciiTheme="minorEastAsia" w:eastAsiaTheme="minorEastAsia" w:hAnsiTheme="minorEastAsia"/>
          <w:sz w:val="21"/>
          <w:szCs w:val="21"/>
          <w:lang w:val="en-US" w:eastAsia="zh-CN"/>
        </w:rPr>
        <w:t xml:space="preserve">≥ 80kA </w:t>
      </w:r>
      <w:r>
        <w:rPr>
          <w:rFonts w:asciiTheme="minorEastAsia" w:eastAsiaTheme="minorEastAsia" w:hAnsiTheme="minorEastAsia" w:hint="eastAsia"/>
          <w:sz w:val="21"/>
          <w:szCs w:val="21"/>
          <w:lang w:val="en-US" w:eastAsia="zh-CN"/>
        </w:rPr>
        <w:t>（进线开关）</w:t>
      </w:r>
    </w:p>
    <w:p w:rsidR="002274AC">
      <w:pPr>
        <w:pStyle w:val="ListParagraph"/>
        <w:keepLines/>
        <w:widowControl w:val="0"/>
        <w:tabs>
          <w:tab w:val="left" w:pos="1701"/>
        </w:tabs>
        <w:autoSpaceDE w:val="0"/>
        <w:autoSpaceDN w:val="0"/>
        <w:spacing w:before="120" w:beforeLines="50" w:after="120" w:afterLines="50"/>
        <w:ind w:left="1134" w:firstLine="567" w:firstLineChars="27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动稳定电流</w:t>
      </w: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63</w:t>
      </w:r>
      <w:r>
        <w:rPr>
          <w:rFonts w:asciiTheme="minorEastAsia" w:eastAsiaTheme="minorEastAsia" w:hAnsiTheme="minorEastAsia"/>
          <w:sz w:val="21"/>
          <w:szCs w:val="21"/>
          <w:lang w:val="en-US" w:eastAsia="zh-CN"/>
        </w:rPr>
        <w:t xml:space="preserve">kA </w:t>
      </w:r>
      <w:r>
        <w:rPr>
          <w:rFonts w:asciiTheme="minorEastAsia" w:eastAsiaTheme="minorEastAsia" w:hAnsiTheme="minorEastAsia" w:hint="eastAsia"/>
          <w:sz w:val="21"/>
          <w:szCs w:val="21"/>
          <w:lang w:val="en-US" w:eastAsia="zh-CN"/>
        </w:rPr>
        <w:t>（馈线开关）</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防护等级：</w:t>
      </w:r>
      <w:r>
        <w:rPr>
          <w:rFonts w:asciiTheme="minorEastAsia" w:eastAsiaTheme="minorEastAsia" w:hAnsiTheme="minorEastAsia"/>
          <w:sz w:val="21"/>
          <w:szCs w:val="21"/>
          <w:lang w:val="en-US" w:eastAsia="zh-CN"/>
        </w:rPr>
        <w:t xml:space="preserve"> IP4X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电动操作机构，直流</w:t>
      </w:r>
      <w:r>
        <w:rPr>
          <w:rFonts w:asciiTheme="minorEastAsia" w:eastAsiaTheme="minorEastAsia" w:hAnsiTheme="minorEastAsia"/>
          <w:sz w:val="21"/>
          <w:szCs w:val="21"/>
          <w:lang w:val="en-US" w:eastAsia="zh-CN"/>
        </w:rPr>
        <w:t xml:space="preserve"> 110V</w:t>
      </w:r>
      <w:r>
        <w:rPr>
          <w:rFonts w:asciiTheme="minorEastAsia" w:eastAsiaTheme="minorEastAsia" w:hAnsiTheme="minorEastAsia" w:hint="eastAsia"/>
          <w:sz w:val="21"/>
          <w:szCs w:val="21"/>
          <w:lang w:val="en-US" w:eastAsia="zh-CN"/>
        </w:rPr>
        <w:t>，配专用直流操作电源</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2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真空开关柜应为全工况绝缘、五防产品，并加装</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val="en-US" w:eastAsia="zh-CN"/>
        </w:rPr>
        <w:t>CT</w:t>
      </w:r>
      <w:r>
        <w:rPr>
          <w:rFonts w:asciiTheme="minorEastAsia" w:eastAsiaTheme="minorEastAsia" w:hAnsiTheme="minorEastAsia" w:hint="eastAsia"/>
          <w:sz w:val="21"/>
          <w:szCs w:val="21"/>
          <w:lang w:val="en-US" w:eastAsia="zh-CN"/>
        </w:rPr>
        <w:t>、</w:t>
      </w:r>
      <w:r>
        <w:rPr>
          <w:rFonts w:asciiTheme="minorEastAsia" w:eastAsiaTheme="minorEastAsia" w:hAnsiTheme="minorEastAsia"/>
          <w:sz w:val="21"/>
          <w:szCs w:val="21"/>
          <w:lang w:val="en-US" w:eastAsia="zh-CN"/>
        </w:rPr>
        <w:t>PT</w:t>
      </w:r>
      <w:r>
        <w:rPr>
          <w:rFonts w:asciiTheme="minorEastAsia" w:eastAsiaTheme="minorEastAsia" w:hAnsiTheme="minorEastAsia" w:hint="eastAsia"/>
          <w:sz w:val="21"/>
          <w:szCs w:val="21"/>
          <w:lang w:val="en-US" w:eastAsia="zh-CN"/>
        </w:rPr>
        <w:t>。</w:t>
      </w:r>
    </w:p>
    <w:p w:rsidR="002274AC">
      <w:pPr>
        <w:pStyle w:val="ReportLevel3"/>
        <w:keepNext w:val="0"/>
        <w:keepLine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结构及性能要求</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开关柜内用进口敷铝锌板或不锈钢板分隔成高压室、母线室、电缆室和低压室等独立的四部分，小室与小室间完全隔离，分隔用的钢板具有足够的机械强度，能保证每个室内的元器件在发生故障时不影响其它小室的设备。为防止母线的故障波及邻柜，主母线室柜间应隔离，采用金属挡板完全隔离，母线穿越处安装一体化环氧浇注型或硅橡胶</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穿墙套管。</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断路器室、母线室、电缆室应由各自独立的压力释放通道。</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 xml:space="preserve">10kv </w:t>
      </w:r>
      <w:r>
        <w:rPr>
          <w:rFonts w:asciiTheme="minorEastAsia" w:eastAsiaTheme="minorEastAsia" w:hAnsiTheme="minorEastAsia" w:cs="Arial" w:hint="eastAsia"/>
          <w:sz w:val="21"/>
          <w:szCs w:val="21"/>
          <w:lang w:val="en-US" w:eastAsia="zh-CN"/>
        </w:rPr>
        <w:t>开关柜结构的基本骨架为组合装配式结构，具优良的表面保护性能，采用厚度不小于</w:t>
      </w:r>
      <w:r>
        <w:rPr>
          <w:rFonts w:asciiTheme="minorEastAsia" w:eastAsiaTheme="minorEastAsia" w:hAnsiTheme="minorEastAsia" w:cs="Arial" w:hint="eastAsia"/>
          <w:sz w:val="21"/>
          <w:szCs w:val="21"/>
          <w:lang w:val="en-US" w:eastAsia="zh-CN"/>
        </w:rPr>
        <w:t xml:space="preserve"> 2mm </w:t>
      </w:r>
      <w:r>
        <w:rPr>
          <w:rFonts w:asciiTheme="minorEastAsia" w:eastAsiaTheme="minorEastAsia" w:hAnsiTheme="minorEastAsia" w:cs="Arial" w:hint="eastAsia"/>
          <w:sz w:val="21"/>
          <w:szCs w:val="21"/>
          <w:lang w:val="en-US" w:eastAsia="zh-CN"/>
        </w:rPr>
        <w:t>的进口敷铝锌钢板；</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前后柜门采用冷扎钢板，厚度</w:t>
      </w:r>
      <w:r>
        <w:rPr>
          <w:rFonts w:asciiTheme="minorEastAsia" w:eastAsiaTheme="minorEastAsia" w:hAnsiTheme="minorEastAsia" w:cs="Arial" w:hint="eastAsia"/>
          <w:sz w:val="21"/>
          <w:szCs w:val="21"/>
          <w:lang w:val="en-US" w:eastAsia="zh-CN"/>
        </w:rPr>
        <w:t>2.5mm</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3mm</w:t>
      </w:r>
      <w:r>
        <w:rPr>
          <w:rFonts w:asciiTheme="minorEastAsia" w:eastAsiaTheme="minorEastAsia" w:hAnsiTheme="minorEastAsia" w:cs="Arial" w:hint="eastAsia"/>
          <w:sz w:val="21"/>
          <w:szCs w:val="21"/>
          <w:lang w:val="en-US" w:eastAsia="zh-CN"/>
        </w:rPr>
        <w:t>；全部框架、内隔板、功能</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单元及金属结构件内部各独立隔室采用</w:t>
      </w:r>
      <w:r>
        <w:rPr>
          <w:rFonts w:asciiTheme="minorEastAsia" w:eastAsiaTheme="minorEastAsia" w:hAnsiTheme="minorEastAsia" w:cs="Arial" w:hint="eastAsia"/>
          <w:sz w:val="21"/>
          <w:szCs w:val="21"/>
          <w:lang w:val="en-US" w:eastAsia="zh-CN"/>
        </w:rPr>
        <w:t xml:space="preserve"> 2</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 xml:space="preserve">3mm </w:t>
      </w:r>
      <w:r>
        <w:rPr>
          <w:rFonts w:asciiTheme="minorEastAsia" w:eastAsiaTheme="minorEastAsia" w:hAnsiTheme="minorEastAsia" w:cs="Arial" w:hint="eastAsia"/>
          <w:sz w:val="21"/>
          <w:szCs w:val="21"/>
          <w:lang w:val="en-US" w:eastAsia="zh-CN"/>
        </w:rPr>
        <w:t>的敷铝锌钢板。开关</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柜外形应平整美观且应满足运输、安装、运行、检修等的机械强度要求。前后门、顶部装饰板、封板为烤漆，敷铝锌板切边和冲孔后应涂上透明自干清漆，以防生锈。投标时提供该种柜型的型式试验报告。</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隔板由金属制成并接地。</w:t>
      </w:r>
    </w:p>
    <w:p w:rsidR="002274AC">
      <w:pPr>
        <w:pStyle w:val="ReportLevel4"/>
        <w:keepNext w:val="0"/>
        <w:keepLine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活门由金属制成并接地。当手车处于试验位置或移开位置时活门会把带电</w:t>
      </w:r>
      <w:r>
        <w:rPr>
          <w:rFonts w:asciiTheme="minorEastAsia" w:eastAsiaTheme="minorEastAsia" w:hAnsiTheme="minorEastAsia" w:cs="Arial" w:hint="eastAsia"/>
          <w:sz w:val="21"/>
          <w:szCs w:val="21"/>
          <w:lang w:val="en-US" w:eastAsia="zh-CN"/>
        </w:rPr>
        <w:t>静触头自动罩</w:t>
      </w:r>
      <w:r>
        <w:rPr>
          <w:rFonts w:asciiTheme="minorEastAsia" w:eastAsiaTheme="minorEastAsia" w:hAnsiTheme="minorEastAsia" w:hint="eastAsia"/>
          <w:sz w:val="21"/>
          <w:szCs w:val="21"/>
          <w:lang w:eastAsia="zh-CN"/>
        </w:rPr>
        <w:t>起来</w:t>
      </w:r>
      <w:r>
        <w:rPr>
          <w:rFonts w:asciiTheme="minorEastAsia" w:eastAsiaTheme="minorEastAsia" w:hAnsiTheme="minorEastAsia" w:cs="Arial" w:hint="eastAsia"/>
          <w:sz w:val="21"/>
          <w:szCs w:val="21"/>
          <w:lang w:val="en-US" w:eastAsia="zh-CN"/>
        </w:rPr>
        <w:t>并接地，同时可以考虑加挂锁、假搭钩等安全措施以确保维护、检查时的人身安全。</w:t>
      </w:r>
    </w:p>
    <w:p w:rsidR="002274AC">
      <w:pPr>
        <w:pStyle w:val="ReportLevel4"/>
        <w:keepNext w:val="0"/>
        <w:keepLine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隔离插头和接地开关的操作位置能判定，并能达到下列条件：</w:t>
      </w:r>
    </w:p>
    <w:p w:rsidR="002274AC">
      <w:pPr>
        <w:pStyle w:val="ListParagraph"/>
        <w:keepLines/>
        <w:widowControl w:val="0"/>
        <w:numPr>
          <w:ilvl w:val="0"/>
          <w:numId w:val="2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隔离断口是可见的；</w:t>
      </w:r>
    </w:p>
    <w:p w:rsidR="002274AC">
      <w:pPr>
        <w:pStyle w:val="ListParagraph"/>
        <w:keepLines/>
        <w:widowControl w:val="0"/>
        <w:numPr>
          <w:ilvl w:val="0"/>
          <w:numId w:val="2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sectPr>
          <w:footerReference w:type="default" r:id="rId7"/>
          <w:type w:val="nextPage"/>
          <w:pgSz w:w="11906" w:h="16838"/>
          <w:pgMar w:top="1814" w:right="1418" w:bottom="1418" w:left="1814" w:header="851" w:footer="992" w:gutter="0"/>
          <w:pgNumType w:start="2"/>
          <w:cols w:space="425"/>
          <w:titlePg w:val="0"/>
          <w:docGrid w:linePitch="312"/>
        </w:sectPr>
      </w:pPr>
      <w:r>
        <w:rPr>
          <w:rFonts w:asciiTheme="minorEastAsia" w:eastAsiaTheme="minorEastAsia" w:hAnsiTheme="minorEastAsia" w:hint="eastAsia"/>
          <w:sz w:val="21"/>
          <w:szCs w:val="21"/>
          <w:lang w:val="en-US" w:eastAsia="zh-CN"/>
        </w:rPr>
        <w:t>可抽出部件相对于固定部分的位置是清晰可见的，并且对应于完全接通和完全断开的位置具有标志；</w:t>
      </w:r>
    </w:p>
    <w:p w:rsidR="002274AC">
      <w:pPr>
        <w:pStyle w:val="ListParagraph"/>
        <w:keepLines/>
        <w:widowControl w:val="0"/>
        <w:numPr>
          <w:ilvl w:val="0"/>
          <w:numId w:val="2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隔离插头和接地开关的位置有可靠的指示器显示；</w:t>
      </w:r>
    </w:p>
    <w:p w:rsidR="002274AC">
      <w:pPr>
        <w:pStyle w:val="ReportLevel4"/>
        <w:keepLine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hint="eastAsia"/>
          <w:sz w:val="21"/>
          <w:szCs w:val="21"/>
          <w:lang w:eastAsia="zh-CN"/>
        </w:rPr>
        <w:t>母线</w:t>
      </w:r>
      <w:r>
        <w:rPr>
          <w:rFonts w:asciiTheme="minorEastAsia" w:eastAsiaTheme="minorEastAsia" w:hAnsiTheme="minorEastAsia" w:cs="Arial" w:hint="eastAsia"/>
          <w:sz w:val="21"/>
          <w:szCs w:val="21"/>
          <w:lang w:eastAsia="zh-CN"/>
        </w:rPr>
        <w:t>室</w:t>
      </w:r>
    </w:p>
    <w:p w:rsidR="002274AC">
      <w:pPr>
        <w:pStyle w:val="ListParagraph"/>
        <w:keepLines/>
        <w:widowControl w:val="0"/>
        <w:tabs>
          <w:tab w:val="left" w:pos="1701"/>
        </w:tabs>
        <w:autoSpaceDE w:val="0"/>
        <w:autoSpaceDN w:val="0"/>
        <w:spacing w:before="120" w:beforeLines="50" w:after="120" w:afterLines="50"/>
        <w:ind w:left="1134"/>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母线按长期允许载流量选择，且能承受相当于连接在母线上最大等级的断路器关合电流所产生的电动力，母线或分支线采用绝缘护套，螺栓固定。母线截面满足开关柜额定电流的要求；母线包裹热缩套管，裸露带电体部分有相应</w:t>
      </w:r>
      <w:r>
        <w:rPr>
          <w:rFonts w:asciiTheme="minorEastAsia" w:eastAsiaTheme="minorEastAsia" w:hAnsiTheme="minorEastAsia" w:hint="eastAsia"/>
          <w:sz w:val="21"/>
          <w:szCs w:val="21"/>
          <w:lang w:val="en-US" w:eastAsia="zh-CN"/>
        </w:rPr>
        <w:t>的绝缘措施。</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所有母线满足以下要求：</w:t>
      </w:r>
    </w:p>
    <w:p w:rsidR="002274AC">
      <w:pPr>
        <w:pStyle w:val="ListParagraph"/>
        <w:keepLines/>
        <w:widowControl w:val="0"/>
        <w:numPr>
          <w:ilvl w:val="0"/>
          <w:numId w:val="27"/>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所有螺栓固定的母线导体接头均采用镀银。在长期使用期间，从标准环境温度到额定满负荷温度，固定螺栓的初始接触压力值不应降低。每个连接点不应小于两个螺栓。</w:t>
      </w:r>
    </w:p>
    <w:p w:rsidR="002274AC">
      <w:pPr>
        <w:pStyle w:val="ListParagraph"/>
        <w:keepLines/>
        <w:widowControl w:val="0"/>
        <w:numPr>
          <w:ilvl w:val="0"/>
          <w:numId w:val="27"/>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主母线支承和绝缘有较低的吸湿性能，在设备使用期间，不降低机械和介质强度。</w:t>
      </w:r>
    </w:p>
    <w:p w:rsidR="002274AC">
      <w:pPr>
        <w:pStyle w:val="ListParagraph"/>
        <w:keepLines/>
        <w:widowControl w:val="0"/>
        <w:numPr>
          <w:ilvl w:val="0"/>
          <w:numId w:val="27"/>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母线应有表明相别的颜色，</w:t>
      </w:r>
      <w:r>
        <w:rPr>
          <w:rFonts w:asciiTheme="minorEastAsia" w:eastAsiaTheme="minorEastAsia" w:hAnsiTheme="minorEastAsia" w:hint="eastAsia"/>
          <w:sz w:val="21"/>
          <w:szCs w:val="21"/>
          <w:lang w:val="en-US" w:eastAsia="zh-CN"/>
        </w:rPr>
        <w:t>A</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B</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xml:space="preserve">C </w:t>
      </w:r>
      <w:r>
        <w:rPr>
          <w:rFonts w:asciiTheme="minorEastAsia" w:eastAsiaTheme="minorEastAsia" w:hAnsiTheme="minorEastAsia" w:hint="eastAsia"/>
          <w:sz w:val="21"/>
          <w:szCs w:val="21"/>
          <w:lang w:val="en-US" w:eastAsia="zh-CN"/>
        </w:rPr>
        <w:t>相分别为黄、绿、红色，裸露带电体对地空气净距不小于</w:t>
      </w:r>
      <w:r>
        <w:rPr>
          <w:rFonts w:asciiTheme="minorEastAsia" w:eastAsiaTheme="minorEastAsia" w:hAnsiTheme="minorEastAsia" w:hint="eastAsia"/>
          <w:sz w:val="21"/>
          <w:szCs w:val="21"/>
          <w:lang w:val="en-US" w:eastAsia="zh-CN"/>
        </w:rPr>
        <w:t xml:space="preserve"> 125mm</w:t>
      </w:r>
      <w:r>
        <w:rPr>
          <w:rFonts w:asciiTheme="minorEastAsia" w:eastAsiaTheme="minorEastAsia" w:hAnsiTheme="minorEastAsia" w:hint="eastAsia"/>
          <w:sz w:val="21"/>
          <w:szCs w:val="21"/>
          <w:lang w:val="en-US" w:eastAsia="zh-CN"/>
        </w:rPr>
        <w:t>，相间距不小于</w:t>
      </w:r>
      <w:r>
        <w:rPr>
          <w:rFonts w:asciiTheme="minorEastAsia" w:eastAsiaTheme="minorEastAsia" w:hAnsiTheme="minorEastAsia" w:hint="eastAsia"/>
          <w:sz w:val="21"/>
          <w:szCs w:val="21"/>
          <w:lang w:val="en-US" w:eastAsia="zh-CN"/>
        </w:rPr>
        <w:t xml:space="preserve"> 210mm</w:t>
      </w:r>
      <w:r>
        <w:rPr>
          <w:rFonts w:asciiTheme="minorEastAsia" w:eastAsiaTheme="minorEastAsia" w:hAnsiTheme="minorEastAsia" w:hint="eastAsia"/>
          <w:sz w:val="21"/>
          <w:szCs w:val="21"/>
          <w:lang w:val="en-US" w:eastAsia="zh-CN"/>
        </w:rPr>
        <w:t>，母线复合绝缘相间净距大于</w:t>
      </w:r>
      <w:r>
        <w:rPr>
          <w:rFonts w:asciiTheme="minorEastAsia" w:eastAsiaTheme="minorEastAsia" w:hAnsiTheme="minorEastAsia" w:hint="eastAsia"/>
          <w:sz w:val="21"/>
          <w:szCs w:val="21"/>
          <w:lang w:val="en-US" w:eastAsia="zh-CN"/>
        </w:rPr>
        <w:t xml:space="preserve"> 30mm</w:t>
      </w:r>
      <w:r>
        <w:rPr>
          <w:rFonts w:asciiTheme="minorEastAsia" w:eastAsiaTheme="minorEastAsia" w:hAnsiTheme="minorEastAsia" w:hint="eastAsia"/>
          <w:sz w:val="21"/>
          <w:szCs w:val="21"/>
          <w:lang w:val="en-US" w:eastAsia="zh-CN"/>
        </w:rPr>
        <w:t>。</w:t>
      </w:r>
    </w:p>
    <w:p w:rsidR="002274AC">
      <w:pPr>
        <w:pStyle w:val="ListParagraph"/>
        <w:keepLines/>
        <w:widowControl w:val="0"/>
        <w:numPr>
          <w:ilvl w:val="0"/>
          <w:numId w:val="27"/>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主母排、分支母排的铜的纯度为</w:t>
      </w:r>
      <w:r>
        <w:rPr>
          <w:rFonts w:asciiTheme="minorEastAsia" w:eastAsiaTheme="minorEastAsia" w:hAnsiTheme="minorEastAsia" w:hint="eastAsia"/>
          <w:sz w:val="21"/>
          <w:szCs w:val="21"/>
          <w:lang w:val="en-US" w:eastAsia="zh-CN"/>
        </w:rPr>
        <w:t xml:space="preserve"> 99.95</w:t>
      </w:r>
      <w:r>
        <w:rPr>
          <w:rFonts w:asciiTheme="minorEastAsia" w:eastAsiaTheme="minorEastAsia" w:hAnsiTheme="minorEastAsia" w:hint="eastAsia"/>
          <w:sz w:val="21"/>
          <w:szCs w:val="21"/>
          <w:lang w:val="en-US" w:eastAsia="zh-CN"/>
        </w:rPr>
        <w:t>％以上的高纯度电解铜。</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母排采用热缩套管进行绝缘，同时提供其相应的试验报告和原产地</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证明。</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主母排和分支母排搭接面要镀银，以保证导电率</w:t>
      </w:r>
      <w:r>
        <w:rPr>
          <w:rFonts w:asciiTheme="minorEastAsia" w:eastAsiaTheme="minorEastAsia" w:hAnsiTheme="minorEastAsia" w:hint="eastAsia"/>
          <w:sz w:val="21"/>
          <w:szCs w:val="21"/>
          <w:lang w:val="en-US" w:eastAsia="zh-CN"/>
        </w:rPr>
        <w:t xml:space="preserve">) </w:t>
      </w:r>
    </w:p>
    <w:p w:rsidR="002274AC">
      <w:pPr>
        <w:pStyle w:val="ReportLevel4"/>
        <w:keepNext w:val="0"/>
        <w:keepLine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hint="eastAsia"/>
          <w:sz w:val="21"/>
          <w:szCs w:val="21"/>
          <w:lang w:eastAsia="zh-CN"/>
        </w:rPr>
        <w:t>电缆</w:t>
      </w:r>
      <w:r>
        <w:rPr>
          <w:rFonts w:asciiTheme="minorEastAsia" w:eastAsiaTheme="minorEastAsia" w:hAnsiTheme="minorEastAsia" w:cs="Arial" w:hint="eastAsia"/>
          <w:sz w:val="21"/>
          <w:szCs w:val="21"/>
          <w:lang w:eastAsia="zh-CN"/>
        </w:rPr>
        <w:t>室</w:t>
      </w:r>
    </w:p>
    <w:p w:rsidR="002274AC">
      <w:pPr>
        <w:pStyle w:val="ListParagraph"/>
        <w:keepLines/>
        <w:widowControl w:val="0"/>
        <w:numPr>
          <w:ilvl w:val="0"/>
          <w:numId w:val="28"/>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缆可从开关柜上进上出。终端之安排以及终端尺寸和细节须符合进线电缆及供电局之要求。所有夹紧和紧固材料的尺寸须保证能承受由短路电流引起的应力。电缆室须通过定型测试以保证质量。并设电缆进线孔洞封堵板，使电缆室达到标书</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要求的防护等级。</w:t>
      </w:r>
    </w:p>
    <w:p w:rsidR="002274AC">
      <w:pPr>
        <w:pStyle w:val="ListParagraph"/>
        <w:keepLines/>
        <w:widowControl w:val="0"/>
        <w:numPr>
          <w:ilvl w:val="0"/>
          <w:numId w:val="28"/>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电缆</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室门上应有观察窗，应有正确反映接地开关状态的措施。</w:t>
      </w:r>
    </w:p>
    <w:p w:rsidR="002274AC">
      <w:pPr>
        <w:pStyle w:val="ListParagraph"/>
        <w:keepLines/>
        <w:widowControl w:val="0"/>
        <w:numPr>
          <w:ilvl w:val="0"/>
          <w:numId w:val="28"/>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在电缆室内应有电缆和导线用支架，以</w:t>
      </w:r>
      <w:r>
        <w:rPr>
          <w:rFonts w:asciiTheme="minorEastAsia" w:eastAsiaTheme="minorEastAsia" w:hAnsiTheme="minorEastAsia" w:hint="eastAsia"/>
          <w:sz w:val="21"/>
          <w:szCs w:val="21"/>
          <w:lang w:val="en-US" w:eastAsia="zh-CN"/>
        </w:rPr>
        <w:t>避免电缆接线端子过份变形。</w:t>
      </w:r>
    </w:p>
    <w:p w:rsidR="002274AC">
      <w:pPr>
        <w:pStyle w:val="ListParagraph"/>
        <w:keepLines/>
        <w:widowControl w:val="0"/>
        <w:numPr>
          <w:ilvl w:val="0"/>
          <w:numId w:val="28"/>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电缆室门应与接地刀闸有机械联锁，接地刀闸在接地位置时电缆室门方能打开，同时提供紧急解锁措施。</w:t>
      </w:r>
    </w:p>
    <w:p w:rsidR="002274AC">
      <w:pPr>
        <w:pStyle w:val="ListParagraph"/>
        <w:keepLines/>
        <w:widowControl w:val="0"/>
        <w:numPr>
          <w:ilvl w:val="0"/>
          <w:numId w:val="28"/>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电缆室内应有检修照明灯。</w:t>
      </w:r>
    </w:p>
    <w:p w:rsidR="002274AC">
      <w:pPr>
        <w:pStyle w:val="ReportLevel4"/>
        <w:keepNext w:val="0"/>
        <w:keepLine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控制和低压小间室</w:t>
      </w:r>
    </w:p>
    <w:p w:rsidR="002274AC">
      <w:pPr>
        <w:pStyle w:val="ListParagraph"/>
        <w:keepLines/>
        <w:widowControl w:val="0"/>
        <w:numPr>
          <w:ilvl w:val="0"/>
          <w:numId w:val="29"/>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低压回路、保护装置、控制、测量和指示仪表均须装置于开关柜上部之单独小间内。与其他隔室完全独立，可拆卸。</w:t>
      </w:r>
    </w:p>
    <w:p w:rsidR="002274AC">
      <w:pPr>
        <w:pStyle w:val="ListParagraph"/>
        <w:keepLines/>
        <w:widowControl w:val="0"/>
        <w:numPr>
          <w:ilvl w:val="0"/>
          <w:numId w:val="29"/>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低压室内设置检修照明灯。</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五防要求</w:t>
      </w:r>
    </w:p>
    <w:p w:rsidR="002274AC">
      <w:pPr>
        <w:pStyle w:val="ListParagraph"/>
        <w:keepLines/>
        <w:widowControl w:val="0"/>
        <w:tabs>
          <w:tab w:val="left" w:pos="1701"/>
        </w:tabs>
        <w:autoSpaceDE w:val="0"/>
        <w:autoSpaceDN w:val="0"/>
        <w:spacing w:before="120" w:beforeLines="50" w:after="120" w:afterLines="50"/>
        <w:ind w:left="1134"/>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开关柜满足五防要求：防止带负荷拉手车；防止误分、合断路器；防止接地开关处在闭合位置时关合断路器；防止在带电时误合接地开关；防止误入带电隔室等功能。若断路器小车的操作省力机构未设锁定装置时，不允许进行下列操作；</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当断路器在合闸位时，将断路器小车推进或拉出工作位置；</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当断路器小车没有闭锁在试验或工作位置时，闭合断路器；</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当断路器小车在工作位置时，断开二次插头；</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sectPr>
          <w:footerReference w:type="default" r:id="rId8"/>
          <w:type w:val="nextPage"/>
          <w:pgSz w:w="11906" w:h="16838"/>
          <w:pgMar w:top="1814" w:right="1418" w:bottom="1418" w:left="1814" w:header="851" w:footer="992" w:gutter="0"/>
          <w:pgNumType w:start="3"/>
          <w:cols w:space="425"/>
          <w:titlePg w:val="0"/>
          <w:docGrid w:linePitch="312"/>
        </w:sectPr>
      </w:pPr>
      <w:r>
        <w:rPr>
          <w:rFonts w:asciiTheme="minorEastAsia" w:eastAsiaTheme="minorEastAsia" w:hAnsiTheme="minorEastAsia" w:hint="eastAsia"/>
          <w:sz w:val="21"/>
          <w:szCs w:val="21"/>
          <w:lang w:val="en-US" w:eastAsia="zh-CN"/>
        </w:rPr>
        <w:t>在未拔下低压插头时，由试验位置拉出断路器小车；</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在未插下低压插头时，由试验位置推进断路器小车；</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断路器小车在开关柜内工作位置时，闭合接地开关；</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接地开关</w:t>
      </w:r>
      <w:r>
        <w:rPr>
          <w:rFonts w:asciiTheme="minorEastAsia" w:eastAsiaTheme="minorEastAsia" w:hAnsiTheme="minorEastAsia" w:hint="eastAsia"/>
          <w:sz w:val="21"/>
          <w:szCs w:val="21"/>
          <w:lang w:val="en-US" w:eastAsia="zh-CN"/>
        </w:rPr>
        <w:t>闭合时，推进断路器小车；</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当母联断路器在工作位置时，母联隔离开关不能抽出。</w:t>
      </w:r>
    </w:p>
    <w:p w:rsidR="002274AC">
      <w:pPr>
        <w:pStyle w:val="ListParagraph"/>
        <w:keepLines/>
        <w:widowControl w:val="0"/>
        <w:numPr>
          <w:ilvl w:val="0"/>
          <w:numId w:val="3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断路器小车必须提供工作和检修位置的机械操作闭锁功能，防止动静触头接触不到位造成事故隐患。</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hint="eastAsia"/>
          <w:sz w:val="21"/>
          <w:szCs w:val="21"/>
          <w:lang w:eastAsia="zh-CN"/>
        </w:rPr>
        <w:t>联锁</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应有可靠联锁装置防止触及带电体。</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只有在开关柜门关闭的情况下才能进行开关的各项操作。</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应有逻辑控制的联锁防止误操作。</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当主开关设备进行机械操作时，它不可能进行电气控制。联锁系统必须具备能确保防止操作人员意外触及、或产生危险、或存在潜在危险的功能。</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仅当断路器处于分闸位置时，可移开部件才可以抽出或插入。只有断路器在工作位置、断开位置、移开位置、试验位置才可以进行操作。断路器在任何位置都可以分闸。辅助回路若未接通，在工作位置断路器不能合闸。</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进线接地隔离开关。接地隔离开关采用可靠的联锁措施，以保证只有当与它相关的断路器处于分闸位置时，相应断路器才可以进行操作。接地隔离开关与断路器之间装设电气联锁，以防止当接地开关处于合闸位置时，电缆进线送电。</w:t>
      </w:r>
    </w:p>
    <w:p w:rsidR="002274AC">
      <w:pPr>
        <w:pStyle w:val="ListParagraph"/>
        <w:keepLines/>
        <w:widowControl w:val="0"/>
        <w:numPr>
          <w:ilvl w:val="0"/>
          <w:numId w:val="31"/>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三路进线断路器与母联断路器之间设置电气及机械连锁，各断路器之间的电气连锁逻辑关系详见设计图纸。本系统结线方式为两</w:t>
      </w:r>
      <w:r>
        <w:rPr>
          <w:rFonts w:asciiTheme="minorEastAsia" w:eastAsiaTheme="minorEastAsia" w:hAnsiTheme="minorEastAsia" w:hint="eastAsia"/>
          <w:sz w:val="21"/>
          <w:szCs w:val="21"/>
          <w:lang w:val="en-US" w:eastAsia="zh-CN"/>
        </w:rPr>
        <w:t>用一备的结线方式，投切装置采取自动投切。</w:t>
      </w:r>
    </w:p>
    <w:p w:rsidR="002274AC">
      <w:pPr>
        <w:pStyle w:val="ReportLevel4"/>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内部燃弧</w:t>
      </w:r>
    </w:p>
    <w:p w:rsidR="002274AC">
      <w:pPr>
        <w:pStyle w:val="ListParagraph"/>
        <w:keepLines/>
        <w:widowControl w:val="0"/>
        <w:tabs>
          <w:tab w:val="left" w:pos="1701"/>
        </w:tabs>
        <w:autoSpaceDE w:val="0"/>
        <w:autoSpaceDN w:val="0"/>
        <w:spacing w:before="120" w:beforeLines="50" w:after="120" w:afterLines="50"/>
        <w:ind w:left="1134"/>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开关柜能防止因本身缺陷、异常或误操作导致的内电弧伤及工作人</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员，能限制电弧的燃烧时间和燃烧范围（符合</w:t>
      </w:r>
      <w:r>
        <w:rPr>
          <w:rFonts w:asciiTheme="minorEastAsia" w:eastAsiaTheme="minorEastAsia" w:hAnsiTheme="minorEastAsia" w:hint="eastAsia"/>
          <w:sz w:val="21"/>
          <w:szCs w:val="21"/>
          <w:lang w:val="en-US" w:eastAsia="zh-CN"/>
        </w:rPr>
        <w:t xml:space="preserve"> GB 3906 </w:t>
      </w:r>
      <w:r>
        <w:rPr>
          <w:rFonts w:asciiTheme="minorEastAsia" w:eastAsiaTheme="minorEastAsia" w:hAnsiTheme="minorEastAsia" w:hint="eastAsia"/>
          <w:sz w:val="21"/>
          <w:szCs w:val="21"/>
          <w:lang w:val="en-US" w:eastAsia="zh-CN"/>
        </w:rPr>
        <w:t>及</w:t>
      </w:r>
      <w:r>
        <w:rPr>
          <w:rFonts w:asciiTheme="minorEastAsia" w:eastAsiaTheme="minorEastAsia" w:hAnsiTheme="minorEastAsia" w:hint="eastAsia"/>
          <w:sz w:val="21"/>
          <w:szCs w:val="21"/>
          <w:lang w:val="en-US" w:eastAsia="zh-CN"/>
        </w:rPr>
        <w:t xml:space="preserve"> IEC62271-200 </w:t>
      </w:r>
      <w:r>
        <w:rPr>
          <w:rFonts w:asciiTheme="minorEastAsia" w:eastAsiaTheme="minorEastAsia" w:hAnsiTheme="minorEastAsia" w:hint="eastAsia"/>
          <w:sz w:val="21"/>
          <w:szCs w:val="21"/>
          <w:lang w:val="en-US" w:eastAsia="zh-CN"/>
        </w:rPr>
        <w:t>的要求），投标时须提供国家权威部门所做的内部燃弧试验报告（</w:t>
      </w:r>
      <w:r>
        <w:rPr>
          <w:rFonts w:asciiTheme="minorEastAsia" w:eastAsiaTheme="minorEastAsia" w:hAnsiTheme="minorEastAsia" w:hint="eastAsia"/>
          <w:sz w:val="21"/>
          <w:szCs w:val="21"/>
          <w:lang w:val="en-US" w:eastAsia="zh-CN"/>
        </w:rPr>
        <w:t>31.5KA</w:t>
      </w:r>
      <w:r>
        <w:rPr>
          <w:rFonts w:asciiTheme="minorEastAsia" w:eastAsiaTheme="minorEastAsia" w:hAnsiTheme="minorEastAsia" w:hint="eastAsia"/>
          <w:sz w:val="21"/>
          <w:szCs w:val="21"/>
          <w:lang w:val="en-US" w:eastAsia="zh-CN"/>
        </w:rPr>
        <w:t>）。在断路器室、母线室和电缆室的上方均设有独立的压力释放装置，当发生内部故障电弧时，伴随电弧的出现，开关柜内部气压升高，装设的压力释放装置将被自动打开，释放压力和排泄</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气体，以确保操作人员和开关柜安全。</w:t>
      </w:r>
    </w:p>
    <w:p w:rsidR="002274AC">
      <w:pPr>
        <w:pStyle w:val="ListParagraph"/>
        <w:keepLines/>
        <w:widowControl w:val="0"/>
        <w:tabs>
          <w:tab w:val="left" w:pos="1701"/>
        </w:tabs>
        <w:autoSpaceDE w:val="0"/>
        <w:autoSpaceDN w:val="0"/>
        <w:spacing w:before="120" w:beforeLines="50" w:after="120" w:afterLines="50"/>
        <w:ind w:left="1134"/>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泄压装置：高压真空开关柜的断路器、电缆、母线室三个室需通过内部故障电弧效应试验，断路器、母线和电缆接线三个间隔必须有独立向上的排泄通道以确保故障放弧时不对正面、背面、侧面和电缆沟内的安装、运行维护人员产生伤害。</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hint="eastAsia"/>
          <w:sz w:val="21"/>
          <w:szCs w:val="21"/>
          <w:lang w:eastAsia="zh-CN"/>
        </w:rPr>
        <w:t>抗震</w:t>
      </w:r>
    </w:p>
    <w:p w:rsidR="002274AC">
      <w:pPr>
        <w:pStyle w:val="ListParagraph"/>
        <w:keepLines/>
        <w:widowControl w:val="0"/>
        <w:tabs>
          <w:tab w:val="left" w:pos="1701"/>
        </w:tabs>
        <w:autoSpaceDE w:val="0"/>
        <w:autoSpaceDN w:val="0"/>
        <w:spacing w:before="120" w:beforeLines="50" w:after="120" w:afterLines="50"/>
        <w:ind w:left="1134"/>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所有安装在柜上的设备在受到地震、震动和撞击时，能承受</w:t>
      </w:r>
      <w:r>
        <w:rPr>
          <w:rFonts w:asciiTheme="minorEastAsia" w:eastAsiaTheme="minorEastAsia" w:hAnsiTheme="minorEastAsia" w:hint="eastAsia"/>
          <w:sz w:val="21"/>
          <w:szCs w:val="21"/>
          <w:lang w:val="en-US" w:eastAsia="zh-CN"/>
        </w:rPr>
        <w:t xml:space="preserve"> 8 </w:t>
      </w:r>
      <w:r>
        <w:rPr>
          <w:rFonts w:asciiTheme="minorEastAsia" w:eastAsiaTheme="minorEastAsia" w:hAnsiTheme="minorEastAsia" w:hint="eastAsia"/>
          <w:sz w:val="21"/>
          <w:szCs w:val="21"/>
          <w:lang w:val="en-US" w:eastAsia="zh-CN"/>
        </w:rPr>
        <w:t>级地震而不损坏，达到</w:t>
      </w:r>
      <w:r>
        <w:rPr>
          <w:rFonts w:asciiTheme="minorEastAsia" w:eastAsiaTheme="minorEastAsia" w:hAnsiTheme="minorEastAsia" w:hint="eastAsia"/>
          <w:sz w:val="21"/>
          <w:szCs w:val="21"/>
          <w:lang w:val="en-US" w:eastAsia="zh-CN"/>
        </w:rPr>
        <w:t xml:space="preserve"> GB </w:t>
      </w:r>
      <w:r>
        <w:rPr>
          <w:rFonts w:asciiTheme="minorEastAsia" w:eastAsiaTheme="minorEastAsia" w:hAnsiTheme="minorEastAsia" w:hint="eastAsia"/>
          <w:sz w:val="21"/>
          <w:szCs w:val="21"/>
          <w:lang w:val="en-US" w:eastAsia="zh-CN"/>
        </w:rPr>
        <w:t>或</w:t>
      </w:r>
      <w:r>
        <w:rPr>
          <w:rFonts w:asciiTheme="minorEastAsia" w:eastAsiaTheme="minorEastAsia" w:hAnsiTheme="minorEastAsia" w:hint="eastAsia"/>
          <w:sz w:val="21"/>
          <w:szCs w:val="21"/>
          <w:lang w:val="en-US" w:eastAsia="zh-CN"/>
        </w:rPr>
        <w:t xml:space="preserve"> IEC </w:t>
      </w:r>
      <w:r>
        <w:rPr>
          <w:rFonts w:asciiTheme="minorEastAsia" w:eastAsiaTheme="minorEastAsia" w:hAnsiTheme="minorEastAsia" w:hint="eastAsia"/>
          <w:sz w:val="21"/>
          <w:szCs w:val="21"/>
          <w:lang w:val="en-US" w:eastAsia="zh-CN"/>
        </w:rPr>
        <w:t>所规定的标准。</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柜体标识</w:t>
      </w:r>
    </w:p>
    <w:p w:rsidR="002274AC">
      <w:pPr>
        <w:pStyle w:val="ListParagraph"/>
        <w:keepLines/>
        <w:widowControl w:val="0"/>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sectPr>
          <w:footerReference w:type="default" r:id="rId9"/>
          <w:type w:val="nextPage"/>
          <w:pgSz w:w="11906" w:h="16838"/>
          <w:pgMar w:top="1814" w:right="1418" w:bottom="1418" w:left="1814" w:header="851" w:footer="992" w:gutter="0"/>
          <w:pgNumType w:start="4"/>
          <w:cols w:space="425"/>
          <w:titlePg w:val="0"/>
          <w:docGrid w:linePitch="312"/>
        </w:sectPr>
      </w:pPr>
      <w:r>
        <w:rPr>
          <w:rFonts w:asciiTheme="minorEastAsia" w:eastAsiaTheme="minorEastAsia" w:hAnsiTheme="minorEastAsia" w:hint="eastAsia"/>
          <w:sz w:val="21"/>
          <w:szCs w:val="21"/>
          <w:lang w:val="en-US" w:eastAsia="zh-CN"/>
        </w:rPr>
        <w:t>每台柜体及其装置（包括：断路器室、母线室、电缆室、电缆室及泄压通道）都应有明显标签框，以便清楚识别，每台柜的顶部按排列图要求配有柜的标号和用途的醒目标色。</w:t>
      </w:r>
    </w:p>
    <w:p w:rsidR="002274AC">
      <w:pPr>
        <w:pStyle w:val="ListParagraph"/>
        <w:keepLines/>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所有具有极性配</w:t>
      </w:r>
      <w:r>
        <w:rPr>
          <w:rFonts w:asciiTheme="minorEastAsia" w:eastAsiaTheme="minorEastAsia" w:hAnsiTheme="minorEastAsia" w:hint="eastAsia"/>
          <w:sz w:val="21"/>
          <w:szCs w:val="21"/>
          <w:lang w:val="en-US" w:eastAsia="zh-CN"/>
        </w:rPr>
        <w:t>合关系的元件在其标示牌和接线图上，相应端子处都有极性标记。</w:t>
      </w:r>
    </w:p>
    <w:p w:rsidR="002274AC">
      <w:pPr>
        <w:pStyle w:val="ListParagraph"/>
        <w:keepLines/>
        <w:widowControl w:val="0"/>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所有操作开关、按钮、手柄等都有明确的、永久的标志，并明确标明其操作方向。</w:t>
      </w:r>
    </w:p>
    <w:p w:rsidR="002274AC">
      <w:pPr>
        <w:pStyle w:val="ListParagraph"/>
        <w:keepLines/>
        <w:widowControl w:val="0"/>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开关柜前面必须有模拟图，模拟图上有机械式开关状态指示器。</w:t>
      </w:r>
    </w:p>
    <w:p w:rsidR="002274AC">
      <w:pPr>
        <w:pStyle w:val="ListParagraph"/>
        <w:keepLines/>
        <w:widowControl w:val="0"/>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开关柜每个出线间隔都应按图纸要求设置标有回路名称的标志牌。</w:t>
      </w:r>
    </w:p>
    <w:p w:rsidR="002274AC">
      <w:pPr>
        <w:pStyle w:val="ListParagraph"/>
        <w:keepLines/>
        <w:widowControl w:val="0"/>
        <w:numPr>
          <w:ilvl w:val="0"/>
          <w:numId w:val="32"/>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仪表板（仓）开关、按钮等应有功能指示牌。所有电气元器件、附件均应有明显的牢固的和图纸相对应的代号标识，标识应符合图纸中的代号并为印刷体标识表面有防止脏损的防护层，标识应牢固粘贴在元件的显著位置（发热元件除外）</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开关柜内小车的推进、抽出应灵活方便，相同参数和</w:t>
      </w:r>
      <w:r>
        <w:rPr>
          <w:rFonts w:asciiTheme="minorEastAsia" w:eastAsiaTheme="minorEastAsia" w:hAnsiTheme="minorEastAsia" w:cs="Arial" w:hint="eastAsia"/>
          <w:sz w:val="21"/>
          <w:szCs w:val="21"/>
          <w:lang w:val="en-US" w:eastAsia="zh-CN"/>
        </w:rPr>
        <w:t>用途的开关柜小车应有</w:t>
      </w:r>
      <w:r>
        <w:rPr>
          <w:rFonts w:asciiTheme="minorEastAsia" w:eastAsiaTheme="minorEastAsia" w:hAnsiTheme="minorEastAsia" w:cs="Arial" w:hint="eastAsia"/>
          <w:sz w:val="21"/>
          <w:szCs w:val="21"/>
          <w:lang w:val="en-US" w:eastAsia="zh-CN"/>
        </w:rPr>
        <w:t xml:space="preserve"> 100</w:t>
      </w:r>
      <w:r>
        <w:rPr>
          <w:rFonts w:asciiTheme="minorEastAsia" w:eastAsiaTheme="minorEastAsia" w:hAnsiTheme="minorEastAsia" w:cs="Arial" w:hint="eastAsia"/>
          <w:sz w:val="21"/>
          <w:szCs w:val="21"/>
          <w:lang w:val="en-US" w:eastAsia="zh-CN"/>
        </w:rPr>
        <w:t>％互换性。</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hint="eastAsia"/>
          <w:sz w:val="21"/>
          <w:szCs w:val="21"/>
          <w:lang w:eastAsia="zh-CN"/>
        </w:rPr>
        <w:t>开关柜</w:t>
      </w:r>
      <w:r>
        <w:rPr>
          <w:rFonts w:asciiTheme="minorEastAsia" w:eastAsiaTheme="minorEastAsia" w:hAnsiTheme="minorEastAsia" w:cs="Arial" w:hint="eastAsia"/>
          <w:sz w:val="21"/>
          <w:szCs w:val="21"/>
          <w:lang w:val="en-US" w:eastAsia="zh-CN"/>
        </w:rPr>
        <w:t>断路器辅助接点应与主触头同步，闭合牢固可靠，断开有足够的距离。</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开关柜采用均匀电场和复合绝缘措施。</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任何可移开部件与固定部分的接触，在正常使用条件下，特别是在短路时，不会由于电动力的作用而被意外的分开。</w:t>
      </w:r>
    </w:p>
    <w:p w:rsidR="002274AC">
      <w:pPr>
        <w:pStyle w:val="ReportLevel4"/>
        <w:keepNext w:val="0"/>
        <w:keepLines/>
        <w:spacing w:before="120" w:beforeLines="50" w:after="120" w:afterLines="50"/>
        <w:rPr>
          <w:lang w:val="en-US" w:eastAsia="zh-CN"/>
        </w:rPr>
      </w:pPr>
      <w:r>
        <w:rPr>
          <w:rFonts w:asciiTheme="minorEastAsia" w:eastAsiaTheme="minorEastAsia" w:hAnsiTheme="minorEastAsia" w:cs="Arial" w:hint="eastAsia"/>
          <w:sz w:val="21"/>
          <w:szCs w:val="21"/>
          <w:lang w:val="en-US" w:eastAsia="zh-CN"/>
        </w:rPr>
        <w:t>开关柜内的空气能顺利流动，以防止冷空气在柜内凝结，同时在故障时使其他有害气体逸出。</w:t>
      </w:r>
    </w:p>
    <w:p w:rsidR="002274AC">
      <w:pPr>
        <w:pStyle w:val="ReportLevel4"/>
        <w:keepNext w:val="0"/>
        <w:keepLines/>
        <w:spacing w:before="120" w:beforeLines="50" w:after="120" w:afterLines="50"/>
        <w:rPr>
          <w:lang w:val="en-US" w:eastAsia="zh-CN"/>
        </w:rPr>
      </w:pPr>
      <w:r>
        <w:rPr>
          <w:rFonts w:asciiTheme="minorEastAsia" w:eastAsiaTheme="minorEastAsia" w:hAnsiTheme="minorEastAsia" w:cs="Arial" w:hint="eastAsia"/>
          <w:sz w:val="21"/>
          <w:szCs w:val="21"/>
          <w:lang w:val="en-US" w:eastAsia="zh-CN"/>
        </w:rPr>
        <w:t>在满足防护等级下百叶窗或其他通风孔的布置和安装，应能防止由上面滴水或地板上溅起的水进入开关柜内。</w:t>
      </w:r>
    </w:p>
    <w:p w:rsidR="002274AC">
      <w:pPr>
        <w:pStyle w:val="ReportLevel4"/>
        <w:keepNext w:val="0"/>
        <w:keepLines/>
        <w:spacing w:before="120" w:beforeLines="50" w:after="120" w:afterLines="50"/>
        <w:rPr>
          <w:lang w:val="en-US" w:eastAsia="zh-CN"/>
        </w:rPr>
      </w:pPr>
      <w:r>
        <w:rPr>
          <w:rFonts w:asciiTheme="minorEastAsia" w:eastAsiaTheme="minorEastAsia" w:hAnsiTheme="minorEastAsia" w:cs="Arial" w:hint="eastAsia"/>
          <w:sz w:val="21"/>
          <w:szCs w:val="21"/>
          <w:lang w:val="en-US" w:eastAsia="zh-CN"/>
        </w:rPr>
        <w:t>装于柜体上的继电器，应能防止断路器或其他电器设备正常操作振动而误动作。</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设备的</w:t>
      </w:r>
      <w:r>
        <w:rPr>
          <w:rFonts w:asciiTheme="minorEastAsia" w:eastAsiaTheme="minorEastAsia" w:hAnsiTheme="minorEastAsia" w:hint="eastAsia"/>
          <w:sz w:val="21"/>
          <w:szCs w:val="21"/>
          <w:lang w:eastAsia="zh-CN"/>
        </w:rPr>
        <w:t>布置</w:t>
      </w:r>
      <w:r>
        <w:rPr>
          <w:rFonts w:asciiTheme="minorEastAsia" w:eastAsiaTheme="minorEastAsia" w:hAnsiTheme="minorEastAsia" w:cs="Arial" w:hint="eastAsia"/>
          <w:sz w:val="21"/>
          <w:szCs w:val="21"/>
          <w:lang w:val="en-US" w:eastAsia="zh-CN"/>
        </w:rPr>
        <w:t>应方便操作，在任何情况下不应妨碍良好的运行性能，柜内空间应满足检修要求。开关柜端部结构、母线排和电线电缆敷线槽的布置应考虑便于扩展。</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电缆</w:t>
      </w:r>
      <w:r>
        <w:rPr>
          <w:rFonts w:asciiTheme="minorEastAsia" w:eastAsiaTheme="minorEastAsia" w:hAnsiTheme="minorEastAsia" w:hint="eastAsia"/>
          <w:sz w:val="21"/>
          <w:szCs w:val="21"/>
          <w:lang w:eastAsia="zh-CN"/>
        </w:rPr>
        <w:t>试验</w:t>
      </w:r>
      <w:r>
        <w:rPr>
          <w:rFonts w:asciiTheme="minorEastAsia" w:eastAsiaTheme="minorEastAsia" w:hAnsiTheme="minorEastAsia" w:cs="Arial" w:hint="eastAsia"/>
          <w:sz w:val="21"/>
          <w:szCs w:val="21"/>
          <w:lang w:val="en-US" w:eastAsia="zh-CN"/>
        </w:rPr>
        <w:t>设备能够在不断开母线的情况下通过主开关室打开的隔板进行电缆试验。</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设备的布置保证安全可靠，并留有足够的空间，便于维护检修；柜深与柜总宽度不能超过</w:t>
      </w:r>
      <w:r>
        <w:rPr>
          <w:rFonts w:asciiTheme="minorEastAsia" w:eastAsiaTheme="minorEastAsia" w:hAnsiTheme="minorEastAsia" w:hint="eastAsia"/>
          <w:sz w:val="21"/>
          <w:szCs w:val="21"/>
          <w:lang w:eastAsia="zh-CN"/>
        </w:rPr>
        <w:t>平面图</w:t>
      </w:r>
      <w:r>
        <w:rPr>
          <w:rFonts w:asciiTheme="minorEastAsia" w:eastAsiaTheme="minorEastAsia" w:hAnsiTheme="minorEastAsia" w:cs="Arial" w:hint="eastAsia"/>
          <w:sz w:val="21"/>
          <w:szCs w:val="21"/>
          <w:lang w:val="en-US" w:eastAsia="zh-CN"/>
        </w:rPr>
        <w:t>所注尺寸。</w:t>
      </w:r>
    </w:p>
    <w:p w:rsidR="002274AC">
      <w:pPr>
        <w:pStyle w:val="ReportLevel3"/>
        <w:keepLine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真空断路器及其操动机构</w:t>
      </w:r>
    </w:p>
    <w:p w:rsidR="002274AC">
      <w:pPr>
        <w:pStyle w:val="ReportLevel4"/>
        <w:keepNext w:val="0"/>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hint="eastAsia"/>
          <w:sz w:val="21"/>
          <w:szCs w:val="21"/>
          <w:lang w:eastAsia="zh-CN"/>
        </w:rPr>
        <w:t>真空断路器</w:t>
      </w:r>
      <w:r>
        <w:rPr>
          <w:rFonts w:asciiTheme="minorEastAsia" w:eastAsiaTheme="minorEastAsia" w:hAnsiTheme="minorEastAsia" w:cs="Arial" w:hint="eastAsia"/>
          <w:sz w:val="21"/>
          <w:szCs w:val="21"/>
          <w:lang w:val="en-US" w:eastAsia="zh-CN"/>
        </w:rPr>
        <w:t>须符合</w:t>
      </w:r>
      <w:r>
        <w:rPr>
          <w:rFonts w:asciiTheme="minorEastAsia" w:eastAsiaTheme="minorEastAsia" w:hAnsiTheme="minorEastAsia" w:cs="Arial" w:hint="eastAsia"/>
          <w:sz w:val="21"/>
          <w:szCs w:val="21"/>
          <w:lang w:val="en-US" w:eastAsia="zh-CN"/>
        </w:rPr>
        <w:t xml:space="preserve"> GB1984-2003</w:t>
      </w:r>
      <w:r>
        <w:rPr>
          <w:rFonts w:asciiTheme="minorEastAsia" w:eastAsiaTheme="minorEastAsia" w:hAnsiTheme="minorEastAsia" w:cs="Arial" w:hint="eastAsia"/>
          <w:sz w:val="21"/>
          <w:szCs w:val="21"/>
          <w:lang w:val="en-US" w:eastAsia="zh-CN"/>
        </w:rPr>
        <w:t>《高压交流断路器》及</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GB/T11022-1999</w:t>
      </w:r>
      <w:r>
        <w:rPr>
          <w:rFonts w:asciiTheme="minorEastAsia" w:eastAsiaTheme="minorEastAsia" w:hAnsiTheme="minorEastAsia" w:cs="Arial" w:hint="eastAsia"/>
          <w:sz w:val="21"/>
          <w:szCs w:val="21"/>
          <w:lang w:val="en-US" w:eastAsia="zh-CN"/>
        </w:rPr>
        <w:t>《高压开关设备和控制设备标准的共同技术要求》之规定，并为自动脱扣、全封闭、金属外壳、垂直或水平方向隔离，水平抽出型，并须符合下列要求：</w:t>
      </w:r>
    </w:p>
    <w:p w:rsidR="002274AC">
      <w:pPr>
        <w:pStyle w:val="ListParagraph"/>
        <w:keepLines/>
        <w:widowControl w:val="0"/>
        <w:numPr>
          <w:ilvl w:val="0"/>
          <w:numId w:val="33"/>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电源特性</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工作电压</w:t>
      </w:r>
      <w:r>
        <w:rPr>
          <w:rFonts w:asciiTheme="minorEastAsia" w:eastAsiaTheme="minorEastAsia" w:hAnsiTheme="minorEastAsia" w:hint="eastAsia"/>
          <w:sz w:val="21"/>
          <w:szCs w:val="21"/>
          <w:lang w:val="en-US" w:eastAsia="zh-CN"/>
        </w:rPr>
        <w:t xml:space="preserve"> 10 </w:t>
      </w:r>
      <w:r>
        <w:rPr>
          <w:rFonts w:asciiTheme="minorEastAsia" w:eastAsiaTheme="minorEastAsia" w:hAnsiTheme="minorEastAsia" w:hint="eastAsia"/>
          <w:sz w:val="21"/>
          <w:szCs w:val="21"/>
          <w:lang w:val="en-US" w:eastAsia="zh-CN"/>
        </w:rPr>
        <w:t>千伏±</w:t>
      </w:r>
      <w:r>
        <w:rPr>
          <w:rFonts w:asciiTheme="minorEastAsia" w:eastAsiaTheme="minorEastAsia" w:hAnsiTheme="minorEastAsia" w:hint="eastAsia"/>
          <w:sz w:val="21"/>
          <w:szCs w:val="21"/>
          <w:lang w:val="en-US" w:eastAsia="zh-CN"/>
        </w:rPr>
        <w:t>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工作频率</w:t>
      </w:r>
      <w:r>
        <w:rPr>
          <w:rFonts w:asciiTheme="minorEastAsia" w:eastAsiaTheme="minorEastAsia" w:hAnsiTheme="minorEastAsia" w:hint="eastAsia"/>
          <w:sz w:val="21"/>
          <w:szCs w:val="21"/>
          <w:lang w:val="en-US" w:eastAsia="zh-CN"/>
        </w:rPr>
        <w:t xml:space="preserve"> 50 </w:t>
      </w:r>
      <w:r>
        <w:rPr>
          <w:rFonts w:asciiTheme="minorEastAsia" w:eastAsiaTheme="minorEastAsia" w:hAnsiTheme="minorEastAsia" w:hint="eastAsia"/>
          <w:sz w:val="21"/>
          <w:szCs w:val="21"/>
          <w:lang w:val="en-US" w:eastAsia="zh-CN"/>
        </w:rPr>
        <w:t>赫±</w:t>
      </w:r>
      <w:r>
        <w:rPr>
          <w:rFonts w:asciiTheme="minorEastAsia" w:eastAsiaTheme="minorEastAsia" w:hAnsiTheme="minorEastAsia" w:hint="eastAsia"/>
          <w:sz w:val="21"/>
          <w:szCs w:val="21"/>
          <w:lang w:val="en-US" w:eastAsia="zh-CN"/>
        </w:rPr>
        <w:t>2</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3"/>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断路器特性</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极数：</w:t>
      </w:r>
      <w:r>
        <w:rPr>
          <w:rFonts w:asciiTheme="minorEastAsia" w:eastAsiaTheme="minorEastAsia" w:hAnsiTheme="minorEastAsia" w:hint="eastAsia"/>
          <w:sz w:val="21"/>
          <w:szCs w:val="21"/>
          <w:lang w:val="en-US" w:eastAsia="zh-CN"/>
        </w:rPr>
        <w:t xml:space="preserve"> 3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等级：</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室内</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sectPr>
          <w:footerReference w:type="default" r:id="rId10"/>
          <w:type w:val="nextPage"/>
          <w:pgSz w:w="11906" w:h="16838"/>
          <w:pgMar w:top="1814" w:right="1418" w:bottom="1418" w:left="1814" w:header="851" w:footer="992" w:gutter="0"/>
          <w:pgNumType w:start="5"/>
          <w:cols w:space="425"/>
          <w:titlePg w:val="0"/>
          <w:docGrid w:linePitch="312"/>
        </w:sectPr>
      </w:pPr>
      <w:r>
        <w:rPr>
          <w:rFonts w:asciiTheme="minorEastAsia" w:eastAsiaTheme="minorEastAsia" w:hAnsiTheme="minorEastAsia" w:hint="eastAsia"/>
          <w:sz w:val="21"/>
          <w:szCs w:val="21"/>
          <w:lang w:val="en-US" w:eastAsia="zh-CN"/>
        </w:rPr>
        <w:t>额定电压：</w:t>
      </w:r>
      <w:r>
        <w:rPr>
          <w:rFonts w:asciiTheme="minorEastAsia" w:eastAsiaTheme="minorEastAsia" w:hAnsiTheme="minorEastAsia" w:hint="eastAsia"/>
          <w:sz w:val="21"/>
          <w:szCs w:val="21"/>
          <w:lang w:val="en-US" w:eastAsia="zh-CN"/>
        </w:rPr>
        <w:t xml:space="preserve"> 12 </w:t>
      </w:r>
      <w:r>
        <w:rPr>
          <w:rFonts w:asciiTheme="minorEastAsia" w:eastAsiaTheme="minorEastAsia" w:hAnsiTheme="minorEastAsia" w:hint="eastAsia"/>
          <w:sz w:val="21"/>
          <w:szCs w:val="21"/>
          <w:lang w:val="en-US" w:eastAsia="zh-CN"/>
        </w:rPr>
        <w:t>千伏</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额定雷电脉衙耐压：</w:t>
      </w:r>
      <w:r>
        <w:rPr>
          <w:rFonts w:asciiTheme="minorEastAsia" w:eastAsiaTheme="minorEastAsia" w:hAnsiTheme="minorEastAsia" w:hint="eastAsia"/>
          <w:sz w:val="21"/>
          <w:szCs w:val="21"/>
          <w:lang w:val="en-US" w:eastAsia="zh-CN"/>
        </w:rPr>
        <w:t xml:space="preserve"> 75 </w:t>
      </w:r>
      <w:r>
        <w:rPr>
          <w:rFonts w:asciiTheme="minorEastAsia" w:eastAsiaTheme="minorEastAsia" w:hAnsiTheme="minorEastAsia" w:hint="eastAsia"/>
          <w:sz w:val="21"/>
          <w:szCs w:val="21"/>
          <w:lang w:val="en-US" w:eastAsia="zh-CN"/>
        </w:rPr>
        <w:t>千伏（峰值）</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额定一分钟工频耐压：</w:t>
      </w:r>
      <w:r>
        <w:rPr>
          <w:rFonts w:asciiTheme="minorEastAsia" w:eastAsiaTheme="minorEastAsia" w:hAnsiTheme="minorEastAsia" w:hint="eastAsia"/>
          <w:sz w:val="21"/>
          <w:szCs w:val="21"/>
          <w:lang w:val="en-US" w:eastAsia="zh-CN"/>
        </w:rPr>
        <w:t xml:space="preserve"> 42 </w:t>
      </w:r>
      <w:r>
        <w:rPr>
          <w:rFonts w:asciiTheme="minorEastAsia" w:eastAsiaTheme="minorEastAsia" w:hAnsiTheme="minorEastAsia" w:hint="eastAsia"/>
          <w:sz w:val="21"/>
          <w:szCs w:val="21"/>
          <w:lang w:val="en-US" w:eastAsia="zh-CN"/>
        </w:rPr>
        <w:t>千伏</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额定频率：</w:t>
      </w:r>
      <w:r>
        <w:rPr>
          <w:rFonts w:asciiTheme="minorEastAsia" w:eastAsiaTheme="minorEastAsia" w:hAnsiTheme="minorEastAsia" w:hint="eastAsia"/>
          <w:sz w:val="21"/>
          <w:szCs w:val="21"/>
          <w:lang w:val="en-US" w:eastAsia="zh-CN"/>
        </w:rPr>
        <w:t xml:space="preserve"> 50 </w:t>
      </w:r>
      <w:r>
        <w:rPr>
          <w:rFonts w:asciiTheme="minorEastAsia" w:eastAsiaTheme="minorEastAsia" w:hAnsiTheme="minorEastAsia" w:hint="eastAsia"/>
          <w:sz w:val="21"/>
          <w:szCs w:val="21"/>
          <w:lang w:val="en-US" w:eastAsia="zh-CN"/>
        </w:rPr>
        <w:t>赫</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正常额定电流：</w:t>
      </w:r>
      <w:r>
        <w:rPr>
          <w:rFonts w:asciiTheme="minorEastAsia" w:eastAsiaTheme="minorEastAsia" w:hAnsiTheme="minorEastAsia" w:hint="eastAsia"/>
          <w:sz w:val="21"/>
          <w:szCs w:val="21"/>
          <w:lang w:val="en-US" w:eastAsia="zh-CN"/>
        </w:rPr>
        <w:t>1250A</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760" w:firstLine="1890" w:leftChars="800" w:firstLineChars="9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630A</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短路开断电流（有效值）：</w:t>
      </w:r>
      <w:r>
        <w:rPr>
          <w:rFonts w:asciiTheme="minorEastAsia" w:eastAsiaTheme="minorEastAsia" w:hAnsiTheme="minorEastAsia" w:hint="eastAsia"/>
          <w:sz w:val="21"/>
          <w:szCs w:val="21"/>
          <w:lang w:val="en-US" w:eastAsia="zh-CN"/>
        </w:rPr>
        <w:t xml:space="preserve">31.5kA </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760" w:firstLine="2940" w:leftChars="800" w:firstLineChars="14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25kA </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热稳定电流</w:t>
      </w:r>
      <w:r>
        <w:rPr>
          <w:rFonts w:asciiTheme="minorEastAsia" w:eastAsiaTheme="minorEastAsia" w:hAnsiTheme="minorEastAsia" w:hint="eastAsia"/>
          <w:sz w:val="21"/>
          <w:szCs w:val="21"/>
          <w:lang w:val="en-US" w:eastAsia="zh-CN"/>
        </w:rPr>
        <w:t xml:space="preserve">: 31.5kA 4S </w:t>
      </w:r>
      <w:r>
        <w:rPr>
          <w:rFonts w:asciiTheme="minorEastAsia" w:eastAsiaTheme="minorEastAsia" w:hAnsiTheme="minorEastAsia" w:hint="eastAsia"/>
          <w:sz w:val="21"/>
          <w:szCs w:val="21"/>
          <w:lang w:val="en-US" w:eastAsia="zh-CN"/>
        </w:rPr>
        <w:t>（进线开关）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tabs>
          <w:tab w:val="left" w:pos="1701"/>
        </w:tabs>
        <w:autoSpaceDE w:val="0"/>
        <w:autoSpaceDN w:val="0"/>
        <w:spacing w:before="120" w:beforeLines="50" w:after="120" w:afterLines="50"/>
        <w:ind w:left="1760" w:firstLine="1539" w:leftChars="800" w:firstLineChars="73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 25kA 4S </w:t>
      </w:r>
      <w:r>
        <w:rPr>
          <w:rFonts w:asciiTheme="minorEastAsia" w:eastAsiaTheme="minorEastAsia" w:hAnsiTheme="minorEastAsia" w:hint="eastAsia"/>
          <w:sz w:val="21"/>
          <w:szCs w:val="21"/>
          <w:lang w:val="en-US" w:eastAsia="zh-CN"/>
        </w:rPr>
        <w:t>（馈线开关）</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动稳定电流</w:t>
      </w:r>
      <w:r>
        <w:rPr>
          <w:rFonts w:asciiTheme="minorEastAsia" w:eastAsiaTheme="minorEastAsia" w:hAnsiTheme="minorEastAsia" w:hint="eastAsia"/>
          <w:sz w:val="21"/>
          <w:szCs w:val="21"/>
          <w:lang w:val="en-US" w:eastAsia="zh-CN"/>
        </w:rPr>
        <w:t xml:space="preserve">: 80kA </w:t>
      </w:r>
      <w:r>
        <w:rPr>
          <w:rFonts w:asciiTheme="minorEastAsia" w:eastAsiaTheme="minorEastAsia" w:hAnsiTheme="minorEastAsia" w:hint="eastAsia"/>
          <w:sz w:val="21"/>
          <w:szCs w:val="21"/>
          <w:lang w:val="en-US" w:eastAsia="zh-CN"/>
        </w:rPr>
        <w:t>（进线开关）</w:t>
      </w:r>
    </w:p>
    <w:p w:rsidR="002274AC">
      <w:pPr>
        <w:pStyle w:val="ListParagraph"/>
        <w:keepLines/>
        <w:widowControl w:val="0"/>
        <w:tabs>
          <w:tab w:val="left" w:pos="1701"/>
        </w:tabs>
        <w:autoSpaceDE w:val="0"/>
        <w:autoSpaceDN w:val="0"/>
        <w:spacing w:before="120" w:beforeLines="50" w:after="120" w:afterLines="50"/>
        <w:ind w:left="1760" w:firstLine="1539" w:leftChars="800" w:firstLineChars="73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 63kA </w:t>
      </w:r>
      <w:r>
        <w:rPr>
          <w:rFonts w:asciiTheme="minorEastAsia" w:eastAsiaTheme="minorEastAsia" w:hAnsiTheme="minorEastAsia" w:hint="eastAsia"/>
          <w:sz w:val="21"/>
          <w:szCs w:val="21"/>
          <w:lang w:val="en-US" w:eastAsia="zh-CN"/>
        </w:rPr>
        <w:t>（馈线开关）</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额定工作程序：</w:t>
      </w:r>
      <w:r>
        <w:rPr>
          <w:rFonts w:asciiTheme="minorEastAsia" w:eastAsiaTheme="minorEastAsia" w:hAnsiTheme="minorEastAsia" w:hint="eastAsia"/>
          <w:sz w:val="21"/>
          <w:szCs w:val="21"/>
          <w:lang w:val="en-US" w:eastAsia="zh-CN"/>
        </w:rPr>
        <w:t xml:space="preserve"> 0.3 </w:t>
      </w:r>
      <w:r>
        <w:rPr>
          <w:rFonts w:asciiTheme="minorEastAsia" w:eastAsiaTheme="minorEastAsia" w:hAnsiTheme="minorEastAsia" w:hint="eastAsia"/>
          <w:sz w:val="21"/>
          <w:szCs w:val="21"/>
          <w:lang w:val="en-US" w:eastAsia="zh-CN"/>
        </w:rPr>
        <w:t>秒</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合分</w:t>
      </w:r>
      <w:r>
        <w:rPr>
          <w:rFonts w:asciiTheme="minorEastAsia" w:eastAsiaTheme="minorEastAsia" w:hAnsiTheme="minorEastAsia" w:hint="eastAsia"/>
          <w:sz w:val="21"/>
          <w:szCs w:val="21"/>
          <w:lang w:val="en-US" w:eastAsia="zh-CN"/>
        </w:rPr>
        <w:t xml:space="preserve">--3 </w:t>
      </w:r>
      <w:r>
        <w:rPr>
          <w:rFonts w:asciiTheme="minorEastAsia" w:eastAsiaTheme="minorEastAsia" w:hAnsiTheme="minorEastAsia" w:hint="eastAsia"/>
          <w:sz w:val="21"/>
          <w:szCs w:val="21"/>
          <w:lang w:val="en-US" w:eastAsia="zh-CN"/>
        </w:rPr>
        <w:t>秒</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合分</w:t>
      </w:r>
    </w:p>
    <w:p w:rsidR="002274AC">
      <w:pPr>
        <w:pStyle w:val="ListParagraph"/>
        <w:keepLines/>
        <w:widowControl w:val="0"/>
        <w:numPr>
          <w:ilvl w:val="0"/>
          <w:numId w:val="33"/>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真空断路器操作机构</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弹簧储能式，储能电动机电源电压：</w:t>
      </w:r>
      <w:r>
        <w:rPr>
          <w:rFonts w:asciiTheme="minorEastAsia" w:eastAsiaTheme="minorEastAsia" w:hAnsiTheme="minorEastAsia" w:hint="eastAsia"/>
          <w:sz w:val="21"/>
          <w:szCs w:val="21"/>
          <w:lang w:val="en-US" w:eastAsia="zh-CN"/>
        </w:rPr>
        <w:t>DCllOV</w:t>
      </w:r>
      <w:r>
        <w:rPr>
          <w:rFonts w:asciiTheme="minorEastAsia" w:eastAsiaTheme="minorEastAsia" w:hAnsiTheme="minorEastAsia" w:hint="eastAsia"/>
          <w:sz w:val="21"/>
          <w:szCs w:val="21"/>
          <w:lang w:val="en-US" w:eastAsia="zh-CN"/>
        </w:rPr>
        <w:t>；</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分合闸控制电压</w:t>
      </w:r>
      <w:r>
        <w:rPr>
          <w:rFonts w:asciiTheme="minorEastAsia" w:eastAsiaTheme="minorEastAsia" w:hAnsiTheme="minorEastAsia" w:hint="eastAsia"/>
          <w:sz w:val="21"/>
          <w:szCs w:val="21"/>
          <w:lang w:val="en-US" w:eastAsia="zh-CN"/>
        </w:rPr>
        <w:t>: DCllOV</w:t>
      </w:r>
      <w:r>
        <w:rPr>
          <w:rFonts w:asciiTheme="minorEastAsia" w:eastAsiaTheme="minorEastAsia" w:hAnsiTheme="minorEastAsia" w:hint="eastAsia"/>
          <w:sz w:val="21"/>
          <w:szCs w:val="21"/>
          <w:lang w:val="en-US" w:eastAsia="zh-CN"/>
        </w:rPr>
        <w:t>；可手动储能；</w:t>
      </w:r>
    </w:p>
    <w:p w:rsidR="002274AC">
      <w:pPr>
        <w:pStyle w:val="ListParagraph"/>
        <w:keepLines/>
        <w:widowControl w:val="0"/>
        <w:numPr>
          <w:ilvl w:val="0"/>
          <w:numId w:val="34"/>
        </w:numPr>
        <w:tabs>
          <w:tab w:val="left" w:pos="1701"/>
        </w:tabs>
        <w:autoSpaceDE w:val="0"/>
        <w:autoSpaceDN w:val="0"/>
        <w:spacing w:before="120" w:beforeLines="50" w:after="120" w:afterLines="50"/>
        <w:ind w:left="2180" w:leftChars="8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合闸、分闸电压波动范围</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合闸</w:t>
      </w:r>
      <w:r>
        <w:rPr>
          <w:rFonts w:asciiTheme="minorEastAsia" w:eastAsiaTheme="minorEastAsia" w:hAnsiTheme="minorEastAsia" w:hint="eastAsia"/>
          <w:sz w:val="21"/>
          <w:szCs w:val="21"/>
          <w:lang w:val="en-US" w:eastAsia="zh-CN"/>
        </w:rPr>
        <w:t>85%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110%</w:t>
      </w:r>
      <w:r>
        <w:rPr>
          <w:rFonts w:asciiTheme="minorEastAsia" w:eastAsiaTheme="minorEastAsia" w:hAnsiTheme="minorEastAsia" w:hint="eastAsia"/>
          <w:sz w:val="21"/>
          <w:szCs w:val="21"/>
          <w:lang w:val="en-US" w:eastAsia="zh-CN"/>
        </w:rPr>
        <w:t>，分闸</w:t>
      </w:r>
      <w:r>
        <w:rPr>
          <w:rFonts w:asciiTheme="minorEastAsia" w:eastAsiaTheme="minorEastAsia" w:hAnsiTheme="minorEastAsia" w:hint="eastAsia"/>
          <w:sz w:val="21"/>
          <w:szCs w:val="21"/>
          <w:lang w:val="en-US" w:eastAsia="zh-CN"/>
        </w:rPr>
        <w:t>65%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120%</w:t>
      </w:r>
    </w:p>
    <w:p w:rsidR="002274AC">
      <w:pPr>
        <w:pStyle w:val="ReportLevel4"/>
        <w:keepLine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hint="eastAsia"/>
          <w:sz w:val="21"/>
          <w:szCs w:val="21"/>
          <w:lang w:eastAsia="zh-CN"/>
        </w:rPr>
        <w:t>真空断路器</w:t>
      </w:r>
      <w:r>
        <w:rPr>
          <w:rFonts w:asciiTheme="minorEastAsia" w:eastAsiaTheme="minorEastAsia" w:hAnsiTheme="minorEastAsia" w:cs="Arial" w:hint="eastAsia"/>
          <w:sz w:val="21"/>
          <w:szCs w:val="21"/>
          <w:lang w:val="en-US" w:eastAsia="zh-CN"/>
        </w:rPr>
        <w:t>性能</w:t>
      </w:r>
    </w:p>
    <w:p w:rsidR="002274AC">
      <w:pPr>
        <w:pStyle w:val="ListParagraph"/>
        <w:keepLines/>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断路器具有可靠的电气“防跳”功能。所有操作机构各辅助开关的接线，除特殊要求外，同</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规格均采用相同的连线以保证手车的互换性，手车上配有机械式计数器，用于合闸时计数，</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计数器应安装在手车面板上，并有观察孔，</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断路器手车面板上设有机械式分合闸状态指示、弹簧储能状态指示和手动分合闸按钮，指示器易于观察。</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断路器的操动机构，在任何状态都可以电气和机械跳闸（特别在小室门闭合的情况下也能方</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便操作）。</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断路器操作机构的核心部件齿轮箱，分合闸弹簧等部件必须保证国内外同一产品使用材料的一致性。</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电气操作的断路器，均有就地分合闸的操作设施（路器无须打开断路器小室的门就可操作）。</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当断路器在试验位置时，断路器</w:t>
      </w:r>
      <w:r>
        <w:rPr>
          <w:rFonts w:asciiTheme="minorEastAsia" w:eastAsiaTheme="minorEastAsia" w:hAnsiTheme="minorEastAsia" w:hint="eastAsia"/>
          <w:sz w:val="21"/>
          <w:szCs w:val="21"/>
          <w:lang w:val="en-US" w:eastAsia="zh-CN"/>
        </w:rPr>
        <w:t>的远方操作回路被闭锁。</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断路器一次插头表面镀银，一次插头用梅花型触头。当一次插头闭合稍许偏移时，不</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应增加其接触电阻。</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所有操动机构和辅助开关的接线除有特殊要求外，均采用相同接线，以保证开关柜的小车互</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换性。</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断路器的安装位置便于检修、检查、预防性试验和巡视。</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sectPr>
          <w:footerReference w:type="default" r:id="rId11"/>
          <w:type w:val="nextPage"/>
          <w:pgSz w:w="11906" w:h="16838"/>
          <w:pgMar w:top="1814" w:right="1418" w:bottom="1418" w:left="1814" w:header="851" w:footer="992" w:gutter="0"/>
          <w:pgNumType w:start="6"/>
          <w:cols w:space="425"/>
          <w:titlePg w:val="0"/>
          <w:docGrid w:linePitch="312"/>
        </w:sectPr>
      </w:pPr>
      <w:r>
        <w:rPr>
          <w:rFonts w:asciiTheme="minorEastAsia" w:eastAsiaTheme="minorEastAsia" w:hAnsiTheme="minorEastAsia" w:hint="eastAsia"/>
          <w:sz w:val="21"/>
          <w:szCs w:val="21"/>
          <w:lang w:val="en-US" w:eastAsia="zh-CN"/>
        </w:rPr>
        <w:t>开关柜内的断路器及其操作机构必须安装在牢固的支架上，支架不得因操作力的影响而变形；</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断路器的操作不得影响柜上的仪表、继电器等的正常工作。</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断路器从开关柜中移出时，辅助手车应采用液压升降方式，可以方便断路器落地。如确无</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液压升降方式辅助手车，可推荐使用</w:t>
      </w:r>
      <w:r>
        <w:rPr>
          <w:rFonts w:asciiTheme="minorEastAsia" w:eastAsiaTheme="minorEastAsia" w:hAnsiTheme="minorEastAsia" w:hint="eastAsia"/>
          <w:sz w:val="21"/>
          <w:szCs w:val="21"/>
          <w:lang w:val="en-US" w:eastAsia="zh-CN"/>
        </w:rPr>
        <w:t>方便、易操作、安全可靠、质量上乘的辅助手车。</w:t>
      </w:r>
    </w:p>
    <w:p w:rsidR="002274AC">
      <w:pPr>
        <w:pStyle w:val="ListParagraph"/>
        <w:keepLines/>
        <w:widowControl w:val="0"/>
        <w:numPr>
          <w:ilvl w:val="0"/>
          <w:numId w:val="35"/>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为避免真空泡受外界环境影响，断路器应采用环氧树脂真空浇铸而成，真空泡必须采用原装进口，与断路器同一品牌生产，并提供半年内进口报关单备查。</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电流互感器</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所有电流互感器应保证适合此工程的配电系统，须符合</w:t>
      </w:r>
      <w:r>
        <w:rPr>
          <w:rFonts w:asciiTheme="minorEastAsia" w:eastAsiaTheme="minorEastAsia" w:hAnsiTheme="minorEastAsia" w:cs="Arial" w:hint="eastAsia"/>
          <w:sz w:val="21"/>
          <w:szCs w:val="21"/>
          <w:lang w:val="en-US" w:eastAsia="zh-CN"/>
        </w:rPr>
        <w:t xml:space="preserve"> GB1208</w:t>
      </w:r>
      <w:r>
        <w:rPr>
          <w:rFonts w:asciiTheme="minorEastAsia" w:eastAsiaTheme="minorEastAsia" w:hAnsiTheme="minorEastAsia" w:cs="Arial" w:hint="eastAsia"/>
          <w:sz w:val="21"/>
          <w:szCs w:val="21"/>
          <w:lang w:val="en-US" w:eastAsia="zh-CN"/>
        </w:rPr>
        <w:t>《电流互感器》之规定并设计</w:t>
      </w:r>
      <w:r>
        <w:rPr>
          <w:rFonts w:asciiTheme="minorEastAsia" w:eastAsiaTheme="minorEastAsia" w:hAnsiTheme="minorEastAsia" w:cs="Arial" w:hint="eastAsia"/>
          <w:sz w:val="21"/>
          <w:szCs w:val="21"/>
          <w:lang w:val="en-US" w:eastAsia="zh-CN"/>
        </w:rPr>
        <w:t xml:space="preserve"> 10kV </w:t>
      </w:r>
      <w:r>
        <w:rPr>
          <w:rFonts w:asciiTheme="minorEastAsia" w:eastAsiaTheme="minorEastAsia" w:hAnsiTheme="minorEastAsia" w:cs="Arial" w:hint="eastAsia"/>
          <w:sz w:val="21"/>
          <w:szCs w:val="21"/>
          <w:lang w:val="en-US" w:eastAsia="zh-CN"/>
        </w:rPr>
        <w:t>千伏系统电压下工作。</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电流互感器应适合保护继电器的操作。测试设备，仪表及电流互感器的磁化曲线等资料，要送予工程师及供电局审核。</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电流互感器的输出额定值应能适应其负荷。并有足够的额定值，以保障终端电压准确度和超电流性能，从而保证有关设备正常工作。</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所有电流互感器须为低电抗型、母线式初级绕组、环氧树脂浇注、并能承受与其连接的断路器预期的短路电流。电流互感器二次侧应考虑开路保护。同时还应承受在一次侧带额定电流条件下、二次侧开路一分钟。</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电流互感器的额定输出须满足二次侧负载要求。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次级绕组的各接头须用绝缘导线接至接线端子。接线端子须安装在便于接线与检修的地方。各电流互感器须有标记，标明极性﹑变比﹑精度等级和功率，对多变比的互感器须设有标牌，标明各变比的连接接头。</w:t>
      </w:r>
    </w:p>
    <w:p w:rsidR="002274AC">
      <w:pPr>
        <w:pStyle w:val="ReportLevel3"/>
        <w:keepNext w:val="0"/>
        <w:keepLines/>
        <w:tabs>
          <w:tab w:val="clear" w:pos="1077"/>
          <w:tab w:val="left" w:pos="1080"/>
        </w:tabs>
        <w:spacing w:before="120" w:beforeLines="50" w:after="120" w:afterLines="50"/>
        <w:rPr>
          <w:lang w:val="en-US" w:eastAsia="zh-CN"/>
        </w:rPr>
      </w:pPr>
      <w:r>
        <w:rPr>
          <w:rFonts w:asciiTheme="minorEastAsia" w:eastAsiaTheme="minorEastAsia" w:hAnsiTheme="minorEastAsia" w:cs="Arial" w:hint="eastAsia"/>
          <w:sz w:val="21"/>
          <w:szCs w:val="21"/>
          <w:lang w:val="en-US" w:eastAsia="zh-CN"/>
        </w:rPr>
        <w:t>电流互感器的次级绕组须接地，接地连接须通过可拆除的连接片。</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除在</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特别规格</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或招标图纸上注明外，电流互感器应满足或高于下列要求</w:t>
      </w:r>
      <w:r>
        <w:rPr>
          <w:rFonts w:asciiTheme="minorEastAsia" w:eastAsiaTheme="minorEastAsia" w:hAnsiTheme="minorEastAsia" w:cs="Arial" w:hint="eastAsia"/>
          <w:sz w:val="21"/>
          <w:szCs w:val="21"/>
          <w:lang w:val="en-US" w:eastAsia="zh-CN"/>
        </w:rPr>
        <w:t xml:space="preserve">: </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工作电压：</w:t>
      </w:r>
      <w:r>
        <w:rPr>
          <w:rFonts w:asciiTheme="minorEastAsia" w:eastAsiaTheme="minorEastAsia" w:hAnsiTheme="minorEastAsia" w:hint="eastAsia"/>
          <w:sz w:val="21"/>
          <w:szCs w:val="21"/>
          <w:lang w:val="en-US" w:eastAsia="zh-CN"/>
        </w:rPr>
        <w:t xml:space="preserve"> 10kV </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绝缘等级：</w:t>
      </w:r>
      <w:r>
        <w:rPr>
          <w:rFonts w:asciiTheme="minorEastAsia" w:eastAsiaTheme="minorEastAsia" w:hAnsiTheme="minorEastAsia" w:hint="eastAsia"/>
          <w:sz w:val="21"/>
          <w:szCs w:val="21"/>
          <w:lang w:val="en-US" w:eastAsia="zh-CN"/>
        </w:rPr>
        <w:t xml:space="preserve"> B </w:t>
      </w:r>
      <w:r>
        <w:rPr>
          <w:rFonts w:asciiTheme="minorEastAsia" w:eastAsiaTheme="minorEastAsia" w:hAnsiTheme="minorEastAsia" w:hint="eastAsia"/>
          <w:sz w:val="21"/>
          <w:szCs w:val="21"/>
          <w:lang w:val="en-US" w:eastAsia="zh-CN"/>
        </w:rPr>
        <w:t>级</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额定一分钟工频耐压：</w:t>
      </w:r>
      <w:r>
        <w:rPr>
          <w:rFonts w:asciiTheme="minorEastAsia" w:eastAsiaTheme="minorEastAsia" w:hAnsiTheme="minorEastAsia" w:hint="eastAsia"/>
          <w:sz w:val="21"/>
          <w:szCs w:val="21"/>
          <w:lang w:val="en-US" w:eastAsia="zh-CN"/>
        </w:rPr>
        <w:t xml:space="preserve"> 42kV </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额定雷电脉冲承受电压：</w:t>
      </w:r>
      <w:r>
        <w:rPr>
          <w:rFonts w:asciiTheme="minorEastAsia" w:eastAsiaTheme="minorEastAsia" w:hAnsiTheme="minorEastAsia" w:hint="eastAsia"/>
          <w:sz w:val="21"/>
          <w:szCs w:val="21"/>
          <w:lang w:val="en-US" w:eastAsia="zh-CN"/>
        </w:rPr>
        <w:t xml:space="preserve"> 85kV (</w:t>
      </w:r>
      <w:r>
        <w:rPr>
          <w:rFonts w:asciiTheme="minorEastAsia" w:eastAsiaTheme="minorEastAsia" w:hAnsiTheme="minorEastAsia" w:hint="eastAsia"/>
          <w:sz w:val="21"/>
          <w:szCs w:val="21"/>
          <w:lang w:val="en-US" w:eastAsia="zh-CN"/>
        </w:rPr>
        <w:t>峰值</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额定电流比：参见设计图纸，满足供电方案及审图意见书的要求。</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额定次级电</w:t>
      </w:r>
      <w:r>
        <w:rPr>
          <w:rFonts w:asciiTheme="minorEastAsia" w:eastAsiaTheme="minorEastAsia" w:hAnsiTheme="minorEastAsia" w:hint="eastAsia"/>
          <w:sz w:val="21"/>
          <w:szCs w:val="21"/>
          <w:lang w:val="en-US" w:eastAsia="zh-CN"/>
        </w:rPr>
        <w:t>流：</w:t>
      </w:r>
      <w:r>
        <w:rPr>
          <w:rFonts w:asciiTheme="minorEastAsia" w:eastAsiaTheme="minorEastAsia" w:hAnsiTheme="minorEastAsia" w:hint="eastAsia"/>
          <w:sz w:val="21"/>
          <w:szCs w:val="21"/>
          <w:lang w:val="en-US" w:eastAsia="zh-CN"/>
        </w:rPr>
        <w:t xml:space="preserve"> 5A </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电流互感器测量误差精确度</w:t>
      </w:r>
      <w:r>
        <w:rPr>
          <w:rFonts w:asciiTheme="minorEastAsia" w:eastAsiaTheme="minorEastAsia" w:hAnsiTheme="minorEastAsia" w:hint="eastAsia"/>
          <w:sz w:val="21"/>
          <w:szCs w:val="21"/>
          <w:lang w:val="en-US" w:eastAsia="zh-CN"/>
        </w:rPr>
        <w:t xml:space="preserve"> 0.5 </w:t>
      </w:r>
      <w:r>
        <w:rPr>
          <w:rFonts w:asciiTheme="minorEastAsia" w:eastAsiaTheme="minorEastAsia" w:hAnsiTheme="minorEastAsia" w:hint="eastAsia"/>
          <w:sz w:val="21"/>
          <w:szCs w:val="21"/>
          <w:lang w:val="en-US" w:eastAsia="zh-CN"/>
        </w:rPr>
        <w:t>级</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保护回路电流互感器精确度</w:t>
      </w:r>
      <w:r>
        <w:rPr>
          <w:rFonts w:asciiTheme="minorEastAsia" w:eastAsiaTheme="minorEastAsia" w:hAnsiTheme="minorEastAsia" w:hint="eastAsia"/>
          <w:sz w:val="21"/>
          <w:szCs w:val="21"/>
          <w:lang w:val="en-US" w:eastAsia="zh-CN"/>
        </w:rPr>
        <w:t xml:space="preserve"> 5P </w:t>
      </w:r>
      <w:r>
        <w:rPr>
          <w:rFonts w:asciiTheme="minorEastAsia" w:eastAsiaTheme="minorEastAsia" w:hAnsiTheme="minorEastAsia" w:hint="eastAsia"/>
          <w:sz w:val="21"/>
          <w:szCs w:val="21"/>
          <w:lang w:val="en-US" w:eastAsia="zh-CN"/>
        </w:rPr>
        <w:t>级</w:t>
      </w:r>
    </w:p>
    <w:p w:rsidR="002274AC">
      <w:pPr>
        <w:pStyle w:val="ListParagraph"/>
        <w:keepLines/>
        <w:widowControl w:val="0"/>
        <w:numPr>
          <w:ilvl w:val="0"/>
          <w:numId w:val="36"/>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计量回路电流互感器精确度</w:t>
      </w:r>
      <w:r>
        <w:rPr>
          <w:rFonts w:asciiTheme="minorEastAsia" w:eastAsiaTheme="minorEastAsia" w:hAnsiTheme="minorEastAsia" w:hint="eastAsia"/>
          <w:sz w:val="21"/>
          <w:szCs w:val="21"/>
          <w:lang w:val="en-US" w:eastAsia="zh-CN"/>
        </w:rPr>
        <w:t xml:space="preserve"> 0.2 </w:t>
      </w:r>
      <w:r>
        <w:rPr>
          <w:rFonts w:asciiTheme="minorEastAsia" w:eastAsiaTheme="minorEastAsia" w:hAnsiTheme="minorEastAsia" w:hint="eastAsia"/>
          <w:sz w:val="21"/>
          <w:szCs w:val="21"/>
          <w:lang w:val="en-US" w:eastAsia="zh-CN"/>
        </w:rPr>
        <w:t>级</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电压互感器</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所有电压互感器应适合此项工程的配电系统，电压互感器须</w:t>
      </w:r>
      <w:r>
        <w:rPr>
          <w:rFonts w:asciiTheme="minorEastAsia" w:eastAsiaTheme="minorEastAsia" w:hAnsiTheme="minorEastAsia" w:cs="Arial" w:hint="eastAsia"/>
          <w:sz w:val="21"/>
          <w:szCs w:val="21"/>
          <w:lang w:val="en-US" w:eastAsia="zh-CN"/>
        </w:rPr>
        <w:t xml:space="preserve"> GB1207</w:t>
      </w:r>
      <w:r>
        <w:rPr>
          <w:rFonts w:asciiTheme="minorEastAsia" w:eastAsiaTheme="minorEastAsia" w:hAnsiTheme="minorEastAsia" w:cs="Arial" w:hint="eastAsia"/>
          <w:sz w:val="21"/>
          <w:szCs w:val="21"/>
          <w:lang w:val="en-US" w:eastAsia="zh-CN"/>
        </w:rPr>
        <w:t>《电压互感器》之规定并设计于</w:t>
      </w:r>
      <w:r>
        <w:rPr>
          <w:rFonts w:asciiTheme="minorEastAsia" w:eastAsiaTheme="minorEastAsia" w:hAnsiTheme="minorEastAsia" w:cs="Arial" w:hint="eastAsia"/>
          <w:sz w:val="21"/>
          <w:szCs w:val="21"/>
          <w:lang w:val="en-US" w:eastAsia="zh-CN"/>
        </w:rPr>
        <w:t xml:space="preserve"> 10kv </w:t>
      </w:r>
      <w:r>
        <w:rPr>
          <w:rFonts w:asciiTheme="minorEastAsia" w:eastAsiaTheme="minorEastAsia" w:hAnsiTheme="minorEastAsia" w:cs="Arial" w:hint="eastAsia"/>
          <w:sz w:val="21"/>
          <w:szCs w:val="21"/>
          <w:lang w:val="en-US" w:eastAsia="zh-CN"/>
        </w:rPr>
        <w:t>系统电压下工作。</w:t>
      </w:r>
      <w:r>
        <w:rPr>
          <w:rFonts w:asciiTheme="minorEastAsia" w:eastAsiaTheme="minorEastAsia" w:hAnsiTheme="minorEastAsia" w:cs="Arial" w:hint="eastAsia"/>
          <w:sz w:val="21"/>
          <w:szCs w:val="21"/>
          <w:lang w:val="en-US" w:eastAsia="zh-CN"/>
        </w:rPr>
        <w:t xml:space="preserve"> </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sectPr>
          <w:footerReference w:type="default" r:id="rId12"/>
          <w:type w:val="nextPage"/>
          <w:pgSz w:w="11906" w:h="16838"/>
          <w:pgMar w:top="1814" w:right="1418" w:bottom="1418" w:left="1814" w:header="851" w:footer="992" w:gutter="0"/>
          <w:pgNumType w:start="7"/>
          <w:cols w:space="425"/>
          <w:titlePg w:val="0"/>
          <w:docGrid w:linePitch="312"/>
        </w:sectPr>
      </w:pPr>
      <w:r>
        <w:rPr>
          <w:rFonts w:asciiTheme="minorEastAsia" w:eastAsiaTheme="minorEastAsia" w:hAnsiTheme="minorEastAsia" w:cs="Arial" w:hint="eastAsia"/>
          <w:sz w:val="21"/>
          <w:szCs w:val="21"/>
          <w:lang w:val="en-US" w:eastAsia="zh-CN"/>
        </w:rPr>
        <w:t>电压互感器应适于保护继电器、仪表和测试设备的工作。电压互感器的磁化曲线需送交工程师及供电局审定。</w:t>
      </w:r>
    </w:p>
    <w:p w:rsidR="002274AC">
      <w:pPr>
        <w:pStyle w:val="ReportLevel3"/>
        <w:keepNext w:val="0"/>
        <w:keepLines/>
        <w:tabs>
          <w:tab w:val="clear" w:pos="1077"/>
          <w:tab w:val="left" w:pos="1080"/>
        </w:tabs>
        <w:spacing w:before="120" w:beforeLines="50" w:after="120" w:afterLines="50"/>
        <w:rPr>
          <w:lang w:val="en-US" w:eastAsia="zh-CN"/>
        </w:rPr>
      </w:pPr>
      <w:r>
        <w:rPr>
          <w:rFonts w:asciiTheme="minorEastAsia" w:eastAsiaTheme="minorEastAsia" w:hAnsiTheme="minorEastAsia" w:cs="Arial" w:hint="eastAsia"/>
          <w:sz w:val="21"/>
          <w:szCs w:val="21"/>
          <w:lang w:val="en-US" w:eastAsia="zh-CN"/>
        </w:rPr>
        <w:t>所有电压互感器应是环氧树脂模制型，并能承受额定值</w:t>
      </w:r>
      <w:r>
        <w:rPr>
          <w:rFonts w:asciiTheme="minorEastAsia" w:eastAsiaTheme="minorEastAsia" w:hAnsiTheme="minorEastAsia" w:cs="Arial" w:hint="eastAsia"/>
          <w:sz w:val="21"/>
          <w:szCs w:val="21"/>
          <w:lang w:val="en-US" w:eastAsia="zh-CN"/>
        </w:rPr>
        <w:t xml:space="preserve"> 150%</w:t>
      </w:r>
      <w:r>
        <w:rPr>
          <w:rFonts w:asciiTheme="minorEastAsia" w:eastAsiaTheme="minorEastAsia" w:hAnsiTheme="minorEastAsia" w:cs="Arial" w:hint="eastAsia"/>
          <w:sz w:val="21"/>
          <w:szCs w:val="21"/>
          <w:lang w:val="en-US" w:eastAsia="zh-CN"/>
        </w:rPr>
        <w:t>的负荷，而仍能正常地操作。</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压互感器及其初级绕组熔断器须满足当地供电部门要求，电压互感器及其初级绕组的保护熔断器，应为可抽出式，并配有自动操作的安全开关，放置在独立保护箱内，通过机械显示器，电压互感器的操作位置包括</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工作</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和</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断开</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两位置在开关外部可见。两位置应有联锁装置。熔断器的装置与盖板，应配有机械连锁，使电压互感器处于断开位置时，箱门才可打开。</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次级绕组的所有引出线连接到各二次线路终端接线板。接线板安装在易于维修的地方，所有终端接头应分别标明，指出功能、相位、比率、等级和各互感器的功率。</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次级绕组的每一相端位应接上熔断器，中性</w:t>
      </w:r>
      <w:r>
        <w:rPr>
          <w:rFonts w:asciiTheme="minorEastAsia" w:eastAsiaTheme="minorEastAsia" w:hAnsiTheme="minorEastAsia" w:cs="Arial" w:hint="eastAsia"/>
          <w:sz w:val="21"/>
          <w:szCs w:val="21"/>
          <w:lang w:val="en-US" w:eastAsia="zh-CN"/>
        </w:rPr>
        <w:t>端接到绝缘的连接器上。每根中性线应连接在一点上，其通过连接器接地。连接器可分拆以进行绝缘试验。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测量用电压互感器应按</w:t>
      </w:r>
      <w:r>
        <w:rPr>
          <w:rFonts w:asciiTheme="minorEastAsia" w:eastAsiaTheme="minorEastAsia" w:hAnsiTheme="minorEastAsia" w:cs="Arial" w:hint="eastAsia"/>
          <w:sz w:val="21"/>
          <w:szCs w:val="21"/>
          <w:lang w:val="en-US" w:eastAsia="zh-CN"/>
        </w:rPr>
        <w:t xml:space="preserve"> Y/Y </w:t>
      </w:r>
      <w:r>
        <w:rPr>
          <w:rFonts w:asciiTheme="minorEastAsia" w:eastAsiaTheme="minorEastAsia" w:hAnsiTheme="minorEastAsia" w:cs="Arial" w:hint="eastAsia"/>
          <w:sz w:val="21"/>
          <w:szCs w:val="21"/>
          <w:lang w:val="en-US" w:eastAsia="zh-CN"/>
        </w:rPr>
        <w:t>法接线。用于浮动性中性线继电器的电压互感器按</w:t>
      </w:r>
      <w:r>
        <w:rPr>
          <w:rFonts w:asciiTheme="minorEastAsia" w:eastAsiaTheme="minorEastAsia" w:hAnsiTheme="minorEastAsia" w:cs="Arial" w:hint="eastAsia"/>
          <w:sz w:val="21"/>
          <w:szCs w:val="21"/>
          <w:lang w:val="en-US" w:eastAsia="zh-CN"/>
        </w:rPr>
        <w:t xml:space="preserve"> Y/</w:t>
      </w:r>
      <w:r>
        <w:rPr>
          <w:rFonts w:asciiTheme="minorEastAsia" w:eastAsiaTheme="minorEastAsia" w:hAnsiTheme="minorEastAsia" w:cs="Arial" w:hint="eastAsia"/>
          <w:sz w:val="21"/>
          <w:szCs w:val="21"/>
          <w:lang w:val="en-US" w:eastAsia="zh-CN"/>
        </w:rPr>
        <w:t>△法接线。</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除上述外，电压互感器应满足或高于下列要求</w:t>
      </w:r>
      <w:r>
        <w:rPr>
          <w:rFonts w:asciiTheme="minorEastAsia" w:eastAsiaTheme="minorEastAsia" w:hAnsiTheme="minorEastAsia" w:cs="Arial" w:hint="eastAsia"/>
          <w:sz w:val="21"/>
          <w:szCs w:val="21"/>
          <w:lang w:val="en-US" w:eastAsia="zh-CN"/>
        </w:rPr>
        <w:t xml:space="preserve">: </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工作电压：</w:t>
      </w:r>
      <w:r>
        <w:rPr>
          <w:rFonts w:asciiTheme="minorEastAsia" w:eastAsiaTheme="minorEastAsia" w:hAnsiTheme="minorEastAsia" w:hint="eastAsia"/>
          <w:sz w:val="21"/>
          <w:szCs w:val="21"/>
          <w:lang w:val="en-US" w:eastAsia="zh-CN"/>
        </w:rPr>
        <w:t xml:space="preserve"> 10kV </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绝缘等级：</w:t>
      </w:r>
      <w:r>
        <w:rPr>
          <w:rFonts w:asciiTheme="minorEastAsia" w:eastAsiaTheme="minorEastAsia" w:hAnsiTheme="minorEastAsia" w:hint="eastAsia"/>
          <w:sz w:val="21"/>
          <w:szCs w:val="21"/>
          <w:lang w:val="en-US" w:eastAsia="zh-CN"/>
        </w:rPr>
        <w:t xml:space="preserve"> B </w:t>
      </w:r>
      <w:r>
        <w:rPr>
          <w:rFonts w:asciiTheme="minorEastAsia" w:eastAsiaTheme="minorEastAsia" w:hAnsiTheme="minorEastAsia" w:hint="eastAsia"/>
          <w:sz w:val="21"/>
          <w:szCs w:val="21"/>
          <w:lang w:val="en-US" w:eastAsia="zh-CN"/>
        </w:rPr>
        <w:t>级（不少于）</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额定一分种工频耐压：</w:t>
      </w:r>
      <w:r>
        <w:rPr>
          <w:rFonts w:asciiTheme="minorEastAsia" w:eastAsiaTheme="minorEastAsia" w:hAnsiTheme="minorEastAsia" w:hint="eastAsia"/>
          <w:sz w:val="21"/>
          <w:szCs w:val="21"/>
          <w:lang w:val="en-US" w:eastAsia="zh-CN"/>
        </w:rPr>
        <w:t xml:space="preserve"> 42kV </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额定雷电脉冲耐压</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峰值</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75kV(</w:t>
      </w:r>
      <w:r>
        <w:rPr>
          <w:rFonts w:asciiTheme="minorEastAsia" w:eastAsiaTheme="minorEastAsia" w:hAnsiTheme="minorEastAsia" w:hint="eastAsia"/>
          <w:sz w:val="21"/>
          <w:szCs w:val="21"/>
          <w:lang w:val="en-US" w:eastAsia="zh-CN"/>
        </w:rPr>
        <w:t>峰值</w:t>
      </w:r>
      <w:r>
        <w:rPr>
          <w:rFonts w:asciiTheme="minorEastAsia" w:eastAsiaTheme="minorEastAsia" w:hAnsiTheme="minorEastAsia" w:hint="eastAsia"/>
          <w:sz w:val="21"/>
          <w:szCs w:val="21"/>
          <w:lang w:val="en-US" w:eastAsia="zh-CN"/>
        </w:rPr>
        <w:t xml:space="preserve">) </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电压互感器测量精确度：</w:t>
      </w:r>
      <w:r>
        <w:rPr>
          <w:rFonts w:asciiTheme="minorEastAsia" w:eastAsiaTheme="minorEastAsia" w:hAnsiTheme="minorEastAsia" w:hint="eastAsia"/>
          <w:sz w:val="21"/>
          <w:szCs w:val="21"/>
          <w:lang w:val="en-US" w:eastAsia="zh-CN"/>
        </w:rPr>
        <w:t xml:space="preserve">0.2 </w:t>
      </w:r>
      <w:r>
        <w:rPr>
          <w:rFonts w:asciiTheme="minorEastAsia" w:eastAsiaTheme="minorEastAsia" w:hAnsiTheme="minorEastAsia" w:hint="eastAsia"/>
          <w:sz w:val="21"/>
          <w:szCs w:val="21"/>
          <w:lang w:val="en-US" w:eastAsia="zh-CN"/>
        </w:rPr>
        <w:t>级</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电压互感器测试精确度：</w:t>
      </w:r>
      <w:r>
        <w:rPr>
          <w:rFonts w:asciiTheme="minorEastAsia" w:eastAsiaTheme="minorEastAsia" w:hAnsiTheme="minorEastAsia" w:hint="eastAsia"/>
          <w:sz w:val="21"/>
          <w:szCs w:val="21"/>
          <w:lang w:val="en-US" w:eastAsia="zh-CN"/>
        </w:rPr>
        <w:t xml:space="preserve">0.5 </w:t>
      </w:r>
      <w:r>
        <w:rPr>
          <w:rFonts w:asciiTheme="minorEastAsia" w:eastAsiaTheme="minorEastAsia" w:hAnsiTheme="minorEastAsia" w:hint="eastAsia"/>
          <w:sz w:val="21"/>
          <w:szCs w:val="21"/>
          <w:lang w:val="en-US" w:eastAsia="zh-CN"/>
        </w:rPr>
        <w:t>级</w:t>
      </w:r>
    </w:p>
    <w:p w:rsidR="002274AC">
      <w:pPr>
        <w:pStyle w:val="ListParagraph"/>
        <w:keepLines/>
        <w:widowControl w:val="0"/>
        <w:numPr>
          <w:ilvl w:val="0"/>
          <w:numId w:val="140"/>
        </w:numPr>
        <w:tabs>
          <w:tab w:val="left" w:pos="1701"/>
        </w:tabs>
        <w:autoSpaceDE w:val="0"/>
        <w:autoSpaceDN w:val="0"/>
        <w:spacing w:before="120" w:beforeLines="50" w:after="120" w:afterLines="50"/>
        <w:ind w:left="1701" w:hanging="567"/>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保护电压互感器精确：</w:t>
      </w:r>
      <w:r>
        <w:rPr>
          <w:rFonts w:asciiTheme="minorEastAsia" w:eastAsiaTheme="minorEastAsia" w:hAnsiTheme="minorEastAsia" w:hint="eastAsia"/>
          <w:sz w:val="21"/>
          <w:szCs w:val="21"/>
          <w:lang w:val="en-US" w:eastAsia="zh-CN"/>
        </w:rPr>
        <w:t xml:space="preserve">E </w:t>
      </w:r>
      <w:r>
        <w:rPr>
          <w:rFonts w:asciiTheme="minorEastAsia" w:eastAsiaTheme="minorEastAsia" w:hAnsiTheme="minorEastAsia" w:hint="eastAsia"/>
          <w:sz w:val="21"/>
          <w:szCs w:val="21"/>
          <w:lang w:val="en-US" w:eastAsia="zh-CN"/>
        </w:rPr>
        <w:t>级</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接地开关</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接地开关应为快速接地开关，与操作人员的动作快慢无关，接地设备的容量在接地开关闭合时应能承受额定短时和峰值耐受电流的要求。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接地开关在闭合、断开两个位置均能锁扣，接地与否能在柜前辩别。</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接地开关应具有机械联锁性能，以防止误操作。</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母排</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母排应是刚性、高导电率的电解铜，应符合</w:t>
      </w:r>
      <w:r>
        <w:rPr>
          <w:rFonts w:asciiTheme="minorEastAsia" w:eastAsiaTheme="minorEastAsia" w:hAnsiTheme="minorEastAsia" w:cs="Arial" w:hint="eastAsia"/>
          <w:sz w:val="21"/>
          <w:szCs w:val="21"/>
          <w:lang w:val="en-US" w:eastAsia="zh-CN"/>
        </w:rPr>
        <w:t>GB5585</w:t>
      </w:r>
      <w:r>
        <w:rPr>
          <w:rFonts w:asciiTheme="minorEastAsia" w:eastAsiaTheme="minorEastAsia" w:hAnsiTheme="minorEastAsia" w:cs="Arial" w:hint="eastAsia"/>
          <w:sz w:val="21"/>
          <w:szCs w:val="21"/>
          <w:lang w:val="en-US" w:eastAsia="zh-CN"/>
        </w:rPr>
        <w:t>，接触面镀银。</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母排须用机械方式连接，每根母排的截面在整个长度内应均匀，其截面应能承载连续的负载电流及短路电流。</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母排的接点应确保有效的导电和牢固的连接。</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母排应于出厂前先钻孔，母排的孔应光洁，无毛口，母排的夹紧螺栓应采用高拉伸的不锈钢螺栓。母排不应由功能单元支撑，支持母排的绝缘子或其他材料应具有良好的性能，以适应机械及电气要求。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sectPr>
          <w:footerReference w:type="default" r:id="rId13"/>
          <w:type w:val="nextPage"/>
          <w:pgSz w:w="11906" w:h="16838"/>
          <w:pgMar w:top="1814" w:right="1418" w:bottom="1418" w:left="1814" w:header="851" w:footer="992" w:gutter="0"/>
          <w:pgNumType w:start="8"/>
          <w:cols w:space="425"/>
          <w:titlePg w:val="0"/>
          <w:docGrid w:linePitch="312"/>
        </w:sectPr>
      </w:pPr>
      <w:r>
        <w:rPr>
          <w:rFonts w:asciiTheme="minorEastAsia" w:eastAsiaTheme="minorEastAsia" w:hAnsiTheme="minorEastAsia" w:cs="Arial" w:hint="eastAsia"/>
          <w:sz w:val="21"/>
          <w:szCs w:val="21"/>
          <w:lang w:val="en-US" w:eastAsia="zh-CN"/>
        </w:rPr>
        <w:t>中性母排和接地母排：提供满足系统要求的中性母排和接地母排，上述母排出厂前应先钻孔，便于连接。</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保护设备</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保护继电器须符合国家规范或</w:t>
      </w:r>
      <w:r>
        <w:rPr>
          <w:rFonts w:asciiTheme="minorEastAsia" w:eastAsiaTheme="minorEastAsia" w:hAnsiTheme="minorEastAsia" w:cs="Arial" w:hint="eastAsia"/>
          <w:sz w:val="21"/>
          <w:szCs w:val="21"/>
          <w:lang w:val="en-US" w:eastAsia="zh-CN"/>
        </w:rPr>
        <w:t>IEC60255</w:t>
      </w:r>
      <w:r>
        <w:rPr>
          <w:rFonts w:asciiTheme="minorEastAsia" w:eastAsiaTheme="minorEastAsia" w:hAnsiTheme="minorEastAsia" w:cs="Arial" w:hint="eastAsia"/>
          <w:sz w:val="21"/>
          <w:szCs w:val="21"/>
          <w:lang w:val="en-US" w:eastAsia="zh-CN"/>
        </w:rPr>
        <w:t>规定。保护设备和继电器的设计须能有效地断开故障电路，同时不应影响正常电路。</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须将经过计算后推荐的继电保护整定值提交审批，并须负责同供电部门联系和协调进线断路器之保护整定。</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保护电路的设计须</w:t>
      </w:r>
      <w:r>
        <w:rPr>
          <w:rFonts w:asciiTheme="minorEastAsia" w:eastAsiaTheme="minorEastAsia" w:hAnsiTheme="minorEastAsia" w:cs="Arial" w:hint="eastAsia"/>
          <w:sz w:val="21"/>
          <w:szCs w:val="21"/>
          <w:lang w:val="en-US" w:eastAsia="zh-CN"/>
        </w:rPr>
        <w:t>尽可能减少对直流电源的要求。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继电器须具有防尘外罩，且所有的金属座和框架均须接地。各主要保护继电器须为嵌入式，嵌装在继电器室的前部。须装有空气过滤器，以平衡柜内外压力并防止灰尘进入。放置在内部的辅助继电器须安装在容易检查和接线的地方。</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继电器触头须能闭合和断开所连接电路故障时产生的最大电流。</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接在电流互感器二次回路的继电器须配有短路触头，以使所连接的电流互感器在继电器拉出时短路。</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用于使断路器跳闸的所有继电器须配有动作指示器，以识别故障类型和相别。</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为便于在抽出箱中对主要继电器进行测试，应配备一套测试插头，万能测试部件及足够的插头和引线。还须配备一套维护继电器用的工具。</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指示仪表</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所有指示仪表须符合国家标准及规范。</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所有指示仪表为平装、后接线﹑防尘﹑重荷载﹑开关柜使用类型。</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指示仪表所选的量度适用于所指示的电压和电流。仪表面板设有手动的调零装置。</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所有指示仪表须具有</w:t>
      </w:r>
      <w:r>
        <w:rPr>
          <w:rFonts w:asciiTheme="minorEastAsia" w:eastAsiaTheme="minorEastAsia" w:hAnsiTheme="minorEastAsia" w:cs="Arial" w:hint="eastAsia"/>
          <w:sz w:val="21"/>
          <w:szCs w:val="21"/>
          <w:lang w:val="en-US" w:eastAsia="zh-CN"/>
        </w:rPr>
        <w:t>1.5</w:t>
      </w:r>
      <w:r>
        <w:rPr>
          <w:rFonts w:asciiTheme="minorEastAsia" w:eastAsiaTheme="minorEastAsia" w:hAnsiTheme="minorEastAsia" w:cs="Arial" w:hint="eastAsia"/>
          <w:sz w:val="21"/>
          <w:szCs w:val="21"/>
          <w:lang w:val="en-US" w:eastAsia="zh-CN"/>
        </w:rPr>
        <w:t>级精度，在配电装置可承受的短路和过电压工况下不应损坏。</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指示灯、按钮、选择和控制开关</w:t>
      </w:r>
      <w:r>
        <w:rPr>
          <w:rFonts w:asciiTheme="minorEastAsia" w:eastAsiaTheme="minorEastAsia" w:hAnsiTheme="minorEastAsia" w:cs="Arial" w:hint="eastAsia"/>
          <w:b/>
          <w:bCs/>
          <w:sz w:val="21"/>
          <w:szCs w:val="21"/>
          <w:lang w:val="en-US" w:eastAsia="zh-CN"/>
        </w:rPr>
        <w:t xml:space="preserve"> </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所有指示灯、带灯按钮、选择和控制开关须为金属壳体、镀铬、重荷载并适合配电柜使用。具有良好的绝缘，</w:t>
      </w:r>
      <w:r>
        <w:rPr>
          <w:rFonts w:asciiTheme="minorEastAsia" w:eastAsiaTheme="minorEastAsia" w:hAnsiTheme="minorEastAsia" w:cs="Arial" w:hint="eastAsia"/>
          <w:sz w:val="21"/>
          <w:szCs w:val="21"/>
          <w:lang w:val="en-US" w:eastAsia="zh-CN"/>
        </w:rPr>
        <w:t>符合所规定的电压和电流值，并经过批准。</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灯泡的额定电压须至少高于额定电压</w:t>
      </w:r>
      <w:r>
        <w:rPr>
          <w:rFonts w:asciiTheme="minorEastAsia" w:eastAsiaTheme="minorEastAsia" w:hAnsiTheme="minorEastAsia" w:cs="Arial" w:hint="eastAsia"/>
          <w:sz w:val="21"/>
          <w:szCs w:val="21"/>
          <w:lang w:val="en-US" w:eastAsia="zh-CN"/>
        </w:rPr>
        <w:t>20</w:t>
      </w:r>
      <w:r>
        <w:rPr>
          <w:rFonts w:asciiTheme="minorEastAsia" w:eastAsiaTheme="minorEastAsia" w:hAnsiTheme="minorEastAsia" w:cs="Arial" w:hint="eastAsia"/>
          <w:sz w:val="21"/>
          <w:szCs w:val="21"/>
          <w:lang w:val="en-US" w:eastAsia="zh-CN"/>
        </w:rPr>
        <w:t>％以增加灯泡的寿命。指示灯必须能从前面拆卸并更换灯泡、灯罩而不必使用专用工具。灯罩颜色须符合国家规范之规定。</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电流表需测量三相电流。面板上须刻以黄（</w:t>
      </w:r>
      <w:r>
        <w:rPr>
          <w:rFonts w:asciiTheme="minorEastAsia" w:eastAsiaTheme="minorEastAsia" w:hAnsiTheme="minorEastAsia" w:cs="Arial" w:hint="eastAsia"/>
          <w:sz w:val="21"/>
          <w:szCs w:val="21"/>
          <w:lang w:val="en-US" w:eastAsia="zh-CN"/>
        </w:rPr>
        <w:t>A</w:t>
      </w:r>
      <w:r>
        <w:rPr>
          <w:rFonts w:asciiTheme="minorEastAsia" w:eastAsiaTheme="minorEastAsia" w:hAnsiTheme="minorEastAsia" w:cs="Arial" w:hint="eastAsia"/>
          <w:sz w:val="21"/>
          <w:szCs w:val="21"/>
          <w:lang w:val="en-US" w:eastAsia="zh-CN"/>
        </w:rPr>
        <w:t>）、绿（</w:t>
      </w:r>
      <w:r>
        <w:rPr>
          <w:rFonts w:asciiTheme="minorEastAsia" w:eastAsiaTheme="minorEastAsia" w:hAnsiTheme="minorEastAsia" w:cs="Arial" w:hint="eastAsia"/>
          <w:sz w:val="21"/>
          <w:szCs w:val="21"/>
          <w:lang w:val="en-US" w:eastAsia="zh-CN"/>
        </w:rPr>
        <w:t>B</w:t>
      </w:r>
      <w:r>
        <w:rPr>
          <w:rFonts w:asciiTheme="minorEastAsia" w:eastAsiaTheme="minorEastAsia" w:hAnsiTheme="minorEastAsia" w:cs="Arial" w:hint="eastAsia"/>
          <w:sz w:val="21"/>
          <w:szCs w:val="21"/>
          <w:lang w:val="en-US" w:eastAsia="zh-CN"/>
        </w:rPr>
        <w:t>）、和红（</w:t>
      </w:r>
      <w:r>
        <w:rPr>
          <w:rFonts w:asciiTheme="minorEastAsia" w:eastAsiaTheme="minorEastAsia" w:hAnsiTheme="minorEastAsia" w:cs="Arial" w:hint="eastAsia"/>
          <w:sz w:val="21"/>
          <w:szCs w:val="21"/>
          <w:lang w:val="en-US" w:eastAsia="zh-CN"/>
        </w:rPr>
        <w:t>C</w:t>
      </w:r>
      <w:r>
        <w:rPr>
          <w:rFonts w:asciiTheme="minorEastAsia" w:eastAsiaTheme="minorEastAsia" w:hAnsiTheme="minorEastAsia" w:cs="Arial" w:hint="eastAsia"/>
          <w:sz w:val="21"/>
          <w:szCs w:val="21"/>
          <w:lang w:val="en-US" w:eastAsia="zh-CN"/>
        </w:rPr>
        <w:t>）标志。</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电压表选择开关须为旋转型，带有先断开后接通触点，供测量各线电压。面板上须刻以黄绿（</w:t>
      </w:r>
      <w:r>
        <w:rPr>
          <w:rFonts w:asciiTheme="minorEastAsia" w:eastAsiaTheme="minorEastAsia" w:hAnsiTheme="minorEastAsia" w:cs="Arial" w:hint="eastAsia"/>
          <w:sz w:val="21"/>
          <w:szCs w:val="21"/>
          <w:lang w:val="en-US" w:eastAsia="zh-CN"/>
        </w:rPr>
        <w:t>AB</w:t>
      </w:r>
      <w:r>
        <w:rPr>
          <w:rFonts w:asciiTheme="minorEastAsia" w:eastAsiaTheme="minorEastAsia" w:hAnsiTheme="minorEastAsia" w:cs="Arial" w:hint="eastAsia"/>
          <w:sz w:val="21"/>
          <w:szCs w:val="21"/>
          <w:lang w:val="en-US" w:eastAsia="zh-CN"/>
        </w:rPr>
        <w:t>）、绿红（</w:t>
      </w:r>
      <w:r>
        <w:rPr>
          <w:rFonts w:asciiTheme="minorEastAsia" w:eastAsiaTheme="minorEastAsia" w:hAnsiTheme="minorEastAsia" w:cs="Arial" w:hint="eastAsia"/>
          <w:sz w:val="21"/>
          <w:szCs w:val="21"/>
          <w:lang w:val="en-US" w:eastAsia="zh-CN"/>
        </w:rPr>
        <w:t>BC</w:t>
      </w:r>
      <w:r>
        <w:rPr>
          <w:rFonts w:asciiTheme="minorEastAsia" w:eastAsiaTheme="minorEastAsia" w:hAnsiTheme="minorEastAsia" w:cs="Arial" w:hint="eastAsia"/>
          <w:sz w:val="21"/>
          <w:szCs w:val="21"/>
          <w:lang w:val="en-US" w:eastAsia="zh-CN"/>
        </w:rPr>
        <w:t>）、红黄（</w:t>
      </w:r>
      <w:r>
        <w:rPr>
          <w:rFonts w:asciiTheme="minorEastAsia" w:eastAsiaTheme="minorEastAsia" w:hAnsiTheme="minorEastAsia" w:cs="Arial" w:hint="eastAsia"/>
          <w:sz w:val="21"/>
          <w:szCs w:val="21"/>
          <w:lang w:val="en-US" w:eastAsia="zh-CN"/>
        </w:rPr>
        <w:t>CA</w:t>
      </w:r>
      <w:r>
        <w:rPr>
          <w:rFonts w:asciiTheme="minorEastAsia" w:eastAsiaTheme="minorEastAsia" w:hAnsiTheme="minorEastAsia" w:cs="Arial" w:hint="eastAsia"/>
          <w:sz w:val="21"/>
          <w:szCs w:val="21"/>
          <w:lang w:val="en-US" w:eastAsia="zh-CN"/>
        </w:rPr>
        <w:t>）的线电压标志。</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接线端子</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电力和控制线用的接线端子须为模压制成，导轨卡装以便于每个端子能被单独抽出更换而无需拆下相邻的端子。</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同一编号的电缆须终接于相邻的端子上并在端子板上用连接片连接。用于继电器和仪表回路的端子须装有插销，用以连接测试接线。</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sectPr>
          <w:footerReference w:type="default" r:id="rId14"/>
          <w:type w:val="nextPage"/>
          <w:pgSz w:w="11906" w:h="16838"/>
          <w:pgMar w:top="1814" w:right="1418" w:bottom="1418" w:left="1814" w:header="851" w:footer="992" w:gutter="0"/>
          <w:pgNumType w:start="9"/>
          <w:cols w:space="425"/>
          <w:titlePg w:val="0"/>
          <w:docGrid w:linePitch="312"/>
        </w:sectPr>
      </w:pPr>
      <w:r>
        <w:rPr>
          <w:rFonts w:asciiTheme="minorEastAsia" w:eastAsiaTheme="minorEastAsia" w:hAnsiTheme="minorEastAsia" w:cs="Arial" w:hint="eastAsia"/>
          <w:sz w:val="21"/>
          <w:szCs w:val="21"/>
          <w:lang w:val="en-US" w:eastAsia="zh-CN"/>
        </w:rPr>
        <w:t>接线端子板须按工作电压﹑电力回路和控制回路分组。各组之间须在前面以透明且耐燃的盖板分隔，并设有区分标牌。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不使用螺栓压紧式的接线端子。</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当主电源切断后仍带电的端子须加以屏蔽并作出标记。</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各端子须套以白色套箍以区分回路，并标以结线图上的编号。</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每组接线端子板须有</w:t>
      </w:r>
      <w:r>
        <w:rPr>
          <w:rFonts w:asciiTheme="minorEastAsia" w:eastAsiaTheme="minorEastAsia" w:hAnsiTheme="minorEastAsia" w:cs="Arial" w:hint="eastAsia"/>
          <w:sz w:val="21"/>
          <w:szCs w:val="21"/>
          <w:lang w:val="en-US" w:eastAsia="zh-CN"/>
        </w:rPr>
        <w:t>20%</w:t>
      </w:r>
      <w:r>
        <w:rPr>
          <w:rFonts w:asciiTheme="minorEastAsia" w:eastAsiaTheme="minorEastAsia" w:hAnsiTheme="minorEastAsia" w:cs="Arial" w:hint="eastAsia"/>
          <w:sz w:val="21"/>
          <w:szCs w:val="21"/>
          <w:lang w:val="en-US" w:eastAsia="zh-CN"/>
        </w:rPr>
        <w:t>的备用端子，但不少于两个。</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加热器</w:t>
      </w:r>
      <w:r>
        <w:rPr>
          <w:rFonts w:asciiTheme="minorEastAsia" w:eastAsiaTheme="minorEastAsia" w:hAnsiTheme="minorEastAsia" w:cs="Arial" w:hint="eastAsia"/>
          <w:b/>
          <w:bCs/>
          <w:sz w:val="21"/>
          <w:szCs w:val="21"/>
          <w:lang w:val="en-US" w:eastAsia="zh-CN"/>
        </w:rPr>
        <w:t xml:space="preserve"> </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为防止绝缘件表面在高湿度期间产生凝露，电缆室、断路器室应装有防潮加热器装置。加热器须有蔽屏</w:t>
      </w:r>
      <w:r>
        <w:rPr>
          <w:rFonts w:asciiTheme="minorEastAsia" w:eastAsiaTheme="minorEastAsia" w:hAnsiTheme="minorEastAsia" w:cs="Arial" w:hint="eastAsia"/>
          <w:sz w:val="21"/>
          <w:szCs w:val="21"/>
          <w:lang w:val="en-US" w:eastAsia="zh-CN"/>
        </w:rPr>
        <w:t>，并安装在不会使人员和设备受到损害的地方。</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各个加热器须由单独的熔断器保护并装置开</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关</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hint="eastAsia"/>
          <w:sz w:val="21"/>
          <w:szCs w:val="21"/>
          <w:lang w:val="en-US" w:eastAsia="zh-CN"/>
        </w:rPr>
        <w:t>自动选择开关及指示灯，用作指示加热器已通电使用及设有可调校温度的恒温器。加热器的工作电压为</w:t>
      </w:r>
      <w:r>
        <w:rPr>
          <w:rFonts w:asciiTheme="minorEastAsia" w:eastAsiaTheme="minorEastAsia" w:hAnsiTheme="minorEastAsia" w:cs="Arial" w:hint="eastAsia"/>
          <w:sz w:val="21"/>
          <w:szCs w:val="21"/>
          <w:lang w:val="en-US" w:eastAsia="zh-CN"/>
        </w:rPr>
        <w:t>220</w:t>
      </w:r>
      <w:r>
        <w:rPr>
          <w:rFonts w:asciiTheme="minorEastAsia" w:eastAsiaTheme="minorEastAsia" w:hAnsiTheme="minorEastAsia" w:cs="Arial" w:hint="eastAsia"/>
          <w:sz w:val="21"/>
          <w:szCs w:val="21"/>
          <w:lang w:val="en-US" w:eastAsia="zh-CN"/>
        </w:rPr>
        <w:t>伏、单相、交流，并由外界供电。</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控制线路</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所有内部和控制线路均须为符合国家电缆标准的</w:t>
      </w:r>
      <w:r>
        <w:rPr>
          <w:rFonts w:asciiTheme="minorEastAsia" w:eastAsiaTheme="minorEastAsia" w:hAnsiTheme="minorEastAsia" w:cs="Arial" w:hint="eastAsia"/>
          <w:sz w:val="21"/>
          <w:szCs w:val="21"/>
          <w:lang w:val="en-US" w:eastAsia="zh-CN"/>
        </w:rPr>
        <w:t>600/1000V</w:t>
      </w:r>
      <w:r>
        <w:rPr>
          <w:rFonts w:asciiTheme="minorEastAsia" w:eastAsiaTheme="minorEastAsia" w:hAnsiTheme="minorEastAsia" w:cs="Arial" w:hint="eastAsia"/>
          <w:sz w:val="21"/>
          <w:szCs w:val="21"/>
          <w:lang w:val="en-US" w:eastAsia="zh-CN"/>
        </w:rPr>
        <w:t>低烟无卤阻燃之多芯铜质绝缘导线。</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所有导线须具有适当的截面，电流回路不小于</w:t>
      </w:r>
      <w:r>
        <w:rPr>
          <w:rFonts w:asciiTheme="minorEastAsia" w:eastAsiaTheme="minorEastAsia" w:hAnsiTheme="minorEastAsia" w:cs="Arial" w:hint="eastAsia"/>
          <w:sz w:val="21"/>
          <w:szCs w:val="21"/>
          <w:lang w:val="en-US" w:eastAsia="zh-CN"/>
        </w:rPr>
        <w:t>2.5mm2</w:t>
      </w:r>
      <w:r>
        <w:rPr>
          <w:rFonts w:asciiTheme="minorEastAsia" w:eastAsiaTheme="minorEastAsia" w:hAnsiTheme="minorEastAsia" w:cs="Arial" w:hint="eastAsia"/>
          <w:sz w:val="21"/>
          <w:szCs w:val="21"/>
          <w:lang w:val="en-US" w:eastAsia="zh-CN"/>
        </w:rPr>
        <w:t>，其他则不小于</w:t>
      </w:r>
      <w:r>
        <w:rPr>
          <w:rFonts w:asciiTheme="minorEastAsia" w:eastAsiaTheme="minorEastAsia" w:hAnsiTheme="minorEastAsia" w:cs="Arial" w:hint="eastAsia"/>
          <w:sz w:val="21"/>
          <w:szCs w:val="21"/>
          <w:lang w:val="en-US" w:eastAsia="zh-CN"/>
        </w:rPr>
        <w:t>1.5mm2</w:t>
      </w:r>
      <w:r>
        <w:rPr>
          <w:rFonts w:asciiTheme="minorEastAsia" w:eastAsiaTheme="minorEastAsia" w:hAnsiTheme="minorEastAsia" w:cs="Arial" w:hint="eastAsia"/>
          <w:sz w:val="21"/>
          <w:szCs w:val="21"/>
          <w:lang w:val="en-US" w:eastAsia="zh-CN"/>
        </w:rPr>
        <w:t>，每根导线的两端均须妥善地接驳。</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当导线跨过门铰链时须套在胶软管中并绕成圈，使门可打开以便拆下组件作检查，而不需拆</w:t>
      </w:r>
      <w:r>
        <w:rPr>
          <w:rFonts w:asciiTheme="minorEastAsia" w:eastAsiaTheme="minorEastAsia" w:hAnsiTheme="minorEastAsia" w:cs="Arial" w:hint="eastAsia"/>
          <w:sz w:val="21"/>
          <w:szCs w:val="21"/>
          <w:lang w:val="en-US" w:eastAsia="zh-CN"/>
        </w:rPr>
        <w:t>卸导线或使导线过度弯曲。</w:t>
      </w:r>
    </w:p>
    <w:p w:rsidR="002274AC">
      <w:pPr>
        <w:pStyle w:val="ReportLevel3"/>
        <w:keepNext w:val="0"/>
        <w:keepLines/>
        <w:tabs>
          <w:tab w:val="clear" w:pos="1077"/>
          <w:tab w:val="left" w:pos="1080"/>
        </w:tabs>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所有回路均须有可断开的开关以便于隔离、检查和维修。</w:t>
      </w:r>
    </w:p>
    <w:p w:rsidR="002274AC">
      <w:pPr>
        <w:pStyle w:val="ReportLevel2"/>
        <w:keepLines/>
        <w:spacing w:before="240" w:beforeLines="100" w:after="240" w:afterLines="100"/>
        <w:rPr>
          <w:rFonts w:asciiTheme="minorEastAsia" w:eastAsiaTheme="minorEastAsia" w:hAnsiTheme="minorEastAsia" w:cs="Arial"/>
          <w:b/>
          <w:bCs/>
          <w:sz w:val="21"/>
          <w:szCs w:val="21"/>
          <w:lang w:val="en-US" w:eastAsia="zh-CN"/>
        </w:rPr>
      </w:pPr>
      <w:r>
        <w:rPr>
          <w:rFonts w:asciiTheme="minorEastAsia" w:eastAsiaTheme="minorEastAsia" w:hAnsiTheme="minorEastAsia" w:cs="Arial" w:hint="eastAsia"/>
          <w:b/>
          <w:bCs/>
          <w:sz w:val="21"/>
          <w:szCs w:val="21"/>
          <w:lang w:val="en-US" w:eastAsia="zh-CN"/>
        </w:rPr>
        <w:t>微机综合继电保护装置及自动装置</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应符合国家标准、（电力）行业标准，以及国家电力公司的相关要求。</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继电保护装置应满足可靠性、选择性、灵敏性和速动性的要求，具备保护、测量、监控等功能，符合现行国家标准《民用建筑电气设计标准》</w:t>
      </w:r>
      <w:r>
        <w:rPr>
          <w:rFonts w:asciiTheme="minorEastAsia" w:eastAsiaTheme="minorEastAsia" w:hAnsiTheme="minorEastAsia" w:hint="eastAsia"/>
          <w:sz w:val="21"/>
          <w:szCs w:val="21"/>
          <w:lang w:val="en-US" w:eastAsia="zh-CN"/>
        </w:rPr>
        <w:t>GB 51348-2019</w:t>
      </w:r>
      <w:r>
        <w:rPr>
          <w:rFonts w:asciiTheme="minorEastAsia" w:eastAsiaTheme="minorEastAsia" w:hAnsiTheme="minorEastAsia" w:hint="eastAsia"/>
          <w:sz w:val="21"/>
          <w:szCs w:val="21"/>
          <w:lang w:val="en-US" w:eastAsia="zh-CN"/>
        </w:rPr>
        <w:t>、《电力装置的继电保护和自动装置设计规范》</w:t>
      </w:r>
      <w:r>
        <w:rPr>
          <w:rFonts w:asciiTheme="minorEastAsia" w:eastAsiaTheme="minorEastAsia" w:hAnsiTheme="minorEastAsia" w:hint="eastAsia"/>
          <w:sz w:val="21"/>
          <w:szCs w:val="21"/>
          <w:lang w:val="en-US" w:eastAsia="zh-CN"/>
        </w:rPr>
        <w:t>GB/T 50062</w:t>
      </w:r>
      <w:r>
        <w:rPr>
          <w:rFonts w:asciiTheme="minorEastAsia" w:eastAsiaTheme="minorEastAsia" w:hAnsiTheme="minorEastAsia" w:hint="eastAsia"/>
          <w:sz w:val="21"/>
          <w:szCs w:val="21"/>
          <w:lang w:val="en-US" w:eastAsia="zh-CN"/>
        </w:rPr>
        <w:t>以及《电力装置电测量仪表装置设计规范》</w:t>
      </w:r>
      <w:r>
        <w:rPr>
          <w:rFonts w:asciiTheme="minorEastAsia" w:eastAsiaTheme="minorEastAsia" w:hAnsiTheme="minorEastAsia" w:hint="eastAsia"/>
          <w:sz w:val="21"/>
          <w:szCs w:val="21"/>
          <w:lang w:val="en-US" w:eastAsia="zh-CN"/>
        </w:rPr>
        <w:t>GB/T 50063</w:t>
      </w:r>
      <w:r>
        <w:rPr>
          <w:rFonts w:asciiTheme="minorEastAsia" w:eastAsiaTheme="minorEastAsia" w:hAnsiTheme="minorEastAsia" w:hint="eastAsia"/>
          <w:sz w:val="21"/>
          <w:szCs w:val="21"/>
          <w:lang w:val="en-US" w:eastAsia="zh-CN"/>
        </w:rPr>
        <w:t>等国家规范的相关规定，并应满足深圳供电局的的相关要求。</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综合继电保护装置面板应具有</w:t>
      </w:r>
      <w:r>
        <w:rPr>
          <w:rFonts w:asciiTheme="minorEastAsia" w:eastAsiaTheme="minorEastAsia" w:hAnsiTheme="minorEastAsia" w:hint="eastAsia"/>
          <w:sz w:val="21"/>
          <w:szCs w:val="21"/>
          <w:lang w:val="en-US" w:eastAsia="zh-CN"/>
        </w:rPr>
        <w:t xml:space="preserve"> LCD </w:t>
      </w:r>
      <w:r>
        <w:rPr>
          <w:rFonts w:asciiTheme="minorEastAsia" w:eastAsiaTheme="minorEastAsia" w:hAnsiTheme="minorEastAsia" w:hint="eastAsia"/>
          <w:sz w:val="21"/>
          <w:szCs w:val="21"/>
          <w:lang w:val="en-US" w:eastAsia="zh-CN"/>
        </w:rPr>
        <w:t>显示屏，可方便的在就地通过面板操作查看</w:t>
      </w:r>
      <w:r>
        <w:rPr>
          <w:rFonts w:asciiTheme="minorEastAsia" w:eastAsiaTheme="minorEastAsia" w:hAnsiTheme="minorEastAsia" w:cs="Arial" w:hint="eastAsia"/>
          <w:sz w:val="21"/>
          <w:szCs w:val="21"/>
          <w:lang w:val="en-US" w:eastAsia="zh-CN"/>
        </w:rPr>
        <w:t>三相电流</w:t>
      </w:r>
      <w:r>
        <w:rPr>
          <w:rFonts w:asciiTheme="minorEastAsia" w:eastAsiaTheme="minorEastAsia" w:hAnsiTheme="minorEastAsia" w:hint="eastAsia"/>
          <w:sz w:val="21"/>
          <w:szCs w:val="21"/>
          <w:lang w:val="en-US" w:eastAsia="zh-CN"/>
        </w:rPr>
        <w:t>、三相电压、保护定值等信息，该信息可由用户组态和修改。</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综合继电保护装置可以显示故障类型及分合闸</w:t>
      </w:r>
      <w:r>
        <w:rPr>
          <w:rFonts w:asciiTheme="minorEastAsia" w:eastAsiaTheme="minorEastAsia" w:hAnsiTheme="minorEastAsia"/>
          <w:sz w:val="21"/>
          <w:szCs w:val="21"/>
          <w:lang w:val="en-US" w:eastAsia="zh-CN"/>
        </w:rPr>
        <w:t>运行</w:t>
      </w:r>
      <w:r>
        <w:rPr>
          <w:rFonts w:asciiTheme="minorEastAsia" w:eastAsiaTheme="minorEastAsia" w:hAnsiTheme="minorEastAsia" w:hint="eastAsia"/>
          <w:sz w:val="21"/>
          <w:szCs w:val="21"/>
          <w:lang w:val="en-US" w:eastAsia="zh-CN"/>
        </w:rPr>
        <w:t>状态，保护装置具有高可靠性的</w:t>
      </w:r>
      <w:r>
        <w:rPr>
          <w:rFonts w:asciiTheme="minorEastAsia" w:eastAsiaTheme="minorEastAsia" w:hAnsiTheme="minorEastAsia" w:cs="Arial" w:hint="eastAsia"/>
          <w:sz w:val="21"/>
          <w:szCs w:val="21"/>
          <w:lang w:val="en-US" w:eastAsia="zh-CN"/>
        </w:rPr>
        <w:t>通信接口</w:t>
      </w:r>
      <w:r>
        <w:rPr>
          <w:rFonts w:asciiTheme="minorEastAsia" w:eastAsiaTheme="minorEastAsia" w:hAnsiTheme="minorEastAsia" w:hint="eastAsia"/>
          <w:sz w:val="21"/>
          <w:szCs w:val="21"/>
          <w:lang w:val="en-US" w:eastAsia="zh-CN"/>
        </w:rPr>
        <w:t>，可实现与电力监控系统的通信。</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w:t>
      </w:r>
      <w:r>
        <w:rPr>
          <w:rFonts w:asciiTheme="minorEastAsia" w:eastAsiaTheme="minorEastAsia" w:hAnsiTheme="minorEastAsia" w:cs="Arial" w:hint="eastAsia"/>
          <w:sz w:val="21"/>
          <w:szCs w:val="21"/>
          <w:lang w:val="en-US" w:eastAsia="zh-CN"/>
        </w:rPr>
        <w:t>继电保护装置</w:t>
      </w:r>
      <w:r>
        <w:rPr>
          <w:rFonts w:asciiTheme="minorEastAsia" w:eastAsiaTheme="minorEastAsia" w:hAnsiTheme="minorEastAsia" w:hint="eastAsia"/>
          <w:sz w:val="21"/>
          <w:szCs w:val="21"/>
          <w:lang w:val="en-US" w:eastAsia="zh-CN"/>
        </w:rPr>
        <w:t>具有逻辑编程能力。</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综合继电保护装置中应具有加密功能，具备权限限制。</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综合继电保护装置应具有自检功能，自检范围应足够宽，当保护异常时，应可靠地闭</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锁保护的动作，并发出告警信号。</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断路器</w:t>
      </w:r>
      <w:r>
        <w:rPr>
          <w:rFonts w:asciiTheme="minorEastAsia" w:eastAsiaTheme="minorEastAsia" w:hAnsiTheme="minorEastAsia" w:hint="eastAsia"/>
          <w:sz w:val="21"/>
          <w:szCs w:val="21"/>
          <w:lang w:val="en-US" w:eastAsia="zh-CN"/>
        </w:rPr>
        <w:t>跳（合）闸线圈的出口接点控制回路，必须设有串联自保持的继电器回路，保证跳（合）闸出口继电器的接点不断弧、断路器可靠跳、合。</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保护装置</w:t>
      </w:r>
      <w:r>
        <w:rPr>
          <w:rFonts w:asciiTheme="minorEastAsia" w:eastAsiaTheme="minorEastAsia" w:hAnsiTheme="minorEastAsia" w:hint="eastAsia"/>
          <w:sz w:val="21"/>
          <w:szCs w:val="21"/>
          <w:lang w:val="en-US" w:eastAsia="zh-CN"/>
        </w:rPr>
        <w:t>应采用微机型构成，并应由</w:t>
      </w:r>
      <w:r>
        <w:rPr>
          <w:rFonts w:asciiTheme="minorEastAsia" w:eastAsiaTheme="minorEastAsia" w:hAnsiTheme="minorEastAsia" w:hint="eastAsia"/>
          <w:sz w:val="21"/>
          <w:szCs w:val="21"/>
          <w:lang w:val="en-US" w:eastAsia="zh-CN"/>
        </w:rPr>
        <w:t xml:space="preserve"> CPU </w:t>
      </w:r>
      <w:r>
        <w:rPr>
          <w:rFonts w:asciiTheme="minorEastAsia" w:eastAsiaTheme="minorEastAsia" w:hAnsiTheme="minorEastAsia" w:hint="eastAsia"/>
          <w:sz w:val="21"/>
          <w:szCs w:val="21"/>
          <w:lang w:val="en-US" w:eastAsia="zh-CN"/>
        </w:rPr>
        <w:t>实现保护功能。</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sectPr>
          <w:footerReference w:type="default" r:id="rId15"/>
          <w:type w:val="nextPage"/>
          <w:pgSz w:w="11906" w:h="16838"/>
          <w:pgMar w:top="1814" w:right="1418" w:bottom="1418" w:left="1814" w:header="851" w:footer="992" w:gutter="0"/>
          <w:pgNumType w:start="10"/>
          <w:cols w:space="425"/>
          <w:titlePg w:val="0"/>
          <w:docGrid w:linePitch="312"/>
        </w:sectPr>
      </w:pPr>
      <w:r>
        <w:rPr>
          <w:rFonts w:asciiTheme="minorEastAsia" w:eastAsiaTheme="minorEastAsia" w:hAnsiTheme="minorEastAsia" w:hint="eastAsia"/>
          <w:sz w:val="21"/>
          <w:szCs w:val="21"/>
          <w:lang w:val="en-US" w:eastAsia="zh-CN"/>
        </w:rPr>
        <w:t>综合继电保护装置将测量信号提供给电力监控系统。</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综合继电保护装置测量精度：电压（精度：</w:t>
      </w:r>
      <w:r>
        <w:rPr>
          <w:rFonts w:asciiTheme="minorEastAsia" w:eastAsiaTheme="minorEastAsia" w:hAnsiTheme="minorEastAsia" w:hint="eastAsia"/>
          <w:sz w:val="21"/>
          <w:szCs w:val="21"/>
          <w:lang w:val="en-US" w:eastAsia="zh-CN"/>
        </w:rPr>
        <w:t xml:space="preserve">0.5 </w:t>
      </w:r>
      <w:r>
        <w:rPr>
          <w:rFonts w:asciiTheme="minorEastAsia" w:eastAsiaTheme="minorEastAsia" w:hAnsiTheme="minorEastAsia" w:hint="eastAsia"/>
          <w:sz w:val="21"/>
          <w:szCs w:val="21"/>
          <w:lang w:val="en-US" w:eastAsia="zh-CN"/>
        </w:rPr>
        <w:t>级）、电流（精度：</w:t>
      </w:r>
      <w:r>
        <w:rPr>
          <w:rFonts w:asciiTheme="minorEastAsia" w:eastAsiaTheme="minorEastAsia" w:hAnsiTheme="minorEastAsia" w:hint="eastAsia"/>
          <w:sz w:val="21"/>
          <w:szCs w:val="21"/>
          <w:lang w:val="en-US" w:eastAsia="zh-CN"/>
        </w:rPr>
        <w:t xml:space="preserve">0.5 </w:t>
      </w:r>
      <w:r>
        <w:rPr>
          <w:rFonts w:asciiTheme="minorEastAsia" w:eastAsiaTheme="minorEastAsia" w:hAnsiTheme="minorEastAsia" w:hint="eastAsia"/>
          <w:sz w:val="21"/>
          <w:szCs w:val="21"/>
          <w:lang w:val="en-US" w:eastAsia="zh-CN"/>
        </w:rPr>
        <w:t>级）、</w:t>
      </w:r>
      <w:r>
        <w:rPr>
          <w:rFonts w:asciiTheme="minorEastAsia" w:eastAsiaTheme="minorEastAsia" w:hAnsiTheme="minorEastAsia" w:cs="Arial" w:hint="eastAsia"/>
          <w:sz w:val="21"/>
          <w:szCs w:val="21"/>
          <w:lang w:val="en-US" w:eastAsia="zh-CN"/>
        </w:rPr>
        <w:t>有功功率</w:t>
      </w:r>
      <w:r>
        <w:rPr>
          <w:rFonts w:asciiTheme="minorEastAsia" w:eastAsiaTheme="minorEastAsia" w:hAnsiTheme="minorEastAsia" w:hint="eastAsia"/>
          <w:sz w:val="21"/>
          <w:szCs w:val="21"/>
          <w:lang w:val="en-US" w:eastAsia="zh-CN"/>
        </w:rPr>
        <w:t>（精度：</w:t>
      </w:r>
      <w:r>
        <w:rPr>
          <w:rFonts w:asciiTheme="minorEastAsia" w:eastAsiaTheme="minorEastAsia" w:hAnsiTheme="minorEastAsia" w:hint="eastAsia"/>
          <w:sz w:val="21"/>
          <w:szCs w:val="21"/>
          <w:lang w:val="en-US" w:eastAsia="zh-CN"/>
        </w:rPr>
        <w:t xml:space="preserve">1.0 </w:t>
      </w:r>
      <w:r>
        <w:rPr>
          <w:rFonts w:asciiTheme="minorEastAsia" w:eastAsiaTheme="minorEastAsia" w:hAnsiTheme="minorEastAsia" w:hint="eastAsia"/>
          <w:sz w:val="21"/>
          <w:szCs w:val="21"/>
          <w:lang w:val="en-US" w:eastAsia="zh-CN"/>
        </w:rPr>
        <w:t>级）、无功功率（精度：</w:t>
      </w:r>
      <w:r>
        <w:rPr>
          <w:rFonts w:asciiTheme="minorEastAsia" w:eastAsiaTheme="minorEastAsia" w:hAnsiTheme="minorEastAsia" w:hint="eastAsia"/>
          <w:sz w:val="21"/>
          <w:szCs w:val="21"/>
          <w:lang w:val="en-US" w:eastAsia="zh-CN"/>
        </w:rPr>
        <w:t xml:space="preserve">1.0 </w:t>
      </w:r>
      <w:r>
        <w:rPr>
          <w:rFonts w:asciiTheme="minorEastAsia" w:eastAsiaTheme="minorEastAsia" w:hAnsiTheme="minorEastAsia" w:hint="eastAsia"/>
          <w:sz w:val="21"/>
          <w:szCs w:val="21"/>
          <w:lang w:val="en-US" w:eastAsia="zh-CN"/>
        </w:rPr>
        <w:t>级）、功率因数（精度：</w:t>
      </w:r>
      <w:r>
        <w:rPr>
          <w:rFonts w:asciiTheme="minorEastAsia" w:eastAsiaTheme="minorEastAsia" w:hAnsiTheme="minorEastAsia" w:hint="eastAsia"/>
          <w:sz w:val="21"/>
          <w:szCs w:val="21"/>
          <w:lang w:val="en-US" w:eastAsia="zh-CN"/>
        </w:rPr>
        <w:t>0.01</w:t>
      </w:r>
      <w:r>
        <w:rPr>
          <w:rFonts w:asciiTheme="minorEastAsia" w:eastAsiaTheme="minorEastAsia" w:hAnsiTheme="minorEastAsia" w:hint="eastAsia"/>
          <w:sz w:val="21"/>
          <w:szCs w:val="21"/>
          <w:lang w:val="en-US" w:eastAsia="zh-CN"/>
        </w:rPr>
        <w:t>）、电度（精度：</w:t>
      </w:r>
      <w:r>
        <w:rPr>
          <w:rFonts w:asciiTheme="minorEastAsia" w:eastAsiaTheme="minorEastAsia" w:hAnsiTheme="minorEastAsia" w:hint="eastAsia"/>
          <w:sz w:val="21"/>
          <w:szCs w:val="21"/>
          <w:lang w:val="en-US" w:eastAsia="zh-CN"/>
        </w:rPr>
        <w:t xml:space="preserve">1.0 </w:t>
      </w:r>
      <w:r>
        <w:rPr>
          <w:rFonts w:asciiTheme="minorEastAsia" w:eastAsiaTheme="minorEastAsia" w:hAnsiTheme="minorEastAsia" w:hint="eastAsia"/>
          <w:sz w:val="21"/>
          <w:szCs w:val="21"/>
          <w:lang w:val="en-US" w:eastAsia="zh-CN"/>
        </w:rPr>
        <w:t>级）、频率（精度：</w:t>
      </w:r>
      <w:r>
        <w:rPr>
          <w:rFonts w:asciiTheme="minorEastAsia" w:eastAsiaTheme="minorEastAsia" w:hAnsiTheme="minorEastAsia" w:hint="eastAsia"/>
          <w:sz w:val="21"/>
          <w:szCs w:val="21"/>
          <w:lang w:val="en-US" w:eastAsia="zh-CN"/>
        </w:rPr>
        <w:t xml:space="preserve">0.01 </w:t>
      </w:r>
      <w:r>
        <w:rPr>
          <w:rFonts w:asciiTheme="minorEastAsia" w:eastAsiaTheme="minorEastAsia" w:hAnsiTheme="minorEastAsia" w:hint="eastAsia"/>
          <w:sz w:val="21"/>
          <w:szCs w:val="21"/>
          <w:lang w:val="en-US" w:eastAsia="zh-CN"/>
        </w:rPr>
        <w:t>赫兹）等。</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综合继电保护装置适应的环境温度要求为：</w:t>
      </w:r>
      <w:r>
        <w:rPr>
          <w:rFonts w:asciiTheme="minorEastAsia" w:eastAsiaTheme="minorEastAsia" w:hAnsiTheme="minorEastAsia" w:hint="eastAsia"/>
          <w:sz w:val="21"/>
          <w:szCs w:val="21"/>
          <w:lang w:val="en-US" w:eastAsia="zh-CN"/>
        </w:rPr>
        <w:t>-5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+40</w:t>
      </w:r>
      <w:r>
        <w:rPr>
          <w:rFonts w:asciiTheme="minorEastAsia" w:eastAsiaTheme="minorEastAsia" w:hAnsiTheme="minorEastAsia" w:hint="eastAsia"/>
          <w:sz w:val="21"/>
          <w:szCs w:val="21"/>
          <w:lang w:val="en-US" w:eastAsia="zh-CN"/>
        </w:rPr>
        <w:t>℃。</w:t>
      </w:r>
    </w:p>
    <w:p w:rsidR="002274AC">
      <w:pPr>
        <w:pStyle w:val="ReportLevel3"/>
        <w:keepLines/>
        <w:spacing w:before="120" w:beforeLines="50" w:after="120" w:afterLines="50"/>
        <w:ind w:left="1080" w:hanging="108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系统配置</w:t>
      </w:r>
      <w:r>
        <w:rPr>
          <w:rFonts w:asciiTheme="minorEastAsia" w:eastAsiaTheme="minorEastAsia" w:hAnsiTheme="minorEastAsia" w:hint="eastAsia"/>
          <w:sz w:val="21"/>
          <w:szCs w:val="21"/>
          <w:lang w:val="en-US" w:eastAsia="zh-CN"/>
        </w:rPr>
        <w:t>，应按本规格书及设计图纸的要求，提供</w:t>
      </w:r>
      <w:r>
        <w:rPr>
          <w:rFonts w:asciiTheme="minorEastAsia" w:eastAsiaTheme="minorEastAsia" w:hAnsiTheme="minorEastAsia" w:hint="eastAsia"/>
          <w:sz w:val="21"/>
          <w:szCs w:val="21"/>
          <w:lang w:val="en-US" w:eastAsia="zh-CN"/>
        </w:rPr>
        <w:t xml:space="preserve"> 10kV </w:t>
      </w:r>
      <w:r>
        <w:rPr>
          <w:rFonts w:asciiTheme="minorEastAsia" w:eastAsiaTheme="minorEastAsia" w:hAnsiTheme="minorEastAsia" w:hint="eastAsia"/>
          <w:sz w:val="21"/>
          <w:szCs w:val="21"/>
          <w:lang w:val="en-US" w:eastAsia="zh-CN"/>
        </w:rPr>
        <w:t>线路保护、电压（电</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流）互感器、电压保护、电流保护、电量测量等。数量详见设计图纸。提供继电保护运行</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所必需的所有配件、辅助设备、备品备件、专用工具。保护功能以供电局的审图意见书为准。</w:t>
      </w:r>
    </w:p>
    <w:p w:rsidR="002274AC">
      <w:pPr>
        <w:pStyle w:val="ListParagraph"/>
        <w:keepLines/>
        <w:widowControl w:val="0"/>
        <w:numPr>
          <w:ilvl w:val="0"/>
          <w:numId w:val="141"/>
        </w:numPr>
        <w:tabs>
          <w:tab w:val="left" w:pos="1701"/>
        </w:tabs>
        <w:autoSpaceDE w:val="0"/>
        <w:autoSpaceDN w:val="0"/>
        <w:spacing w:before="120" w:beforeLines="50" w:after="120" w:afterLines="50"/>
        <w:ind w:left="1493" w:hanging="281" w:leftChars="551"/>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10kV </w:t>
      </w:r>
      <w:r>
        <w:rPr>
          <w:rFonts w:asciiTheme="minorEastAsia" w:eastAsiaTheme="minorEastAsia" w:hAnsiTheme="minorEastAsia" w:hint="eastAsia"/>
          <w:sz w:val="21"/>
          <w:szCs w:val="21"/>
          <w:lang w:val="en-US" w:eastAsia="zh-CN"/>
        </w:rPr>
        <w:t>进线柜</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保护功能：过流、速断、零序、欠压保护等；</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测量功能：电流、电压等数据测量、开关状态等；</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监控功能：断路器可远方、就地控制；具有</w:t>
      </w:r>
      <w:r>
        <w:rPr>
          <w:rFonts w:asciiTheme="minorEastAsia" w:eastAsiaTheme="minorEastAsia" w:hAnsiTheme="minorEastAsia" w:hint="eastAsia"/>
          <w:sz w:val="21"/>
          <w:szCs w:val="21"/>
          <w:lang w:val="en-US" w:eastAsia="zh-CN"/>
        </w:rPr>
        <w:t xml:space="preserve"> 10 </w:t>
      </w:r>
      <w:r>
        <w:rPr>
          <w:rFonts w:asciiTheme="minorEastAsia" w:eastAsiaTheme="minorEastAsia" w:hAnsiTheme="minorEastAsia" w:hint="eastAsia"/>
          <w:sz w:val="21"/>
          <w:szCs w:val="21"/>
          <w:lang w:val="en-US" w:eastAsia="zh-CN"/>
        </w:rPr>
        <w:t>个开关量输入，</w:t>
      </w:r>
      <w:r>
        <w:rPr>
          <w:rFonts w:asciiTheme="minorEastAsia" w:eastAsiaTheme="minorEastAsia" w:hAnsiTheme="minorEastAsia" w:hint="eastAsia"/>
          <w:sz w:val="21"/>
          <w:szCs w:val="21"/>
          <w:lang w:val="en-US" w:eastAsia="zh-CN"/>
        </w:rPr>
        <w:t xml:space="preserve">6 </w:t>
      </w:r>
      <w:r>
        <w:rPr>
          <w:rFonts w:asciiTheme="minorEastAsia" w:eastAsiaTheme="minorEastAsia" w:hAnsiTheme="minorEastAsia" w:hint="eastAsia"/>
          <w:sz w:val="21"/>
          <w:szCs w:val="21"/>
          <w:lang w:val="en-US" w:eastAsia="zh-CN"/>
        </w:rPr>
        <w:t>个控制输出；断路器、小车位置、储能机构监视；各种事故，预告信号报警和闭锁功能；断路器动作计数；跳</w:t>
      </w:r>
      <w:r>
        <w:rPr>
          <w:rFonts w:asciiTheme="minorEastAsia" w:eastAsiaTheme="minorEastAsia" w:hAnsiTheme="minorEastAsia" w:hint="eastAsia"/>
          <w:sz w:val="21"/>
          <w:szCs w:val="21"/>
          <w:lang w:val="en-US" w:eastAsia="zh-CN"/>
        </w:rPr>
        <w:t>闸回路监视。</w:t>
      </w:r>
    </w:p>
    <w:p w:rsidR="002274AC">
      <w:pPr>
        <w:pStyle w:val="ListParagraph"/>
        <w:keepLines/>
        <w:widowControl w:val="0"/>
        <w:numPr>
          <w:ilvl w:val="0"/>
          <w:numId w:val="141"/>
        </w:numPr>
        <w:tabs>
          <w:tab w:val="left" w:pos="1701"/>
        </w:tabs>
        <w:autoSpaceDE w:val="0"/>
        <w:autoSpaceDN w:val="0"/>
        <w:spacing w:before="120" w:beforeLines="50" w:after="120" w:afterLines="50"/>
        <w:ind w:left="1493" w:hanging="281" w:leftChars="551"/>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变压器柜馈线柜</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保护功能：过流、速断、零序、温度保护等；</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测量功能：电流等数据测量、开关状态等；</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监控功能：断路器远方、就地控制；具有</w:t>
      </w:r>
      <w:r>
        <w:rPr>
          <w:rFonts w:asciiTheme="minorEastAsia" w:eastAsiaTheme="minorEastAsia" w:hAnsiTheme="minorEastAsia"/>
          <w:sz w:val="21"/>
          <w:szCs w:val="21"/>
          <w:lang w:val="en-US" w:eastAsia="zh-CN"/>
        </w:rPr>
        <w:t>4</w:t>
      </w:r>
      <w:r>
        <w:rPr>
          <w:rFonts w:asciiTheme="minorEastAsia" w:eastAsiaTheme="minorEastAsia" w:hAnsiTheme="minorEastAsia" w:hint="eastAsia"/>
          <w:sz w:val="21"/>
          <w:szCs w:val="21"/>
          <w:lang w:val="en-US" w:eastAsia="zh-CN"/>
        </w:rPr>
        <w:t>个开关量输入，</w:t>
      </w:r>
      <w:r>
        <w:rPr>
          <w:rFonts w:asciiTheme="minorEastAsia" w:eastAsiaTheme="minorEastAsia" w:hAnsiTheme="minorEastAsia"/>
          <w:sz w:val="21"/>
          <w:szCs w:val="21"/>
          <w:lang w:val="en-US" w:eastAsia="zh-CN"/>
        </w:rPr>
        <w:t>6</w:t>
      </w:r>
      <w:r>
        <w:rPr>
          <w:rFonts w:asciiTheme="minorEastAsia" w:eastAsiaTheme="minorEastAsia" w:hAnsiTheme="minorEastAsia" w:hint="eastAsia"/>
          <w:sz w:val="21"/>
          <w:szCs w:val="21"/>
          <w:lang w:val="en-US" w:eastAsia="zh-CN"/>
        </w:rPr>
        <w:t>个控制输出；断路器、小车位置；各种事故，预告信号报警功能。</w:t>
      </w:r>
    </w:p>
    <w:p w:rsidR="002274AC">
      <w:pPr>
        <w:pStyle w:val="ListParagraph"/>
        <w:keepLines/>
        <w:widowControl w:val="0"/>
        <w:numPr>
          <w:ilvl w:val="0"/>
          <w:numId w:val="141"/>
        </w:numPr>
        <w:tabs>
          <w:tab w:val="left" w:pos="1701"/>
        </w:tabs>
        <w:autoSpaceDE w:val="0"/>
        <w:autoSpaceDN w:val="0"/>
        <w:spacing w:before="120" w:beforeLines="50" w:after="120" w:afterLines="50"/>
        <w:ind w:left="1493" w:hanging="281" w:leftChars="551"/>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计量柜</w:t>
      </w:r>
    </w:p>
    <w:p w:rsidR="002274AC">
      <w:pPr>
        <w:pStyle w:val="ListParagraph"/>
        <w:keepLines/>
        <w:widowControl w:val="0"/>
        <w:numPr>
          <w:ilvl w:val="0"/>
          <w:numId w:val="39"/>
        </w:numPr>
        <w:tabs>
          <w:tab w:val="left" w:pos="1701"/>
        </w:tabs>
        <w:autoSpaceDE w:val="0"/>
        <w:autoSpaceDN w:val="0"/>
        <w:spacing w:before="120" w:beforeLines="50" w:after="120" w:afterLines="50"/>
        <w:ind w:left="1960" w:leftChars="7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测量功能：有功功率、无功功率数据等</w:t>
      </w:r>
    </w:p>
    <w:p w:rsidR="002274AC">
      <w:pPr>
        <w:pStyle w:val="ReportLevel3"/>
        <w:keepLines/>
        <w:spacing w:before="120" w:beforeLines="50" w:after="120" w:afterLines="50"/>
        <w:ind w:left="1080" w:hanging="108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保护装置显示与通信。本地显示为中文字母数字显示，具有标准接口（如</w:t>
      </w:r>
      <w:r>
        <w:rPr>
          <w:rFonts w:asciiTheme="minorEastAsia" w:eastAsiaTheme="minorEastAsia" w:hAnsiTheme="minorEastAsia" w:hint="eastAsia"/>
          <w:sz w:val="21"/>
          <w:szCs w:val="21"/>
          <w:lang w:val="en-US" w:eastAsia="zh-CN"/>
        </w:rPr>
        <w:t>RS485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xml:space="preserve">RS232 </w:t>
      </w:r>
      <w:r>
        <w:rPr>
          <w:rFonts w:asciiTheme="minorEastAsia" w:eastAsiaTheme="minorEastAsia" w:hAnsiTheme="minorEastAsia" w:hint="eastAsia"/>
          <w:sz w:val="21"/>
          <w:szCs w:val="21"/>
          <w:lang w:val="en-US" w:eastAsia="zh-CN"/>
        </w:rPr>
        <w:t>等），通过开放的现场总线（支持</w:t>
      </w:r>
      <w:r>
        <w:rPr>
          <w:rFonts w:asciiTheme="minorEastAsia" w:eastAsiaTheme="minorEastAsia" w:hAnsiTheme="minorEastAsia" w:hint="eastAsia"/>
          <w:sz w:val="21"/>
          <w:szCs w:val="21"/>
          <w:lang w:val="en-US" w:eastAsia="zh-CN"/>
        </w:rPr>
        <w:t xml:space="preserve"> MODBUS-RTU</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TCP/IP</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 xml:space="preserve">IEC61850 </w:t>
      </w:r>
      <w:r>
        <w:rPr>
          <w:rFonts w:asciiTheme="minorEastAsia" w:eastAsiaTheme="minorEastAsia" w:hAnsiTheme="minorEastAsia" w:hint="eastAsia"/>
          <w:sz w:val="21"/>
          <w:szCs w:val="21"/>
          <w:lang w:val="en-US" w:eastAsia="zh-CN"/>
        </w:rPr>
        <w:t>等协议），开放接口通讯协议编码表，能够接入电力监控系统。</w:t>
      </w:r>
    </w:p>
    <w:p w:rsidR="002274AC">
      <w:pPr>
        <w:pStyle w:val="ReportLevel3"/>
        <w:keepLines/>
        <w:spacing w:before="120" w:beforeLines="50" w:after="120" w:afterLines="50"/>
        <w:ind w:left="1080" w:hanging="108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技术</w:t>
      </w:r>
      <w:r>
        <w:rPr>
          <w:rFonts w:asciiTheme="minorEastAsia" w:eastAsiaTheme="minorEastAsia" w:hAnsiTheme="minorEastAsia" w:hint="eastAsia"/>
          <w:sz w:val="21"/>
          <w:szCs w:val="21"/>
          <w:lang w:val="en-US" w:eastAsia="zh-CN"/>
        </w:rPr>
        <w:t>要求；</w:t>
      </w:r>
    </w:p>
    <w:p w:rsidR="002274AC">
      <w:pPr>
        <w:pStyle w:val="ListParagraph"/>
        <w:keepLines/>
        <w:widowControl w:val="0"/>
        <w:numPr>
          <w:ilvl w:val="0"/>
          <w:numId w:val="40"/>
        </w:numPr>
        <w:tabs>
          <w:tab w:val="left" w:pos="1701"/>
        </w:tabs>
        <w:autoSpaceDE w:val="0"/>
        <w:autoSpaceDN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保护值的整定</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应能从柜的正面方便而可靠地改变继电保护的设定值。</w:t>
      </w:r>
    </w:p>
    <w:p w:rsidR="002274AC">
      <w:pPr>
        <w:pStyle w:val="ListParagraph"/>
        <w:keepLines/>
        <w:widowControl w:val="0"/>
        <w:numPr>
          <w:ilvl w:val="0"/>
          <w:numId w:val="40"/>
        </w:numPr>
        <w:tabs>
          <w:tab w:val="left" w:pos="1701"/>
        </w:tabs>
        <w:autoSpaceDE w:val="0"/>
        <w:autoSpaceDN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暂态电流的影响</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保护装置不应受输电线路的分布电容、谐波电流、变压器涌流的影响而发生误动。</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直流电源的影响</w:t>
      </w:r>
      <w:r>
        <w:rPr>
          <w:rFonts w:asciiTheme="minorEastAsia" w:eastAsiaTheme="minorEastAsia" w:hAnsiTheme="minorEastAsia" w:hint="eastAsia"/>
          <w:sz w:val="21"/>
          <w:szCs w:val="21"/>
          <w:lang w:val="en-US" w:eastAsia="zh-CN"/>
        </w:rPr>
        <w:t xml:space="preserve">:110V </w:t>
      </w:r>
      <w:r>
        <w:rPr>
          <w:rFonts w:asciiTheme="minorEastAsia" w:eastAsiaTheme="minorEastAsia" w:hAnsiTheme="minorEastAsia" w:hint="eastAsia"/>
          <w:sz w:val="21"/>
          <w:szCs w:val="21"/>
          <w:lang w:val="en-US" w:eastAsia="zh-CN"/>
        </w:rPr>
        <w:t>直流电压、其电压变化范围在</w:t>
      </w:r>
      <w:r>
        <w:rPr>
          <w:rFonts w:asciiTheme="minorEastAsia" w:eastAsiaTheme="minorEastAsia" w:hAnsiTheme="minorEastAsia" w:hint="eastAsia"/>
          <w:sz w:val="21"/>
          <w:szCs w:val="21"/>
          <w:lang w:val="en-US" w:eastAsia="zh-CN"/>
        </w:rPr>
        <w:t xml:space="preserve"> 80</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115</w:t>
      </w:r>
      <w:r>
        <w:rPr>
          <w:rFonts w:asciiTheme="minorEastAsia" w:eastAsiaTheme="minorEastAsia" w:hAnsiTheme="minorEastAsia" w:hint="eastAsia"/>
          <w:sz w:val="21"/>
          <w:szCs w:val="21"/>
          <w:lang w:val="en-US" w:eastAsia="zh-CN"/>
        </w:rPr>
        <w:t>％时，保护装置应能正确动作。当直流电源，包括直流—直流变换器在投入或切除时，保护不应有不正确动作；在</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直流电源切换期间或直流回路</w:t>
      </w:r>
      <w:r>
        <w:rPr>
          <w:rFonts w:asciiTheme="minorEastAsia" w:eastAsiaTheme="minorEastAsia" w:hAnsiTheme="minorEastAsia" w:cs="Arial" w:hint="eastAsia"/>
          <w:sz w:val="21"/>
          <w:szCs w:val="21"/>
          <w:lang w:val="en-US" w:eastAsia="zh-CN"/>
        </w:rPr>
        <w:t>断线</w:t>
      </w:r>
      <w:r>
        <w:rPr>
          <w:rFonts w:asciiTheme="minorEastAsia" w:eastAsiaTheme="minorEastAsia" w:hAnsiTheme="minorEastAsia" w:hint="eastAsia"/>
          <w:sz w:val="21"/>
          <w:szCs w:val="21"/>
          <w:lang w:val="en-US" w:eastAsia="zh-CN"/>
        </w:rPr>
        <w:t>或接地故障期间（分布电容</w:t>
      </w:r>
      <w:r>
        <w:rPr>
          <w:rFonts w:asciiTheme="minorEastAsia" w:eastAsiaTheme="minorEastAsia" w:hAnsiTheme="minorEastAsia" w:hint="eastAsia"/>
          <w:sz w:val="21"/>
          <w:szCs w:val="21"/>
          <w:lang w:val="en-US" w:eastAsia="zh-CN"/>
        </w:rPr>
        <w:t xml:space="preserve"> 0.5</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1</w:t>
      </w:r>
      <w:r>
        <w:rPr>
          <w:rFonts w:asciiTheme="minorEastAsia" w:eastAsiaTheme="minorEastAsia" w:hAnsiTheme="minorEastAsia" w:hint="eastAsia"/>
          <w:sz w:val="21"/>
          <w:szCs w:val="21"/>
          <w:lang w:val="en-US" w:eastAsia="zh-CN"/>
        </w:rPr>
        <w:t>μ</w:t>
      </w:r>
      <w:r>
        <w:rPr>
          <w:rFonts w:asciiTheme="minorEastAsia" w:eastAsiaTheme="minorEastAsia" w:hAnsiTheme="minorEastAsia" w:hint="eastAsia"/>
          <w:sz w:val="21"/>
          <w:szCs w:val="21"/>
          <w:lang w:val="en-US" w:eastAsia="zh-CN"/>
        </w:rPr>
        <w:t>F</w:t>
      </w:r>
      <w:r>
        <w:rPr>
          <w:rFonts w:asciiTheme="minorEastAsia" w:eastAsiaTheme="minorEastAsia" w:hAnsiTheme="minorEastAsia" w:hint="eastAsia"/>
          <w:sz w:val="21"/>
          <w:szCs w:val="21"/>
          <w:lang w:val="en-US" w:eastAsia="zh-CN"/>
        </w:rPr>
        <w:t>），保护不应误动作。</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元件</w:t>
      </w:r>
      <w:r>
        <w:rPr>
          <w:rFonts w:asciiTheme="minorEastAsia" w:eastAsiaTheme="minorEastAsia" w:hAnsiTheme="minorEastAsia" w:hint="eastAsia"/>
          <w:sz w:val="21"/>
          <w:szCs w:val="21"/>
          <w:lang w:val="en-US" w:eastAsia="zh-CN"/>
        </w:rPr>
        <w:t>质量</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应保证保护装置的元件和部件质量，装置中任一元件损坏时，在正常运行期间，</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val="en-US" w:eastAsia="zh-CN"/>
        </w:rPr>
        <w:t>装置不应发生误跳闸。</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设备之间的信号传送</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各保护装置之间，保护装置设备之间的联系应由继电器的无压接点（或光耦合）来连接，出口继电器接点的绝缘强度试验为交流</w:t>
      </w:r>
      <w:r>
        <w:rPr>
          <w:rFonts w:asciiTheme="minorEastAsia" w:eastAsiaTheme="minorEastAsia" w:hAnsiTheme="minorEastAsia" w:hint="eastAsia"/>
          <w:sz w:val="21"/>
          <w:szCs w:val="21"/>
          <w:lang w:val="en-US" w:eastAsia="zh-CN"/>
        </w:rPr>
        <w:t>2000V</w:t>
      </w:r>
      <w:r>
        <w:rPr>
          <w:rFonts w:asciiTheme="minorEastAsia" w:eastAsiaTheme="minorEastAsia" w:hAnsiTheme="minorEastAsia" w:hint="eastAsia"/>
          <w:sz w:val="21"/>
          <w:szCs w:val="21"/>
          <w:lang w:val="en-US" w:eastAsia="zh-CN"/>
        </w:rPr>
        <w:t>，历时</w:t>
      </w:r>
      <w:r>
        <w:rPr>
          <w:rFonts w:asciiTheme="minorEastAsia" w:eastAsiaTheme="minorEastAsia" w:hAnsiTheme="minorEastAsia" w:hint="eastAsia"/>
          <w:sz w:val="21"/>
          <w:szCs w:val="21"/>
          <w:lang w:val="en-US" w:eastAsia="zh-CN"/>
        </w:rPr>
        <w:t xml:space="preserve"> 1min. </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sectPr>
          <w:footerReference w:type="default" r:id="rId16"/>
          <w:type w:val="nextPage"/>
          <w:pgSz w:w="11906" w:h="16838"/>
          <w:pgMar w:top="1814" w:right="1418" w:bottom="1418" w:left="1814" w:header="851" w:footer="992" w:gutter="0"/>
          <w:pgNumType w:start="11"/>
          <w:cols w:space="425"/>
          <w:titlePg w:val="0"/>
          <w:docGrid w:linePitch="312"/>
        </w:sectPr>
      </w:pPr>
      <w:r>
        <w:rPr>
          <w:rFonts w:asciiTheme="minorEastAsia" w:eastAsiaTheme="minorEastAsia" w:hAnsiTheme="minorEastAsia" w:hint="eastAsia"/>
          <w:sz w:val="21"/>
          <w:szCs w:val="21"/>
          <w:lang w:val="en-US" w:eastAsia="zh-CN"/>
        </w:rPr>
        <w:t>跳闸显示</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如果保护动作使短路器跳闸，则使断路器跳闸的保护动作信号显示出来，并应自保持，直到手动复归。</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连续监视与自检和自复位功能</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装置的主要电路应经常监视，回路不正常时，应能</w:t>
      </w:r>
      <w:r>
        <w:rPr>
          <w:rFonts w:asciiTheme="minorEastAsia" w:eastAsiaTheme="minorEastAsia" w:hAnsiTheme="minorEastAsia" w:cs="Arial" w:hint="eastAsia"/>
          <w:sz w:val="21"/>
          <w:szCs w:val="21"/>
          <w:lang w:val="en-US" w:eastAsia="zh-CN"/>
        </w:rPr>
        <w:t>发出</w:t>
      </w:r>
      <w:r>
        <w:rPr>
          <w:rFonts w:asciiTheme="minorEastAsia" w:eastAsiaTheme="minorEastAsia" w:hAnsiTheme="minorEastAsia" w:hint="eastAsia"/>
          <w:sz w:val="21"/>
          <w:szCs w:val="21"/>
          <w:lang w:val="en-US" w:eastAsia="zh-CN"/>
        </w:rPr>
        <w:t>告警信号；装置应具有自检功能。</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抗干扰</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在干扰作用下，装置不应误动和拒动，装置的干扰试验和冲击试验应符合</w:t>
      </w:r>
      <w:r>
        <w:rPr>
          <w:rFonts w:asciiTheme="minorEastAsia" w:eastAsiaTheme="minorEastAsia" w:hAnsiTheme="minorEastAsia" w:hint="eastAsia"/>
          <w:sz w:val="21"/>
          <w:szCs w:val="21"/>
          <w:lang w:val="en-US" w:eastAsia="zh-CN"/>
        </w:rPr>
        <w:t xml:space="preserve"> IEC </w:t>
      </w:r>
      <w:r>
        <w:rPr>
          <w:rFonts w:asciiTheme="minorEastAsia" w:eastAsiaTheme="minorEastAsia" w:hAnsiTheme="minorEastAsia" w:hint="eastAsia"/>
          <w:sz w:val="21"/>
          <w:szCs w:val="21"/>
          <w:lang w:val="en-US" w:eastAsia="zh-CN"/>
        </w:rPr>
        <w:t>标准。</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cs="Arial" w:hint="eastAsia"/>
          <w:sz w:val="21"/>
          <w:szCs w:val="21"/>
          <w:lang w:val="en-US" w:eastAsia="zh-CN"/>
        </w:rPr>
        <w:t>各种</w:t>
      </w:r>
      <w:r>
        <w:rPr>
          <w:rFonts w:asciiTheme="minorEastAsia" w:eastAsiaTheme="minorEastAsia" w:hAnsiTheme="minorEastAsia" w:hint="eastAsia"/>
          <w:sz w:val="21"/>
          <w:szCs w:val="21"/>
          <w:lang w:val="en-US" w:eastAsia="zh-CN"/>
        </w:rPr>
        <w:t>保护功能动作及装置异常</w:t>
      </w:r>
      <w:r>
        <w:rPr>
          <w:rFonts w:asciiTheme="minorEastAsia" w:eastAsiaTheme="minorEastAsia" w:hAnsiTheme="minorEastAsia" w:hint="eastAsia"/>
          <w:sz w:val="21"/>
          <w:szCs w:val="21"/>
          <w:lang w:val="en-US" w:eastAsia="zh-CN"/>
        </w:rPr>
        <w:t>、直流电源消失、保护起动等情况应设监视回路，并应有信号节点输出。</w:t>
      </w:r>
    </w:p>
    <w:p w:rsidR="002274AC">
      <w:pPr>
        <w:pStyle w:val="ReportLevel3"/>
        <w:keepNext w:val="0"/>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保护功能要求。线路在空载、轻载、满载条件下，在保护范围内发生金属或</w:t>
      </w:r>
      <w:r>
        <w:rPr>
          <w:rFonts w:asciiTheme="minorEastAsia" w:eastAsiaTheme="minorEastAsia" w:hAnsiTheme="minorEastAsia" w:cs="Arial" w:hint="eastAsia"/>
          <w:sz w:val="21"/>
          <w:szCs w:val="21"/>
          <w:lang w:val="en-US" w:eastAsia="zh-CN"/>
        </w:rPr>
        <w:t>非金属性</w:t>
      </w:r>
      <w:r>
        <w:rPr>
          <w:rFonts w:asciiTheme="minorEastAsia" w:eastAsiaTheme="minorEastAsia" w:hAnsiTheme="minorEastAsia" w:hint="eastAsia"/>
          <w:sz w:val="21"/>
          <w:szCs w:val="21"/>
          <w:lang w:val="en-US" w:eastAsia="zh-CN"/>
        </w:rPr>
        <w:t>的各种故障时，保护应能正确动作。</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避雷器</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避雷器须符合并按</w:t>
      </w:r>
      <w:r>
        <w:rPr>
          <w:rFonts w:asciiTheme="minorEastAsia" w:eastAsiaTheme="minorEastAsia" w:hAnsiTheme="minorEastAsia" w:cs="Arial"/>
          <w:sz w:val="21"/>
          <w:szCs w:val="21"/>
          <w:lang w:val="en-US" w:eastAsia="zh-CN"/>
        </w:rPr>
        <w:t>IEC61643</w:t>
      </w:r>
      <w:r>
        <w:rPr>
          <w:rFonts w:asciiTheme="minorEastAsia" w:eastAsiaTheme="minorEastAsia" w:hAnsiTheme="minorEastAsia" w:cs="Arial"/>
          <w:sz w:val="21"/>
          <w:szCs w:val="21"/>
          <w:lang w:val="en-US" w:eastAsia="zh-CN"/>
        </w:rPr>
        <w:t>之规定进行定型试验和符合下列要求﹕</w:t>
      </w:r>
    </w:p>
    <w:tbl>
      <w:tblPr>
        <w:tblStyle w:val="TableNormal"/>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5"/>
        <w:gridCol w:w="3711"/>
      </w:tblGrid>
      <w:tr>
        <w:tblPrEx>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blHeader/>
        </w:trPr>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类型</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氧化锌无间隙型</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额定电压</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5.0~21.2kV</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最大持续工作电压</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4~17kV</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额定放电电流</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峰值</w:t>
            </w:r>
            <w:r>
              <w:rPr>
                <w:rFonts w:asciiTheme="minorEastAsia" w:eastAsiaTheme="minorEastAsia" w:hAnsiTheme="minorEastAsia" w:cs="Arial"/>
                <w:sz w:val="21"/>
                <w:szCs w:val="21"/>
                <w:lang w:val="en-US" w:eastAsia="zh-CN"/>
              </w:rPr>
              <w:t>)</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10kA</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冲击电流</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峰值</w:t>
            </w:r>
            <w:r>
              <w:rPr>
                <w:rFonts w:asciiTheme="minorEastAsia" w:eastAsiaTheme="minorEastAsia" w:hAnsiTheme="minorEastAsia" w:cs="Arial"/>
                <w:sz w:val="21"/>
                <w:szCs w:val="21"/>
                <w:lang w:val="en-US" w:eastAsia="zh-CN"/>
              </w:rPr>
              <w:t>)</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TW"/>
              </w:rPr>
            </w:pPr>
            <w:r>
              <w:rPr>
                <w:rFonts w:asciiTheme="minorEastAsia" w:eastAsiaTheme="minorEastAsia" w:hAnsiTheme="minorEastAsia" w:cs="Arial"/>
                <w:sz w:val="21"/>
                <w:szCs w:val="21"/>
                <w:lang w:val="en-US" w:eastAsia="zh-CN"/>
              </w:rPr>
              <w:t>100kA</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TW"/>
              </w:rPr>
            </w:pPr>
            <w:r>
              <w:rPr>
                <w:rFonts w:asciiTheme="minorEastAsia" w:eastAsiaTheme="minorEastAsia" w:hAnsiTheme="minorEastAsia" w:cs="Arial"/>
                <w:sz w:val="21"/>
                <w:szCs w:val="21"/>
                <w:lang w:val="en-US" w:eastAsia="zh-CN"/>
              </w:rPr>
              <w:t>长用波</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峰值</w:t>
            </w:r>
            <w:r>
              <w:rPr>
                <w:rFonts w:asciiTheme="minorEastAsia" w:eastAsiaTheme="minorEastAsia" w:hAnsiTheme="minorEastAsia" w:cs="Arial"/>
                <w:sz w:val="21"/>
                <w:szCs w:val="21"/>
                <w:lang w:val="en-US" w:eastAsia="zh-CN"/>
              </w:rPr>
              <w:t>)</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TW"/>
              </w:rPr>
            </w:pPr>
            <w:r>
              <w:rPr>
                <w:rFonts w:asciiTheme="minorEastAsia" w:eastAsiaTheme="minorEastAsia" w:hAnsiTheme="minorEastAsia" w:cs="Arial"/>
                <w:sz w:val="21"/>
                <w:szCs w:val="21"/>
                <w:lang w:val="en-US" w:eastAsia="zh-CN"/>
              </w:rPr>
              <w:t>400A</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200µS</w:t>
            </w:r>
          </w:p>
        </w:tc>
      </w:tr>
      <w:tr>
        <w:tblPrEx>
          <w:tblW w:w="0" w:type="auto"/>
          <w:tblInd w:w="1188" w:type="dxa"/>
          <w:tblLook w:val="04A0"/>
        </w:tblPrEx>
        <w:tc>
          <w:tcPr>
            <w:tcW w:w="4050"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TW"/>
              </w:rPr>
            </w:pPr>
            <w:r>
              <w:rPr>
                <w:rFonts w:asciiTheme="minorEastAsia" w:eastAsiaTheme="minorEastAsia" w:hAnsiTheme="minorEastAsia" w:cs="Arial"/>
                <w:sz w:val="21"/>
                <w:szCs w:val="21"/>
                <w:lang w:val="en-US" w:eastAsia="zh-CN"/>
              </w:rPr>
              <w:t>热容量</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TW"/>
              </w:rPr>
            </w:pPr>
            <w:r>
              <w:rPr>
                <w:rFonts w:asciiTheme="minorEastAsia" w:eastAsiaTheme="minorEastAsia" w:hAnsiTheme="minorEastAsia" w:cs="Arial"/>
                <w:sz w:val="21"/>
                <w:szCs w:val="21"/>
                <w:lang w:val="en-US" w:eastAsia="zh-CN"/>
              </w:rPr>
              <w:t>3.5kJ/kV Uc</w:t>
            </w:r>
          </w:p>
        </w:tc>
      </w:tr>
      <w:tr>
        <w:tblPrEx>
          <w:tblW w:w="0" w:type="auto"/>
          <w:tblInd w:w="1188" w:type="dxa"/>
          <w:tblLook w:val="04A0"/>
        </w:tblPrEx>
        <w:tc>
          <w:tcPr>
            <w:tcW w:w="4050" w:type="dxa"/>
          </w:tcPr>
          <w:p w:rsidR="002274AC">
            <w:pPr>
              <w:pStyle w:val="ReportText"/>
              <w:keepLines/>
              <w:tabs>
                <w:tab w:val="left" w:pos="91"/>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不同冲击波形下残压值</w:t>
            </w:r>
            <w:r>
              <w:rPr>
                <w:rFonts w:asciiTheme="minorEastAsia" w:eastAsiaTheme="minorEastAsia" w:hAnsiTheme="minorEastAsia" w:cs="Arial"/>
                <w:sz w:val="21"/>
                <w:szCs w:val="21"/>
                <w:lang w:val="en-US" w:eastAsia="zh-CN"/>
              </w:rPr>
              <w:t>(1/3µS</w:t>
            </w:r>
            <w:r>
              <w:rPr>
                <w:rFonts w:asciiTheme="minorEastAsia" w:eastAsiaTheme="minorEastAsia" w:hAnsiTheme="minorEastAsia" w:cs="Arial"/>
                <w:sz w:val="21"/>
                <w:szCs w:val="21"/>
                <w:lang w:val="en-US" w:eastAsia="zh-CN"/>
              </w:rPr>
              <w:tab/>
              <w:t>8/20µS</w:t>
            </w:r>
            <w:r>
              <w:rPr>
                <w:rFonts w:asciiTheme="minorEastAsia" w:eastAsiaTheme="minorEastAsia" w:hAnsiTheme="minorEastAsia" w:cs="Arial"/>
                <w:sz w:val="21"/>
                <w:szCs w:val="21"/>
                <w:lang w:val="en-US" w:eastAsia="zh-CN"/>
              </w:rPr>
              <w:tab/>
              <w:t>30/60µS)</w:t>
            </w:r>
          </w:p>
        </w:tc>
        <w:tc>
          <w:tcPr>
            <w:tcW w:w="4007" w:type="dxa"/>
          </w:tcPr>
          <w:p w:rsidR="002274AC">
            <w:pPr>
              <w:pStyle w:val="ReportText"/>
              <w:keepLines/>
              <w:tabs>
                <w:tab w:val="left" w:pos="1620"/>
              </w:tabs>
              <w:spacing w:after="120" w:afterLines="50"/>
              <w:ind w:left="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符合</w:t>
            </w:r>
            <w:r>
              <w:rPr>
                <w:rFonts w:asciiTheme="minorEastAsia" w:eastAsiaTheme="minorEastAsia" w:hAnsiTheme="minorEastAsia" w:cs="Arial"/>
                <w:sz w:val="21"/>
                <w:szCs w:val="21"/>
                <w:lang w:val="en-US" w:eastAsia="zh-CN"/>
              </w:rPr>
              <w:t>IEC</w:t>
            </w:r>
            <w:r>
              <w:rPr>
                <w:rFonts w:asciiTheme="minorEastAsia" w:eastAsiaTheme="minorEastAsia" w:hAnsiTheme="minorEastAsia" w:cs="Arial"/>
                <w:sz w:val="21"/>
                <w:szCs w:val="21"/>
                <w:lang w:val="en-US" w:eastAsia="zh-CN"/>
              </w:rPr>
              <w:t>相应规范要求</w:t>
            </w:r>
          </w:p>
        </w:tc>
      </w:tr>
    </w:tbl>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避雷器须具有优良非线性特性，当施加连续工作电压时，其泄漏电流小于</w:t>
      </w:r>
      <w:r>
        <w:rPr>
          <w:rFonts w:asciiTheme="minorEastAsia" w:eastAsiaTheme="minorEastAsia" w:hAnsiTheme="minorEastAsia" w:cs="Arial"/>
          <w:sz w:val="21"/>
          <w:szCs w:val="21"/>
          <w:lang w:val="en-US" w:eastAsia="zh-CN"/>
        </w:rPr>
        <w:t>1mA</w:t>
      </w:r>
      <w:r>
        <w:rPr>
          <w:rFonts w:asciiTheme="minorEastAsia" w:eastAsiaTheme="minorEastAsia" w:hAnsiTheme="minorEastAsia" w:cs="Arial"/>
          <w:sz w:val="21"/>
          <w:szCs w:val="21"/>
          <w:lang w:val="en-US" w:eastAsia="zh-CN"/>
        </w:rPr>
        <w:t>，当过电压出现时瞬间立即呈导电状态。</w:t>
      </w:r>
    </w:p>
    <w:p w:rsidR="002274AC">
      <w:pPr>
        <w:pStyle w:val="ReportLevel3"/>
        <w:keepNext w:val="0"/>
        <w:keepLines/>
        <w:tabs>
          <w:tab w:val="clear" w:pos="1077"/>
          <w:tab w:val="left" w:pos="1080"/>
        </w:tabs>
        <w:spacing w:before="120" w:beforeLines="50" w:after="120" w:afterLines="50"/>
        <w:rPr>
          <w:lang w:val="en-US" w:eastAsia="zh-CN"/>
        </w:rPr>
      </w:pPr>
      <w:r>
        <w:rPr>
          <w:rFonts w:asciiTheme="minorEastAsia" w:eastAsiaTheme="minorEastAsia" w:hAnsiTheme="minorEastAsia" w:cs="Arial"/>
          <w:sz w:val="21"/>
          <w:szCs w:val="21"/>
          <w:lang w:val="en-US" w:eastAsia="zh-CN"/>
        </w:rPr>
        <w:t>避雷器须采用达到抗老化，参数稳定、免维护的一次硅橡胶封装工艺。</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所有自愈式避雷器须具有动作计数功能</w:t>
      </w:r>
      <w:r>
        <w:rPr>
          <w:rFonts w:asciiTheme="minorEastAsia" w:eastAsiaTheme="minorEastAsia" w:hAnsiTheme="minorEastAsia" w:cs="Arial" w:hint="eastAsia"/>
          <w:sz w:val="21"/>
          <w:szCs w:val="21"/>
          <w:lang w:val="en-US" w:eastAsia="zh-CN"/>
        </w:rPr>
        <w:t>。</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val="zh-CN" w:eastAsia="zh-CN"/>
        </w:rPr>
        <w:t>接地</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所有外露的不带电金属部分和非电气装置之金属部分应按经批准的方式连接于接地母排。此接地母排应沿配电柜全长敷设，并以螺栓连接至每台配电柜之主框架上。所有连接处须镀锡。</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接地母排之规格须能承载设备所能承受之短路电流及持续之时间。</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具体的接地系统及施工方法须于施工前报批。</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在配电柜前后沿配电柜全长铺设宽</w:t>
      </w:r>
      <w:r>
        <w:rPr>
          <w:rFonts w:asciiTheme="minorEastAsia" w:eastAsiaTheme="minorEastAsia" w:hAnsiTheme="minorEastAsia" w:cs="Arial"/>
          <w:sz w:val="21"/>
          <w:szCs w:val="21"/>
          <w:lang w:val="en-US" w:eastAsia="zh-CN"/>
        </w:rPr>
        <w:t>1m</w:t>
      </w:r>
      <w:r>
        <w:rPr>
          <w:rFonts w:asciiTheme="minorEastAsia" w:eastAsiaTheme="minorEastAsia" w:hAnsiTheme="minorEastAsia" w:cs="Arial"/>
          <w:sz w:val="21"/>
          <w:szCs w:val="21"/>
          <w:lang w:val="en-US" w:eastAsia="zh-CN"/>
        </w:rPr>
        <w:t>且具有适当绝缘水平的橡胶垫，橡胶垫须符合有关国家标准。</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试验设施</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sectPr>
          <w:footerReference w:type="default" r:id="rId17"/>
          <w:type w:val="nextPage"/>
          <w:pgSz w:w="11906" w:h="16838"/>
          <w:pgMar w:top="1814" w:right="1418" w:bottom="1418" w:left="1814" w:header="851" w:footer="992" w:gutter="0"/>
          <w:pgNumType w:start="12"/>
          <w:cols w:space="425"/>
          <w:titlePg w:val="0"/>
          <w:docGrid w:linePitch="312"/>
        </w:sectPr>
      </w:pPr>
      <w:r>
        <w:rPr>
          <w:rFonts w:asciiTheme="minorEastAsia" w:eastAsiaTheme="minorEastAsia" w:hAnsiTheme="minorEastAsia" w:cs="Arial"/>
          <w:sz w:val="21"/>
          <w:szCs w:val="21"/>
          <w:lang w:eastAsia="zh-CN"/>
        </w:rPr>
        <w:t>所有断路器均须配置可进行高压测试的设施。</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配置可使辅助回路暂时接通的设施，以使断路器抽出和处于隔离位置时能对断路器进行功能试验。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在装有电流互感器和保护继电器处须配置可进行一次和二次电流测试的设施，而不需拆下和解开任何连接。</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须配置三台便携式真空检验仪用以按制造厂商所建议之真空度检验</w:t>
      </w:r>
      <w:r>
        <w:rPr>
          <w:rFonts w:asciiTheme="minorEastAsia" w:eastAsiaTheme="minorEastAsia" w:hAnsiTheme="minorEastAsia" w:cs="Arial"/>
          <w:sz w:val="21"/>
          <w:szCs w:val="21"/>
          <w:lang w:val="en-US" w:eastAsia="zh-CN"/>
        </w:rPr>
        <w:t>VCB</w:t>
      </w:r>
      <w:r>
        <w:rPr>
          <w:rFonts w:asciiTheme="minorEastAsia" w:eastAsiaTheme="minorEastAsia" w:hAnsiTheme="minorEastAsia" w:cs="Arial"/>
          <w:sz w:val="21"/>
          <w:szCs w:val="21"/>
          <w:lang w:val="en-US" w:eastAsia="zh-CN"/>
        </w:rPr>
        <w:t>之真空度。当此设备加于</w:t>
      </w:r>
      <w:r>
        <w:rPr>
          <w:rFonts w:asciiTheme="minorEastAsia" w:eastAsiaTheme="minorEastAsia" w:hAnsiTheme="minorEastAsia" w:cs="Arial"/>
          <w:sz w:val="21"/>
          <w:szCs w:val="21"/>
          <w:lang w:val="en-US" w:eastAsia="zh-CN"/>
        </w:rPr>
        <w:t>VCB</w:t>
      </w:r>
      <w:r>
        <w:rPr>
          <w:rFonts w:asciiTheme="minorEastAsia" w:eastAsiaTheme="minorEastAsia" w:hAnsiTheme="minorEastAsia" w:cs="Arial"/>
          <w:sz w:val="21"/>
          <w:szCs w:val="21"/>
          <w:lang w:val="en-US" w:eastAsia="zh-CN"/>
        </w:rPr>
        <w:t>之两极上，将产生高电压。如真空度不足时会造成放电。真空检验仪之输入电压须为</w:t>
      </w:r>
      <w:r>
        <w:rPr>
          <w:rFonts w:asciiTheme="minorEastAsia" w:eastAsiaTheme="minorEastAsia" w:hAnsiTheme="minorEastAsia" w:cs="Arial"/>
          <w:sz w:val="21"/>
          <w:szCs w:val="21"/>
          <w:lang w:val="en-US" w:eastAsia="zh-CN"/>
        </w:rPr>
        <w:t>220</w:t>
      </w:r>
      <w:r>
        <w:rPr>
          <w:rFonts w:asciiTheme="minorEastAsia" w:eastAsiaTheme="minorEastAsia" w:hAnsiTheme="minorEastAsia" w:cs="Arial"/>
          <w:sz w:val="21"/>
          <w:szCs w:val="21"/>
          <w:lang w:val="en-US" w:eastAsia="zh-CN"/>
        </w:rPr>
        <w:t>伏，交流。须按制造厂商之建议附带高压软线及所有附件。</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挂锁钥匙存放箱</w:t>
      </w:r>
    </w:p>
    <w:p w:rsidR="002274AC">
      <w:pPr>
        <w:pStyle w:val="ReportLevel3"/>
        <w:keepNext w:val="0"/>
        <w:keepLines/>
        <w:numPr>
          <w:ilvl w:val="0"/>
          <w:numId w:val="0"/>
        </w:numPr>
        <w:spacing w:before="120" w:beforeLines="50" w:after="120" w:afterLines="50"/>
        <w:ind w:left="1077"/>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在高压配电室内应配置一个带门锁及事故时可击碎玻璃以进入之坚固箱体。其中放置全配电室联锁钥匙及联锁钥匙使用图表。</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hint="eastAsia"/>
          <w:b/>
          <w:bCs/>
          <w:sz w:val="21"/>
          <w:szCs w:val="21"/>
          <w:lang w:eastAsia="zh-CN"/>
        </w:rPr>
        <w:t>铭牌和标牌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对每面屏上装设于屏内、外的每件仪表，继电器和控制设备均需有标牌以表明其用途。标牌上的字义必须清楚和准确，如可能须连同该装置的编号。</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所有熔断器及开关上需有标牌以表明其额定电流值。</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在屏后需有红底白字以中文</w:t>
      </w:r>
      <w:r>
        <w:rPr>
          <w:rFonts w:asciiTheme="minorEastAsia" w:eastAsiaTheme="minorEastAsia" w:hAnsiTheme="minorEastAsia" w:cs="Arial" w:hint="eastAsia"/>
          <w:sz w:val="21"/>
          <w:szCs w:val="21"/>
          <w:lang w:eastAsia="zh-CN"/>
        </w:rPr>
        <w:t>表明“危险–</w:t>
      </w:r>
      <w:r>
        <w:rPr>
          <w:rFonts w:asciiTheme="minorEastAsia" w:eastAsiaTheme="minorEastAsia" w:hAnsiTheme="minorEastAsia" w:cs="Arial" w:hint="eastAsia"/>
          <w:sz w:val="21"/>
          <w:szCs w:val="21"/>
          <w:lang w:eastAsia="zh-CN"/>
        </w:rPr>
        <w:t xml:space="preserve">10 </w:t>
      </w:r>
      <w:r>
        <w:rPr>
          <w:rFonts w:asciiTheme="minorEastAsia" w:eastAsiaTheme="minorEastAsia" w:hAnsiTheme="minorEastAsia" w:cs="Arial" w:hint="eastAsia"/>
          <w:sz w:val="21"/>
          <w:szCs w:val="21"/>
          <w:lang w:eastAsia="zh-CN"/>
        </w:rPr>
        <w:t>千伏高压电力”的警告牌。</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在主要设备自主回路上断开后仍可能带电的直流控制回路接线端子上需有警告牌。以减少意外接触的危险。</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b/>
          <w:caps/>
          <w:sz w:val="21"/>
          <w:szCs w:val="21"/>
          <w:lang w:eastAsia="zh-CN"/>
        </w:rPr>
      </w:pPr>
      <w:r>
        <w:rPr>
          <w:rFonts w:asciiTheme="minorEastAsia" w:eastAsiaTheme="minorEastAsia" w:hAnsiTheme="minorEastAsia" w:cs="Arial" w:hint="eastAsia"/>
          <w:sz w:val="21"/>
          <w:szCs w:val="21"/>
          <w:lang w:eastAsia="zh-CN"/>
        </w:rPr>
        <w:t>在高压配电屏显见的位置上装设铭牌。铭牌须为全属制并刻或印以制造商名，序号和生产日期。</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hint="eastAsia"/>
          <w:b/>
          <w:bCs/>
          <w:sz w:val="21"/>
          <w:szCs w:val="21"/>
          <w:lang w:eastAsia="zh-CN"/>
        </w:rPr>
        <w:t>金属电线管及其配件</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明敷的金属电线管必须是热浸镀锌钢导管，有螺纹。所有金属电线管必须符合有关</w:t>
      </w:r>
      <w:r>
        <w:rPr>
          <w:rFonts w:asciiTheme="minorEastAsia" w:eastAsiaTheme="minorEastAsia" w:hAnsiTheme="minorEastAsia" w:cs="Arial" w:hint="eastAsia"/>
          <w:sz w:val="21"/>
          <w:szCs w:val="21"/>
          <w:lang w:eastAsia="zh-CN"/>
        </w:rPr>
        <w:t xml:space="preserve"> GB/T13381.1-1992</w:t>
      </w:r>
      <w:r>
        <w:rPr>
          <w:rFonts w:asciiTheme="minorEastAsia" w:eastAsiaTheme="minorEastAsia" w:hAnsiTheme="minorEastAsia" w:cs="Arial" w:hint="eastAsia"/>
          <w:sz w:val="21"/>
          <w:szCs w:val="21"/>
          <w:lang w:eastAsia="zh-CN"/>
        </w:rPr>
        <w:t>《电气安装用导管的技术要求</w:t>
      </w:r>
      <w:r>
        <w:rPr>
          <w:rFonts w:asciiTheme="minorEastAsia" w:eastAsiaTheme="minorEastAsia" w:hAnsiTheme="minorEastAsia" w:cs="Arial" w:hint="eastAsia"/>
          <w:sz w:val="21"/>
          <w:szCs w:val="21"/>
          <w:lang w:eastAsia="zh-CN"/>
        </w:rPr>
        <w:t xml:space="preserve"> </w:t>
      </w:r>
      <w:r>
        <w:rPr>
          <w:rFonts w:asciiTheme="minorEastAsia" w:eastAsiaTheme="minorEastAsia" w:hAnsiTheme="minorEastAsia" w:cs="Arial" w:hint="eastAsia"/>
          <w:sz w:val="21"/>
          <w:szCs w:val="21"/>
          <w:lang w:eastAsia="zh-CN"/>
        </w:rPr>
        <w:t>第一部分：通要求》及</w:t>
      </w:r>
      <w:r>
        <w:rPr>
          <w:rFonts w:asciiTheme="minorEastAsia" w:eastAsiaTheme="minorEastAsia" w:hAnsiTheme="minorEastAsia" w:cs="Arial" w:hint="eastAsia"/>
          <w:sz w:val="21"/>
          <w:szCs w:val="21"/>
          <w:lang w:eastAsia="zh-CN"/>
        </w:rPr>
        <w:t xml:space="preserve"> GB/T14823.1-1993</w:t>
      </w:r>
      <w:r>
        <w:rPr>
          <w:rFonts w:asciiTheme="minorEastAsia" w:eastAsiaTheme="minorEastAsia" w:hAnsiTheme="minorEastAsia" w:cs="Arial" w:hint="eastAsia"/>
          <w:sz w:val="21"/>
          <w:szCs w:val="21"/>
          <w:lang w:eastAsia="zh-CN"/>
        </w:rPr>
        <w:t>《电气安装用导管的技术要求</w:t>
      </w:r>
      <w:r>
        <w:rPr>
          <w:rFonts w:asciiTheme="minorEastAsia" w:eastAsiaTheme="minorEastAsia" w:hAnsiTheme="minorEastAsia" w:cs="Arial" w:hint="eastAsia"/>
          <w:sz w:val="21"/>
          <w:szCs w:val="21"/>
          <w:lang w:eastAsia="zh-CN"/>
        </w:rPr>
        <w:t xml:space="preserve"> </w:t>
      </w:r>
      <w:r>
        <w:rPr>
          <w:rFonts w:asciiTheme="minorEastAsia" w:eastAsiaTheme="minorEastAsia" w:hAnsiTheme="minorEastAsia" w:cs="Arial" w:hint="eastAsia"/>
          <w:sz w:val="21"/>
          <w:szCs w:val="21"/>
          <w:lang w:eastAsia="zh-CN"/>
        </w:rPr>
        <w:t>第一部分：金属导管》之要求。暗敷的金属电线管必须是热浸镀锌焊接钢导管，并符合有关</w:t>
      </w:r>
      <w:r>
        <w:rPr>
          <w:rFonts w:asciiTheme="minorEastAsia" w:eastAsiaTheme="minorEastAsia" w:hAnsiTheme="minorEastAsia" w:cs="Arial" w:hint="eastAsia"/>
          <w:sz w:val="21"/>
          <w:szCs w:val="21"/>
          <w:lang w:eastAsia="zh-CN"/>
        </w:rPr>
        <w:t xml:space="preserve"> GB/T3092-1993</w:t>
      </w:r>
      <w:r>
        <w:rPr>
          <w:rFonts w:asciiTheme="minorEastAsia" w:eastAsiaTheme="minorEastAsia" w:hAnsiTheme="minorEastAsia" w:cs="Arial" w:hint="eastAsia"/>
          <w:sz w:val="21"/>
          <w:szCs w:val="21"/>
          <w:lang w:eastAsia="zh-CN"/>
        </w:rPr>
        <w:t>《低压流体输送用焊接钢管》及</w:t>
      </w:r>
      <w:r>
        <w:rPr>
          <w:rFonts w:asciiTheme="minorEastAsia" w:eastAsiaTheme="minorEastAsia" w:hAnsiTheme="minorEastAsia" w:cs="Arial" w:hint="eastAsia"/>
          <w:sz w:val="21"/>
          <w:szCs w:val="21"/>
          <w:lang w:eastAsia="zh-CN"/>
        </w:rPr>
        <w:t xml:space="preserve"> GB/T13793-1992</w:t>
      </w:r>
      <w:r>
        <w:rPr>
          <w:rFonts w:asciiTheme="minorEastAsia" w:eastAsiaTheme="minorEastAsia" w:hAnsiTheme="minorEastAsia" w:cs="Arial" w:hint="eastAsia"/>
          <w:sz w:val="21"/>
          <w:szCs w:val="21"/>
          <w:lang w:eastAsia="zh-CN"/>
        </w:rPr>
        <w:t>《直缝电焊钢管》之要求。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所有金属电线管之配件必须符合有关</w:t>
      </w:r>
      <w:r>
        <w:rPr>
          <w:rFonts w:asciiTheme="minorEastAsia" w:eastAsiaTheme="minorEastAsia" w:hAnsiTheme="minorEastAsia" w:cs="Arial" w:hint="eastAsia"/>
          <w:sz w:val="21"/>
          <w:szCs w:val="21"/>
          <w:lang w:eastAsia="zh-CN"/>
        </w:rPr>
        <w:t xml:space="preserve"> GB/T16316-1996</w:t>
      </w:r>
      <w:r>
        <w:rPr>
          <w:rFonts w:asciiTheme="minorEastAsia" w:eastAsiaTheme="minorEastAsia" w:hAnsiTheme="minorEastAsia" w:cs="Arial" w:hint="eastAsia"/>
          <w:sz w:val="21"/>
          <w:szCs w:val="21"/>
          <w:lang w:eastAsia="zh-CN"/>
        </w:rPr>
        <w:t>《电气安装用导管配件的技术要求－通用要求》之要求。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圆形电线管盒须为锻铁制，具有长内螺纹管口，供连接</w:t>
      </w:r>
      <w:r>
        <w:rPr>
          <w:rFonts w:asciiTheme="minorEastAsia" w:eastAsiaTheme="minorEastAsia" w:hAnsiTheme="minorEastAsia" w:cs="Arial" w:hint="eastAsia"/>
          <w:sz w:val="21"/>
          <w:szCs w:val="21"/>
          <w:lang w:eastAsia="zh-CN"/>
        </w:rPr>
        <w:t xml:space="preserve"> 20mm </w:t>
      </w:r>
      <w:r>
        <w:rPr>
          <w:rFonts w:asciiTheme="minorEastAsia" w:eastAsiaTheme="minorEastAsia" w:hAnsiTheme="minorEastAsia" w:cs="Arial" w:hint="eastAsia"/>
          <w:sz w:val="21"/>
          <w:szCs w:val="21"/>
          <w:lang w:eastAsia="zh-CN"/>
        </w:rPr>
        <w:t>及</w:t>
      </w:r>
      <w:r>
        <w:rPr>
          <w:rFonts w:asciiTheme="minorEastAsia" w:eastAsiaTheme="minorEastAsia" w:hAnsiTheme="minorEastAsia" w:cs="Arial" w:hint="eastAsia"/>
          <w:sz w:val="21"/>
          <w:szCs w:val="21"/>
          <w:lang w:eastAsia="zh-CN"/>
        </w:rPr>
        <w:t xml:space="preserve"> 25mm </w:t>
      </w:r>
      <w:r>
        <w:rPr>
          <w:rFonts w:asciiTheme="minorEastAsia" w:eastAsiaTheme="minorEastAsia" w:hAnsiTheme="minorEastAsia" w:cs="Arial" w:hint="eastAsia"/>
          <w:sz w:val="21"/>
          <w:szCs w:val="21"/>
          <w:lang w:eastAsia="zh-CN"/>
        </w:rPr>
        <w:t>电线管之接口。对埋入结构内暗藏系统须使用深型盒而对明装系统则须采用浅型盒。电线管盒内须有一只固定于底部的黄铜接地端子。</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分线盒须为方形的铸铁盒，深度不小于</w:t>
      </w:r>
      <w:r>
        <w:rPr>
          <w:rFonts w:asciiTheme="minorEastAsia" w:eastAsiaTheme="minorEastAsia" w:hAnsiTheme="minorEastAsia" w:cs="Arial" w:hint="eastAsia"/>
          <w:sz w:val="21"/>
          <w:szCs w:val="21"/>
          <w:lang w:eastAsia="zh-CN"/>
        </w:rPr>
        <w:t xml:space="preserve"> 50mm</w:t>
      </w:r>
      <w:r>
        <w:rPr>
          <w:rFonts w:asciiTheme="minorEastAsia" w:eastAsiaTheme="minorEastAsia" w:hAnsiTheme="minorEastAsia" w:cs="Arial" w:hint="eastAsia"/>
          <w:sz w:val="21"/>
          <w:szCs w:val="21"/>
          <w:lang w:eastAsia="zh-CN"/>
        </w:rPr>
        <w:t>，其大小尺寸须能使穿于电线管内最大尺寸的电线得以拉入而不致使电线过度弯曲。盒盖须与盒体为同样等级以黄铜螺栓固定。分线盒须按电线管直径之要求钻孔。</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固定电线管之鞍形夹须由锻铁制，专为明装固定电线管而设计，使之距表面约</w:t>
      </w:r>
      <w:r>
        <w:rPr>
          <w:rFonts w:asciiTheme="minorEastAsia" w:eastAsiaTheme="minorEastAsia" w:hAnsiTheme="minorEastAsia" w:cs="Arial" w:hint="eastAsia"/>
          <w:sz w:val="21"/>
          <w:szCs w:val="21"/>
          <w:lang w:eastAsia="zh-CN"/>
        </w:rPr>
        <w:t xml:space="preserve"> 10mm</w:t>
      </w:r>
      <w:r>
        <w:rPr>
          <w:rFonts w:asciiTheme="minorEastAsia" w:eastAsiaTheme="minorEastAsia" w:hAnsiTheme="minorEastAsia" w:cs="Arial" w:hint="eastAsia"/>
          <w:sz w:val="21"/>
          <w:szCs w:val="21"/>
          <w:lang w:eastAsia="zh-CN"/>
        </w:rPr>
        <w:t>。</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对明装电线管须按规定使用明装的出线盒。</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sectPr>
          <w:footerReference w:type="default" r:id="rId18"/>
          <w:type w:val="nextPage"/>
          <w:pgSz w:w="11906" w:h="16838"/>
          <w:pgMar w:top="1814" w:right="1418" w:bottom="1418" w:left="1814" w:header="851" w:footer="992" w:gutter="0"/>
          <w:pgNumType w:start="13"/>
          <w:cols w:space="425"/>
          <w:titlePg w:val="0"/>
          <w:docGrid w:linePitch="312"/>
        </w:sectPr>
      </w:pPr>
      <w:r>
        <w:rPr>
          <w:rFonts w:asciiTheme="minorEastAsia" w:eastAsiaTheme="minorEastAsia" w:hAnsiTheme="minorEastAsia" w:cs="Arial" w:hint="eastAsia"/>
          <w:sz w:val="21"/>
          <w:szCs w:val="21"/>
          <w:lang w:eastAsia="zh-CN"/>
        </w:rPr>
        <w:t>电线管与分线盒，出线盒及开关装置之连接须用联接管箍和六角公螺纹套筒。</w:t>
      </w:r>
    </w:p>
    <w:p>
      <w:pPr>
        <w:sectPr>
          <w:footerReference w:type="default" r:id="rId19"/>
          <w:type w:val="nextPage"/>
          <w:pgSz w:w="11906" w:h="16838"/>
          <w:pgMar w:top="1814" w:right="1418" w:bottom="1418" w:left="1814" w:header="851" w:footer="992" w:gutter="0"/>
          <w:pgNumType w:start="14"/>
          <w:cols w:space="425"/>
          <w:titlePg w:val="0"/>
          <w:docGrid w:linePitch="312"/>
        </w:sectPr>
      </w:pPr>
    </w:p>
    <w:p w:rsidR="002274AC">
      <w:pPr>
        <w:pStyle w:val="ReportLevel1"/>
        <w:keepLines/>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21" w:name="_Toc20521"/>
      <w:bookmarkStart w:id="22" w:name="_Toc116305058"/>
      <w:bookmarkStart w:id="23" w:name="_Toc11573"/>
      <w:r>
        <w:rPr>
          <w:rFonts w:asciiTheme="minorEastAsia" w:eastAsiaTheme="minorEastAsia" w:hAnsiTheme="minorEastAsia" w:cs="Arial"/>
          <w:sz w:val="21"/>
          <w:szCs w:val="21"/>
          <w:lang w:eastAsia="zh-CN"/>
        </w:rPr>
        <w:t>高压电缆</w:t>
      </w:r>
      <w:bookmarkEnd w:id="19"/>
      <w:bookmarkEnd w:id="20"/>
      <w:bookmarkEnd w:id="21"/>
      <w:bookmarkEnd w:id="22"/>
      <w:bookmarkEnd w:id="23"/>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一般要求</w:t>
      </w:r>
    </w:p>
    <w:p w:rsidR="002274AC">
      <w:pPr>
        <w:pStyle w:val="ReportLevel3"/>
        <w:keepLines/>
        <w:numPr>
          <w:ilvl w:val="0"/>
          <w:numId w:val="0"/>
        </w:numPr>
        <w:spacing w:before="120" w:beforeLines="50" w:after="120" w:afterLines="50"/>
        <w:ind w:left="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应根据设计说明与按照图纸规定的路线进行高压电缆工程，投标价格应包括提供所有电缆封盖、电缆托架、吊架、夹具、</w:t>
      </w:r>
      <w:r>
        <w:rPr>
          <w:rFonts w:asciiTheme="minorEastAsia" w:eastAsiaTheme="minorEastAsia" w:hAnsiTheme="minorEastAsia" w:cs="Arial"/>
          <w:sz w:val="21"/>
          <w:szCs w:val="21"/>
          <w:lang w:eastAsia="zh-CN"/>
        </w:rPr>
        <w:t>专用工具、以及其它完成安装工程所需项目。</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高压电缆</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所有高压电缆</w:t>
      </w:r>
      <w:r>
        <w:rPr>
          <w:rFonts w:asciiTheme="minorEastAsia" w:eastAsiaTheme="minorEastAsia" w:hAnsiTheme="minorEastAsia" w:cs="Arial" w:hint="eastAsia"/>
          <w:sz w:val="21"/>
          <w:szCs w:val="21"/>
          <w:lang w:eastAsia="zh-CN"/>
        </w:rPr>
        <w:t>采用</w:t>
      </w:r>
      <w:r>
        <w:rPr>
          <w:rFonts w:asciiTheme="minorEastAsia" w:eastAsiaTheme="minorEastAsia" w:hAnsiTheme="minorEastAsia" w:cs="Arial" w:hint="eastAsia"/>
          <w:sz w:val="21"/>
          <w:szCs w:val="21"/>
          <w:lang w:eastAsia="zh-CN"/>
        </w:rPr>
        <w:t>W</w:t>
      </w:r>
      <w:r>
        <w:rPr>
          <w:rFonts w:asciiTheme="minorEastAsia" w:eastAsiaTheme="minorEastAsia" w:hAnsiTheme="minorEastAsia" w:cs="Arial"/>
          <w:sz w:val="21"/>
          <w:szCs w:val="21"/>
          <w:lang w:eastAsia="zh-CN"/>
        </w:rPr>
        <w:t>DZA-YJY-8.7/15KV</w:t>
      </w:r>
      <w:r>
        <w:rPr>
          <w:rFonts w:asciiTheme="minorEastAsia" w:eastAsiaTheme="minorEastAsia" w:hAnsiTheme="minorEastAsia" w:cs="Arial" w:hint="eastAsia"/>
          <w:sz w:val="21"/>
          <w:szCs w:val="21"/>
          <w:lang w:eastAsia="zh-CN"/>
        </w:rPr>
        <w:t>型，</w:t>
      </w:r>
      <w:r>
        <w:rPr>
          <w:rFonts w:asciiTheme="minorEastAsia" w:eastAsiaTheme="minorEastAsia" w:hAnsiTheme="minorEastAsia" w:cs="Arial"/>
          <w:sz w:val="21"/>
          <w:szCs w:val="21"/>
          <w:lang w:eastAsia="zh-CN"/>
        </w:rPr>
        <w:t>须符合国家</w:t>
      </w:r>
      <w:r>
        <w:rPr>
          <w:rFonts w:asciiTheme="minorEastAsia" w:eastAsiaTheme="minorEastAsia" w:hAnsiTheme="minorEastAsia" w:cs="Arial"/>
          <w:sz w:val="21"/>
          <w:szCs w:val="21"/>
          <w:lang w:val="en-US" w:eastAsia="zh-CN"/>
        </w:rPr>
        <w:t>GB12706-2020</w:t>
      </w:r>
      <w:r>
        <w:rPr>
          <w:rFonts w:asciiTheme="minorEastAsia" w:eastAsiaTheme="minorEastAsia" w:hAnsiTheme="minorEastAsia" w:cs="Arial"/>
          <w:sz w:val="21"/>
          <w:szCs w:val="21"/>
          <w:lang w:eastAsia="zh-CN"/>
        </w:rPr>
        <w:t>规范</w:t>
      </w:r>
      <w:r>
        <w:rPr>
          <w:rFonts w:asciiTheme="minorEastAsia" w:eastAsiaTheme="minorEastAsia" w:hAnsiTheme="minorEastAsia" w:cs="Arial" w:hint="eastAsia"/>
          <w:sz w:val="21"/>
          <w:szCs w:val="21"/>
          <w:lang w:eastAsia="zh-CN"/>
        </w:rPr>
        <w:t>要求</w:t>
      </w:r>
      <w:r>
        <w:rPr>
          <w:rFonts w:asciiTheme="minorEastAsia" w:eastAsiaTheme="minorEastAsia" w:hAnsiTheme="minorEastAsia" w:cs="Arial"/>
          <w:sz w:val="21"/>
          <w:szCs w:val="21"/>
          <w:lang w:eastAsia="zh-CN"/>
        </w:rPr>
        <w:t>，</w:t>
      </w:r>
      <w:r>
        <w:rPr>
          <w:rFonts w:asciiTheme="minorEastAsia" w:eastAsiaTheme="minorEastAsia" w:hAnsiTheme="minorEastAsia" w:cs="Arial" w:hint="eastAsia"/>
          <w:sz w:val="21"/>
          <w:szCs w:val="21"/>
          <w:lang w:eastAsia="zh-CN"/>
        </w:rPr>
        <w:t>铜芯、低烟无卤阻燃交联</w:t>
      </w:r>
      <w:r>
        <w:rPr>
          <w:rFonts w:asciiTheme="minorEastAsia" w:eastAsiaTheme="minorEastAsia" w:hAnsiTheme="minorEastAsia" w:cs="Arial" w:hint="eastAsia"/>
          <w:sz w:val="21"/>
          <w:szCs w:val="21"/>
          <w:shd w:val="clear" w:color="auto" w:fill="FFFFFF"/>
          <w:lang w:eastAsia="zh-CN"/>
        </w:rPr>
        <w:t>聚乙烯绝缘聚乙烯护套</w:t>
      </w:r>
      <w:r>
        <w:rPr>
          <w:rFonts w:asciiTheme="minorEastAsia" w:eastAsiaTheme="minorEastAsia" w:hAnsiTheme="minorEastAsia" w:cs="Arial" w:hint="eastAsia"/>
          <w:sz w:val="21"/>
          <w:szCs w:val="21"/>
          <w:lang w:eastAsia="zh-CN"/>
        </w:rPr>
        <w:t>电力电缆</w:t>
      </w:r>
      <w:r>
        <w:rPr>
          <w:rFonts w:asciiTheme="minorEastAsia" w:eastAsiaTheme="minorEastAsia" w:hAnsiTheme="minorEastAsia" w:cs="Arial"/>
          <w:sz w:val="21"/>
          <w:szCs w:val="21"/>
          <w:lang w:eastAsia="zh-CN"/>
        </w:rPr>
        <w:t>。</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各电缆芯按</w:t>
      </w:r>
      <w:r>
        <w:rPr>
          <w:rFonts w:asciiTheme="minorEastAsia" w:eastAsiaTheme="minorEastAsia" w:hAnsiTheme="minorEastAsia" w:cs="Arial"/>
          <w:sz w:val="21"/>
          <w:szCs w:val="21"/>
          <w:lang w:val="en-US" w:eastAsia="zh-CN"/>
        </w:rPr>
        <w:t>GB</w:t>
      </w:r>
      <w:r>
        <w:rPr>
          <w:rFonts w:asciiTheme="minorEastAsia" w:eastAsiaTheme="minorEastAsia" w:hAnsiTheme="minorEastAsia" w:cs="Arial" w:hint="eastAsia"/>
          <w:sz w:val="21"/>
          <w:szCs w:val="21"/>
          <w:lang w:val="en-US" w:eastAsia="zh-CN"/>
        </w:rPr>
        <w:t xml:space="preserve">/T </w:t>
      </w:r>
      <w:r>
        <w:rPr>
          <w:rFonts w:asciiTheme="minorEastAsia" w:eastAsiaTheme="minorEastAsia" w:hAnsiTheme="minorEastAsia" w:cs="Arial"/>
          <w:sz w:val="21"/>
          <w:szCs w:val="21"/>
          <w:lang w:val="en-US" w:eastAsia="zh-CN"/>
        </w:rPr>
        <w:t>12706-2020</w:t>
      </w:r>
      <w:r>
        <w:rPr>
          <w:rFonts w:asciiTheme="minorEastAsia" w:eastAsiaTheme="minorEastAsia" w:hAnsiTheme="minorEastAsia" w:cs="Arial"/>
          <w:sz w:val="21"/>
          <w:szCs w:val="21"/>
          <w:lang w:eastAsia="zh-CN"/>
        </w:rPr>
        <w:t>标准的规定用相应的颜色加以区分。</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电缆的护层符合</w:t>
      </w:r>
      <w:r>
        <w:rPr>
          <w:rFonts w:asciiTheme="minorEastAsia" w:eastAsiaTheme="minorEastAsia" w:hAnsiTheme="minorEastAsia" w:cs="Arial"/>
          <w:sz w:val="21"/>
          <w:szCs w:val="21"/>
          <w:lang w:val="en-US" w:eastAsia="zh-CN"/>
        </w:rPr>
        <w:t>GB</w:t>
      </w:r>
      <w:r>
        <w:rPr>
          <w:rFonts w:asciiTheme="minorEastAsia" w:eastAsiaTheme="minorEastAsia" w:hAnsiTheme="minorEastAsia" w:cs="Arial" w:hint="eastAsia"/>
          <w:sz w:val="21"/>
          <w:szCs w:val="21"/>
          <w:lang w:val="en-US" w:eastAsia="zh-CN"/>
        </w:rPr>
        <w:t xml:space="preserve">/T </w:t>
      </w:r>
      <w:r>
        <w:rPr>
          <w:rFonts w:asciiTheme="minorEastAsia" w:eastAsiaTheme="minorEastAsia" w:hAnsiTheme="minorEastAsia" w:cs="Arial"/>
          <w:sz w:val="21"/>
          <w:szCs w:val="21"/>
          <w:lang w:val="en-US" w:eastAsia="zh-CN"/>
        </w:rPr>
        <w:t>12706-2020</w:t>
      </w:r>
      <w:r>
        <w:rPr>
          <w:rFonts w:asciiTheme="minorEastAsia" w:eastAsiaTheme="minorEastAsia" w:hAnsiTheme="minorEastAsia" w:cs="Arial"/>
          <w:sz w:val="21"/>
          <w:szCs w:val="21"/>
          <w:lang w:eastAsia="zh-CN"/>
        </w:rPr>
        <w:t>及当地供电部门的耐火要求。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此种电缆须为</w:t>
      </w:r>
      <w:r>
        <w:rPr>
          <w:rFonts w:asciiTheme="minorEastAsia" w:eastAsiaTheme="minorEastAsia" w:hAnsiTheme="minorEastAsia" w:cs="Arial"/>
          <w:sz w:val="21"/>
          <w:szCs w:val="21"/>
          <w:lang w:eastAsia="zh-CN"/>
        </w:rPr>
        <w:t>10kV</w:t>
      </w:r>
      <w:r>
        <w:rPr>
          <w:rFonts w:asciiTheme="minorEastAsia" w:eastAsiaTheme="minorEastAsia" w:hAnsiTheme="minorEastAsia" w:cs="Arial"/>
          <w:sz w:val="21"/>
          <w:szCs w:val="21"/>
          <w:lang w:eastAsia="zh-CN"/>
        </w:rPr>
        <w:t>电压，符合</w:t>
      </w:r>
      <w:r>
        <w:rPr>
          <w:rFonts w:asciiTheme="minorEastAsia" w:eastAsiaTheme="minorEastAsia" w:hAnsiTheme="minorEastAsia" w:cs="Arial"/>
          <w:sz w:val="21"/>
          <w:szCs w:val="21"/>
          <w:lang w:eastAsia="zh-CN"/>
        </w:rPr>
        <w:t>GB/T</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sz w:val="21"/>
          <w:szCs w:val="21"/>
          <w:lang w:eastAsia="zh-CN"/>
        </w:rPr>
        <w:t>12706.2-2020</w:t>
      </w:r>
      <w:r>
        <w:rPr>
          <w:rFonts w:asciiTheme="minorEastAsia" w:eastAsiaTheme="minorEastAsia" w:hAnsiTheme="minorEastAsia" w:cs="Arial"/>
          <w:sz w:val="21"/>
          <w:szCs w:val="21"/>
          <w:lang w:eastAsia="zh-CN"/>
        </w:rPr>
        <w:t>《额定电压挤包绝缘电力电缆及附件</w:t>
      </w:r>
      <w:r>
        <w:rPr>
          <w:rFonts w:asciiTheme="minorEastAsia" w:eastAsiaTheme="minorEastAsia" w:hAnsiTheme="minorEastAsia" w:cs="Arial"/>
          <w:sz w:val="21"/>
          <w:szCs w:val="21"/>
          <w:lang w:eastAsia="zh-CN"/>
        </w:rPr>
        <w:t xml:space="preserve"> </w:t>
      </w:r>
      <w:r>
        <w:rPr>
          <w:rFonts w:asciiTheme="minorEastAsia" w:eastAsiaTheme="minorEastAsia" w:hAnsiTheme="minorEastAsia" w:cs="Arial"/>
          <w:sz w:val="21"/>
          <w:szCs w:val="21"/>
          <w:lang w:eastAsia="zh-CN"/>
        </w:rPr>
        <w:t>第二部分：额定电压</w:t>
      </w:r>
      <w:r>
        <w:rPr>
          <w:rFonts w:asciiTheme="minorEastAsia" w:eastAsiaTheme="minorEastAsia" w:hAnsiTheme="minorEastAsia" w:cs="Arial"/>
          <w:sz w:val="21"/>
          <w:szCs w:val="21"/>
          <w:lang w:eastAsia="zh-CN"/>
        </w:rPr>
        <w:t>6kV</w:t>
      </w:r>
      <w:r>
        <w:rPr>
          <w:rFonts w:asciiTheme="minorEastAsia" w:eastAsiaTheme="minorEastAsia" w:hAnsiTheme="minorEastAsia" w:cs="Arial"/>
          <w:sz w:val="21"/>
          <w:szCs w:val="21"/>
          <w:lang w:eastAsia="zh-CN"/>
        </w:rPr>
        <w:t>至</w:t>
      </w:r>
      <w:r>
        <w:rPr>
          <w:rFonts w:asciiTheme="minorEastAsia" w:eastAsiaTheme="minorEastAsia" w:hAnsiTheme="minorEastAsia" w:cs="Arial"/>
          <w:sz w:val="21"/>
          <w:szCs w:val="21"/>
          <w:lang w:eastAsia="zh-CN"/>
        </w:rPr>
        <w:t>30kV</w:t>
      </w:r>
      <w:r>
        <w:rPr>
          <w:rFonts w:asciiTheme="minorEastAsia" w:eastAsiaTheme="minorEastAsia" w:hAnsiTheme="minorEastAsia" w:cs="Arial"/>
          <w:sz w:val="21"/>
          <w:szCs w:val="21"/>
          <w:lang w:eastAsia="zh-CN"/>
        </w:rPr>
        <w:t>电缆》</w:t>
      </w:r>
      <w:r>
        <w:rPr>
          <w:rFonts w:asciiTheme="minorEastAsia" w:eastAsiaTheme="minorEastAsia" w:hAnsiTheme="minorEastAsia" w:cs="Arial" w:hint="eastAsia"/>
          <w:sz w:val="21"/>
          <w:szCs w:val="21"/>
          <w:lang w:val="en-US" w:eastAsia="zh-CN"/>
        </w:rPr>
        <w:t>的要求</w:t>
      </w:r>
      <w:r>
        <w:rPr>
          <w:rFonts w:asciiTheme="minorEastAsia" w:eastAsiaTheme="minorEastAsia" w:hAnsiTheme="minorEastAsia" w:cs="Arial"/>
          <w:sz w:val="21"/>
          <w:szCs w:val="21"/>
          <w:lang w:eastAsia="zh-CN"/>
        </w:rPr>
        <w:t>。</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电缆的护套符合</w:t>
      </w:r>
      <w:r>
        <w:rPr>
          <w:rFonts w:asciiTheme="minorEastAsia" w:eastAsiaTheme="minorEastAsia" w:hAnsiTheme="minorEastAsia" w:cs="Arial"/>
          <w:sz w:val="21"/>
          <w:szCs w:val="21"/>
          <w:lang w:eastAsia="zh-CN"/>
        </w:rPr>
        <w:t>GB/T</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sz w:val="21"/>
          <w:szCs w:val="21"/>
          <w:lang w:eastAsia="zh-CN"/>
        </w:rPr>
        <w:t>18380.33-</w:t>
      </w:r>
      <w:r>
        <w:rPr>
          <w:rFonts w:asciiTheme="minorEastAsia" w:eastAsiaTheme="minorEastAsia" w:hAnsiTheme="minorEastAsia" w:cs="Arial" w:hint="eastAsia"/>
          <w:sz w:val="21"/>
          <w:szCs w:val="21"/>
          <w:lang w:val="en-US" w:eastAsia="zh-CN"/>
        </w:rPr>
        <w:t>2008</w:t>
      </w:r>
      <w:r>
        <w:rPr>
          <w:rFonts w:asciiTheme="minorEastAsia" w:eastAsiaTheme="minorEastAsia" w:hAnsiTheme="minorEastAsia" w:cs="Arial"/>
          <w:sz w:val="21"/>
          <w:szCs w:val="21"/>
          <w:lang w:eastAsia="zh-CN"/>
        </w:rPr>
        <w:t>《电缆</w:t>
      </w:r>
      <w:r>
        <w:rPr>
          <w:rFonts w:asciiTheme="minorEastAsia" w:eastAsiaTheme="minorEastAsia" w:hAnsiTheme="minorEastAsia" w:cs="Arial" w:hint="eastAsia"/>
          <w:sz w:val="21"/>
          <w:szCs w:val="21"/>
          <w:lang w:val="en-US" w:eastAsia="zh-CN"/>
        </w:rPr>
        <w:t>和光缆</w:t>
      </w:r>
      <w:r>
        <w:rPr>
          <w:rFonts w:asciiTheme="minorEastAsia" w:eastAsiaTheme="minorEastAsia" w:hAnsiTheme="minorEastAsia" w:cs="Arial"/>
          <w:sz w:val="21"/>
          <w:szCs w:val="21"/>
          <w:lang w:eastAsia="zh-CN"/>
        </w:rPr>
        <w:t>在火焰条件下的燃烧试验》的阻燃要求。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电缆的护套表面须有制造厂名称、产品型号及额定电压的连续标志，标志须字迹清楚容易辨认、耐擦。电缆标志须符合</w:t>
      </w:r>
      <w:r>
        <w:rPr>
          <w:rFonts w:asciiTheme="minorEastAsia" w:eastAsiaTheme="minorEastAsia" w:hAnsiTheme="minorEastAsia" w:cs="Arial"/>
          <w:sz w:val="21"/>
          <w:szCs w:val="21"/>
          <w:lang w:eastAsia="zh-CN"/>
        </w:rPr>
        <w:t>GB</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sz w:val="21"/>
          <w:szCs w:val="21"/>
          <w:lang w:eastAsia="zh-CN"/>
        </w:rPr>
        <w:t>6995.3-2008</w:t>
      </w:r>
      <w:r>
        <w:rPr>
          <w:rFonts w:asciiTheme="minorEastAsia" w:eastAsiaTheme="minorEastAsia" w:hAnsiTheme="minorEastAsia" w:cs="Arial"/>
          <w:sz w:val="21"/>
          <w:szCs w:val="21"/>
          <w:lang w:eastAsia="zh-CN"/>
        </w:rPr>
        <w:t>《电线电缆识别标志</w:t>
      </w:r>
      <w:r>
        <w:rPr>
          <w:rFonts w:asciiTheme="minorEastAsia" w:eastAsiaTheme="minorEastAsia" w:hAnsiTheme="minorEastAsia" w:cs="Arial"/>
          <w:sz w:val="21"/>
          <w:szCs w:val="21"/>
          <w:lang w:eastAsia="zh-CN"/>
        </w:rPr>
        <w:t xml:space="preserve"> </w:t>
      </w:r>
      <w:r>
        <w:rPr>
          <w:rFonts w:asciiTheme="minorEastAsia" w:eastAsiaTheme="minorEastAsia" w:hAnsiTheme="minorEastAsia" w:cs="Arial"/>
          <w:sz w:val="21"/>
          <w:szCs w:val="21"/>
          <w:lang w:eastAsia="zh-CN"/>
        </w:rPr>
        <w:t>第三部分：电线电缆识别标志》的要求。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单芯电缆不得单根穿金属管道敷设。</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多根多芯电缆敷设时应选择适合的排列方式，以减少涡流影响。</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在潮湿含化学腐蚀环境或易受水浸泡的电缆、金属套、加强层应有挤塑外套，水中电缆的粗钢丝铠装尚应有纤维外被。</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hint="eastAsia"/>
          <w:b/>
          <w:bCs/>
          <w:sz w:val="21"/>
          <w:szCs w:val="21"/>
          <w:lang w:val="en-US" w:eastAsia="zh-CN"/>
        </w:rPr>
        <w:t>电力电缆</w:t>
      </w:r>
      <w:r>
        <w:rPr>
          <w:rFonts w:asciiTheme="minorEastAsia" w:eastAsiaTheme="minorEastAsia" w:hAnsiTheme="minorEastAsia" w:cs="Arial"/>
          <w:b/>
          <w:bCs/>
          <w:sz w:val="21"/>
          <w:szCs w:val="21"/>
          <w:lang w:eastAsia="zh-CN"/>
        </w:rPr>
        <w:t>安装</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所有电缆在运输时，端头应经过处理及行之有效的密封，以防止湿气进入</w:t>
      </w:r>
      <w:r>
        <w:rPr>
          <w:rFonts w:asciiTheme="minorEastAsia" w:eastAsiaTheme="minorEastAsia" w:hAnsiTheme="minorEastAsia" w:cs="Arial"/>
          <w:sz w:val="21"/>
          <w:szCs w:val="21"/>
          <w:lang w:val="en-US"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所有电缆应按图纸规定的路线安装，在施工前应送交工程师批核。</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直埋敷设的电缆引入构筑物，在贯穿墙孔处应设置保护管，管口应实施阻水堵塞。</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直埋管敷设电缆的接头配置，应符合下列规定：</w:t>
      </w:r>
    </w:p>
    <w:p w:rsidR="002274AC">
      <w:pPr>
        <w:pStyle w:val="ReportText"/>
        <w:keepLines/>
        <w:numPr>
          <w:ilvl w:val="3"/>
          <w:numId w:val="41"/>
        </w:numPr>
        <w:tabs>
          <w:tab w:val="left" w:pos="1530"/>
          <w:tab w:val="clear" w:pos="3217"/>
        </w:tabs>
        <w:spacing w:before="120" w:beforeLines="50" w:after="120" w:afterLines="50"/>
        <w:ind w:left="1530" w:hanging="4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接头与邻近电缆的净距不得小于</w:t>
      </w:r>
      <w:r>
        <w:rPr>
          <w:rFonts w:asciiTheme="minorEastAsia" w:eastAsiaTheme="minorEastAsia" w:hAnsiTheme="minorEastAsia" w:cs="Arial"/>
          <w:sz w:val="21"/>
          <w:szCs w:val="21"/>
          <w:lang w:eastAsia="zh-CN"/>
        </w:rPr>
        <w:t>0.25m</w:t>
      </w:r>
    </w:p>
    <w:p w:rsidR="002274AC">
      <w:pPr>
        <w:pStyle w:val="ReportText"/>
        <w:keepLines/>
        <w:numPr>
          <w:ilvl w:val="3"/>
          <w:numId w:val="41"/>
        </w:numPr>
        <w:tabs>
          <w:tab w:val="left" w:pos="1530"/>
          <w:tab w:val="clear" w:pos="3217"/>
        </w:tabs>
        <w:spacing w:before="120" w:beforeLines="50" w:after="120" w:afterLines="50"/>
        <w:ind w:left="1530" w:hanging="4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并列电缆的接头位置宜相互错开且净距离不宜小于</w:t>
      </w:r>
      <w:r>
        <w:rPr>
          <w:rFonts w:asciiTheme="minorEastAsia" w:eastAsiaTheme="minorEastAsia" w:hAnsiTheme="minorEastAsia" w:cs="Arial"/>
          <w:sz w:val="21"/>
          <w:szCs w:val="21"/>
          <w:lang w:eastAsia="zh-CN"/>
        </w:rPr>
        <w:t>0.5m</w:t>
      </w:r>
    </w:p>
    <w:p w:rsidR="002274AC">
      <w:pPr>
        <w:pStyle w:val="ReportText"/>
        <w:keepLines/>
        <w:numPr>
          <w:ilvl w:val="3"/>
          <w:numId w:val="41"/>
        </w:numPr>
        <w:tabs>
          <w:tab w:val="left" w:pos="1530"/>
          <w:tab w:val="clear" w:pos="3217"/>
        </w:tabs>
        <w:spacing w:before="120" w:beforeLines="50" w:after="120" w:afterLines="50"/>
        <w:ind w:left="1530" w:hanging="4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斜坡地形处的接头安置应呈水平装</w:t>
      </w:r>
    </w:p>
    <w:p w:rsidR="002274AC">
      <w:pPr>
        <w:pStyle w:val="ReportText"/>
        <w:keepLines/>
        <w:numPr>
          <w:ilvl w:val="3"/>
          <w:numId w:val="41"/>
        </w:numPr>
        <w:tabs>
          <w:tab w:val="left" w:pos="1530"/>
          <w:tab w:val="clear" w:pos="3217"/>
        </w:tabs>
        <w:spacing w:before="120" w:beforeLines="50" w:after="120" w:afterLines="50"/>
        <w:ind w:left="1530" w:hanging="4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重要回路的电缆接头，宜在其两侧约</w:t>
      </w:r>
      <w:r>
        <w:rPr>
          <w:rFonts w:asciiTheme="minorEastAsia" w:eastAsiaTheme="minorEastAsia" w:hAnsiTheme="minorEastAsia" w:cs="Arial"/>
          <w:sz w:val="21"/>
          <w:szCs w:val="21"/>
          <w:lang w:eastAsia="zh-CN"/>
        </w:rPr>
        <w:t>1.0m</w:t>
      </w:r>
      <w:r>
        <w:rPr>
          <w:rFonts w:asciiTheme="minorEastAsia" w:eastAsiaTheme="minorEastAsia" w:hAnsiTheme="minorEastAsia" w:cs="Arial"/>
          <w:sz w:val="21"/>
          <w:szCs w:val="21"/>
          <w:lang w:eastAsia="zh-CN"/>
        </w:rPr>
        <w:t>开始的局部段，按留有备用量方式敷设电缆</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在安装时应采取必要的措施，防止电缆受到损坏。</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sectPr>
          <w:footerReference w:type="default" r:id="rId20"/>
          <w:type w:val="nextPage"/>
          <w:pgSz w:w="11906" w:h="16838"/>
          <w:pgMar w:top="1814" w:right="1418" w:bottom="1418" w:left="1814" w:header="851" w:footer="992" w:gutter="0"/>
          <w:pgNumType w:start="15"/>
          <w:cols w:space="425"/>
          <w:titlePg w:val="0"/>
          <w:docGrid w:linePitch="312"/>
        </w:sectPr>
      </w:pPr>
      <w:r>
        <w:rPr>
          <w:rFonts w:asciiTheme="minorEastAsia" w:eastAsiaTheme="minorEastAsia" w:hAnsiTheme="minorEastAsia" w:cs="Arial"/>
          <w:sz w:val="21"/>
          <w:szCs w:val="21"/>
          <w:lang w:eastAsia="zh-CN"/>
        </w:rPr>
        <w:t>当电缆在其它工</w:t>
      </w:r>
      <w:r>
        <w:rPr>
          <w:rFonts w:asciiTheme="minorEastAsia" w:eastAsiaTheme="minorEastAsia" w:hAnsiTheme="minorEastAsia" w:cs="Arial"/>
          <w:sz w:val="21"/>
          <w:szCs w:val="21"/>
          <w:lang w:eastAsia="zh-CN"/>
        </w:rPr>
        <w:t>程尚未完成的地段安装时，应当采取必要的预防措施，防止电缆由于其它工程施工而受到损坏。</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所有电缆应受到妥善保护，防止在正常工作中可能产生的机械性损伤。除铺设在地沟中的电缆外，所有电缆不论垂直还是水平方向均应安放核定的夹具固定和使用电缆管架，电缆固定的间距应根据上述线路规范围表的规定执行，电缆桥架须符合供电部门的要求。</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在电缆通过建筑结构，如楼板、墙时，所开的孔洞应当用核定的至少保持两小时的防火材料密封，以防止火灾蔓延。</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所有电缆一般应当在两个终端一次连续连接，不要形成中间结点。</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直埋敷设的电缆，严禁位于地下管</w:t>
      </w:r>
      <w:r>
        <w:rPr>
          <w:rFonts w:asciiTheme="minorEastAsia" w:eastAsiaTheme="minorEastAsia" w:hAnsiTheme="minorEastAsia" w:cs="Arial"/>
          <w:sz w:val="21"/>
          <w:szCs w:val="21"/>
          <w:lang w:eastAsia="zh-CN"/>
        </w:rPr>
        <w:t>道的正上方或正下方。</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所有电缆应适当地对两端进行处理，终端处理详细办法应在施工前送审，电缆的铠装也应很好保护，并在两端接地。</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在电缆自室外引入室内</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室内电缆沟通过建筑结构时，须设置电缆穿墙防水套管及密封处理。</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在电缆通过马路时，须设置电缆保护套管，其管径尺寸及埋地深度符合规范。</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在电缆采用管材或管块埋地敷设时，管径尺寸的选择</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配合须符合规范，当管路敷设较长时，应每隔</w:t>
      </w:r>
      <w:r>
        <w:rPr>
          <w:rFonts w:asciiTheme="minorEastAsia" w:eastAsiaTheme="minorEastAsia" w:hAnsiTheme="minorEastAsia" w:cs="Arial"/>
          <w:sz w:val="21"/>
          <w:szCs w:val="21"/>
          <w:lang w:eastAsia="zh-CN"/>
        </w:rPr>
        <w:t>50m</w:t>
      </w:r>
      <w:r>
        <w:rPr>
          <w:rFonts w:asciiTheme="minorEastAsia" w:eastAsiaTheme="minorEastAsia" w:hAnsiTheme="minorEastAsia" w:cs="Arial"/>
          <w:sz w:val="21"/>
          <w:szCs w:val="21"/>
          <w:lang w:eastAsia="zh-CN"/>
        </w:rPr>
        <w:t>设一拉线井，其井体尺寸应符合设计要求。</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电缆</w:t>
      </w:r>
      <w:r>
        <w:rPr>
          <w:rFonts w:asciiTheme="minorEastAsia" w:eastAsiaTheme="minorEastAsia" w:hAnsiTheme="minorEastAsia" w:cs="Arial" w:hint="eastAsia"/>
          <w:b/>
          <w:bCs/>
          <w:sz w:val="21"/>
          <w:szCs w:val="21"/>
          <w:lang w:val="en-US" w:eastAsia="zh-CN"/>
        </w:rPr>
        <w:t>终端接线</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电缆终端接线，细节应在开关柜等制造前审定，所有接线箱的材料，绝缘方法等应能承受此系统的最大短路能力。</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按规定选用适当的电缆封套将电缆终接。</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封套外套以规定的聚乙烯</w:t>
      </w:r>
      <w:r>
        <w:rPr>
          <w:rFonts w:asciiTheme="minorEastAsia" w:eastAsiaTheme="minorEastAsia" w:hAnsiTheme="minorEastAsia" w:cs="Arial"/>
          <w:sz w:val="21"/>
          <w:szCs w:val="21"/>
          <w:lang w:val="en-US" w:eastAsia="zh-CN"/>
        </w:rPr>
        <w:t>护罩。</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对铠装电缆，清除铠装和铠装夹或连接器之表面并于终接前使连接器与铠装接触。将铠装夹旋紧以保证电气接触良好。</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电缆导线的终端须用专用高压电缆终端，并用成型热缩绝缘材料进行绝缘防护。</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电缆之识别</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在电缆之终端，在埋地电缆管之进出点及其它需要识别和寻迹电缆路径处配置电缆识别标志。电缆非穿管敷设并有多条一起敷设时则每隔</w:t>
      </w:r>
      <w:r>
        <w:rPr>
          <w:rFonts w:asciiTheme="minorEastAsia" w:eastAsiaTheme="minorEastAsia" w:hAnsiTheme="minorEastAsia" w:cs="Arial"/>
          <w:sz w:val="21"/>
          <w:szCs w:val="21"/>
          <w:lang w:val="en-US" w:eastAsia="zh-CN"/>
        </w:rPr>
        <w:t>10</w:t>
      </w:r>
      <w:r>
        <w:rPr>
          <w:rFonts w:asciiTheme="minorEastAsia" w:eastAsiaTheme="minorEastAsia" w:hAnsiTheme="minorEastAsia" w:cs="Arial"/>
          <w:sz w:val="21"/>
          <w:szCs w:val="21"/>
          <w:lang w:val="en-US" w:eastAsia="zh-CN"/>
        </w:rPr>
        <w:t>米须设立标志。</w:t>
      </w:r>
    </w:p>
    <w:p w:rsidR="002274AC">
      <w:pPr>
        <w:pStyle w:val="ReportLevel3"/>
        <w:keepNext w:val="0"/>
        <w:keepLines/>
        <w:tabs>
          <w:tab w:val="clear" w:pos="1077"/>
          <w:tab w:val="left" w:pos="108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电缆标志须由椭圆形的</w:t>
      </w:r>
      <w:r>
        <w:rPr>
          <w:rFonts w:asciiTheme="minorEastAsia" w:eastAsiaTheme="minorEastAsia" w:hAnsiTheme="minorEastAsia" w:cs="Arial"/>
          <w:sz w:val="21"/>
          <w:szCs w:val="21"/>
          <w:lang w:val="en-US" w:eastAsia="zh-CN"/>
        </w:rPr>
        <w:t>PVC</w:t>
      </w:r>
      <w:r>
        <w:rPr>
          <w:rFonts w:asciiTheme="minorEastAsia" w:eastAsiaTheme="minorEastAsia" w:hAnsiTheme="minorEastAsia" w:cs="Arial"/>
          <w:sz w:val="21"/>
          <w:szCs w:val="21"/>
          <w:lang w:val="en-US" w:eastAsia="zh-CN"/>
        </w:rPr>
        <w:t>标记，穿标记带及尼龙扎带组成。整个标志须能耐</w:t>
      </w:r>
      <w:r>
        <w:rPr>
          <w:rFonts w:asciiTheme="minorEastAsia" w:eastAsiaTheme="minorEastAsia" w:hAnsiTheme="minorEastAsia" w:cs="Arial"/>
          <w:sz w:val="21"/>
          <w:szCs w:val="21"/>
          <w:lang w:val="en-US" w:eastAsia="zh-CN"/>
        </w:rPr>
        <w:t>70°C</w:t>
      </w:r>
      <w:r>
        <w:rPr>
          <w:rFonts w:asciiTheme="minorEastAsia" w:eastAsiaTheme="minorEastAsia" w:hAnsiTheme="minorEastAsia" w:cs="Arial"/>
          <w:sz w:val="21"/>
          <w:szCs w:val="21"/>
          <w:lang w:val="en-US" w:eastAsia="zh-CN"/>
        </w:rPr>
        <w:t>的温度。</w:t>
      </w:r>
    </w:p>
    <w:p w:rsidR="002274AC">
      <w:pPr>
        <w:pStyle w:val="ReportLevel3"/>
        <w:keepNext w:val="0"/>
        <w:keepLines/>
        <w:spacing w:before="120" w:beforeLines="50" w:after="120" w:afterLines="50"/>
        <w:rPr>
          <w:lang w:eastAsia="zh-CN"/>
        </w:rPr>
        <w:sectPr>
          <w:footerReference w:type="default" r:id="rId21"/>
          <w:type w:val="nextPage"/>
          <w:pgSz w:w="11906" w:h="16838"/>
          <w:pgMar w:top="1814" w:right="1418" w:bottom="1418" w:left="1814" w:header="851" w:footer="992" w:gutter="0"/>
          <w:pgNumType w:start="16"/>
          <w:cols w:space="425"/>
          <w:titlePg w:val="0"/>
          <w:docGrid w:linePitch="312"/>
        </w:sectPr>
      </w:pPr>
      <w:r>
        <w:rPr>
          <w:rFonts w:asciiTheme="minorEastAsia" w:eastAsiaTheme="minorEastAsia" w:hAnsiTheme="minorEastAsia" w:cs="Arial"/>
          <w:sz w:val="21"/>
          <w:szCs w:val="21"/>
          <w:lang w:val="en-US" w:eastAsia="zh-CN"/>
        </w:rPr>
        <w:t>对单芯电缆和多芯电缆的每条芯线需在终端配置套管或有颜色的碟形标记。</w:t>
      </w:r>
    </w:p>
    <w:p w:rsidR="002274AC">
      <w:pPr>
        <w:pStyle w:val="ReportLevel1"/>
        <w:keepLines/>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24" w:name="_Toc24786"/>
      <w:bookmarkStart w:id="25" w:name="_Toc162931964"/>
      <w:bookmarkStart w:id="26" w:name="_Toc237079519"/>
      <w:bookmarkStart w:id="27" w:name="_Toc8292"/>
      <w:bookmarkStart w:id="28" w:name="_Toc116305059"/>
      <w:r>
        <w:rPr>
          <w:rFonts w:asciiTheme="minorEastAsia" w:eastAsiaTheme="minorEastAsia" w:hAnsiTheme="minorEastAsia" w:cs="Arial"/>
          <w:sz w:val="21"/>
          <w:szCs w:val="21"/>
          <w:lang w:eastAsia="zh-CN"/>
        </w:rPr>
        <w:t>变压器</w:t>
      </w:r>
      <w:bookmarkEnd w:id="24"/>
      <w:bookmarkEnd w:id="25"/>
      <w:bookmarkEnd w:id="26"/>
      <w:bookmarkEnd w:id="27"/>
      <w:bookmarkEnd w:id="28"/>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一般要求</w:t>
      </w:r>
    </w:p>
    <w:p w:rsidR="002274AC">
      <w:pPr>
        <w:pStyle w:val="ReportLevel3"/>
        <w:keepLines/>
        <w:numPr>
          <w:ilvl w:val="0"/>
          <w:numId w:val="0"/>
        </w:numPr>
        <w:spacing w:before="120" w:beforeLines="50" w:after="120" w:afterLines="50"/>
        <w:ind w:left="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按图所示的最小连续容量配置配电变压器。</w:t>
      </w:r>
      <w:r>
        <w:rPr>
          <w:rFonts w:asciiTheme="minorEastAsia" w:eastAsiaTheme="minorEastAsia" w:hAnsiTheme="minorEastAsia" w:cs="Arial"/>
          <w:sz w:val="21"/>
          <w:szCs w:val="21"/>
          <w:lang w:eastAsia="zh-CN"/>
        </w:rPr>
        <w:t>10kV</w:t>
      </w:r>
      <w:r>
        <w:rPr>
          <w:rFonts w:asciiTheme="minorEastAsia" w:eastAsiaTheme="minorEastAsia" w:hAnsiTheme="minorEastAsia" w:cs="Arial"/>
          <w:sz w:val="21"/>
          <w:szCs w:val="21"/>
          <w:lang w:eastAsia="zh-CN"/>
        </w:rPr>
        <w:t>变压器必须为下列规定的干式浇注树脂封装</w:t>
      </w:r>
      <w:r>
        <w:rPr>
          <w:rFonts w:asciiTheme="minorEastAsia" w:eastAsiaTheme="minorEastAsia" w:hAnsiTheme="minorEastAsia" w:cs="Arial" w:hint="eastAsia"/>
          <w:sz w:val="21"/>
          <w:szCs w:val="21"/>
          <w:lang w:eastAsia="zh-CN"/>
        </w:rPr>
        <w:t>，必须满足</w:t>
      </w:r>
      <w:r>
        <w:rPr>
          <w:rFonts w:asciiTheme="minorEastAsia" w:eastAsiaTheme="minorEastAsia" w:hAnsiTheme="minorEastAsia" w:cs="Arial" w:hint="eastAsia"/>
          <w:sz w:val="21"/>
          <w:szCs w:val="21"/>
          <w:lang w:eastAsia="zh-CN"/>
        </w:rPr>
        <w:t>G</w:t>
      </w:r>
      <w:r>
        <w:rPr>
          <w:rFonts w:asciiTheme="minorEastAsia" w:eastAsiaTheme="minorEastAsia" w:hAnsiTheme="minorEastAsia" w:cs="Arial"/>
          <w:sz w:val="21"/>
          <w:szCs w:val="21"/>
          <w:lang w:eastAsia="zh-CN"/>
        </w:rPr>
        <w:t>B 20052-2020</w:t>
      </w:r>
      <w:r>
        <w:rPr>
          <w:rFonts w:asciiTheme="minorEastAsia" w:eastAsiaTheme="minorEastAsia" w:hAnsiTheme="minorEastAsia" w:cs="Arial" w:hint="eastAsia"/>
          <w:sz w:val="21"/>
          <w:szCs w:val="21"/>
          <w:lang w:eastAsia="zh-CN"/>
        </w:rPr>
        <w:t>《电力变压器能效限定值及能效等级》标准中的二级能效标准</w:t>
      </w:r>
      <w:r>
        <w:rPr>
          <w:rFonts w:asciiTheme="minorEastAsia" w:eastAsiaTheme="minorEastAsia" w:hAnsiTheme="minorEastAsia" w:cs="Arial"/>
          <w:sz w:val="21"/>
          <w:szCs w:val="21"/>
          <w:lang w:eastAsia="zh-CN"/>
        </w:rPr>
        <w:t>。</w:t>
      </w:r>
      <w:r>
        <w:rPr>
          <w:rFonts w:eastAsiaTheme="minorEastAsia" w:hint="eastAsia"/>
          <w:lang w:eastAsia="zh-CN"/>
        </w:rPr>
        <w:t xml:space="preserve"> </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标准</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变压器之设计及构造须符合国家有关规范之规定。</w:t>
      </w:r>
    </w:p>
    <w:tbl>
      <w:tblPr>
        <w:tblStyle w:val="TableNormal"/>
        <w:tblW w:w="7515" w:type="dxa"/>
        <w:tblInd w:w="1188" w:type="dxa"/>
        <w:tblLook w:val="04A0"/>
      </w:tblPr>
      <w:tblGrid>
        <w:gridCol w:w="1796"/>
        <w:gridCol w:w="5719"/>
      </w:tblGrid>
      <w:tr>
        <w:tblPrEx>
          <w:tblW w:w="7515" w:type="dxa"/>
          <w:tblInd w:w="1188" w:type="dxa"/>
          <w:tblLook w:val="04A0"/>
        </w:tblPrEx>
        <w:trPr>
          <w:trHeight w:val="304"/>
        </w:trPr>
        <w:tc>
          <w:tcPr>
            <w:tcW w:w="1796" w:type="dxa"/>
            <w:vAlign w:val="center"/>
          </w:tcPr>
          <w:p w:rsidR="002274AC">
            <w:pPr>
              <w:pStyle w:val="level2"/>
              <w:keepLines/>
              <w:tabs>
                <w:tab w:val="clear" w:pos="240"/>
                <w:tab w:val="clear" w:pos="1140"/>
              </w:tabs>
              <w:spacing w:after="120" w:afterLines="5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GB/T 1094.11</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干式</w:t>
            </w:r>
            <w:r>
              <w:rPr>
                <w:rFonts w:asciiTheme="minorEastAsia" w:eastAsiaTheme="minorEastAsia" w:hAnsiTheme="minorEastAsia" w:cs="Arial"/>
                <w:sz w:val="21"/>
                <w:szCs w:val="21"/>
                <w:lang w:val="en-US" w:eastAsia="zh-CN"/>
              </w:rPr>
              <w:t>电力变压器</w:t>
            </w:r>
          </w:p>
        </w:tc>
      </w:tr>
      <w:tr>
        <w:tblPrEx>
          <w:tblW w:w="7515" w:type="dxa"/>
          <w:tblInd w:w="1188" w:type="dxa"/>
          <w:tblLook w:val="04A0"/>
        </w:tblPrEx>
        <w:trPr>
          <w:trHeight w:val="335"/>
        </w:trPr>
        <w:tc>
          <w:tcPr>
            <w:tcW w:w="1796"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GBT10228-2015</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val="en-US" w:eastAsia="zh-CN"/>
              </w:rPr>
              <w:t>干式电力变压器技术参数和要求</w:t>
            </w:r>
          </w:p>
        </w:tc>
      </w:tr>
      <w:tr>
        <w:tblPrEx>
          <w:tblW w:w="7515" w:type="dxa"/>
          <w:tblInd w:w="1188" w:type="dxa"/>
          <w:tblLook w:val="04A0"/>
        </w:tblPrEx>
        <w:trPr>
          <w:trHeight w:val="304"/>
        </w:trPr>
        <w:tc>
          <w:tcPr>
            <w:tcW w:w="1796"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GB 20052-</w:t>
            </w:r>
            <w:r>
              <w:rPr>
                <w:rFonts w:asciiTheme="minorEastAsia" w:eastAsiaTheme="minorEastAsia" w:hAnsiTheme="minorEastAsia" w:cs="Arial" w:hint="eastAsia"/>
                <w:sz w:val="21"/>
                <w:szCs w:val="21"/>
                <w:lang w:val="en-US" w:eastAsia="zh-CN"/>
              </w:rPr>
              <w:t>2020</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电力变压器能效限定值及能效等级</w:t>
            </w:r>
          </w:p>
        </w:tc>
      </w:tr>
      <w:tr>
        <w:tblPrEx>
          <w:tblW w:w="7515" w:type="dxa"/>
          <w:tblInd w:w="1188" w:type="dxa"/>
          <w:tblLook w:val="04A0"/>
        </w:tblPrEx>
        <w:trPr>
          <w:trHeight w:val="304"/>
        </w:trPr>
        <w:tc>
          <w:tcPr>
            <w:tcW w:w="1796"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CECS 115:2000</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干式电力变压器选用、验收、运行及维护规程</w:t>
            </w:r>
          </w:p>
        </w:tc>
      </w:tr>
      <w:tr>
        <w:tblPrEx>
          <w:tblW w:w="7515" w:type="dxa"/>
          <w:tblInd w:w="1188" w:type="dxa"/>
          <w:tblLook w:val="04A0"/>
        </w:tblPrEx>
        <w:trPr>
          <w:trHeight w:val="304"/>
        </w:trPr>
        <w:tc>
          <w:tcPr>
            <w:tcW w:w="1796"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JB/T 501</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电力变压器试验导则</w:t>
            </w:r>
          </w:p>
        </w:tc>
      </w:tr>
      <w:tr>
        <w:tblPrEx>
          <w:tblW w:w="7515" w:type="dxa"/>
          <w:tblInd w:w="1188" w:type="dxa"/>
          <w:tblLook w:val="04A0"/>
        </w:tblPrEx>
        <w:trPr>
          <w:trHeight w:val="328"/>
        </w:trPr>
        <w:tc>
          <w:tcPr>
            <w:tcW w:w="1796" w:type="dxa"/>
            <w:vAlign w:val="center"/>
          </w:tcPr>
          <w:p w:rsidR="002274AC">
            <w:pPr>
              <w:pStyle w:val="NormalWeb"/>
              <w:keepLines/>
              <w:spacing w:afterAutospacing="1" w:line="420" w:lineRule="atLeast"/>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val="en-US" w:eastAsia="zh-CN"/>
              </w:rPr>
              <w:t>GB 50835-2013</w:t>
            </w:r>
          </w:p>
        </w:tc>
        <w:tc>
          <w:tcPr>
            <w:tcW w:w="5719" w:type="dxa"/>
            <w:vAlign w:val="center"/>
          </w:tcPr>
          <w:p w:rsidR="002274AC">
            <w:pPr>
              <w:keepLines/>
              <w:tabs>
                <w:tab w:val="left" w:pos="1620"/>
              </w:tabs>
              <w:spacing w:after="120" w:afterLines="5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hint="eastAsia"/>
                <w:sz w:val="21"/>
                <w:szCs w:val="21"/>
                <w:lang w:eastAsia="zh-CN"/>
              </w:rPr>
              <w:t>1000kV</w:t>
            </w:r>
            <w:r>
              <w:rPr>
                <w:rFonts w:asciiTheme="minorEastAsia" w:eastAsiaTheme="minorEastAsia" w:hAnsiTheme="minorEastAsia" w:cs="Arial" w:hint="eastAsia"/>
                <w:sz w:val="21"/>
                <w:szCs w:val="21"/>
                <w:lang w:eastAsia="zh-CN"/>
              </w:rPr>
              <w:t>电力变压器、油浸电抗器、互感器施工及验收规范</w:t>
            </w:r>
          </w:p>
        </w:tc>
      </w:tr>
    </w:tbl>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变压器必须装配外壳作额外保护，使保护级别达到</w:t>
      </w:r>
      <w:r>
        <w:rPr>
          <w:rFonts w:asciiTheme="minorEastAsia" w:eastAsiaTheme="minorEastAsia" w:hAnsiTheme="minorEastAsia" w:cs="Arial"/>
          <w:sz w:val="21"/>
          <w:szCs w:val="21"/>
          <w:lang w:eastAsia="zh-CN"/>
        </w:rPr>
        <w:t>IP</w:t>
      </w:r>
      <w:r>
        <w:rPr>
          <w:rFonts w:asciiTheme="minorEastAsia" w:eastAsiaTheme="minorEastAsia" w:hAnsiTheme="minorEastAsia" w:cs="Arial" w:hint="eastAsia"/>
          <w:sz w:val="21"/>
          <w:szCs w:val="21"/>
          <w:lang w:val="en-US" w:eastAsia="zh-CN"/>
        </w:rPr>
        <w:t>3</w:t>
      </w:r>
      <w:r>
        <w:rPr>
          <w:rFonts w:asciiTheme="minorEastAsia" w:eastAsiaTheme="minorEastAsia" w:hAnsiTheme="minorEastAsia" w:cs="Arial"/>
          <w:sz w:val="21"/>
          <w:szCs w:val="21"/>
          <w:lang w:eastAsia="zh-CN"/>
        </w:rPr>
        <w:t>0</w:t>
      </w:r>
      <w:r>
        <w:rPr>
          <w:rFonts w:asciiTheme="minorEastAsia" w:eastAsiaTheme="minorEastAsia" w:hAnsiTheme="minorEastAsia" w:cs="Arial"/>
          <w:sz w:val="21"/>
          <w:szCs w:val="21"/>
          <w:lang w:eastAsia="zh-CN"/>
        </w:rPr>
        <w:t>。所有外壳都是镀锌板制成。根据要求可加涂外漆。每套外壳的前后板均可拆下，便于连接高压分接头及与电缆连接。底板处并有开孔，以便穿进电缆。顶板则须与有关承包单位协调及提供顶板开孔，以便低压母线槽的接驳，变压器所用的套管，分接开关和其他辅助设备，均不应限制变压器的负载能力。</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噪音需为低噪音，且必须符合</w:t>
      </w:r>
      <w:r>
        <w:rPr>
          <w:rFonts w:asciiTheme="minorEastAsia" w:eastAsiaTheme="minorEastAsia" w:hAnsiTheme="minorEastAsia" w:cs="Arial" w:hint="eastAsia"/>
          <w:sz w:val="21"/>
          <w:szCs w:val="21"/>
          <w:lang w:val="en-US" w:eastAsia="zh-CN"/>
        </w:rPr>
        <w:t>GB/T 1094.10-2003</w:t>
      </w:r>
      <w:r>
        <w:rPr>
          <w:rFonts w:asciiTheme="minorEastAsia" w:eastAsiaTheme="minorEastAsia" w:hAnsiTheme="minorEastAsia" w:cs="Arial"/>
          <w:sz w:val="21"/>
          <w:szCs w:val="21"/>
          <w:lang w:eastAsia="zh-CN"/>
        </w:rPr>
        <w:t>《</w:t>
      </w:r>
      <w:r>
        <w:rPr>
          <w:rFonts w:asciiTheme="minorEastAsia" w:eastAsiaTheme="minorEastAsia" w:hAnsiTheme="minorEastAsia" w:cs="Arial" w:hint="eastAsia"/>
          <w:sz w:val="21"/>
          <w:szCs w:val="21"/>
          <w:lang w:val="en-US" w:eastAsia="zh-CN"/>
        </w:rPr>
        <w:t>电力变压器</w:t>
      </w:r>
      <w:r>
        <w:rPr>
          <w:rFonts w:asciiTheme="minorEastAsia" w:eastAsiaTheme="minorEastAsia" w:hAnsiTheme="minorEastAsia" w:cs="Arial" w:hint="eastAsia"/>
          <w:sz w:val="21"/>
          <w:szCs w:val="21"/>
          <w:lang w:val="en-US" w:eastAsia="zh-CN"/>
        </w:rPr>
        <w:t xml:space="preserve"> </w:t>
      </w:r>
      <w:r>
        <w:rPr>
          <w:rFonts w:asciiTheme="minorEastAsia" w:eastAsiaTheme="minorEastAsia" w:hAnsiTheme="minorEastAsia" w:cs="Arial" w:hint="eastAsia"/>
          <w:sz w:val="21"/>
          <w:szCs w:val="21"/>
          <w:lang w:val="en-US" w:eastAsia="zh-CN"/>
        </w:rPr>
        <w:t>第</w:t>
      </w:r>
      <w:r>
        <w:rPr>
          <w:rFonts w:asciiTheme="minorEastAsia" w:eastAsiaTheme="minorEastAsia" w:hAnsiTheme="minorEastAsia" w:cs="Arial" w:hint="eastAsia"/>
          <w:sz w:val="21"/>
          <w:szCs w:val="21"/>
          <w:lang w:val="en-US" w:eastAsia="zh-CN"/>
        </w:rPr>
        <w:t>10</w:t>
      </w:r>
      <w:r>
        <w:rPr>
          <w:rFonts w:asciiTheme="minorEastAsia" w:eastAsiaTheme="minorEastAsia" w:hAnsiTheme="minorEastAsia" w:cs="Arial" w:hint="eastAsia"/>
          <w:sz w:val="21"/>
          <w:szCs w:val="21"/>
          <w:lang w:val="en-US" w:eastAsia="zh-CN"/>
        </w:rPr>
        <w:t>部分：</w:t>
      </w:r>
      <w:r>
        <w:rPr>
          <w:rFonts w:asciiTheme="minorEastAsia" w:eastAsiaTheme="minorEastAsia" w:hAnsiTheme="minorEastAsia" w:cs="Arial"/>
          <w:sz w:val="21"/>
          <w:szCs w:val="21"/>
          <w:lang w:eastAsia="zh-CN"/>
        </w:rPr>
        <w:t>声级测定》有关标准</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变压器须按照</w:t>
      </w:r>
      <w:r>
        <w:rPr>
          <w:rFonts w:asciiTheme="minorEastAsia" w:eastAsiaTheme="minorEastAsia" w:hAnsiTheme="minorEastAsia" w:cs="Arial"/>
          <w:sz w:val="21"/>
          <w:szCs w:val="21"/>
          <w:lang w:val="en-US" w:eastAsia="zh-CN"/>
        </w:rPr>
        <w:t>国家规范</w:t>
      </w:r>
      <w:r>
        <w:rPr>
          <w:rFonts w:asciiTheme="minorEastAsia" w:eastAsiaTheme="minorEastAsia" w:hAnsiTheme="minorEastAsia" w:cs="Arial" w:hint="eastAsia"/>
          <w:sz w:val="21"/>
          <w:szCs w:val="21"/>
          <w:lang w:val="en-US" w:eastAsia="zh-CN"/>
        </w:rPr>
        <w:t>GB50148-2010</w:t>
      </w:r>
      <w:r>
        <w:rPr>
          <w:rFonts w:asciiTheme="minorEastAsia" w:eastAsiaTheme="minorEastAsia" w:hAnsiTheme="minorEastAsia" w:cs="Arial"/>
          <w:sz w:val="21"/>
          <w:szCs w:val="21"/>
          <w:lang w:val="en-US" w:eastAsia="zh-CN"/>
        </w:rPr>
        <w:t>所规定的试验装置，并在厂内组装和试验。</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其它要求</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10kV/0.4kV</w:t>
      </w:r>
      <w:r>
        <w:rPr>
          <w:rFonts w:asciiTheme="minorEastAsia" w:eastAsiaTheme="minorEastAsia" w:hAnsiTheme="minorEastAsia" w:cs="Arial"/>
          <w:sz w:val="21"/>
          <w:szCs w:val="21"/>
          <w:lang w:val="en-US" w:eastAsia="zh-CN"/>
        </w:rPr>
        <w:t>配电变压器须满足下列要求</w:t>
      </w:r>
      <w:r>
        <w:rPr>
          <w:rFonts w:asciiTheme="minorEastAsia" w:eastAsiaTheme="minorEastAsia" w:hAnsiTheme="minorEastAsia" w:cs="Arial"/>
          <w:sz w:val="21"/>
          <w:szCs w:val="21"/>
          <w:lang w:val="en-US" w:eastAsia="zh-CN"/>
        </w:rPr>
        <w:t>:</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型式：双绕组，干式浇注树脂封装</w:t>
      </w:r>
      <w:r>
        <w:rPr>
          <w:rFonts w:asciiTheme="minorEastAsia" w:eastAsiaTheme="minorEastAsia" w:hAnsiTheme="minorEastAsia" w:cs="Arial" w:hint="eastAsia"/>
          <w:sz w:val="21"/>
          <w:szCs w:val="21"/>
          <w:lang w:val="en-US" w:eastAsia="zh-CN"/>
        </w:rPr>
        <w:t>。</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最小连续额定容量：按图标</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相别：三相</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额定</w:t>
      </w:r>
      <w:r>
        <w:rPr>
          <w:rFonts w:asciiTheme="minorEastAsia" w:eastAsiaTheme="minorEastAsia" w:hAnsiTheme="minorEastAsia" w:cs="Arial"/>
          <w:sz w:val="21"/>
          <w:szCs w:val="21"/>
          <w:lang w:eastAsia="zh-CN"/>
        </w:rPr>
        <w:t>频率：</w:t>
      </w:r>
      <w:r>
        <w:rPr>
          <w:rFonts w:asciiTheme="minorEastAsia" w:eastAsiaTheme="minorEastAsia" w:hAnsiTheme="minorEastAsia" w:cs="Arial"/>
          <w:sz w:val="21"/>
          <w:szCs w:val="21"/>
          <w:lang w:eastAsia="zh-CN"/>
        </w:rPr>
        <w:t>50</w:t>
      </w:r>
      <w:r>
        <w:rPr>
          <w:rFonts w:asciiTheme="minorEastAsia" w:eastAsiaTheme="minorEastAsia" w:hAnsiTheme="minorEastAsia" w:cs="Arial"/>
          <w:sz w:val="21"/>
          <w:szCs w:val="21"/>
          <w:lang w:eastAsia="zh-CN"/>
        </w:rPr>
        <w:t>赫</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安装方式：户内</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冷却方式：额定容量为自然冷却，并配合强迫风冷</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保护等级：</w:t>
      </w:r>
      <w:r>
        <w:rPr>
          <w:rFonts w:asciiTheme="minorEastAsia" w:eastAsiaTheme="minorEastAsia" w:hAnsiTheme="minorEastAsia" w:cs="Arial" w:hint="eastAsia"/>
          <w:sz w:val="21"/>
          <w:szCs w:val="21"/>
          <w:lang w:val="en-US" w:eastAsia="zh-CN"/>
        </w:rPr>
        <w:t>≥</w:t>
      </w:r>
      <w:r>
        <w:rPr>
          <w:rFonts w:asciiTheme="minorEastAsia" w:eastAsiaTheme="minorEastAsia" w:hAnsiTheme="minorEastAsia" w:cs="Arial"/>
          <w:sz w:val="21"/>
          <w:szCs w:val="21"/>
          <w:lang w:eastAsia="zh-CN"/>
        </w:rPr>
        <w:t>IP</w:t>
      </w:r>
      <w:r>
        <w:rPr>
          <w:rFonts w:asciiTheme="minorEastAsia" w:eastAsiaTheme="minorEastAsia" w:hAnsiTheme="minorEastAsia" w:cs="Arial" w:hint="eastAsia"/>
          <w:sz w:val="21"/>
          <w:szCs w:val="21"/>
          <w:lang w:val="en-US" w:eastAsia="zh-CN"/>
        </w:rPr>
        <w:t>3</w:t>
      </w:r>
      <w:r>
        <w:rPr>
          <w:rFonts w:asciiTheme="minorEastAsia" w:eastAsiaTheme="minorEastAsia" w:hAnsiTheme="minorEastAsia" w:cs="Arial"/>
          <w:sz w:val="21"/>
          <w:szCs w:val="21"/>
          <w:lang w:eastAsia="zh-CN"/>
        </w:rPr>
        <w:t>0</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过载能力：每</w:t>
      </w:r>
      <w:r>
        <w:rPr>
          <w:rFonts w:asciiTheme="minorEastAsia" w:eastAsiaTheme="minorEastAsia" w:hAnsiTheme="minorEastAsia" w:cs="Arial"/>
          <w:sz w:val="21"/>
          <w:szCs w:val="21"/>
          <w:lang w:eastAsia="zh-CN"/>
        </w:rPr>
        <w:t>24</w:t>
      </w:r>
      <w:r>
        <w:rPr>
          <w:rFonts w:asciiTheme="minorEastAsia" w:eastAsiaTheme="minorEastAsia" w:hAnsiTheme="minorEastAsia" w:cs="Arial"/>
          <w:sz w:val="21"/>
          <w:szCs w:val="21"/>
          <w:lang w:eastAsia="zh-CN"/>
        </w:rPr>
        <w:t>小时于额定</w:t>
      </w:r>
      <w:r>
        <w:rPr>
          <w:rFonts w:asciiTheme="minorEastAsia" w:eastAsiaTheme="minorEastAsia" w:hAnsiTheme="minorEastAsia" w:cs="Arial"/>
          <w:sz w:val="21"/>
          <w:szCs w:val="21"/>
          <w:lang w:eastAsia="zh-CN"/>
        </w:rPr>
        <w:t>kVA</w:t>
      </w:r>
      <w:r>
        <w:rPr>
          <w:rFonts w:asciiTheme="minorEastAsia" w:eastAsiaTheme="minorEastAsia" w:hAnsiTheme="minorEastAsia" w:cs="Arial"/>
          <w:sz w:val="21"/>
          <w:szCs w:val="21"/>
          <w:lang w:eastAsia="zh-CN"/>
        </w:rPr>
        <w:t>容量连续运行，可过载</w:t>
      </w:r>
      <w:r>
        <w:rPr>
          <w:rFonts w:asciiTheme="minorEastAsia" w:eastAsiaTheme="minorEastAsia" w:hAnsiTheme="minorEastAsia" w:cs="Arial"/>
          <w:sz w:val="21"/>
          <w:szCs w:val="21"/>
          <w:lang w:eastAsia="zh-CN"/>
        </w:rPr>
        <w:t>20%</w:t>
      </w:r>
      <w:r>
        <w:rPr>
          <w:rFonts w:asciiTheme="minorEastAsia" w:eastAsiaTheme="minorEastAsia" w:hAnsiTheme="minorEastAsia" w:cs="Arial"/>
          <w:sz w:val="21"/>
          <w:szCs w:val="21"/>
          <w:lang w:eastAsia="zh-CN"/>
        </w:rPr>
        <w:t>，达</w:t>
      </w:r>
      <w:r>
        <w:rPr>
          <w:rFonts w:asciiTheme="minorEastAsia" w:eastAsiaTheme="minorEastAsia" w:hAnsiTheme="minorEastAsia" w:cs="Arial"/>
          <w:sz w:val="21"/>
          <w:szCs w:val="21"/>
          <w:lang w:eastAsia="zh-CN"/>
        </w:rPr>
        <w:t>4</w:t>
      </w:r>
      <w:r>
        <w:rPr>
          <w:rFonts w:asciiTheme="minorEastAsia" w:eastAsiaTheme="minorEastAsia" w:hAnsiTheme="minorEastAsia" w:cs="Arial"/>
          <w:sz w:val="21"/>
          <w:szCs w:val="21"/>
          <w:lang w:eastAsia="zh-CN"/>
        </w:rPr>
        <w:t>小时。</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绝缘水平：</w:t>
      </w:r>
    </w:p>
    <w:p w:rsidR="002274AC">
      <w:pPr>
        <w:keepLines/>
        <w:numPr>
          <w:ilvl w:val="12"/>
          <w:numId w:val="0"/>
        </w:numPr>
        <w:tabs>
          <w:tab w:val="left" w:pos="1800"/>
        </w:tabs>
        <w:spacing w:before="120" w:beforeLines="50" w:after="120" w:afterLines="50"/>
        <w:ind w:left="1080" w:firstLine="678" w:firstLineChars="323"/>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高压绕组：额定冲击耐压：</w:t>
      </w:r>
      <w:r>
        <w:rPr>
          <w:rFonts w:asciiTheme="minorEastAsia" w:eastAsiaTheme="minorEastAsia" w:hAnsiTheme="minorEastAsia" w:cs="Arial" w:hint="eastAsia"/>
          <w:sz w:val="21"/>
          <w:szCs w:val="21"/>
          <w:lang w:eastAsia="zh-CN"/>
        </w:rPr>
        <w:t>75kV</w:t>
      </w:r>
      <w:r>
        <w:rPr>
          <w:rFonts w:asciiTheme="minorEastAsia" w:eastAsiaTheme="minorEastAsia" w:hAnsiTheme="minorEastAsia" w:cs="Arial" w:hint="eastAsia"/>
          <w:sz w:val="21"/>
          <w:szCs w:val="21"/>
          <w:lang w:eastAsia="zh-CN"/>
        </w:rPr>
        <w:t>（峰值）</w:t>
      </w:r>
    </w:p>
    <w:p w:rsidR="002274AC">
      <w:pPr>
        <w:keepLines/>
        <w:numPr>
          <w:ilvl w:val="12"/>
          <w:numId w:val="0"/>
        </w:numPr>
        <w:tabs>
          <w:tab w:val="left" w:pos="1800"/>
        </w:tabs>
        <w:spacing w:before="120" w:beforeLines="50" w:after="120" w:afterLines="50"/>
        <w:ind w:left="1080" w:firstLine="1754" w:firstLineChars="835"/>
        <w:jc w:val="both"/>
        <w:rPr>
          <w:rFonts w:asciiTheme="minorEastAsia" w:eastAsiaTheme="minorEastAsia" w:hAnsiTheme="minorEastAsia" w:cs="Arial"/>
          <w:sz w:val="21"/>
          <w:szCs w:val="21"/>
          <w:lang w:eastAsia="zh-CN"/>
        </w:rPr>
        <w:sectPr>
          <w:footerReference w:type="default" r:id="rId22"/>
          <w:type w:val="nextPage"/>
          <w:pgSz w:w="11906" w:h="16838"/>
          <w:pgMar w:top="1814" w:right="1418" w:bottom="1418" w:left="1814" w:header="851" w:footer="992" w:gutter="0"/>
          <w:pgNumType w:start="17"/>
          <w:cols w:space="425"/>
          <w:titlePg w:val="0"/>
          <w:docGrid w:linePitch="312"/>
        </w:sectPr>
      </w:pPr>
      <w:r>
        <w:rPr>
          <w:rFonts w:asciiTheme="minorEastAsia" w:eastAsiaTheme="minorEastAsia" w:hAnsiTheme="minorEastAsia" w:cs="Arial" w:hint="eastAsia"/>
          <w:sz w:val="21"/>
          <w:szCs w:val="21"/>
          <w:lang w:eastAsia="zh-CN"/>
        </w:rPr>
        <w:t>额定工频耐压：</w:t>
      </w:r>
      <w:r>
        <w:rPr>
          <w:rFonts w:asciiTheme="minorEastAsia" w:eastAsiaTheme="minorEastAsia" w:hAnsiTheme="minorEastAsia" w:cs="Arial" w:hint="eastAsia"/>
          <w:sz w:val="21"/>
          <w:szCs w:val="21"/>
          <w:lang w:eastAsia="zh-CN"/>
        </w:rPr>
        <w:t>35kV</w:t>
      </w:r>
      <w:r>
        <w:rPr>
          <w:rFonts w:asciiTheme="minorEastAsia" w:eastAsiaTheme="minorEastAsia" w:hAnsiTheme="minorEastAsia" w:cs="Arial" w:hint="eastAsia"/>
          <w:sz w:val="21"/>
          <w:szCs w:val="21"/>
          <w:lang w:eastAsia="zh-CN"/>
        </w:rPr>
        <w:t>（额定</w:t>
      </w:r>
      <w:r>
        <w:rPr>
          <w:rFonts w:asciiTheme="minorEastAsia" w:eastAsiaTheme="minorEastAsia" w:hAnsiTheme="minorEastAsia" w:cs="Arial" w:hint="eastAsia"/>
          <w:sz w:val="21"/>
          <w:szCs w:val="21"/>
          <w:lang w:val="en-US" w:eastAsia="zh-CN"/>
        </w:rPr>
        <w:t>一</w:t>
      </w:r>
      <w:r>
        <w:rPr>
          <w:rFonts w:asciiTheme="minorEastAsia" w:eastAsiaTheme="minorEastAsia" w:hAnsiTheme="minorEastAsia" w:cs="Arial" w:hint="eastAsia"/>
          <w:sz w:val="21"/>
          <w:szCs w:val="21"/>
          <w:lang w:eastAsia="zh-CN"/>
        </w:rPr>
        <w:t>分钟工频耐压）</w:t>
      </w:r>
    </w:p>
    <w:p w:rsidR="002274AC">
      <w:pPr>
        <w:keepLines/>
        <w:numPr>
          <w:ilvl w:val="12"/>
          <w:numId w:val="0"/>
        </w:numPr>
        <w:tabs>
          <w:tab w:val="left" w:pos="1800"/>
        </w:tabs>
        <w:spacing w:before="120" w:beforeLines="50" w:after="120" w:afterLines="50"/>
        <w:ind w:left="1080" w:firstLine="678" w:firstLineChars="323"/>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低压绕组：电力频率耐压：</w:t>
      </w:r>
      <w:r>
        <w:rPr>
          <w:rFonts w:asciiTheme="minorEastAsia" w:eastAsiaTheme="minorEastAsia" w:hAnsiTheme="minorEastAsia" w:cs="Arial" w:hint="eastAsia"/>
          <w:sz w:val="21"/>
          <w:szCs w:val="21"/>
          <w:lang w:eastAsia="zh-CN"/>
        </w:rPr>
        <w:t>3kV</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电压比：空载时</w:t>
      </w:r>
      <w:r>
        <w:rPr>
          <w:rFonts w:asciiTheme="minorEastAsia" w:eastAsiaTheme="minorEastAsia" w:hAnsiTheme="minorEastAsia" w:cs="Arial" w:hint="eastAsia"/>
          <w:sz w:val="21"/>
          <w:szCs w:val="21"/>
          <w:lang w:val="en-US" w:eastAsia="zh-CN"/>
        </w:rPr>
        <w:t>10kV</w:t>
      </w:r>
      <w:r>
        <w:rPr>
          <w:rFonts w:asciiTheme="minorEastAsia" w:eastAsiaTheme="minorEastAsia" w:hAnsiTheme="minorEastAsia" w:cs="Arial"/>
          <w:sz w:val="21"/>
          <w:szCs w:val="21"/>
          <w:lang w:eastAsia="zh-CN"/>
        </w:rPr>
        <w:t>/</w:t>
      </w:r>
      <w:r>
        <w:rPr>
          <w:rFonts w:asciiTheme="minorEastAsia" w:eastAsiaTheme="minorEastAsia" w:hAnsiTheme="minorEastAsia" w:cs="Arial" w:hint="eastAsia"/>
          <w:sz w:val="21"/>
          <w:szCs w:val="21"/>
          <w:lang w:val="en-US" w:eastAsia="zh-CN"/>
        </w:rPr>
        <w:t>0.4kV</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连接组标号：</w:t>
      </w:r>
      <w:r>
        <w:rPr>
          <w:rFonts w:asciiTheme="minorEastAsia" w:eastAsiaTheme="minorEastAsia" w:hAnsiTheme="minorEastAsia" w:cs="Arial"/>
          <w:sz w:val="21"/>
          <w:szCs w:val="21"/>
          <w:lang w:eastAsia="zh-CN"/>
        </w:rPr>
        <w:t>Dyn-11</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val="en-US" w:eastAsia="zh-CN"/>
        </w:rPr>
        <w:t>高压分接范围</w:t>
      </w:r>
      <w:r>
        <w:rPr>
          <w:rFonts w:asciiTheme="minorEastAsia" w:eastAsiaTheme="minorEastAsia" w:hAnsiTheme="minorEastAsia" w:cs="Arial"/>
          <w:sz w:val="21"/>
          <w:szCs w:val="21"/>
          <w:lang w:eastAsia="zh-CN"/>
        </w:rPr>
        <w:t>：</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hint="eastAsia"/>
          <w:sz w:val="21"/>
          <w:szCs w:val="21"/>
          <w:lang w:eastAsia="zh-CN"/>
        </w:rPr>
        <w:t>2</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hint="eastAsia"/>
          <w:sz w:val="21"/>
          <w:szCs w:val="21"/>
          <w:lang w:eastAsia="zh-CN"/>
        </w:rPr>
        <w:t>2.5%</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hint="eastAsia"/>
          <w:sz w:val="21"/>
          <w:szCs w:val="21"/>
          <w:lang w:val="en-US" w:eastAsia="zh-CN"/>
        </w:rPr>
        <w:t>5%</w:t>
      </w:r>
      <w:r>
        <w:rPr>
          <w:rFonts w:asciiTheme="minorEastAsia" w:eastAsiaTheme="minorEastAsia" w:hAnsiTheme="minorEastAsia" w:cs="Arial" w:hint="eastAsia"/>
          <w:sz w:val="21"/>
          <w:szCs w:val="21"/>
          <w:lang w:val="en-US" w:eastAsia="zh-CN"/>
        </w:rPr>
        <w:t>。</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绝缘等级：</w:t>
      </w:r>
      <w:r>
        <w:rPr>
          <w:rFonts w:asciiTheme="minorEastAsia" w:eastAsiaTheme="minorEastAsia" w:hAnsiTheme="minorEastAsia" w:cs="Arial"/>
          <w:sz w:val="21"/>
          <w:szCs w:val="21"/>
          <w:lang w:eastAsia="zh-CN"/>
        </w:rPr>
        <w:t>H</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表面颜色：按制造厂标准或淡灰色。</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阻抗电压：</w:t>
      </w:r>
    </w:p>
    <w:p w:rsidR="002274AC">
      <w:pPr>
        <w:keepLines/>
        <w:tabs>
          <w:tab w:val="left" w:pos="1620"/>
          <w:tab w:val="left" w:pos="2340"/>
        </w:tabs>
        <w:spacing w:before="120" w:beforeLines="50" w:after="120" w:afterLines="50"/>
        <w:ind w:left="1833" w:leftChars="833"/>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变压器额定容量</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阻抗</w:t>
      </w:r>
    </w:p>
    <w:p w:rsidR="002274AC">
      <w:pPr>
        <w:keepLines/>
        <w:numPr>
          <w:ilvl w:val="0"/>
          <w:numId w:val="43"/>
        </w:numPr>
        <w:tabs>
          <w:tab w:val="left" w:pos="1620"/>
          <w:tab w:val="left" w:pos="2340"/>
          <w:tab w:val="clear" w:pos="2808"/>
        </w:tabs>
        <w:spacing w:before="120" w:beforeLines="50" w:after="120" w:afterLines="50"/>
        <w:ind w:left="2340" w:hanging="540"/>
        <w:jc w:val="both"/>
        <w:rPr>
          <w:rFonts w:asciiTheme="minorEastAsia" w:eastAsiaTheme="minorEastAsia" w:hAnsiTheme="minorEastAsia" w:cs="Arial"/>
          <w:sz w:val="21"/>
          <w:szCs w:val="21"/>
        </w:rPr>
      </w:pPr>
      <w:r>
        <w:rPr>
          <w:rFonts w:asciiTheme="minorEastAsia" w:eastAsiaTheme="minorEastAsia" w:hAnsiTheme="minorEastAsia" w:cs="Arial"/>
          <w:sz w:val="21"/>
          <w:szCs w:val="21"/>
          <w:lang w:eastAsia="zh-CN"/>
        </w:rPr>
        <w:t>630kVA</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等于</w:t>
      </w:r>
      <w:r>
        <w:rPr>
          <w:rFonts w:asciiTheme="minorEastAsia" w:eastAsiaTheme="minorEastAsia" w:hAnsiTheme="minorEastAsia" w:cs="Arial" w:hint="eastAsia"/>
          <w:sz w:val="21"/>
          <w:szCs w:val="21"/>
          <w:lang w:val="en-US" w:eastAsia="zh-CN"/>
        </w:rPr>
        <w:t>6</w:t>
      </w:r>
      <w:r>
        <w:rPr>
          <w:rFonts w:asciiTheme="minorEastAsia" w:eastAsiaTheme="minorEastAsia" w:hAnsiTheme="minorEastAsia" w:cs="Arial"/>
          <w:sz w:val="21"/>
          <w:szCs w:val="21"/>
          <w:lang w:eastAsia="zh-CN"/>
        </w:rPr>
        <w:t>%</w:t>
      </w:r>
    </w:p>
    <w:p w:rsidR="002274AC">
      <w:pPr>
        <w:keepLines/>
        <w:numPr>
          <w:ilvl w:val="0"/>
          <w:numId w:val="43"/>
        </w:numPr>
        <w:tabs>
          <w:tab w:val="left" w:pos="1620"/>
          <w:tab w:val="left" w:pos="2340"/>
          <w:tab w:val="clear" w:pos="2808"/>
        </w:tabs>
        <w:spacing w:before="120" w:beforeLines="50" w:after="120" w:afterLines="50"/>
        <w:ind w:left="2340" w:hanging="540"/>
        <w:jc w:val="both"/>
        <w:rPr>
          <w:rFonts w:asciiTheme="minorEastAsia" w:eastAsiaTheme="minorEastAsia" w:hAnsiTheme="minorEastAsia" w:cs="Arial"/>
          <w:sz w:val="21"/>
          <w:szCs w:val="21"/>
        </w:rPr>
      </w:pPr>
      <w:r>
        <w:rPr>
          <w:rFonts w:asciiTheme="minorEastAsia" w:eastAsiaTheme="minorEastAsia" w:hAnsiTheme="minorEastAsia" w:cs="Arial"/>
          <w:sz w:val="21"/>
          <w:szCs w:val="21"/>
          <w:lang w:eastAsia="zh-CN"/>
        </w:rPr>
        <w:t>1</w:t>
      </w:r>
      <w:r>
        <w:rPr>
          <w:rFonts w:asciiTheme="minorEastAsia" w:eastAsiaTheme="minorEastAsia" w:hAnsiTheme="minorEastAsia" w:cs="Arial" w:hint="eastAsia"/>
          <w:sz w:val="21"/>
          <w:szCs w:val="21"/>
          <w:lang w:val="en-US" w:eastAsia="zh-CN"/>
        </w:rPr>
        <w:t>00</w:t>
      </w:r>
      <w:r>
        <w:rPr>
          <w:rFonts w:asciiTheme="minorEastAsia" w:eastAsiaTheme="minorEastAsia" w:hAnsiTheme="minorEastAsia" w:cs="Arial"/>
          <w:sz w:val="21"/>
          <w:szCs w:val="21"/>
          <w:lang w:eastAsia="zh-CN"/>
        </w:rPr>
        <w:t>0kVA</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等于</w:t>
      </w:r>
      <w:r>
        <w:rPr>
          <w:rFonts w:asciiTheme="minorEastAsia" w:eastAsiaTheme="minorEastAsia" w:hAnsiTheme="minorEastAsia" w:cs="Arial"/>
          <w:sz w:val="21"/>
          <w:szCs w:val="21"/>
          <w:lang w:eastAsia="zh-CN"/>
        </w:rPr>
        <w:t>6%</w:t>
      </w:r>
    </w:p>
    <w:p w:rsidR="002274AC">
      <w:pPr>
        <w:keepLines/>
        <w:numPr>
          <w:ilvl w:val="0"/>
          <w:numId w:val="43"/>
        </w:numPr>
        <w:tabs>
          <w:tab w:val="left" w:pos="1620"/>
          <w:tab w:val="left" w:pos="2340"/>
          <w:tab w:val="clear" w:pos="2808"/>
        </w:tabs>
        <w:spacing w:before="120" w:beforeLines="50" w:after="120" w:afterLines="50"/>
        <w:ind w:left="2340" w:hanging="540"/>
        <w:jc w:val="both"/>
        <w:rPr>
          <w:rFonts w:asciiTheme="minorEastAsia" w:eastAsiaTheme="minorEastAsia" w:hAnsiTheme="minorEastAsia" w:cs="Arial"/>
          <w:sz w:val="21"/>
          <w:szCs w:val="21"/>
        </w:rPr>
      </w:pPr>
      <w:r>
        <w:rPr>
          <w:rFonts w:asciiTheme="minorEastAsia" w:eastAsiaTheme="minorEastAsia" w:hAnsiTheme="minorEastAsia" w:cs="Arial"/>
          <w:sz w:val="21"/>
          <w:szCs w:val="21"/>
          <w:lang w:eastAsia="zh-CN"/>
        </w:rPr>
        <w:t>1250kVA</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等于</w:t>
      </w:r>
      <w:r>
        <w:rPr>
          <w:rFonts w:asciiTheme="minorEastAsia" w:eastAsiaTheme="minorEastAsia" w:hAnsiTheme="minorEastAsia" w:cs="Arial"/>
          <w:sz w:val="21"/>
          <w:szCs w:val="21"/>
          <w:lang w:eastAsia="zh-CN"/>
        </w:rPr>
        <w:t>6%</w:t>
      </w:r>
    </w:p>
    <w:p w:rsidR="002274AC">
      <w:pPr>
        <w:keepLines/>
        <w:numPr>
          <w:ilvl w:val="0"/>
          <w:numId w:val="43"/>
        </w:numPr>
        <w:tabs>
          <w:tab w:val="left" w:pos="1620"/>
          <w:tab w:val="left" w:pos="2340"/>
          <w:tab w:val="clear" w:pos="2808"/>
        </w:tabs>
        <w:spacing w:before="120" w:beforeLines="50" w:after="120" w:afterLines="50"/>
        <w:ind w:left="2340" w:hanging="540"/>
        <w:jc w:val="both"/>
        <w:rPr>
          <w:rFonts w:asciiTheme="minorEastAsia" w:eastAsiaTheme="minorEastAsia" w:hAnsiTheme="minorEastAsia" w:cs="Arial"/>
          <w:sz w:val="21"/>
          <w:szCs w:val="21"/>
          <w:lang w:eastAsia="zh-TW"/>
        </w:rPr>
      </w:pPr>
      <w:r>
        <w:rPr>
          <w:rFonts w:asciiTheme="minorEastAsia" w:eastAsiaTheme="minorEastAsia" w:hAnsiTheme="minorEastAsia" w:cs="Arial"/>
          <w:sz w:val="21"/>
          <w:szCs w:val="21"/>
          <w:lang w:eastAsia="zh-CN"/>
        </w:rPr>
        <w:t>1600kVA</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等于</w:t>
      </w:r>
      <w:r>
        <w:rPr>
          <w:rFonts w:asciiTheme="minorEastAsia" w:eastAsiaTheme="minorEastAsia" w:hAnsiTheme="minorEastAsia" w:cs="Arial"/>
          <w:sz w:val="21"/>
          <w:szCs w:val="21"/>
          <w:lang w:eastAsia="zh-CN"/>
        </w:rPr>
        <w:t>6%</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铁芯材料：冷轧低损钢。</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绕组材料：</w:t>
      </w:r>
      <w:r>
        <w:rPr>
          <w:rFonts w:asciiTheme="minorEastAsia" w:eastAsiaTheme="minorEastAsia" w:hAnsiTheme="minorEastAsia" w:cs="Arial" w:hint="eastAsia"/>
          <w:sz w:val="21"/>
          <w:szCs w:val="21"/>
          <w:lang w:eastAsia="zh-CN"/>
        </w:rPr>
        <w:t>高低压绕组均用铜导线或铜箔</w:t>
      </w:r>
      <w:r>
        <w:rPr>
          <w:rFonts w:asciiTheme="minorEastAsia" w:eastAsiaTheme="minorEastAsia" w:hAnsiTheme="minorEastAsia" w:cs="Arial"/>
          <w:sz w:val="21"/>
          <w:szCs w:val="21"/>
          <w:lang w:eastAsia="zh-CN"/>
        </w:rPr>
        <w:t>。</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谐波：不应对抑制变压器之谐波产生不良影响及对通讯回路产生干扰。</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铜损：在</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千伏，额定千伏安功率及</w:t>
      </w:r>
      <w:r>
        <w:rPr>
          <w:rFonts w:asciiTheme="minorEastAsia" w:eastAsiaTheme="minorEastAsia" w:hAnsiTheme="minorEastAsia" w:cs="Arial"/>
          <w:sz w:val="21"/>
          <w:szCs w:val="21"/>
          <w:lang w:eastAsia="zh-CN"/>
        </w:rPr>
        <w:t>0.85</w:t>
      </w:r>
      <w:r>
        <w:rPr>
          <w:rFonts w:asciiTheme="minorEastAsia" w:eastAsiaTheme="minorEastAsia" w:hAnsiTheme="minorEastAsia" w:cs="Arial"/>
          <w:sz w:val="21"/>
          <w:szCs w:val="21"/>
          <w:lang w:eastAsia="zh-CN"/>
        </w:rPr>
        <w:t>滞后功率因子时不应大于输入功率之</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高压终端：应安排电缆由顶或底部引入，用高压电缆终接。</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低压终端：应预位置安装铜母线（三相五线）由顶部引入，用低压铜母线终接。</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次级星形绕组之中性点须引至邻近相线端子的端子上以供接至中性线及接地导线，并把中性点可靠接地。</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保护：变压器须配备绕组温度监视装置，按本技术规格说明书所述提供连续温度变量监察信号和跳闸信号。</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附件：变压器须连同下列附件一并供应：</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接地端子</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起重环</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额定值及端子标记牌</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中、英文警告牌</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带手动调节最高温度记忆指针的度盘式温度计</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温控器，具有</w:t>
      </w:r>
      <w:r>
        <w:rPr>
          <w:rFonts w:asciiTheme="minorEastAsia" w:eastAsiaTheme="minorEastAsia" w:hAnsiTheme="minorEastAsia" w:cs="Arial"/>
          <w:sz w:val="21"/>
          <w:szCs w:val="21"/>
          <w:lang w:eastAsia="zh-CN"/>
        </w:rPr>
        <w:t>RS485</w:t>
      </w:r>
      <w:r>
        <w:rPr>
          <w:rFonts w:asciiTheme="minorEastAsia" w:eastAsiaTheme="minorEastAsia" w:hAnsiTheme="minorEastAsia" w:cs="Arial"/>
          <w:sz w:val="21"/>
          <w:szCs w:val="21"/>
          <w:lang w:eastAsia="zh-CN"/>
        </w:rPr>
        <w:t>通信接口。</w:t>
      </w:r>
    </w:p>
    <w:p w:rsidR="002274AC">
      <w:pPr>
        <w:keepLines/>
        <w:numPr>
          <w:ilvl w:val="3"/>
          <w:numId w:val="44"/>
        </w:numPr>
        <w:tabs>
          <w:tab w:val="left" w:pos="2610"/>
          <w:tab w:val="clear" w:pos="2880"/>
        </w:tabs>
        <w:spacing w:before="120" w:beforeLines="50" w:after="120" w:afterLines="50"/>
        <w:ind w:left="2610" w:hanging="81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橡胶减震垫</w:t>
      </w:r>
    </w:p>
    <w:p w:rsidR="002274AC">
      <w:pPr>
        <w:keepLines/>
        <w:numPr>
          <w:ilvl w:val="0"/>
          <w:numId w:val="42"/>
        </w:numPr>
        <w:tabs>
          <w:tab w:val="left" w:pos="1800"/>
          <w:tab w:val="clear" w:pos="2592"/>
        </w:tabs>
        <w:spacing w:before="120" w:beforeLines="50" w:after="120" w:afterLines="50"/>
        <w:ind w:left="1800" w:hanging="720"/>
        <w:jc w:val="both"/>
        <w:rPr>
          <w:rFonts w:asciiTheme="minorEastAsia" w:eastAsiaTheme="minorEastAsia" w:hAnsiTheme="minorEastAsia" w:cs="Arial"/>
          <w:sz w:val="21"/>
          <w:szCs w:val="21"/>
          <w:lang w:eastAsia="zh-CN"/>
        </w:rPr>
        <w:sectPr>
          <w:footerReference w:type="default" r:id="rId23"/>
          <w:type w:val="nextPage"/>
          <w:pgSz w:w="11906" w:h="16838"/>
          <w:pgMar w:top="1814" w:right="1418" w:bottom="1418" w:left="1814" w:header="851" w:footer="992" w:gutter="0"/>
          <w:pgNumType w:start="18"/>
          <w:cols w:space="425"/>
          <w:titlePg w:val="0"/>
          <w:docGrid w:linePitch="312"/>
        </w:sectPr>
      </w:pPr>
      <w:r>
        <w:rPr>
          <w:rFonts w:asciiTheme="minorEastAsia" w:eastAsiaTheme="minorEastAsia" w:hAnsiTheme="minorEastAsia" w:cs="Arial"/>
          <w:sz w:val="21"/>
          <w:szCs w:val="21"/>
          <w:lang w:eastAsia="zh-CN"/>
        </w:rPr>
        <w:t>噪音要求必须符合国际及国内有关标准。</w:t>
      </w:r>
    </w:p>
    <w:p w:rsidR="002274AC">
      <w:pPr>
        <w:pStyle w:val="ReportLevel2"/>
        <w:keepLines/>
        <w:tabs>
          <w:tab w:val="clear" w:pos="1077"/>
          <w:tab w:val="left" w:pos="1080"/>
          <w:tab w:val="left" w:pos="1620"/>
          <w:tab w:val="left" w:pos="2160"/>
        </w:tabs>
        <w:spacing w:before="240" w:beforeLines="100" w:after="240" w:afterLines="100"/>
        <w:ind w:left="0" w:firstLine="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保护温度综合控制箱</w:t>
      </w:r>
      <w:r>
        <w:rPr>
          <w:rFonts w:asciiTheme="minorEastAsia" w:eastAsiaTheme="minorEastAsia" w:hAnsiTheme="minorEastAsia" w:cs="Arial" w:hint="eastAsia"/>
          <w:b/>
          <w:bCs/>
          <w:sz w:val="21"/>
          <w:szCs w:val="21"/>
          <w:lang w:eastAsia="zh-CN"/>
        </w:rPr>
        <w:t>（</w:t>
      </w:r>
      <w:r>
        <w:rPr>
          <w:rFonts w:asciiTheme="minorEastAsia" w:eastAsiaTheme="minorEastAsia" w:hAnsiTheme="minorEastAsia" w:cs="Arial"/>
          <w:sz w:val="21"/>
          <w:szCs w:val="21"/>
          <w:lang w:eastAsia="zh-CN"/>
        </w:rPr>
        <w:t>温控器</w:t>
      </w:r>
      <w:r>
        <w:rPr>
          <w:rFonts w:asciiTheme="minorEastAsia" w:eastAsiaTheme="minorEastAsia" w:hAnsiTheme="minorEastAsia" w:cs="Arial" w:hint="eastAsia"/>
          <w:b/>
          <w:bCs/>
          <w:sz w:val="21"/>
          <w:szCs w:val="21"/>
          <w:lang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本控制具有温度检测，温度控制和温度保护报警一体化功能。</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控制箱须具有但不限于下列功能﹕</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三相绕组温度巡检和最大值显示历史最高温度记录。</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启停通风风机。</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超温报警，超温跳点干结点输出</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多组常开</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常闭触点</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风机运行状态，故障报警。</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仪表故障自控，传感器故障报警。</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铁心连续温度监测，铁心超温报警。</w:t>
      </w:r>
    </w:p>
    <w:p w:rsidR="002274AC">
      <w:pPr>
        <w:pStyle w:val="ReportText"/>
        <w:keepLines/>
        <w:numPr>
          <w:ilvl w:val="5"/>
          <w:numId w:val="142"/>
        </w:numPr>
        <w:tabs>
          <w:tab w:val="left" w:pos="1620"/>
          <w:tab w:val="clear" w:pos="5508"/>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绕组连续温度监测，绕组超温报警。</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控制箱显示功能和操作功能，但不限于下列功能：</w:t>
      </w:r>
    </w:p>
    <w:p w:rsidR="002274AC">
      <w:pPr>
        <w:pStyle w:val="ReportText"/>
        <w:keepLines/>
        <w:numPr>
          <w:ilvl w:val="0"/>
          <w:numId w:val="46"/>
        </w:numPr>
        <w:tabs>
          <w:tab w:val="left" w:pos="153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3.4.2</w:t>
      </w:r>
      <w:r>
        <w:rPr>
          <w:rFonts w:asciiTheme="minorEastAsia" w:eastAsiaTheme="minorEastAsia" w:hAnsiTheme="minorEastAsia" w:cs="Arial"/>
          <w:sz w:val="21"/>
          <w:szCs w:val="21"/>
          <w:lang w:val="en-US" w:eastAsia="zh-CN"/>
        </w:rPr>
        <w:t>项中各项值显示。</w:t>
      </w:r>
    </w:p>
    <w:p w:rsidR="002274AC">
      <w:pPr>
        <w:pStyle w:val="ReportText"/>
        <w:keepLines/>
        <w:numPr>
          <w:ilvl w:val="0"/>
          <w:numId w:val="46"/>
        </w:numPr>
        <w:tabs>
          <w:tab w:val="left" w:pos="153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功态液晶显示屏。</w:t>
      </w:r>
    </w:p>
    <w:p w:rsidR="002274AC">
      <w:pPr>
        <w:pStyle w:val="ReportText"/>
        <w:keepLines/>
        <w:numPr>
          <w:ilvl w:val="0"/>
          <w:numId w:val="46"/>
        </w:numPr>
        <w:tabs>
          <w:tab w:val="left" w:pos="153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风机就地操作控制。</w:t>
      </w:r>
    </w:p>
    <w:p w:rsidR="002274AC">
      <w:pPr>
        <w:pStyle w:val="ReportText"/>
        <w:keepLines/>
        <w:numPr>
          <w:ilvl w:val="0"/>
          <w:numId w:val="46"/>
        </w:numPr>
        <w:tabs>
          <w:tab w:val="left" w:pos="1530"/>
        </w:tabs>
        <w:spacing w:before="120" w:beforeLines="50" w:after="120" w:afterLines="5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RS232</w:t>
      </w:r>
      <w:r>
        <w:rPr>
          <w:rFonts w:asciiTheme="minorEastAsia" w:eastAsiaTheme="minorEastAsia" w:hAnsiTheme="minorEastAsia" w:cs="Arial"/>
          <w:sz w:val="21"/>
          <w:szCs w:val="21"/>
          <w:lang w:val="en-US" w:eastAsia="zh-CN"/>
        </w:rPr>
        <w:t>计算接口输入</w:t>
      </w:r>
      <w:r>
        <w:rPr>
          <w:rFonts w:asciiTheme="minorEastAsia" w:eastAsiaTheme="minorEastAsia" w:hAnsiTheme="minorEastAsia" w:cs="Arial"/>
          <w:sz w:val="21"/>
          <w:szCs w:val="21"/>
          <w:lang w:val="en-US" w:eastAsia="zh-CN"/>
        </w:rPr>
        <w:t>/</w:t>
      </w:r>
      <w:r>
        <w:rPr>
          <w:rFonts w:asciiTheme="minorEastAsia" w:eastAsiaTheme="minorEastAsia" w:hAnsiTheme="minorEastAsia" w:cs="Arial"/>
          <w:sz w:val="21"/>
          <w:szCs w:val="21"/>
          <w:lang w:val="en-US" w:eastAsia="zh-CN"/>
        </w:rPr>
        <w:t>输出，可进行遥测、遥控、遥信和遥调功能。</w:t>
      </w:r>
    </w:p>
    <w:p w:rsidR="002274AC">
      <w:pPr>
        <w:keepLines/>
        <w:rPr>
          <w:rFonts w:asciiTheme="minorEastAsia" w:eastAsiaTheme="minorEastAsia" w:hAnsiTheme="minorEastAsia" w:cs="Arial"/>
          <w:b/>
          <w:caps/>
          <w:sz w:val="21"/>
          <w:szCs w:val="21"/>
          <w:lang w:eastAsia="zh-CN"/>
        </w:rPr>
        <w:sectPr>
          <w:footerReference w:type="default" r:id="rId24"/>
          <w:type w:val="nextPage"/>
          <w:pgSz w:w="11906" w:h="16838"/>
          <w:pgMar w:top="1814" w:right="1418" w:bottom="1418" w:left="1814" w:header="851" w:footer="992" w:gutter="0"/>
          <w:pgNumType w:start="19"/>
          <w:cols w:space="425"/>
          <w:titlePg w:val="0"/>
          <w:docGrid w:linePitch="312"/>
        </w:sectPr>
      </w:pPr>
      <w:bookmarkStart w:id="29" w:name="_Toc162931965"/>
      <w:bookmarkStart w:id="30" w:name="_Toc237079520"/>
    </w:p>
    <w:p w:rsidR="002274AC">
      <w:pPr>
        <w:pStyle w:val="ReportLevel1"/>
        <w:keepLines/>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31" w:name="_Toc12510"/>
      <w:bookmarkStart w:id="32" w:name="_Toc116305060"/>
      <w:bookmarkStart w:id="33" w:name="_Toc8423"/>
      <w:r>
        <w:rPr>
          <w:rFonts w:asciiTheme="minorEastAsia" w:eastAsiaTheme="minorEastAsia" w:hAnsiTheme="minorEastAsia" w:cs="Arial"/>
          <w:sz w:val="21"/>
          <w:szCs w:val="21"/>
          <w:lang w:eastAsia="zh-CN"/>
        </w:rPr>
        <w:t>直流屏</w:t>
      </w:r>
      <w:bookmarkEnd w:id="29"/>
      <w:bookmarkEnd w:id="30"/>
      <w:bookmarkEnd w:id="31"/>
      <w:bookmarkEnd w:id="32"/>
      <w:bookmarkEnd w:id="33"/>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标准</w:t>
      </w:r>
    </w:p>
    <w:p w:rsidR="002274AC">
      <w:pPr>
        <w:pStyle w:val="level2"/>
        <w:keepLines/>
        <w:tabs>
          <w:tab w:val="left" w:pos="1440"/>
          <w:tab w:val="left" w:pos="2160"/>
          <w:tab w:val="left" w:pos="3780"/>
        </w:tabs>
        <w:spacing w:before="120" w:beforeLines="50" w:after="120" w:afterLines="50"/>
        <w:ind w:left="1080"/>
        <w:rPr>
          <w:rFonts w:asciiTheme="minorEastAsia" w:eastAsiaTheme="minorEastAsia" w:hAnsiTheme="minorEastAsia" w:cs="Arial"/>
          <w:sz w:val="21"/>
          <w:szCs w:val="21"/>
          <w:lang w:val="en-GB" w:eastAsia="zh-CN"/>
        </w:rPr>
      </w:pPr>
      <w:r>
        <w:rPr>
          <w:rFonts w:asciiTheme="minorEastAsia" w:eastAsiaTheme="minorEastAsia" w:hAnsiTheme="minorEastAsia" w:cs="Arial"/>
          <w:sz w:val="21"/>
          <w:szCs w:val="21"/>
          <w:lang w:val="en-GB" w:eastAsia="zh-CN"/>
        </w:rPr>
        <w:t>整个直流电源设备的设计和制造须符合下列标准：</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GB3859-1993</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半导体电力变流器</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GB7261-1987</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继电器及继电器保护装置基本试验方法</w:t>
      </w:r>
    </w:p>
    <w:p w:rsidR="002274AC">
      <w:pPr>
        <w:keepLines/>
        <w:numPr>
          <w:ilvl w:val="0"/>
          <w:numId w:val="47"/>
        </w:numPr>
        <w:tabs>
          <w:tab w:val="clear" w:pos="1440"/>
          <w:tab w:val="left" w:pos="1620"/>
          <w:tab w:val="left" w:pos="2160"/>
          <w:tab w:val="left" w:pos="3780"/>
        </w:tabs>
        <w:spacing w:before="120" w:beforeLines="50" w:after="120" w:afterLines="50"/>
        <w:ind w:left="4320" w:hanging="32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ZBK45020-90</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电力系统保护自动继电器及装置通用技术条件</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JB57774-91</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电力系统用镉镍蓄电池直流系统电源屏</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JB/T8451-1996</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固定型阀控密封式铅酸蓄电池</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GB/T19826-2005</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电力工程直流电源通用技术条件及安全要求</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DL/T781-2001</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电力用高频开关整流模块</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JB/T8456-1996</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低压开关设备</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GB/17478-1998</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低压直流设备的特性及安全要求</w:t>
      </w:r>
    </w:p>
    <w:p w:rsidR="002274AC">
      <w:pPr>
        <w:keepLines/>
        <w:numPr>
          <w:ilvl w:val="0"/>
          <w:numId w:val="47"/>
        </w:numPr>
        <w:tabs>
          <w:tab w:val="clear" w:pos="1440"/>
          <w:tab w:val="left" w:pos="1620"/>
          <w:tab w:val="left" w:pos="2160"/>
          <w:tab w:val="left" w:pos="3780"/>
        </w:tabs>
        <w:spacing w:before="120" w:beforeLines="50" w:after="120" w:afterLines="50"/>
        <w:ind w:left="1080" w:firstLine="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DL/T459-2000</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电力系统直流电源柜订货技术条件</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设备规格</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产品说明</w:t>
      </w:r>
    </w:p>
    <w:p w:rsidR="002274AC">
      <w:pPr>
        <w:keepLine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由高频开关整流器、蓄电池、馈出回路、保护与音响灯光报警回路及自动控制系统等组成的直流电源成套设备。正常运行时，可实现蓄电池组的在线充电或脱线充电；非正常运行时，保证合闸母线、控制母线不间断供电。</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蓄电池</w:t>
      </w:r>
    </w:p>
    <w:p w:rsidR="002274AC">
      <w:pPr>
        <w:keepLine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本条件中的蓄电池（以下简称为电池），主要是指固定式免维护密封型铅酸蓄电池（以下简称为铅酸电池）或固定式阀控密封型铅酸蓄电池（以下简称为阀控电池）。</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充电</w:t>
      </w:r>
    </w:p>
    <w:p w:rsidR="002274AC">
      <w:pPr>
        <w:keepLines/>
        <w:numPr>
          <w:ilvl w:val="1"/>
          <w:numId w:val="48"/>
        </w:numPr>
        <w:tabs>
          <w:tab w:val="left" w:pos="1800"/>
          <w:tab w:val="clear" w:pos="2736"/>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浮充电</w:t>
      </w:r>
    </w:p>
    <w:p w:rsidR="002274AC">
      <w:pPr>
        <w:keepLines/>
        <w:spacing w:before="120" w:beforeLines="50" w:after="120" w:afterLines="50"/>
        <w:ind w:left="1841" w:firstLine="1" w:leftChars="837"/>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在整流器的</w:t>
      </w:r>
      <w:r>
        <w:rPr>
          <w:rFonts w:asciiTheme="minorEastAsia" w:eastAsiaTheme="minorEastAsia" w:hAnsiTheme="minorEastAsia" w:cs="Arial"/>
          <w:sz w:val="21"/>
          <w:szCs w:val="21"/>
          <w:lang w:eastAsia="zh-CN"/>
        </w:rPr>
        <w:t>直流输出端同时接电池组和负载，正常工作时，在电池组上加一恒定电压，使之保持连续小电流充电状态，同时整流器也向负载供电；在交流电源停电或整流器故障时，以不断电的方式，由电池组向负载供电。</w:t>
      </w:r>
    </w:p>
    <w:p w:rsidR="002274AC">
      <w:pPr>
        <w:keepLines/>
        <w:numPr>
          <w:ilvl w:val="1"/>
          <w:numId w:val="48"/>
        </w:numPr>
        <w:tabs>
          <w:tab w:val="left" w:pos="1800"/>
          <w:tab w:val="clear" w:pos="2736"/>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初充电</w:t>
      </w:r>
    </w:p>
    <w:p w:rsidR="002274AC">
      <w:pPr>
        <w:keepLines/>
        <w:spacing w:before="120" w:beforeLines="50" w:after="120" w:afterLines="50"/>
        <w:ind w:left="1841" w:firstLine="1" w:leftChars="837"/>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铅酸电池投运前的充电，按厂家规定的条件及充电方法进行。</w:t>
      </w:r>
    </w:p>
    <w:p w:rsidR="002274AC">
      <w:pPr>
        <w:keepLines/>
        <w:numPr>
          <w:ilvl w:val="1"/>
          <w:numId w:val="48"/>
        </w:numPr>
        <w:tabs>
          <w:tab w:val="left" w:pos="1800"/>
          <w:tab w:val="clear" w:pos="2736"/>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均衡充电</w:t>
      </w:r>
    </w:p>
    <w:p w:rsidR="002274AC">
      <w:pPr>
        <w:keepLines/>
        <w:spacing w:before="120" w:beforeLines="50" w:after="120" w:afterLines="50"/>
        <w:ind w:left="1841" w:firstLine="1" w:leftChars="837"/>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浮充状态运行的电池组，当出现少量电池端电压与平均值有较大偏差、铅酸电池电解液密度与平均值有较大偏差时，则需进行均衡充电。以保持整组电池的电压、电解液密度均衡一致。</w:t>
      </w:r>
    </w:p>
    <w:p w:rsidR="002274AC">
      <w:pPr>
        <w:keepLines/>
        <w:numPr>
          <w:ilvl w:val="1"/>
          <w:numId w:val="48"/>
        </w:numPr>
        <w:tabs>
          <w:tab w:val="left" w:pos="1800"/>
          <w:tab w:val="clear" w:pos="2736"/>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补充充电</w:t>
      </w:r>
    </w:p>
    <w:p w:rsidR="002274AC">
      <w:pPr>
        <w:keepLines/>
        <w:numPr>
          <w:ilvl w:val="0"/>
          <w:numId w:val="49"/>
        </w:numPr>
        <w:tabs>
          <w:tab w:val="left" w:pos="1620"/>
        </w:tabs>
        <w:spacing w:before="120" w:beforeLines="50" w:after="120" w:afterLines="50"/>
        <w:jc w:val="both"/>
        <w:rPr>
          <w:rFonts w:asciiTheme="minorEastAsia" w:eastAsiaTheme="minorEastAsia" w:hAnsiTheme="minorEastAsia" w:cs="Arial"/>
          <w:sz w:val="21"/>
          <w:szCs w:val="21"/>
          <w:lang w:eastAsia="zh-CN"/>
        </w:rPr>
        <w:sectPr>
          <w:footerReference w:type="default" r:id="rId25"/>
          <w:type w:val="nextPage"/>
          <w:pgSz w:w="11906" w:h="16838"/>
          <w:pgMar w:top="1814" w:right="1418" w:bottom="1418" w:left="1814" w:header="851" w:footer="992" w:gutter="0"/>
          <w:pgNumType w:start="20"/>
          <w:cols w:space="425"/>
          <w:titlePg w:val="0"/>
          <w:docGrid w:linePitch="312"/>
        </w:sectPr>
      </w:pPr>
      <w:r>
        <w:rPr>
          <w:rFonts w:asciiTheme="minorEastAsia" w:eastAsiaTheme="minorEastAsia" w:hAnsiTheme="minorEastAsia" w:cs="Arial"/>
          <w:sz w:val="21"/>
          <w:szCs w:val="21"/>
          <w:lang w:eastAsia="zh-CN"/>
        </w:rPr>
        <w:t>贮存较长时间（</w:t>
      </w:r>
      <w:r>
        <w:rPr>
          <w:rFonts w:asciiTheme="minorEastAsia" w:eastAsiaTheme="minorEastAsia" w:hAnsiTheme="minorEastAsia" w:cs="Arial"/>
          <w:sz w:val="21"/>
          <w:szCs w:val="21"/>
          <w:lang w:eastAsia="zh-CN"/>
        </w:rPr>
        <w:t>2</w:t>
      </w:r>
      <w:r>
        <w:rPr>
          <w:rFonts w:asciiTheme="minorEastAsia" w:eastAsiaTheme="minorEastAsia" w:hAnsiTheme="minorEastAsia" w:cs="Arial"/>
          <w:sz w:val="21"/>
          <w:szCs w:val="21"/>
          <w:lang w:eastAsia="zh-CN"/>
        </w:rPr>
        <w:t>个月以上）的电池，为补充其静置时自放电损耗造成的容量损失，需进行定期补充充电。</w:t>
      </w:r>
    </w:p>
    <w:p w:rsidR="002274AC">
      <w:pPr>
        <w:keepLines/>
        <w:numPr>
          <w:ilvl w:val="0"/>
          <w:numId w:val="49"/>
        </w:numPr>
        <w:tabs>
          <w:tab w:val="left" w:pos="1620"/>
        </w:tabs>
        <w:spacing w:before="120" w:beforeLines="50"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运行中的电池组，在事故供电后需及时补充充电；当发现长期浮充运行的电池容量亏损时，应进行补充充电。</w:t>
      </w:r>
    </w:p>
    <w:p w:rsidR="002274AC">
      <w:pPr>
        <w:keepLines/>
        <w:numPr>
          <w:ilvl w:val="0"/>
          <w:numId w:val="49"/>
        </w:numPr>
        <w:tabs>
          <w:tab w:val="left" w:pos="1620"/>
        </w:tabs>
        <w:spacing w:before="120" w:beforeLines="50"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补充充电方法</w:t>
      </w:r>
    </w:p>
    <w:p w:rsidR="002274AC">
      <w:pPr>
        <w:keepLines/>
        <w:numPr>
          <w:ilvl w:val="0"/>
          <w:numId w:val="49"/>
        </w:numPr>
        <w:tabs>
          <w:tab w:val="left" w:pos="1620"/>
        </w:tabs>
        <w:spacing w:before="120" w:beforeLines="50" w:after="120" w:afterLines="5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在整流器不脱离负载的情况下，按限流一恒压方式给电池组充电。</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额定电压</w:t>
      </w:r>
    </w:p>
    <w:p w:rsidR="002274AC">
      <w:pPr>
        <w:keepLines/>
        <w:tabs>
          <w:tab w:val="left" w:pos="1080"/>
          <w:tab w:val="left" w:pos="1800"/>
          <w:tab w:val="left" w:pos="2160"/>
        </w:tab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额定电压（</w:t>
      </w:r>
      <w:r>
        <w:rPr>
          <w:rFonts w:asciiTheme="minorEastAsia" w:eastAsiaTheme="minorEastAsia" w:hAnsiTheme="minorEastAsia" w:cs="Arial"/>
          <w:sz w:val="21"/>
          <w:szCs w:val="21"/>
          <w:lang w:eastAsia="zh-CN"/>
        </w:rPr>
        <w:t>Ue</w:t>
      </w:r>
      <w:r>
        <w:rPr>
          <w:rFonts w:asciiTheme="minorEastAsia" w:eastAsiaTheme="minorEastAsia" w:hAnsiTheme="minorEastAsia" w:cs="Arial"/>
          <w:sz w:val="21"/>
          <w:szCs w:val="21"/>
          <w:lang w:eastAsia="zh-CN"/>
        </w:rPr>
        <w:t>）以控制母线的直流电压来表示。其数值为</w:t>
      </w:r>
      <w:r>
        <w:rPr>
          <w:rFonts w:asciiTheme="minorEastAsia" w:eastAsiaTheme="minorEastAsia" w:hAnsiTheme="minorEastAsia" w:cs="Arial"/>
          <w:sz w:val="21"/>
          <w:szCs w:val="21"/>
          <w:lang w:eastAsia="zh-CN"/>
        </w:rPr>
        <w:t>110V</w:t>
      </w:r>
      <w:r>
        <w:rPr>
          <w:rFonts w:asciiTheme="minorEastAsia" w:eastAsiaTheme="minorEastAsia" w:hAnsiTheme="minorEastAsia" w:cs="Arial"/>
          <w:sz w:val="21"/>
          <w:szCs w:val="21"/>
          <w:lang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额定电流</w:t>
      </w:r>
    </w:p>
    <w:p w:rsidR="002274AC">
      <w:pPr>
        <w:keepLines/>
        <w:tabs>
          <w:tab w:val="left" w:pos="1080"/>
          <w:tab w:val="left" w:pos="1800"/>
          <w:tab w:val="left" w:pos="2160"/>
        </w:tab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额定电流（</w:t>
      </w:r>
      <w:r>
        <w:rPr>
          <w:rFonts w:asciiTheme="minorEastAsia" w:eastAsiaTheme="minorEastAsia" w:hAnsiTheme="minorEastAsia" w:cs="Arial"/>
          <w:sz w:val="21"/>
          <w:szCs w:val="21"/>
          <w:lang w:eastAsia="zh-CN"/>
        </w:rPr>
        <w:t>Ie</w:t>
      </w:r>
      <w:r>
        <w:rPr>
          <w:rFonts w:asciiTheme="minorEastAsia" w:eastAsiaTheme="minorEastAsia" w:hAnsiTheme="minorEastAsia" w:cs="Arial"/>
          <w:sz w:val="21"/>
          <w:szCs w:val="21"/>
          <w:lang w:eastAsia="zh-CN"/>
        </w:rPr>
        <w:t>）以输出的标称电流为额定电流。</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短时冲击（合闸）电流</w:t>
      </w:r>
    </w:p>
    <w:p w:rsidR="002274AC">
      <w:pPr>
        <w:keepLines/>
        <w:numPr>
          <w:ilvl w:val="0"/>
          <w:numId w:val="50"/>
        </w:numPr>
        <w:tabs>
          <w:tab w:val="left" w:pos="1800"/>
          <w:tab w:val="left" w:pos="1843"/>
          <w:tab w:val="clear" w:pos="2736"/>
        </w:tabs>
        <w:spacing w:before="120" w:beforeLines="50" w:after="120" w:afterLines="50"/>
        <w:ind w:left="1843" w:hanging="835"/>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设备能够承受的</w:t>
      </w:r>
      <w:r>
        <w:rPr>
          <w:rFonts w:asciiTheme="minorEastAsia" w:eastAsiaTheme="minorEastAsia" w:hAnsiTheme="minorEastAsia" w:cs="Arial"/>
          <w:sz w:val="21"/>
          <w:szCs w:val="21"/>
          <w:lang w:eastAsia="zh-CN"/>
        </w:rPr>
        <w:t>2Ie</w:t>
      </w:r>
      <w:r>
        <w:rPr>
          <w:rFonts w:asciiTheme="minorEastAsia" w:eastAsiaTheme="minorEastAsia" w:hAnsiTheme="minorEastAsia" w:cs="Arial"/>
          <w:sz w:val="21"/>
          <w:szCs w:val="21"/>
          <w:lang w:eastAsia="zh-CN"/>
        </w:rPr>
        <w:t>以上的冲击电流，称为短时冲击电流。</w:t>
      </w:r>
    </w:p>
    <w:p w:rsidR="002274AC">
      <w:pPr>
        <w:keepLines/>
        <w:numPr>
          <w:ilvl w:val="0"/>
          <w:numId w:val="50"/>
        </w:numPr>
        <w:tabs>
          <w:tab w:val="left" w:pos="1800"/>
          <w:tab w:val="left" w:pos="1843"/>
          <w:tab w:val="clear" w:pos="2736"/>
        </w:tabs>
        <w:spacing w:before="120" w:beforeLines="50" w:after="120" w:afterLines="50"/>
        <w:ind w:left="1843" w:hanging="835"/>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由电池组提供、经合闸母线输出的，供高压数据电断路器电磁操动机构的短时合闸电流，称为短时合闸电流。其幅值应不小于</w:t>
      </w:r>
      <w:r>
        <w:rPr>
          <w:rFonts w:asciiTheme="minorEastAsia" w:eastAsiaTheme="minorEastAsia" w:hAnsiTheme="minorEastAsia" w:cs="Arial"/>
          <w:sz w:val="21"/>
          <w:szCs w:val="21"/>
          <w:lang w:eastAsia="zh-CN"/>
        </w:rPr>
        <w:t>200A</w:t>
      </w:r>
      <w:r>
        <w:rPr>
          <w:rFonts w:asciiTheme="minorEastAsia" w:eastAsiaTheme="minorEastAsia" w:hAnsiTheme="minorEastAsia" w:cs="Arial"/>
          <w:sz w:val="21"/>
          <w:szCs w:val="21"/>
          <w:lang w:eastAsia="zh-CN"/>
        </w:rPr>
        <w:t>。</w:t>
      </w:r>
    </w:p>
    <w:p w:rsidR="002274AC">
      <w:pPr>
        <w:keepLines/>
        <w:numPr>
          <w:ilvl w:val="0"/>
          <w:numId w:val="50"/>
        </w:numPr>
        <w:tabs>
          <w:tab w:val="left" w:pos="1800"/>
          <w:tab w:val="left" w:pos="1843"/>
          <w:tab w:val="clear" w:pos="2736"/>
        </w:tabs>
        <w:spacing w:before="120" w:beforeLines="50" w:after="120" w:afterLines="50"/>
        <w:ind w:left="1843" w:hanging="835"/>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代号</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C10-</w:t>
      </w:r>
      <w:r>
        <w:rPr>
          <w:rFonts w:asciiTheme="minorEastAsia" w:eastAsiaTheme="minorEastAsia" w:hAnsiTheme="minorEastAsia" w:cs="Arial"/>
          <w:sz w:val="21"/>
          <w:szCs w:val="21"/>
          <w:lang w:eastAsia="zh-CN"/>
        </w:rPr>
        <w:t>电池</w:t>
      </w:r>
      <w:r>
        <w:rPr>
          <w:rFonts w:asciiTheme="minorEastAsia" w:eastAsiaTheme="minorEastAsia" w:hAnsiTheme="minorEastAsia" w:cs="Arial"/>
          <w:sz w:val="21"/>
          <w:szCs w:val="21"/>
          <w:lang w:eastAsia="zh-CN"/>
        </w:rPr>
        <w:t>10h</w:t>
      </w:r>
      <w:r>
        <w:rPr>
          <w:rFonts w:asciiTheme="minorEastAsia" w:eastAsiaTheme="minorEastAsia" w:hAnsiTheme="minorEastAsia" w:cs="Arial"/>
          <w:sz w:val="21"/>
          <w:szCs w:val="21"/>
          <w:lang w:eastAsia="zh-CN"/>
        </w:rPr>
        <w:t>率额定容量，</w:t>
      </w:r>
      <w:r>
        <w:rPr>
          <w:rFonts w:asciiTheme="minorEastAsia" w:eastAsiaTheme="minorEastAsia" w:hAnsiTheme="minorEastAsia" w:cs="Arial"/>
          <w:sz w:val="21"/>
          <w:szCs w:val="21"/>
          <w:lang w:eastAsia="zh-CN"/>
        </w:rPr>
        <w:t>Ah</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C1-</w:t>
      </w:r>
      <w:r>
        <w:rPr>
          <w:rFonts w:asciiTheme="minorEastAsia" w:eastAsiaTheme="minorEastAsia" w:hAnsiTheme="minorEastAsia" w:cs="Arial"/>
          <w:sz w:val="21"/>
          <w:szCs w:val="21"/>
          <w:lang w:eastAsia="zh-CN"/>
        </w:rPr>
        <w:t>电池</w:t>
      </w:r>
      <w:r>
        <w:rPr>
          <w:rFonts w:asciiTheme="minorEastAsia" w:eastAsiaTheme="minorEastAsia" w:hAnsiTheme="minorEastAsia" w:cs="Arial"/>
          <w:sz w:val="21"/>
          <w:szCs w:val="21"/>
          <w:lang w:eastAsia="zh-CN"/>
        </w:rPr>
        <w:t>1h</w:t>
      </w:r>
      <w:r>
        <w:rPr>
          <w:rFonts w:asciiTheme="minorEastAsia" w:eastAsiaTheme="minorEastAsia" w:hAnsiTheme="minorEastAsia" w:cs="Arial"/>
          <w:sz w:val="21"/>
          <w:szCs w:val="21"/>
          <w:lang w:eastAsia="zh-CN"/>
        </w:rPr>
        <w:t>率额定容量，</w:t>
      </w:r>
      <w:r>
        <w:rPr>
          <w:rFonts w:asciiTheme="minorEastAsia" w:eastAsiaTheme="minorEastAsia" w:hAnsiTheme="minorEastAsia" w:cs="Arial"/>
          <w:sz w:val="21"/>
          <w:szCs w:val="21"/>
          <w:lang w:eastAsia="zh-CN"/>
        </w:rPr>
        <w:t>Ah</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Ct-</w:t>
      </w:r>
      <w:r>
        <w:rPr>
          <w:rFonts w:asciiTheme="minorEastAsia" w:eastAsiaTheme="minorEastAsia" w:hAnsiTheme="minorEastAsia" w:cs="Arial"/>
          <w:sz w:val="21"/>
          <w:szCs w:val="21"/>
          <w:lang w:eastAsia="zh-CN"/>
        </w:rPr>
        <w:t>电池实测容量，是放电电流</w:t>
      </w:r>
      <w:r>
        <w:rPr>
          <w:rFonts w:asciiTheme="minorEastAsia" w:eastAsiaTheme="minorEastAsia" w:hAnsiTheme="minorEastAsia" w:cs="Arial"/>
          <w:sz w:val="21"/>
          <w:szCs w:val="21"/>
          <w:lang w:eastAsia="zh-CN"/>
        </w:rPr>
        <w:t>I(A)</w:t>
      </w:r>
      <w:r>
        <w:rPr>
          <w:rFonts w:asciiTheme="minorEastAsia" w:eastAsiaTheme="minorEastAsia" w:hAnsiTheme="minorEastAsia" w:cs="Arial"/>
          <w:sz w:val="21"/>
          <w:szCs w:val="21"/>
          <w:lang w:eastAsia="zh-CN"/>
        </w:rPr>
        <w:t>与放电时间</w:t>
      </w:r>
      <w:r>
        <w:rPr>
          <w:rFonts w:asciiTheme="minorEastAsia" w:eastAsiaTheme="minorEastAsia" w:hAnsiTheme="minorEastAsia" w:cs="Arial"/>
          <w:sz w:val="21"/>
          <w:szCs w:val="21"/>
          <w:lang w:eastAsia="zh-CN"/>
        </w:rPr>
        <w:t>t(h)</w:t>
      </w:r>
      <w:r>
        <w:rPr>
          <w:rFonts w:asciiTheme="minorEastAsia" w:eastAsiaTheme="minorEastAsia" w:hAnsiTheme="minorEastAsia" w:cs="Arial"/>
          <w:sz w:val="21"/>
          <w:szCs w:val="21"/>
          <w:lang w:eastAsia="zh-CN"/>
        </w:rPr>
        <w:t>的乘积，</w:t>
      </w:r>
      <w:r>
        <w:rPr>
          <w:rFonts w:asciiTheme="minorEastAsia" w:eastAsiaTheme="minorEastAsia" w:hAnsiTheme="minorEastAsia" w:cs="Arial"/>
          <w:sz w:val="21"/>
          <w:szCs w:val="21"/>
          <w:lang w:eastAsia="zh-CN"/>
        </w:rPr>
        <w:t>Ah</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I10-</w:t>
      </w:r>
      <w:r>
        <w:rPr>
          <w:rFonts w:asciiTheme="minorEastAsia" w:eastAsiaTheme="minorEastAsia" w:hAnsiTheme="minorEastAsia" w:cs="Arial"/>
          <w:sz w:val="21"/>
          <w:szCs w:val="21"/>
          <w:lang w:eastAsia="zh-CN"/>
        </w:rPr>
        <w:t>电池</w:t>
      </w:r>
      <w:r>
        <w:rPr>
          <w:rFonts w:asciiTheme="minorEastAsia" w:eastAsiaTheme="minorEastAsia" w:hAnsiTheme="minorEastAsia" w:cs="Arial"/>
          <w:sz w:val="21"/>
          <w:szCs w:val="21"/>
          <w:lang w:eastAsia="zh-CN"/>
        </w:rPr>
        <w:t>10h</w:t>
      </w:r>
      <w:r>
        <w:rPr>
          <w:rFonts w:asciiTheme="minorEastAsia" w:eastAsiaTheme="minorEastAsia" w:hAnsiTheme="minorEastAsia" w:cs="Arial"/>
          <w:sz w:val="21"/>
          <w:szCs w:val="21"/>
          <w:lang w:eastAsia="zh-CN"/>
        </w:rPr>
        <w:t>率放电电流，数值为</w:t>
      </w:r>
      <w:r>
        <w:rPr>
          <w:rFonts w:asciiTheme="minorEastAsia" w:eastAsiaTheme="minorEastAsia" w:hAnsiTheme="minorEastAsia" w:cs="Arial"/>
          <w:sz w:val="21"/>
          <w:szCs w:val="21"/>
          <w:lang w:eastAsia="zh-CN"/>
        </w:rPr>
        <w:t>C10/10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A</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It-</w:t>
      </w:r>
      <w:r>
        <w:rPr>
          <w:rFonts w:asciiTheme="minorEastAsia" w:eastAsiaTheme="minorEastAsia" w:hAnsiTheme="minorEastAsia" w:cs="Arial"/>
          <w:sz w:val="21"/>
          <w:szCs w:val="21"/>
          <w:lang w:eastAsia="zh-CN"/>
        </w:rPr>
        <w:t>电池</w:t>
      </w:r>
      <w:r>
        <w:rPr>
          <w:rFonts w:asciiTheme="minorEastAsia" w:eastAsiaTheme="minorEastAsia" w:hAnsiTheme="minorEastAsia" w:cs="Arial"/>
          <w:sz w:val="21"/>
          <w:szCs w:val="21"/>
          <w:lang w:eastAsia="zh-CN"/>
        </w:rPr>
        <w:t>t(h)h</w:t>
      </w:r>
      <w:r>
        <w:rPr>
          <w:rFonts w:asciiTheme="minorEastAsia" w:eastAsiaTheme="minorEastAsia" w:hAnsiTheme="minorEastAsia" w:cs="Arial"/>
          <w:sz w:val="21"/>
          <w:szCs w:val="21"/>
          <w:lang w:eastAsia="zh-CN"/>
        </w:rPr>
        <w:t>率放电电流，数值为</w:t>
      </w:r>
      <w:r>
        <w:rPr>
          <w:rFonts w:asciiTheme="minorEastAsia" w:eastAsiaTheme="minorEastAsia" w:hAnsiTheme="minorEastAsia" w:cs="Arial"/>
          <w:sz w:val="21"/>
          <w:szCs w:val="21"/>
          <w:lang w:eastAsia="zh-CN"/>
        </w:rPr>
        <w:t>C10/t</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A</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Uf-</w:t>
      </w:r>
      <w:r>
        <w:rPr>
          <w:rFonts w:asciiTheme="minorEastAsia" w:eastAsiaTheme="minorEastAsia" w:hAnsiTheme="minorEastAsia" w:cs="Arial"/>
          <w:sz w:val="21"/>
          <w:szCs w:val="21"/>
          <w:lang w:eastAsia="zh-CN"/>
        </w:rPr>
        <w:t>浮充电时单体电池的充电电压，</w:t>
      </w:r>
      <w:r>
        <w:rPr>
          <w:rFonts w:asciiTheme="minorEastAsia" w:eastAsiaTheme="minorEastAsia" w:hAnsiTheme="minorEastAsia" w:cs="Arial"/>
          <w:sz w:val="21"/>
          <w:szCs w:val="21"/>
          <w:lang w:eastAsia="zh-CN"/>
        </w:rPr>
        <w:t>V</w:t>
      </w:r>
      <w:r>
        <w:rPr>
          <w:rFonts w:asciiTheme="minorEastAsia" w:eastAsiaTheme="minorEastAsia" w:hAnsiTheme="minorEastAsia" w:cs="Arial"/>
          <w:sz w:val="21"/>
          <w:szCs w:val="21"/>
          <w:lang w:eastAsia="zh-CN"/>
        </w:rPr>
        <w:t>。</w:t>
      </w:r>
    </w:p>
    <w:p w:rsidR="002274AC">
      <w:pPr>
        <w:keepLines/>
        <w:numPr>
          <w:ilvl w:val="0"/>
          <w:numId w:val="51"/>
        </w:numPr>
        <w:tabs>
          <w:tab w:val="left" w:pos="2520"/>
        </w:tabs>
        <w:spacing w:before="120" w:beforeLines="50" w:after="120" w:afterLines="50"/>
        <w:ind w:left="25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Ue-</w:t>
      </w:r>
      <w:r>
        <w:rPr>
          <w:rFonts w:asciiTheme="minorEastAsia" w:eastAsiaTheme="minorEastAsia" w:hAnsiTheme="minorEastAsia" w:cs="Arial"/>
          <w:sz w:val="21"/>
          <w:szCs w:val="21"/>
          <w:lang w:eastAsia="zh-CN"/>
        </w:rPr>
        <w:t>恒压充电时单体电池充电电压，</w:t>
      </w:r>
      <w:r>
        <w:rPr>
          <w:rFonts w:asciiTheme="minorEastAsia" w:eastAsiaTheme="minorEastAsia" w:hAnsiTheme="minorEastAsia" w:cs="Arial"/>
          <w:sz w:val="21"/>
          <w:szCs w:val="21"/>
          <w:lang w:eastAsia="zh-CN"/>
        </w:rPr>
        <w:t>V</w:t>
      </w:r>
      <w:r>
        <w:rPr>
          <w:rFonts w:asciiTheme="minorEastAsia" w:eastAsiaTheme="minorEastAsia" w:hAnsiTheme="minorEastAsia" w:cs="Arial"/>
          <w:sz w:val="21"/>
          <w:szCs w:val="21"/>
          <w:lang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产品工作制等级（负载等级）</w:t>
      </w:r>
    </w:p>
    <w:p w:rsidR="002274AC">
      <w:pPr>
        <w:keepLines/>
        <w:tabs>
          <w:tab w:val="left" w:pos="1080"/>
          <w:tab w:val="left" w:pos="2160"/>
        </w:tabs>
        <w:spacing w:before="120" w:beforeLines="50" w:after="120" w:afterLines="50"/>
        <w:ind w:left="108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不受设备工作方式的限</w:t>
      </w:r>
      <w:r>
        <w:rPr>
          <w:rFonts w:asciiTheme="minorEastAsia" w:eastAsiaTheme="minorEastAsia" w:hAnsiTheme="minorEastAsia" w:cs="Arial"/>
          <w:sz w:val="21"/>
          <w:szCs w:val="21"/>
          <w:lang w:eastAsia="zh-CN"/>
        </w:rPr>
        <w:t>制，设备的负载等级为</w:t>
      </w:r>
      <w:r>
        <w:rPr>
          <w:rFonts w:asciiTheme="minorEastAsia" w:eastAsiaTheme="minorEastAsia" w:hAnsiTheme="minorEastAsia" w:cs="Arial"/>
          <w:sz w:val="21"/>
          <w:szCs w:val="21"/>
          <w:lang w:eastAsia="zh-CN"/>
        </w:rPr>
        <w:t>I</w:t>
      </w:r>
      <w:r>
        <w:rPr>
          <w:rFonts w:asciiTheme="minorEastAsia" w:eastAsiaTheme="minorEastAsia" w:hAnsiTheme="minorEastAsia" w:cs="Arial"/>
          <w:sz w:val="21"/>
          <w:szCs w:val="21"/>
          <w:lang w:eastAsia="zh-CN"/>
        </w:rPr>
        <w:t>级，即</w:t>
      </w:r>
      <w:r>
        <w:rPr>
          <w:rFonts w:asciiTheme="minorEastAsia" w:eastAsiaTheme="minorEastAsia" w:hAnsiTheme="minorEastAsia" w:cs="Arial"/>
          <w:sz w:val="21"/>
          <w:szCs w:val="21"/>
          <w:lang w:eastAsia="zh-CN"/>
        </w:rPr>
        <w:t>100%</w:t>
      </w:r>
      <w:r>
        <w:rPr>
          <w:rFonts w:asciiTheme="minorEastAsia" w:eastAsiaTheme="minorEastAsia" w:hAnsiTheme="minorEastAsia" w:cs="Arial"/>
          <w:sz w:val="21"/>
          <w:szCs w:val="21"/>
          <w:lang w:eastAsia="zh-CN"/>
        </w:rPr>
        <w:t>额定输出电流连续工作制。</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交流电源</w:t>
      </w:r>
    </w:p>
    <w:p w:rsidR="002274AC">
      <w:pPr>
        <w:keepLines/>
        <w:numPr>
          <w:ilvl w:val="0"/>
          <w:numId w:val="52"/>
        </w:numPr>
        <w:tabs>
          <w:tab w:val="left" w:pos="1800"/>
          <w:tab w:val="clear" w:pos="1944"/>
        </w:tabs>
        <w:spacing w:before="120" w:beforeLines="50" w:after="120" w:afterLines="50"/>
        <w:ind w:left="1800" w:hanging="72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交流电源应为三相电源</w:t>
      </w:r>
      <w:r>
        <w:rPr>
          <w:rFonts w:asciiTheme="minorEastAsia" w:eastAsiaTheme="minorEastAsia" w:hAnsiTheme="minorEastAsia" w:cs="Arial"/>
          <w:sz w:val="21"/>
          <w:szCs w:val="21"/>
          <w:lang w:eastAsia="zh-CN"/>
        </w:rPr>
        <w:t>380V</w:t>
      </w:r>
      <w:r>
        <w:rPr>
          <w:rFonts w:asciiTheme="minorEastAsia" w:eastAsiaTheme="minorEastAsia" w:hAnsiTheme="minorEastAsia" w:cs="Arial"/>
          <w:sz w:val="21"/>
          <w:szCs w:val="21"/>
          <w:lang w:eastAsia="zh-CN"/>
        </w:rPr>
        <w:t>，三相四线制、持续波动范围不超过额定值的</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+15%</w:t>
      </w:r>
      <w:r>
        <w:rPr>
          <w:rFonts w:asciiTheme="minorEastAsia" w:eastAsiaTheme="minorEastAsia" w:hAnsiTheme="minorEastAsia" w:cs="Arial"/>
          <w:sz w:val="21"/>
          <w:szCs w:val="21"/>
          <w:lang w:eastAsia="zh-CN"/>
        </w:rPr>
        <w:t>，电网频率为</w:t>
      </w:r>
      <w:r>
        <w:rPr>
          <w:rFonts w:asciiTheme="minorEastAsia" w:eastAsiaTheme="minorEastAsia" w:hAnsiTheme="minorEastAsia" w:cs="Arial"/>
          <w:sz w:val="21"/>
          <w:szCs w:val="21"/>
          <w:lang w:eastAsia="zh-CN"/>
        </w:rPr>
        <w:t>50±1Hz</w:t>
      </w:r>
      <w:r>
        <w:rPr>
          <w:rFonts w:asciiTheme="minorEastAsia" w:eastAsiaTheme="minorEastAsia" w:hAnsiTheme="minorEastAsia" w:cs="Arial"/>
          <w:sz w:val="21"/>
          <w:szCs w:val="21"/>
          <w:lang w:eastAsia="zh-CN"/>
        </w:rPr>
        <w:t>。无相序要求。三相电源缺相应发出声光报警信号。</w:t>
      </w:r>
    </w:p>
    <w:p w:rsidR="002274AC">
      <w:pPr>
        <w:keepLines/>
        <w:numPr>
          <w:ilvl w:val="0"/>
          <w:numId w:val="52"/>
        </w:numPr>
        <w:tabs>
          <w:tab w:val="left" w:pos="1800"/>
          <w:tab w:val="clear" w:pos="1944"/>
        </w:tabs>
        <w:spacing w:before="120" w:beforeLines="50" w:after="120" w:afterLines="50"/>
        <w:ind w:left="1800" w:hanging="72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成套设备应可输入双路交流电源。双路交流电源互为备用、自动投切，并可任选一路为工作电源。</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柜体外壳防护等级不低于</w:t>
      </w:r>
      <w:r>
        <w:rPr>
          <w:rFonts w:asciiTheme="minorEastAsia" w:eastAsiaTheme="minorEastAsia" w:hAnsiTheme="minorEastAsia" w:cs="Arial"/>
          <w:sz w:val="21"/>
          <w:szCs w:val="21"/>
          <w:lang w:eastAsia="zh-CN"/>
        </w:rPr>
        <w:t>IP20</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高频开关整流器</w:t>
      </w:r>
    </w:p>
    <w:p w:rsidR="002274AC">
      <w:pPr>
        <w:keepLines/>
        <w:numPr>
          <w:ilvl w:val="0"/>
          <w:numId w:val="53"/>
        </w:numPr>
        <w:tabs>
          <w:tab w:val="left" w:pos="1800"/>
          <w:tab w:val="clear" w:pos="3024"/>
        </w:tabs>
        <w:spacing w:before="120" w:beforeLines="50" w:after="120" w:afterLines="50"/>
        <w:ind w:left="1800" w:hanging="720"/>
        <w:jc w:val="both"/>
        <w:rPr>
          <w:rFonts w:asciiTheme="minorEastAsia" w:eastAsiaTheme="minorEastAsia" w:hAnsiTheme="minorEastAsia" w:cs="Arial"/>
          <w:sz w:val="21"/>
          <w:szCs w:val="21"/>
          <w:lang w:val="en-US" w:eastAsia="zh-CN"/>
        </w:rPr>
        <w:sectPr>
          <w:footerReference w:type="default" r:id="rId26"/>
          <w:type w:val="nextPage"/>
          <w:pgSz w:w="11906" w:h="16838"/>
          <w:pgMar w:top="1814" w:right="1418" w:bottom="1418" w:left="1814" w:header="851" w:footer="992" w:gutter="0"/>
          <w:pgNumType w:start="21"/>
          <w:cols w:space="425"/>
          <w:titlePg w:val="0"/>
          <w:docGrid w:linePitch="312"/>
        </w:sectPr>
      </w:pPr>
      <w:r>
        <w:rPr>
          <w:rFonts w:asciiTheme="minorEastAsia" w:eastAsiaTheme="minorEastAsia" w:hAnsiTheme="minorEastAsia" w:cs="Arial"/>
          <w:sz w:val="21"/>
          <w:szCs w:val="21"/>
          <w:lang w:eastAsia="zh-CN"/>
        </w:rPr>
        <w:t>整流器必须满足电池组充电、浮充电特性的要求，能承受</w:t>
      </w:r>
      <w:r>
        <w:rPr>
          <w:rFonts w:asciiTheme="minorEastAsia" w:eastAsiaTheme="minorEastAsia" w:hAnsiTheme="minorEastAsia" w:cs="Arial"/>
          <w:sz w:val="21"/>
          <w:szCs w:val="21"/>
          <w:lang w:eastAsia="zh-CN"/>
        </w:rPr>
        <w:t>2Ie</w:t>
      </w:r>
      <w:r>
        <w:rPr>
          <w:rFonts w:asciiTheme="minorEastAsia" w:eastAsiaTheme="minorEastAsia" w:hAnsiTheme="minorEastAsia" w:cs="Arial"/>
          <w:sz w:val="21"/>
          <w:szCs w:val="21"/>
          <w:lang w:eastAsia="zh-CN"/>
        </w:rPr>
        <w:t>以上的短时冲击电流，并具有软启动特性。</w:t>
      </w:r>
    </w:p>
    <w:p w:rsidR="002274AC">
      <w:pPr>
        <w:keepNext/>
        <w:keepLines/>
        <w:numPr>
          <w:ilvl w:val="0"/>
          <w:numId w:val="53"/>
        </w:numPr>
        <w:tabs>
          <w:tab w:val="left" w:pos="1800"/>
          <w:tab w:val="clear" w:pos="3024"/>
        </w:tabs>
        <w:spacing w:before="120" w:beforeLines="50" w:after="120" w:afterLines="50"/>
        <w:ind w:left="1797" w:hanging="72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在充电状态运行时，应按限流（稳流）一恒压方式自动完成对电池组的充电补充充电或均衡充电。</w:t>
      </w:r>
    </w:p>
    <w:p w:rsidR="002274AC">
      <w:pPr>
        <w:keepLines/>
        <w:tabs>
          <w:tab w:val="left" w:pos="2520"/>
        </w:tabs>
        <w:spacing w:before="120" w:beforeLines="50" w:after="120" w:afterLines="50"/>
        <w:ind w:left="2517" w:hanging="72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a)</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在稳流状态下，输出电压在（</w:t>
      </w:r>
      <w:r>
        <w:rPr>
          <w:rFonts w:asciiTheme="minorEastAsia" w:eastAsiaTheme="minorEastAsia" w:hAnsiTheme="minorEastAsia" w:cs="Arial"/>
          <w:sz w:val="21"/>
          <w:szCs w:val="21"/>
          <w:lang w:eastAsia="zh-CN"/>
        </w:rPr>
        <w:t>80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130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额定值范围内，交流电压在额定值的</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+15%</w:t>
      </w:r>
      <w:r>
        <w:rPr>
          <w:rFonts w:asciiTheme="minorEastAsia" w:eastAsiaTheme="minorEastAsia" w:hAnsiTheme="minorEastAsia" w:cs="Arial"/>
          <w:sz w:val="21"/>
          <w:szCs w:val="21"/>
          <w:lang w:eastAsia="zh-CN"/>
        </w:rPr>
        <w:t>范围内变化，输出电流在（</w:t>
      </w:r>
      <w:r>
        <w:rPr>
          <w:rFonts w:asciiTheme="minorEastAsia" w:eastAsiaTheme="minorEastAsia" w:hAnsiTheme="minorEastAsia" w:cs="Arial"/>
          <w:sz w:val="21"/>
          <w:szCs w:val="21"/>
          <w:lang w:eastAsia="zh-CN"/>
        </w:rPr>
        <w:t>0.1</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Ie</w:t>
      </w:r>
      <w:r>
        <w:rPr>
          <w:rFonts w:asciiTheme="minorEastAsia" w:eastAsiaTheme="minorEastAsia" w:hAnsiTheme="minorEastAsia" w:cs="Arial"/>
          <w:sz w:val="21"/>
          <w:szCs w:val="21"/>
          <w:lang w:eastAsia="zh-CN"/>
        </w:rPr>
        <w:t>范围内任一点上保持稳定，其稳流精度应不大于</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，输出电压纹波系数应小于</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w:t>
      </w:r>
    </w:p>
    <w:p w:rsidR="002274AC">
      <w:pPr>
        <w:keepLines/>
        <w:tabs>
          <w:tab w:val="left" w:pos="2520"/>
        </w:tabs>
        <w:spacing w:before="120" w:beforeLines="50" w:after="120" w:afterLines="50"/>
        <w:ind w:left="252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b)</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在稳压状态下，交流电压在规定范围内变化，输出电流在</w:t>
      </w:r>
      <w:r>
        <w:rPr>
          <w:rFonts w:asciiTheme="minorEastAsia" w:eastAsiaTheme="minorEastAsia" w:hAnsiTheme="minorEastAsia" w:cs="Arial"/>
          <w:sz w:val="21"/>
          <w:szCs w:val="21"/>
          <w:lang w:eastAsia="zh-CN"/>
        </w:rPr>
        <w:t>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100%</w:t>
      </w:r>
      <w:r>
        <w:rPr>
          <w:rFonts w:asciiTheme="minorEastAsia" w:eastAsiaTheme="minorEastAsia" w:hAnsiTheme="minorEastAsia" w:cs="Arial"/>
          <w:sz w:val="21"/>
          <w:szCs w:val="21"/>
          <w:lang w:eastAsia="zh-CN"/>
        </w:rPr>
        <w:t>额定值范围内变化时，输出电压在额定值的（</w:t>
      </w:r>
      <w:r>
        <w:rPr>
          <w:rFonts w:asciiTheme="minorEastAsia" w:eastAsiaTheme="minorEastAsia" w:hAnsiTheme="minorEastAsia" w:cs="Arial"/>
          <w:sz w:val="21"/>
          <w:szCs w:val="21"/>
          <w:lang w:eastAsia="zh-CN"/>
        </w:rPr>
        <w:t>80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130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范围内任一点上保持稳定，其稳压精度应不大于</w:t>
      </w:r>
      <w:r>
        <w:rPr>
          <w:rFonts w:asciiTheme="minorEastAsia" w:eastAsiaTheme="minorEastAsia" w:hAnsiTheme="minorEastAsia" w:cs="Arial"/>
          <w:sz w:val="21"/>
          <w:szCs w:val="21"/>
          <w:lang w:eastAsia="zh-CN"/>
        </w:rPr>
        <w:t>±0.5%</w:t>
      </w:r>
      <w:r>
        <w:rPr>
          <w:rFonts w:asciiTheme="minorEastAsia" w:eastAsiaTheme="minorEastAsia" w:hAnsiTheme="minorEastAsia" w:cs="Arial"/>
          <w:sz w:val="21"/>
          <w:szCs w:val="21"/>
          <w:lang w:eastAsia="zh-CN"/>
        </w:rPr>
        <w:t>，输出电压纹波系数应小于</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w:t>
      </w:r>
    </w:p>
    <w:p w:rsidR="002274AC">
      <w:pPr>
        <w:keepLines/>
        <w:numPr>
          <w:ilvl w:val="0"/>
          <w:numId w:val="53"/>
        </w:numPr>
        <w:tabs>
          <w:tab w:val="left" w:pos="1800"/>
        </w:tabs>
        <w:spacing w:before="120" w:beforeLines="50" w:after="120" w:afterLines="50"/>
        <w:ind w:hanging="1944"/>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充电与浮充电方式转换</w:t>
      </w:r>
    </w:p>
    <w:p w:rsidR="002274AC">
      <w:pPr>
        <w:keepLines/>
        <w:numPr>
          <w:ilvl w:val="1"/>
          <w:numId w:val="53"/>
        </w:numPr>
        <w:spacing w:before="120" w:beforeLines="50" w:after="120" w:afterLines="50"/>
        <w:ind w:left="252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具有全自动控制方式及手动转换控制选择及功能。在</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自动</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方式时，电池组放电过程结束，交流恢复供电后，整流器按限流一恒压之设定条件自动转入充电状态工作；当电池组充电过程完成后，整流器按稳压之设定条件自动转入浮充电状态工作。在</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手动</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方式时，应可方便地调整充电限流值、充电稳压值和浮充电压值。</w:t>
      </w:r>
    </w:p>
    <w:p w:rsidR="002274AC">
      <w:pPr>
        <w:keepLines/>
        <w:numPr>
          <w:ilvl w:val="1"/>
          <w:numId w:val="53"/>
        </w:numPr>
        <w:spacing w:before="120" w:beforeLines="50" w:after="120" w:afterLines="50"/>
        <w:ind w:left="252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在进行浮充充电自动转换时，转换电流动作值精度应不超过整定值的</w:t>
      </w:r>
      <w:r>
        <w:rPr>
          <w:rFonts w:asciiTheme="minorEastAsia" w:eastAsiaTheme="minorEastAsia" w:hAnsiTheme="minorEastAsia" w:cs="Arial"/>
          <w:sz w:val="21"/>
          <w:szCs w:val="21"/>
          <w:lang w:eastAsia="zh-CN"/>
        </w:rPr>
        <w:t>±5%</w:t>
      </w:r>
      <w:r>
        <w:rPr>
          <w:rFonts w:asciiTheme="minorEastAsia" w:eastAsiaTheme="minorEastAsia" w:hAnsiTheme="minorEastAsia" w:cs="Arial"/>
          <w:sz w:val="21"/>
          <w:szCs w:val="21"/>
          <w:lang w:eastAsia="zh-CN"/>
        </w:rPr>
        <w:t>；当充电开始进入恒压阶段时，恒压动作值精度应不超过整定值的</w:t>
      </w:r>
      <w:r>
        <w:rPr>
          <w:rFonts w:asciiTheme="minorEastAsia" w:eastAsiaTheme="minorEastAsia" w:hAnsiTheme="minorEastAsia" w:cs="Arial"/>
          <w:sz w:val="21"/>
          <w:szCs w:val="21"/>
          <w:lang w:eastAsia="zh-CN"/>
        </w:rPr>
        <w:t>±5%</w:t>
      </w:r>
      <w:r>
        <w:rPr>
          <w:rFonts w:asciiTheme="minorEastAsia" w:eastAsiaTheme="minorEastAsia" w:hAnsiTheme="minorEastAsia" w:cs="Arial"/>
          <w:sz w:val="21"/>
          <w:szCs w:val="21"/>
          <w:lang w:eastAsia="zh-CN"/>
        </w:rPr>
        <w:t>。</w:t>
      </w:r>
    </w:p>
    <w:p w:rsidR="002274AC">
      <w:pPr>
        <w:keepLines/>
        <w:numPr>
          <w:ilvl w:val="1"/>
          <w:numId w:val="53"/>
        </w:numPr>
        <w:spacing w:before="120" w:beforeLines="50" w:after="120" w:afterLines="50"/>
        <w:ind w:left="252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整流器应具有过压、欠压、缺相、过流故障报警及温度补偿功能，过压、欠压保护动作电压误差不大于整定值的</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，其返回系数过压不小于整定值的</w:t>
      </w:r>
      <w:r>
        <w:rPr>
          <w:rFonts w:asciiTheme="minorEastAsia" w:eastAsiaTheme="minorEastAsia" w:hAnsiTheme="minorEastAsia" w:cs="Arial"/>
          <w:sz w:val="21"/>
          <w:szCs w:val="21"/>
          <w:lang w:eastAsia="zh-CN"/>
        </w:rPr>
        <w:t>99%</w:t>
      </w:r>
      <w:r>
        <w:rPr>
          <w:rFonts w:asciiTheme="minorEastAsia" w:eastAsiaTheme="minorEastAsia" w:hAnsiTheme="minorEastAsia" w:cs="Arial"/>
          <w:sz w:val="21"/>
          <w:szCs w:val="21"/>
          <w:lang w:eastAsia="zh-CN"/>
        </w:rPr>
        <w:t>，欠压不大于整定值的</w:t>
      </w:r>
      <w:r>
        <w:rPr>
          <w:rFonts w:asciiTheme="minorEastAsia" w:eastAsiaTheme="minorEastAsia" w:hAnsiTheme="minorEastAsia" w:cs="Arial"/>
          <w:sz w:val="21"/>
          <w:szCs w:val="21"/>
          <w:lang w:eastAsia="zh-CN"/>
        </w:rPr>
        <w:t>101%</w:t>
      </w:r>
      <w:r>
        <w:rPr>
          <w:rFonts w:asciiTheme="minorEastAsia" w:eastAsiaTheme="minorEastAsia" w:hAnsiTheme="minorEastAsia" w:cs="Arial"/>
          <w:sz w:val="21"/>
          <w:szCs w:val="21"/>
          <w:lang w:eastAsia="zh-CN"/>
        </w:rPr>
        <w:t>功能。其中之一动作时，发出</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整流器故障</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后整流器掉闸，并可向远方传送信号。</w:t>
      </w:r>
    </w:p>
    <w:p w:rsidR="002274AC">
      <w:pPr>
        <w:keepLines/>
        <w:numPr>
          <w:ilvl w:val="1"/>
          <w:numId w:val="53"/>
        </w:numPr>
        <w:spacing w:before="120" w:beforeLines="50" w:after="120" w:afterLines="50"/>
        <w:ind w:left="252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可按制造厂规定的条件及充电方法完成电池组的初充电。</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电池</w:t>
      </w:r>
    </w:p>
    <w:p w:rsidR="002274AC">
      <w:pPr>
        <w:keepLines/>
        <w:tabs>
          <w:tab w:val="left" w:pos="1080"/>
          <w:tab w:val="left" w:pos="1620"/>
          <w:tab w:val="left" w:pos="2160"/>
        </w:tab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阀控电池</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a)</w:t>
      </w:r>
      <w:r>
        <w:rPr>
          <w:rFonts w:asciiTheme="minorEastAsia" w:eastAsiaTheme="minorEastAsia" w:hAnsiTheme="minorEastAsia" w:cs="Arial"/>
          <w:sz w:val="21"/>
          <w:szCs w:val="21"/>
          <w:lang w:eastAsia="zh-CN"/>
        </w:rPr>
        <w:tab/>
        <w:t>100Ah</w:t>
      </w:r>
      <w:r>
        <w:rPr>
          <w:rFonts w:asciiTheme="minorEastAsia" w:eastAsiaTheme="minorEastAsia" w:hAnsiTheme="minorEastAsia" w:cs="Arial"/>
          <w:sz w:val="21"/>
          <w:szCs w:val="21"/>
          <w:lang w:eastAsia="zh-CN"/>
        </w:rPr>
        <w:t>及以上容量的阀控电池，应选用</w:t>
      </w:r>
      <w:r>
        <w:rPr>
          <w:rFonts w:asciiTheme="minorEastAsia" w:eastAsiaTheme="minorEastAsia" w:hAnsiTheme="minorEastAsia" w:cs="Arial"/>
          <w:sz w:val="21"/>
          <w:szCs w:val="21"/>
          <w:lang w:eastAsia="zh-CN"/>
        </w:rPr>
        <w:t>2V</w:t>
      </w:r>
      <w:r>
        <w:rPr>
          <w:rFonts w:asciiTheme="minorEastAsia" w:eastAsiaTheme="minorEastAsia" w:hAnsiTheme="minorEastAsia" w:cs="Arial"/>
          <w:sz w:val="21"/>
          <w:szCs w:val="21"/>
          <w:lang w:eastAsia="zh-CN"/>
        </w:rPr>
        <w:t>单体电池。</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b)</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电池应立式安装，不提倡卧式放置。</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c)</w:t>
      </w:r>
      <w:r>
        <w:rPr>
          <w:rFonts w:asciiTheme="minorEastAsia" w:eastAsiaTheme="minorEastAsia" w:hAnsiTheme="minorEastAsia" w:cs="Arial"/>
          <w:sz w:val="21"/>
          <w:szCs w:val="21"/>
          <w:lang w:val="en-US" w:eastAsia="zh-CN"/>
        </w:rPr>
        <w:tab/>
      </w:r>
      <w:r>
        <w:rPr>
          <w:rFonts w:asciiTheme="minorEastAsia" w:eastAsiaTheme="minorEastAsia" w:hAnsiTheme="minorEastAsia" w:cs="Arial"/>
          <w:sz w:val="21"/>
          <w:szCs w:val="21"/>
          <w:lang w:eastAsia="zh-CN"/>
        </w:rPr>
        <w:t>选用的阀控电池，应在电力系统所属变电站有二年及以上运行时间，并具有运行单位盖章签字的运行报告。</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d)</w:t>
      </w:r>
      <w:r>
        <w:rPr>
          <w:rFonts w:asciiTheme="minorEastAsia" w:eastAsiaTheme="minorEastAsia" w:hAnsiTheme="minorEastAsia" w:cs="Arial"/>
          <w:sz w:val="21"/>
          <w:szCs w:val="21"/>
          <w:lang w:val="en-US" w:eastAsia="zh-CN"/>
        </w:rPr>
        <w:tab/>
      </w:r>
      <w:r>
        <w:rPr>
          <w:rFonts w:asciiTheme="minorEastAsia" w:eastAsiaTheme="minorEastAsia" w:hAnsiTheme="minorEastAsia" w:cs="Arial"/>
          <w:sz w:val="21"/>
          <w:szCs w:val="21"/>
          <w:lang w:eastAsia="zh-CN"/>
        </w:rPr>
        <w:t>阀控电池应具有连续输出</w:t>
      </w:r>
      <w:r>
        <w:rPr>
          <w:rFonts w:asciiTheme="minorEastAsia" w:eastAsiaTheme="minorEastAsia" w:hAnsiTheme="minorEastAsia" w:cs="Arial"/>
          <w:sz w:val="21"/>
          <w:szCs w:val="21"/>
          <w:lang w:eastAsia="zh-CN"/>
        </w:rPr>
        <w:t>2C10A</w:t>
      </w:r>
      <w:r>
        <w:rPr>
          <w:rFonts w:asciiTheme="minorEastAsia" w:eastAsiaTheme="minorEastAsia" w:hAnsiTheme="minorEastAsia" w:cs="Arial"/>
          <w:sz w:val="21"/>
          <w:szCs w:val="21"/>
          <w:lang w:eastAsia="zh-CN"/>
        </w:rPr>
        <w:t>以上短时冲击电流的能力，其连接部位的极柱、连接板的强度应有足够的抗冲击能力。</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e)</w:t>
      </w:r>
      <w:r>
        <w:rPr>
          <w:rFonts w:asciiTheme="minorEastAsia" w:eastAsiaTheme="minorEastAsia" w:hAnsiTheme="minorEastAsia" w:cs="Arial"/>
          <w:sz w:val="21"/>
          <w:szCs w:val="21"/>
          <w:lang w:val="en-US" w:eastAsia="zh-CN"/>
        </w:rPr>
        <w:tab/>
      </w:r>
      <w:r>
        <w:rPr>
          <w:rFonts w:asciiTheme="minorEastAsia" w:eastAsiaTheme="minorEastAsia" w:hAnsiTheme="minorEastAsia" w:cs="Arial"/>
          <w:sz w:val="21"/>
          <w:szCs w:val="21"/>
          <w:lang w:eastAsia="zh-CN"/>
        </w:rPr>
        <w:t>为保证阀控电池的使用寿命，厂家提供的</w:t>
      </w:r>
      <w:r>
        <w:rPr>
          <w:rFonts w:asciiTheme="minorEastAsia" w:eastAsiaTheme="minorEastAsia" w:hAnsiTheme="minorEastAsia" w:cs="Arial"/>
          <w:sz w:val="21"/>
          <w:szCs w:val="21"/>
          <w:lang w:eastAsia="zh-CN"/>
        </w:rPr>
        <w:t>100Ah12V</w:t>
      </w:r>
      <w:r>
        <w:rPr>
          <w:rFonts w:asciiTheme="minorEastAsia" w:eastAsiaTheme="minorEastAsia" w:hAnsiTheme="minorEastAsia" w:cs="Arial"/>
          <w:sz w:val="21"/>
          <w:szCs w:val="21"/>
          <w:lang w:eastAsia="zh-CN"/>
        </w:rPr>
        <w:t>阀控电池正极板栅的厚度不得小于</w:t>
      </w:r>
      <w:r>
        <w:rPr>
          <w:rFonts w:asciiTheme="minorEastAsia" w:eastAsiaTheme="minorEastAsia" w:hAnsiTheme="minorEastAsia" w:cs="Arial"/>
          <w:sz w:val="21"/>
          <w:szCs w:val="21"/>
          <w:lang w:eastAsia="zh-CN"/>
        </w:rPr>
        <w:t>3.5mm</w:t>
      </w:r>
      <w:r>
        <w:rPr>
          <w:rFonts w:asciiTheme="minorEastAsia" w:eastAsiaTheme="minorEastAsia" w:hAnsiTheme="minorEastAsia" w:cs="Arial"/>
          <w:sz w:val="21"/>
          <w:szCs w:val="21"/>
          <w:lang w:eastAsia="zh-CN"/>
        </w:rPr>
        <w:t>。</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val="en-US" w:eastAsia="zh-CN"/>
        </w:rPr>
        <w:t>f)</w:t>
      </w:r>
      <w:r>
        <w:rPr>
          <w:rFonts w:asciiTheme="minorEastAsia" w:eastAsiaTheme="minorEastAsia" w:hAnsiTheme="minorEastAsia" w:cs="Arial"/>
          <w:sz w:val="21"/>
          <w:szCs w:val="21"/>
          <w:lang w:val="en-US" w:eastAsia="zh-CN"/>
        </w:rPr>
        <w:tab/>
      </w:r>
      <w:r>
        <w:rPr>
          <w:rFonts w:asciiTheme="minorEastAsia" w:eastAsiaTheme="minorEastAsia" w:hAnsiTheme="minorEastAsia" w:cs="Arial"/>
          <w:sz w:val="21"/>
          <w:szCs w:val="21"/>
          <w:lang w:eastAsia="zh-CN"/>
        </w:rPr>
        <w:t>阀控电池从组装到出厂不得超过一个月，厂家应提供电池出厂试验报告。</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val="en-US" w:eastAsia="zh-CN"/>
        </w:rPr>
        <w:t>g)</w:t>
      </w:r>
      <w:r>
        <w:rPr>
          <w:rFonts w:asciiTheme="minorEastAsia" w:eastAsiaTheme="minorEastAsia" w:hAnsiTheme="minorEastAsia" w:cs="Arial"/>
          <w:sz w:val="21"/>
          <w:szCs w:val="21"/>
          <w:lang w:val="en-US" w:eastAsia="zh-CN"/>
        </w:rPr>
        <w:tab/>
      </w:r>
      <w:r>
        <w:rPr>
          <w:rFonts w:asciiTheme="minorEastAsia" w:eastAsiaTheme="minorEastAsia" w:hAnsiTheme="minorEastAsia" w:cs="Arial"/>
          <w:sz w:val="21"/>
          <w:szCs w:val="21"/>
          <w:lang w:eastAsia="zh-CN"/>
        </w:rPr>
        <w:t>阀控电池在正常运行条件下，一年内若出现浮充电压偏差大（</w:t>
      </w:r>
      <w:r>
        <w:rPr>
          <w:rFonts w:asciiTheme="minorEastAsia" w:eastAsiaTheme="minorEastAsia" w:hAnsiTheme="minorEastAsia" w:cs="Arial"/>
          <w:sz w:val="21"/>
          <w:szCs w:val="21"/>
          <w:lang w:eastAsia="zh-CN"/>
        </w:rPr>
        <w:t>2V</w:t>
      </w:r>
      <w:r>
        <w:rPr>
          <w:rFonts w:asciiTheme="minorEastAsia" w:eastAsiaTheme="minorEastAsia" w:hAnsiTheme="minorEastAsia" w:cs="Arial"/>
          <w:sz w:val="21"/>
          <w:szCs w:val="21"/>
          <w:lang w:eastAsia="zh-CN"/>
        </w:rPr>
        <w:t>单体电池端电压与平均值最大偏差不得大于</w:t>
      </w:r>
      <w:r>
        <w:rPr>
          <w:rFonts w:asciiTheme="minorEastAsia" w:eastAsiaTheme="minorEastAsia" w:hAnsiTheme="minorEastAsia" w:cs="Arial"/>
          <w:sz w:val="21"/>
          <w:szCs w:val="21"/>
          <w:lang w:eastAsia="zh-CN"/>
        </w:rPr>
        <w:t>±0.05V</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2V</w:t>
      </w:r>
      <w:r>
        <w:rPr>
          <w:rFonts w:asciiTheme="minorEastAsia" w:eastAsiaTheme="minorEastAsia" w:hAnsiTheme="minorEastAsia" w:cs="Arial"/>
          <w:sz w:val="21"/>
          <w:szCs w:val="21"/>
          <w:lang w:eastAsia="zh-CN"/>
        </w:rPr>
        <w:t>单体电</w:t>
      </w:r>
      <w:r>
        <w:rPr>
          <w:rFonts w:asciiTheme="minorEastAsia" w:eastAsiaTheme="minorEastAsia" w:hAnsiTheme="minorEastAsia" w:cs="Arial"/>
          <w:sz w:val="21"/>
          <w:szCs w:val="21"/>
          <w:lang w:eastAsia="zh-CN"/>
        </w:rPr>
        <w:t>池偏差不得大</w:t>
      </w:r>
      <w:r>
        <w:rPr>
          <w:rFonts w:asciiTheme="minorEastAsia" w:eastAsiaTheme="minorEastAsia" w:hAnsiTheme="minorEastAsia" w:cs="Arial"/>
          <w:sz w:val="21"/>
          <w:szCs w:val="21"/>
          <w:lang w:eastAsia="zh-CN"/>
        </w:rPr>
        <w:t>±0.3V</w:t>
      </w:r>
      <w:r>
        <w:rPr>
          <w:rFonts w:asciiTheme="minorEastAsia" w:eastAsiaTheme="minorEastAsia" w:hAnsiTheme="minorEastAsia" w:cs="Arial"/>
          <w:sz w:val="21"/>
          <w:szCs w:val="21"/>
          <w:lang w:eastAsia="zh-CN"/>
        </w:rPr>
        <w:t>）、内部断路、渗漏电解液、壳体鼓胀或裂缝等情况，厂家应予以无偿更换。</w:t>
      </w:r>
    </w:p>
    <w:p w:rsidR="002274AC">
      <w:pPr>
        <w:keepLines/>
        <w:tabs>
          <w:tab w:val="left" w:pos="2160"/>
        </w:tabs>
        <w:spacing w:before="120" w:beforeLines="50" w:after="120" w:afterLines="50"/>
        <w:ind w:left="2160" w:hanging="540"/>
        <w:jc w:val="both"/>
        <w:rPr>
          <w:rFonts w:asciiTheme="minorEastAsia" w:eastAsiaTheme="minorEastAsia" w:hAnsiTheme="minorEastAsia" w:cs="Arial"/>
          <w:sz w:val="21"/>
          <w:szCs w:val="21"/>
          <w:lang w:eastAsia="zh-CN"/>
        </w:rPr>
        <w:sectPr>
          <w:footerReference w:type="default" r:id="rId27"/>
          <w:type w:val="nextPage"/>
          <w:pgSz w:w="11906" w:h="16838"/>
          <w:pgMar w:top="1814" w:right="1418" w:bottom="1418" w:left="1814" w:header="851" w:footer="992" w:gutter="0"/>
          <w:pgNumType w:start="22"/>
          <w:cols w:space="425"/>
          <w:titlePg w:val="0"/>
          <w:docGrid w:linePitch="312"/>
        </w:sectPr>
      </w:pPr>
      <w:r>
        <w:rPr>
          <w:rFonts w:asciiTheme="minorEastAsia" w:eastAsiaTheme="minorEastAsia" w:hAnsiTheme="minorEastAsia" w:cs="Arial"/>
          <w:sz w:val="21"/>
          <w:szCs w:val="21"/>
          <w:lang w:eastAsia="zh-CN"/>
        </w:rPr>
        <w:t>f</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寿命最少</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年。</w:t>
      </w:r>
    </w:p>
    <w:p w:rsidR="002274AC">
      <w:pPr>
        <w:keepNext/>
        <w:keepLines/>
        <w:tabs>
          <w:tab w:val="left" w:pos="1620"/>
          <w:tab w:val="left" w:pos="2160"/>
        </w:tabs>
        <w:spacing w:before="120" w:beforeLines="50" w:after="120" w:afterLines="50"/>
        <w:ind w:left="1077"/>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2)</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容量</w:t>
      </w:r>
    </w:p>
    <w:p w:rsidR="002274AC">
      <w:pPr>
        <w:keepLines/>
        <w:tabs>
          <w:tab w:val="left" w:pos="1620"/>
        </w:tabs>
        <w:spacing w:before="120" w:beforeLines="50" w:after="120" w:afterLines="50"/>
        <w:ind w:left="1619" w:hanging="2" w:leftChars="735" w:hangingChars="1"/>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铅酸电池</w:t>
      </w:r>
      <w:r>
        <w:rPr>
          <w:rFonts w:asciiTheme="minorEastAsia" w:eastAsiaTheme="minorEastAsia" w:hAnsiTheme="minorEastAsia" w:cs="Arial"/>
          <w:sz w:val="21"/>
          <w:szCs w:val="21"/>
          <w:lang w:eastAsia="zh-CN"/>
        </w:rPr>
        <w:t>10h</w:t>
      </w:r>
      <w:r>
        <w:rPr>
          <w:rFonts w:asciiTheme="minorEastAsia" w:eastAsiaTheme="minorEastAsia" w:hAnsiTheme="minorEastAsia" w:cs="Arial"/>
          <w:sz w:val="21"/>
          <w:szCs w:val="21"/>
          <w:lang w:eastAsia="zh-CN"/>
        </w:rPr>
        <w:t>率容量在第</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次充放电循环应不低于</w:t>
      </w:r>
      <w:r>
        <w:rPr>
          <w:rFonts w:asciiTheme="minorEastAsia" w:eastAsiaTheme="minorEastAsia" w:hAnsiTheme="minorEastAsia" w:cs="Arial"/>
          <w:sz w:val="21"/>
          <w:szCs w:val="21"/>
          <w:lang w:eastAsia="zh-CN"/>
        </w:rPr>
        <w:t>95%</w:t>
      </w:r>
      <w:r>
        <w:rPr>
          <w:rFonts w:asciiTheme="minorEastAsia" w:eastAsiaTheme="minorEastAsia" w:hAnsiTheme="minorEastAsia" w:cs="Arial"/>
          <w:sz w:val="21"/>
          <w:szCs w:val="21"/>
          <w:lang w:eastAsia="zh-CN"/>
        </w:rPr>
        <w:t>，在第</w:t>
      </w:r>
      <w:r>
        <w:rPr>
          <w:rFonts w:asciiTheme="minorEastAsia" w:eastAsiaTheme="minorEastAsia" w:hAnsiTheme="minorEastAsia" w:cs="Arial"/>
          <w:sz w:val="21"/>
          <w:szCs w:val="21"/>
          <w:lang w:eastAsia="zh-CN"/>
        </w:rPr>
        <w:t>5</w:t>
      </w:r>
      <w:r>
        <w:rPr>
          <w:rFonts w:asciiTheme="minorEastAsia" w:eastAsiaTheme="minorEastAsia" w:hAnsiTheme="minorEastAsia" w:cs="Arial"/>
          <w:sz w:val="21"/>
          <w:szCs w:val="21"/>
          <w:lang w:eastAsia="zh-CN"/>
        </w:rPr>
        <w:t>次充放电循环应达</w:t>
      </w:r>
      <w:r>
        <w:rPr>
          <w:rFonts w:asciiTheme="minorEastAsia" w:eastAsiaTheme="minorEastAsia" w:hAnsiTheme="minorEastAsia" w:cs="Arial"/>
          <w:sz w:val="21"/>
          <w:szCs w:val="21"/>
          <w:lang w:eastAsia="zh-CN"/>
        </w:rPr>
        <w:t>100%</w:t>
      </w:r>
      <w:r>
        <w:rPr>
          <w:rFonts w:asciiTheme="minorEastAsia" w:eastAsiaTheme="minorEastAsia" w:hAnsiTheme="minorEastAsia" w:cs="Arial"/>
          <w:sz w:val="21"/>
          <w:szCs w:val="21"/>
          <w:lang w:eastAsia="zh-CN"/>
        </w:rPr>
        <w:t>；阀控电池</w:t>
      </w:r>
      <w:r>
        <w:rPr>
          <w:rFonts w:asciiTheme="minorEastAsia" w:eastAsiaTheme="minorEastAsia" w:hAnsiTheme="minorEastAsia" w:cs="Arial"/>
          <w:sz w:val="21"/>
          <w:szCs w:val="21"/>
          <w:lang w:eastAsia="zh-CN"/>
        </w:rPr>
        <w:t>10h</w:t>
      </w:r>
      <w:r>
        <w:rPr>
          <w:rFonts w:asciiTheme="minorEastAsia" w:eastAsiaTheme="minorEastAsia" w:hAnsiTheme="minorEastAsia" w:cs="Arial"/>
          <w:sz w:val="21"/>
          <w:szCs w:val="21"/>
          <w:lang w:eastAsia="zh-CN"/>
        </w:rPr>
        <w:t>率容量在第</w:t>
      </w:r>
      <w:r>
        <w:rPr>
          <w:rFonts w:asciiTheme="minorEastAsia" w:eastAsiaTheme="minorEastAsia" w:hAnsiTheme="minorEastAsia" w:cs="Arial"/>
          <w:sz w:val="21"/>
          <w:szCs w:val="21"/>
          <w:lang w:eastAsia="zh-CN"/>
        </w:rPr>
        <w:t>3</w:t>
      </w:r>
      <w:r>
        <w:rPr>
          <w:rFonts w:asciiTheme="minorEastAsia" w:eastAsiaTheme="minorEastAsia" w:hAnsiTheme="minorEastAsia" w:cs="Arial"/>
          <w:sz w:val="21"/>
          <w:szCs w:val="21"/>
          <w:lang w:eastAsia="zh-CN"/>
        </w:rPr>
        <w:t>次充放电循环应达</w:t>
      </w:r>
      <w:r>
        <w:rPr>
          <w:rFonts w:asciiTheme="minorEastAsia" w:eastAsiaTheme="minorEastAsia" w:hAnsiTheme="minorEastAsia" w:cs="Arial"/>
          <w:sz w:val="21"/>
          <w:szCs w:val="21"/>
          <w:lang w:eastAsia="zh-CN"/>
        </w:rPr>
        <w:t>100%</w:t>
      </w:r>
      <w:r>
        <w:rPr>
          <w:rFonts w:asciiTheme="minorEastAsia" w:eastAsiaTheme="minorEastAsia" w:hAnsiTheme="minorEastAsia" w:cs="Arial"/>
          <w:sz w:val="21"/>
          <w:szCs w:val="21"/>
          <w:lang w:eastAsia="zh-CN"/>
        </w:rPr>
        <w:t>。</w:t>
      </w:r>
    </w:p>
    <w:p w:rsidR="002274AC">
      <w:pPr>
        <w:keepNext/>
        <w:keepLines/>
        <w:tabs>
          <w:tab w:val="left" w:pos="1620"/>
          <w:tab w:val="left" w:pos="2160"/>
        </w:tabs>
        <w:spacing w:before="120" w:beforeLines="50" w:after="120" w:afterLines="50"/>
        <w:ind w:left="1077"/>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3)</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短时合闸电流放电</w:t>
      </w:r>
    </w:p>
    <w:p w:rsidR="002274AC">
      <w:pPr>
        <w:keepLines/>
        <w:tabs>
          <w:tab w:val="left" w:pos="1620"/>
        </w:tabs>
        <w:spacing w:before="120" w:beforeLines="50" w:after="120" w:afterLines="50"/>
        <w:ind w:left="1619" w:hanging="2" w:leftChars="735" w:hangingChars="1"/>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在连续</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次短时合闸电流放电时，电池组端电压应不低于额定值的</w:t>
      </w:r>
      <w:r>
        <w:rPr>
          <w:rFonts w:asciiTheme="minorEastAsia" w:eastAsiaTheme="minorEastAsia" w:hAnsiTheme="minorEastAsia" w:cs="Arial"/>
          <w:sz w:val="21"/>
          <w:szCs w:val="21"/>
          <w:lang w:eastAsia="zh-CN"/>
        </w:rPr>
        <w:t>91%</w:t>
      </w:r>
      <w:r>
        <w:rPr>
          <w:rFonts w:asciiTheme="minorEastAsia" w:eastAsiaTheme="minorEastAsia" w:hAnsiTheme="minorEastAsia" w:cs="Arial"/>
          <w:sz w:val="21"/>
          <w:szCs w:val="21"/>
          <w:lang w:eastAsia="zh-CN"/>
        </w:rPr>
        <w:t>。短时合闸电流幅值应不小于</w:t>
      </w:r>
      <w:r>
        <w:rPr>
          <w:rFonts w:asciiTheme="minorEastAsia" w:eastAsiaTheme="minorEastAsia" w:hAnsiTheme="minorEastAsia" w:cs="Arial"/>
          <w:sz w:val="21"/>
          <w:szCs w:val="21"/>
          <w:lang w:eastAsia="zh-CN"/>
        </w:rPr>
        <w:t>200A</w:t>
      </w:r>
      <w:r>
        <w:rPr>
          <w:rFonts w:asciiTheme="minorEastAsia" w:eastAsiaTheme="minorEastAsia" w:hAnsiTheme="minorEastAsia" w:cs="Arial"/>
          <w:sz w:val="21"/>
          <w:szCs w:val="21"/>
          <w:lang w:eastAsia="zh-CN"/>
        </w:rPr>
        <w:t>，时间不小于</w:t>
      </w:r>
      <w:r>
        <w:rPr>
          <w:rFonts w:asciiTheme="minorEastAsia" w:eastAsiaTheme="minorEastAsia" w:hAnsiTheme="minorEastAsia" w:cs="Arial"/>
          <w:sz w:val="21"/>
          <w:szCs w:val="21"/>
          <w:lang w:eastAsia="zh-CN"/>
        </w:rPr>
        <w:t>500ms</w:t>
      </w:r>
      <w:r>
        <w:rPr>
          <w:rFonts w:asciiTheme="minorEastAsia" w:eastAsiaTheme="minorEastAsia" w:hAnsiTheme="minorEastAsia" w:cs="Arial"/>
          <w:sz w:val="21"/>
          <w:szCs w:val="21"/>
          <w:lang w:eastAsia="zh-CN"/>
        </w:rPr>
        <w:t>，不大于</w:t>
      </w:r>
      <w:r>
        <w:rPr>
          <w:rFonts w:asciiTheme="minorEastAsia" w:eastAsiaTheme="minorEastAsia" w:hAnsiTheme="minorEastAsia" w:cs="Arial"/>
          <w:sz w:val="21"/>
          <w:szCs w:val="21"/>
          <w:lang w:eastAsia="zh-CN"/>
        </w:rPr>
        <w:t>Is</w:t>
      </w:r>
      <w:r>
        <w:rPr>
          <w:rFonts w:asciiTheme="minorEastAsia" w:eastAsiaTheme="minorEastAsia" w:hAnsiTheme="minorEastAsia" w:cs="Arial"/>
          <w:sz w:val="21"/>
          <w:szCs w:val="21"/>
          <w:lang w:eastAsia="zh-CN"/>
        </w:rPr>
        <w:t>。</w:t>
      </w:r>
    </w:p>
    <w:p w:rsidR="002274AC">
      <w:pPr>
        <w:keepLines/>
        <w:tabs>
          <w:tab w:val="left" w:pos="1620"/>
          <w:tab w:val="left" w:pos="2160"/>
        </w:tab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4)</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自损耗</w:t>
      </w:r>
    </w:p>
    <w:p w:rsidR="002274AC">
      <w:pPr>
        <w:keepLines/>
        <w:tabs>
          <w:tab w:val="left" w:pos="1620"/>
        </w:tabs>
        <w:spacing w:before="120" w:beforeLines="50" w:after="120" w:afterLines="50"/>
        <w:ind w:left="1619" w:hanging="2" w:leftChars="735" w:hangingChars="1"/>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铅酸电池静置</w:t>
      </w:r>
      <w:r>
        <w:rPr>
          <w:rFonts w:asciiTheme="minorEastAsia" w:eastAsiaTheme="minorEastAsia" w:hAnsiTheme="minorEastAsia" w:cs="Arial"/>
          <w:sz w:val="21"/>
          <w:szCs w:val="21"/>
          <w:lang w:eastAsia="zh-CN"/>
        </w:rPr>
        <w:t>28</w:t>
      </w:r>
      <w:r>
        <w:rPr>
          <w:rFonts w:asciiTheme="minorEastAsia" w:eastAsiaTheme="minorEastAsia" w:hAnsiTheme="minorEastAsia" w:cs="Arial"/>
          <w:sz w:val="21"/>
          <w:szCs w:val="21"/>
          <w:lang w:eastAsia="zh-CN"/>
        </w:rPr>
        <w:t>天后，其容量损失不得超过</w:t>
      </w:r>
      <w:r>
        <w:rPr>
          <w:rFonts w:asciiTheme="minorEastAsia" w:eastAsiaTheme="minorEastAsia" w:hAnsiTheme="minorEastAsia" w:cs="Arial"/>
          <w:sz w:val="21"/>
          <w:szCs w:val="21"/>
          <w:lang w:eastAsia="zh-CN"/>
        </w:rPr>
        <w:t>5%</w:t>
      </w:r>
      <w:r>
        <w:rPr>
          <w:rFonts w:asciiTheme="minorEastAsia" w:eastAsiaTheme="minorEastAsia" w:hAnsiTheme="minorEastAsia" w:cs="Arial"/>
          <w:sz w:val="21"/>
          <w:szCs w:val="21"/>
          <w:lang w:eastAsia="zh-CN"/>
        </w:rPr>
        <w:t>；阀控电池静置</w:t>
      </w:r>
      <w:r>
        <w:rPr>
          <w:rFonts w:asciiTheme="minorEastAsia" w:eastAsiaTheme="minorEastAsia" w:hAnsiTheme="minorEastAsia" w:cs="Arial"/>
          <w:sz w:val="21"/>
          <w:szCs w:val="21"/>
          <w:lang w:eastAsia="zh-CN"/>
        </w:rPr>
        <w:t>90</w:t>
      </w:r>
      <w:r>
        <w:rPr>
          <w:rFonts w:asciiTheme="minorEastAsia" w:eastAsiaTheme="minorEastAsia" w:hAnsiTheme="minorEastAsia" w:cs="Arial"/>
          <w:sz w:val="21"/>
          <w:szCs w:val="21"/>
          <w:lang w:eastAsia="zh-CN"/>
        </w:rPr>
        <w:t>天后，不得超过</w:t>
      </w:r>
      <w:r>
        <w:rPr>
          <w:rFonts w:asciiTheme="minorEastAsia" w:eastAsiaTheme="minorEastAsia" w:hAnsiTheme="minorEastAsia" w:cs="Arial"/>
          <w:sz w:val="21"/>
          <w:szCs w:val="21"/>
          <w:lang w:eastAsia="zh-CN"/>
        </w:rPr>
        <w:t>20%</w:t>
      </w:r>
      <w:r>
        <w:rPr>
          <w:rFonts w:asciiTheme="minorEastAsia" w:eastAsiaTheme="minorEastAsia" w:hAnsiTheme="minorEastAsia" w:cs="Arial"/>
          <w:sz w:val="21"/>
          <w:szCs w:val="21"/>
          <w:lang w:eastAsia="zh-CN"/>
        </w:rPr>
        <w:t>。电池开路电压应在</w:t>
      </w:r>
      <w:r>
        <w:rPr>
          <w:rFonts w:asciiTheme="minorEastAsia" w:eastAsiaTheme="minorEastAsia" w:hAnsiTheme="minorEastAsia" w:cs="Arial"/>
          <w:sz w:val="21"/>
          <w:szCs w:val="21"/>
          <w:lang w:eastAsia="zh-CN"/>
        </w:rPr>
        <w:t>2.10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2.16V</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25ºC</w:t>
      </w:r>
      <w:r>
        <w:rPr>
          <w:rFonts w:asciiTheme="minorEastAsia" w:eastAsiaTheme="minorEastAsia" w:hAnsiTheme="minorEastAsia" w:cs="Arial"/>
          <w:sz w:val="21"/>
          <w:szCs w:val="21"/>
          <w:lang w:eastAsia="zh-CN"/>
        </w:rPr>
        <w:t>时）。</w:t>
      </w:r>
    </w:p>
    <w:p w:rsidR="002274AC">
      <w:pPr>
        <w:keepLines/>
        <w:tabs>
          <w:tab w:val="left" w:pos="1620"/>
          <w:tab w:val="left" w:pos="2160"/>
        </w:tabs>
        <w:spacing w:before="120" w:beforeLines="50" w:after="120" w:afterLines="50"/>
        <w:ind w:left="108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5)</w:t>
      </w:r>
      <w:r>
        <w:rPr>
          <w:rFonts w:asciiTheme="minorEastAsia" w:eastAsiaTheme="minorEastAsia" w:hAnsiTheme="minorEastAsia" w:cs="Arial"/>
          <w:sz w:val="21"/>
          <w:szCs w:val="21"/>
          <w:lang w:eastAsia="zh-CN"/>
        </w:rPr>
        <w:tab/>
      </w:r>
      <w:r>
        <w:rPr>
          <w:rFonts w:asciiTheme="minorEastAsia" w:eastAsiaTheme="minorEastAsia" w:hAnsiTheme="minorEastAsia" w:cs="Arial"/>
          <w:sz w:val="21"/>
          <w:szCs w:val="21"/>
          <w:lang w:eastAsia="zh-CN"/>
        </w:rPr>
        <w:t>制造厂应提供下列电池的相关参数及特性曲线：</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单体电池浮充电压值及范围。</w:t>
      </w:r>
    </w:p>
    <w:p w:rsidR="002274AC">
      <w:pPr>
        <w:pStyle w:val="level2"/>
        <w:keepLines/>
        <w:numPr>
          <w:ilvl w:val="0"/>
          <w:numId w:val="143"/>
        </w:numPr>
        <w:tabs>
          <w:tab w:val="left" w:pos="2160"/>
          <w:tab w:val="clear" w:pos="2880"/>
        </w:tabs>
        <w:spacing w:before="120" w:beforeLines="50" w:after="120" w:afterLines="50"/>
        <w:ind w:left="2160" w:hanging="540"/>
        <w:rPr>
          <w:rFonts w:asciiTheme="minorEastAsia" w:eastAsiaTheme="minorEastAsia" w:hAnsiTheme="minorEastAsia" w:cs="Arial"/>
          <w:sz w:val="21"/>
          <w:szCs w:val="21"/>
          <w:lang w:val="en-GB" w:eastAsia="zh-CN"/>
        </w:rPr>
      </w:pPr>
      <w:r>
        <w:rPr>
          <w:rFonts w:asciiTheme="minorEastAsia" w:eastAsiaTheme="minorEastAsia" w:hAnsiTheme="minorEastAsia" w:cs="Arial"/>
          <w:sz w:val="21"/>
          <w:szCs w:val="21"/>
          <w:lang w:val="en-GB" w:eastAsia="zh-CN"/>
        </w:rPr>
        <w:t>单体电池充电（恒压）电压值及范围。</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10h</w:t>
      </w:r>
      <w:r>
        <w:rPr>
          <w:rFonts w:asciiTheme="minorEastAsia" w:eastAsiaTheme="minorEastAsia" w:hAnsiTheme="minorEastAsia" w:cs="Arial"/>
          <w:sz w:val="21"/>
          <w:szCs w:val="21"/>
          <w:lang w:eastAsia="zh-CN"/>
        </w:rPr>
        <w:t>率充电限流值及最大充电限流值。</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每只阀控电池阻抗值（内阻）。</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50%</w:t>
      </w:r>
      <w:r>
        <w:rPr>
          <w:rFonts w:asciiTheme="minorEastAsia" w:eastAsiaTheme="minorEastAsia" w:hAnsiTheme="minorEastAsia" w:cs="Arial"/>
          <w:sz w:val="21"/>
          <w:szCs w:val="21"/>
          <w:lang w:eastAsia="zh-CN"/>
        </w:rPr>
        <w:t>和</w:t>
      </w:r>
      <w:r>
        <w:rPr>
          <w:rFonts w:asciiTheme="minorEastAsia" w:eastAsiaTheme="minorEastAsia" w:hAnsiTheme="minorEastAsia" w:cs="Arial"/>
          <w:sz w:val="21"/>
          <w:szCs w:val="21"/>
          <w:lang w:eastAsia="zh-CN"/>
        </w:rPr>
        <w:t>100%</w:t>
      </w:r>
      <w:r>
        <w:rPr>
          <w:rFonts w:asciiTheme="minorEastAsia" w:eastAsiaTheme="minorEastAsia" w:hAnsiTheme="minorEastAsia" w:cs="Arial"/>
          <w:sz w:val="21"/>
          <w:szCs w:val="21"/>
          <w:lang w:eastAsia="zh-CN"/>
        </w:rPr>
        <w:t>深度放电后充电特性曲线。</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倍率放电特性曲线（放电电流分别为</w:t>
      </w:r>
      <w:r>
        <w:rPr>
          <w:rFonts w:asciiTheme="minorEastAsia" w:eastAsiaTheme="minorEastAsia" w:hAnsiTheme="minorEastAsia" w:cs="Arial"/>
          <w:sz w:val="21"/>
          <w:szCs w:val="21"/>
          <w:lang w:eastAsia="zh-CN"/>
        </w:rPr>
        <w:t>I10</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I5</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I3</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I1</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I0.5A</w:t>
      </w:r>
      <w:r>
        <w:rPr>
          <w:rFonts w:asciiTheme="minorEastAsia" w:eastAsiaTheme="minorEastAsia" w:hAnsiTheme="minorEastAsia" w:cs="Arial"/>
          <w:sz w:val="21"/>
          <w:szCs w:val="21"/>
          <w:lang w:eastAsia="zh-CN"/>
        </w:rPr>
        <w:t>）。</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倍率放电容量与</w:t>
      </w:r>
      <w:r>
        <w:rPr>
          <w:rFonts w:asciiTheme="minorEastAsia" w:eastAsiaTheme="minorEastAsia" w:hAnsiTheme="minorEastAsia" w:cs="Arial"/>
          <w:sz w:val="21"/>
          <w:szCs w:val="21"/>
          <w:lang w:eastAsia="zh-CN"/>
        </w:rPr>
        <w:t>C10</w:t>
      </w:r>
      <w:r>
        <w:rPr>
          <w:rFonts w:asciiTheme="minorEastAsia" w:eastAsiaTheme="minorEastAsia" w:hAnsiTheme="minorEastAsia" w:cs="Arial"/>
          <w:sz w:val="21"/>
          <w:szCs w:val="21"/>
          <w:lang w:eastAsia="zh-CN"/>
        </w:rPr>
        <w:t>，温度关系曲线。</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短时冲击（合闸）电流放电特性曲性（按第</w:t>
      </w:r>
      <w:r>
        <w:rPr>
          <w:rFonts w:asciiTheme="minorEastAsia" w:eastAsiaTheme="minorEastAsia" w:hAnsiTheme="minorEastAsia" w:cs="Arial"/>
          <w:sz w:val="21"/>
          <w:szCs w:val="21"/>
          <w:lang w:eastAsia="zh-CN"/>
        </w:rPr>
        <w:t>4.13.C</w:t>
      </w:r>
      <w:r>
        <w:rPr>
          <w:rFonts w:asciiTheme="minorEastAsia" w:eastAsiaTheme="minorEastAsia" w:hAnsiTheme="minorEastAsia" w:cs="Arial"/>
          <w:sz w:val="21"/>
          <w:szCs w:val="21"/>
          <w:lang w:eastAsia="zh-CN"/>
        </w:rPr>
        <w:t>条要求）。</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浮充电压与温度关系曲线。</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电池荷电容量与时间、温度关系曲线。</w:t>
      </w:r>
    </w:p>
    <w:p w:rsidR="002274AC">
      <w:pPr>
        <w:keepLines/>
        <w:numPr>
          <w:ilvl w:val="0"/>
          <w:numId w:val="143"/>
        </w:numPr>
        <w:tabs>
          <w:tab w:val="left" w:pos="2160"/>
          <w:tab w:val="clear" w:pos="2880"/>
        </w:tabs>
        <w:spacing w:before="120" w:beforeLines="50" w:after="120" w:afterLines="50"/>
        <w:ind w:left="2160" w:hanging="54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阀控电池气体复合反应效率曲线。</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噪声</w:t>
      </w:r>
    </w:p>
    <w:p w:rsidR="002274AC">
      <w:pPr>
        <w:keepLines/>
        <w:tabs>
          <w:tab w:val="left" w:pos="1080"/>
        </w:tabs>
        <w:spacing w:before="120" w:beforeLines="50" w:after="120" w:afterLines="50"/>
        <w:ind w:left="1078" w:hanging="2" w:leftChars="489"/>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在正常运行时，自冷式产品的最大噪声应不大于</w:t>
      </w:r>
      <w:r>
        <w:rPr>
          <w:rFonts w:asciiTheme="minorEastAsia" w:eastAsiaTheme="minorEastAsia" w:hAnsiTheme="minorEastAsia" w:cs="Arial"/>
          <w:sz w:val="21"/>
          <w:szCs w:val="21"/>
          <w:lang w:eastAsia="zh-CN"/>
        </w:rPr>
        <w:t>50dB</w:t>
      </w:r>
      <w:r>
        <w:rPr>
          <w:rFonts w:asciiTheme="minorEastAsia" w:eastAsiaTheme="minorEastAsia" w:hAnsiTheme="minorEastAsia" w:cs="Arial"/>
          <w:sz w:val="21"/>
          <w:szCs w:val="21"/>
          <w:lang w:eastAsia="zh-CN"/>
        </w:rPr>
        <w:t>；风冷式产品的最大噪声应不大于</w:t>
      </w:r>
      <w:r>
        <w:rPr>
          <w:rFonts w:asciiTheme="minorEastAsia" w:eastAsiaTheme="minorEastAsia" w:hAnsiTheme="minorEastAsia" w:cs="Arial"/>
          <w:sz w:val="21"/>
          <w:szCs w:val="21"/>
          <w:lang w:eastAsia="zh-CN"/>
        </w:rPr>
        <w:t>55dB</w:t>
      </w:r>
      <w:r>
        <w:rPr>
          <w:rFonts w:asciiTheme="minorEastAsia" w:eastAsiaTheme="minorEastAsia" w:hAnsiTheme="minorEastAsia" w:cs="Arial"/>
          <w:sz w:val="21"/>
          <w:szCs w:val="21"/>
          <w:lang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温升</w:t>
      </w:r>
    </w:p>
    <w:p w:rsidR="002274AC">
      <w:pPr>
        <w:keepLines/>
        <w:tabs>
          <w:tab w:val="left" w:pos="1800"/>
        </w:tabs>
        <w:spacing w:before="120" w:beforeLines="50" w:after="120" w:afterLines="50"/>
        <w:ind w:left="1800" w:hanging="720"/>
        <w:jc w:val="both"/>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设备各部件的温升应符合</w:t>
      </w:r>
      <w:r>
        <w:rPr>
          <w:rFonts w:asciiTheme="minorEastAsia" w:eastAsiaTheme="minorEastAsia" w:hAnsiTheme="minorEastAsia" w:cs="Arial"/>
          <w:sz w:val="21"/>
          <w:szCs w:val="21"/>
          <w:lang w:eastAsia="zh-CN"/>
        </w:rPr>
        <w:t>GB3859</w:t>
      </w:r>
      <w:r>
        <w:rPr>
          <w:rFonts w:asciiTheme="minorEastAsia" w:eastAsiaTheme="minorEastAsia" w:hAnsiTheme="minorEastAsia" w:cs="Arial"/>
          <w:sz w:val="21"/>
          <w:szCs w:val="21"/>
          <w:lang w:eastAsia="zh-CN"/>
        </w:rPr>
        <w:t>中第</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条中表</w:t>
      </w:r>
      <w:r>
        <w:rPr>
          <w:rFonts w:asciiTheme="minorEastAsia" w:eastAsiaTheme="minorEastAsia" w:hAnsiTheme="minorEastAsia" w:cs="Arial"/>
          <w:sz w:val="21"/>
          <w:szCs w:val="21"/>
          <w:lang w:eastAsia="zh-CN"/>
        </w:rPr>
        <w:t>9</w:t>
      </w:r>
      <w:r>
        <w:rPr>
          <w:rFonts w:asciiTheme="minorEastAsia" w:eastAsiaTheme="minorEastAsia" w:hAnsiTheme="minorEastAsia" w:cs="Arial"/>
          <w:sz w:val="21"/>
          <w:szCs w:val="21"/>
          <w:lang w:eastAsia="zh-CN"/>
        </w:rPr>
        <w:t>、表</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的规定。</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母线</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采用单母线接线，调压装置通降压准确可实现自动调压。</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调压装置应具有自动调压功能。可采用无级自动调压或分级自动调压方式，进行母线电压调整。</w:t>
      </w:r>
    </w:p>
    <w:p w:rsidR="002274AC">
      <w:pPr>
        <w:pStyle w:val="ReportText"/>
        <w:keepLines/>
        <w:numPr>
          <w:ilvl w:val="2"/>
          <w:numId w:val="55"/>
        </w:numPr>
        <w:tabs>
          <w:tab w:val="left" w:pos="1620"/>
          <w:tab w:val="clear" w:pos="2340"/>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无级自动调压</w:t>
      </w:r>
    </w:p>
    <w:p w:rsidR="002274AC">
      <w:pPr>
        <w:pStyle w:val="ReportText"/>
        <w:keepLines/>
        <w:tabs>
          <w:tab w:val="left" w:pos="1620"/>
        </w:tabs>
        <w:spacing w:before="120" w:beforeLines="50" w:after="120" w:afterLines="50"/>
        <w:ind w:left="1620"/>
        <w:rPr>
          <w:rFonts w:asciiTheme="minorEastAsia" w:eastAsiaTheme="minorEastAsia" w:hAnsiTheme="minorEastAsia" w:cs="Arial"/>
          <w:sz w:val="21"/>
          <w:szCs w:val="21"/>
          <w:lang w:eastAsia="zh-CN"/>
        </w:rPr>
        <w:sectPr>
          <w:footerReference w:type="default" r:id="rId28"/>
          <w:type w:val="nextPage"/>
          <w:pgSz w:w="11906" w:h="16838"/>
          <w:pgMar w:top="1814" w:right="1418" w:bottom="1418" w:left="1814" w:header="851" w:footer="992" w:gutter="0"/>
          <w:pgNumType w:start="23"/>
          <w:cols w:space="425"/>
          <w:titlePg w:val="0"/>
          <w:docGrid w:linePitch="312"/>
        </w:sectPr>
      </w:pPr>
      <w:r>
        <w:rPr>
          <w:rFonts w:asciiTheme="minorEastAsia" w:eastAsiaTheme="minorEastAsia" w:hAnsiTheme="minorEastAsia" w:cs="Arial"/>
          <w:sz w:val="21"/>
          <w:szCs w:val="21"/>
          <w:lang w:eastAsia="zh-CN"/>
        </w:rPr>
        <w:t>输出电压整定值范围在额定电压的</w:t>
      </w:r>
      <w:r>
        <w:rPr>
          <w:rFonts w:asciiTheme="minorEastAsia" w:eastAsiaTheme="minorEastAsia" w:hAnsiTheme="minorEastAsia" w:cs="Arial"/>
          <w:sz w:val="21"/>
          <w:szCs w:val="21"/>
          <w:lang w:eastAsia="zh-CN"/>
        </w:rPr>
        <w:t>100%-105%</w:t>
      </w:r>
      <w:r>
        <w:rPr>
          <w:rFonts w:asciiTheme="minorEastAsia" w:eastAsiaTheme="minorEastAsia" w:hAnsiTheme="minorEastAsia" w:cs="Arial"/>
          <w:sz w:val="21"/>
          <w:szCs w:val="21"/>
          <w:lang w:eastAsia="zh-CN"/>
        </w:rPr>
        <w:t>之间。当输入直流电压在</w:t>
      </w:r>
      <w:r>
        <w:rPr>
          <w:rFonts w:asciiTheme="minorEastAsia" w:eastAsiaTheme="minorEastAsia" w:hAnsiTheme="minorEastAsia" w:cs="Arial"/>
          <w:sz w:val="21"/>
          <w:szCs w:val="21"/>
          <w:lang w:eastAsia="zh-CN"/>
        </w:rPr>
        <w:t>105%-130%</w:t>
      </w:r>
      <w:r>
        <w:rPr>
          <w:rFonts w:asciiTheme="minorEastAsia" w:eastAsiaTheme="minorEastAsia" w:hAnsiTheme="minorEastAsia" w:cs="Arial"/>
          <w:sz w:val="21"/>
          <w:szCs w:val="21"/>
          <w:lang w:eastAsia="zh-CN"/>
        </w:rPr>
        <w:t>额定值</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或最高充电电压</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，负载电流在</w:t>
      </w:r>
      <w:r>
        <w:rPr>
          <w:rFonts w:asciiTheme="minorEastAsia" w:eastAsiaTheme="minorEastAsia" w:hAnsiTheme="minorEastAsia" w:cs="Arial"/>
          <w:sz w:val="21"/>
          <w:szCs w:val="21"/>
          <w:lang w:eastAsia="zh-CN"/>
        </w:rPr>
        <w:t>0-100%</w:t>
      </w:r>
      <w:r>
        <w:rPr>
          <w:rFonts w:asciiTheme="minorEastAsia" w:eastAsiaTheme="minorEastAsia" w:hAnsiTheme="minorEastAsia" w:cs="Arial"/>
          <w:sz w:val="21"/>
          <w:szCs w:val="21"/>
          <w:lang w:eastAsia="zh-CN"/>
        </w:rPr>
        <w:t>额定值时，输出电压在整定值范围内任一点上保持稳定，其稳定精度应不大于</w:t>
      </w:r>
      <w:r>
        <w:rPr>
          <w:rFonts w:asciiTheme="minorEastAsia" w:eastAsiaTheme="minorEastAsia" w:hAnsiTheme="minorEastAsia" w:cs="Arial"/>
          <w:sz w:val="21"/>
          <w:szCs w:val="21"/>
          <w:lang w:eastAsia="zh-CN"/>
        </w:rPr>
        <w:t>±0.5%</w:t>
      </w:r>
      <w:r>
        <w:rPr>
          <w:rFonts w:asciiTheme="minorEastAsia" w:eastAsiaTheme="minorEastAsia" w:hAnsiTheme="minorEastAsia" w:cs="Arial"/>
          <w:sz w:val="21"/>
          <w:szCs w:val="21"/>
          <w:lang w:eastAsia="zh-CN"/>
        </w:rPr>
        <w:t>﹔当输入直流电压低于输出电压整定值，负载电流在</w:t>
      </w:r>
      <w:r>
        <w:rPr>
          <w:rFonts w:asciiTheme="minorEastAsia" w:eastAsiaTheme="minorEastAsia" w:hAnsiTheme="minorEastAsia" w:cs="Arial"/>
          <w:sz w:val="21"/>
          <w:szCs w:val="21"/>
          <w:lang w:eastAsia="zh-CN"/>
        </w:rPr>
        <w:t>0-100%</w:t>
      </w:r>
      <w:r>
        <w:rPr>
          <w:rFonts w:asciiTheme="minorEastAsia" w:eastAsiaTheme="minorEastAsia" w:hAnsiTheme="minorEastAsia" w:cs="Arial"/>
          <w:sz w:val="21"/>
          <w:szCs w:val="21"/>
          <w:lang w:eastAsia="zh-CN"/>
        </w:rPr>
        <w:t>额定值时，输出电压应与输入电压保持同步，即调压装置具有良好的跟随特性。</w:t>
      </w:r>
    </w:p>
    <w:p w:rsidR="002274AC">
      <w:pPr>
        <w:pStyle w:val="ReportText"/>
        <w:keepLines/>
        <w:numPr>
          <w:ilvl w:val="2"/>
          <w:numId w:val="55"/>
        </w:numPr>
        <w:tabs>
          <w:tab w:val="left" w:pos="1620"/>
          <w:tab w:val="clear" w:pos="2340"/>
        </w:tabs>
        <w:spacing w:before="120" w:beforeLines="50" w:after="120" w:afterLines="50"/>
        <w:ind w:left="1620" w:hanging="54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分级自动调压</w:t>
      </w:r>
    </w:p>
    <w:p w:rsidR="002274AC">
      <w:pPr>
        <w:pStyle w:val="ReportText"/>
        <w:keepLines/>
        <w:tabs>
          <w:tab w:val="left" w:pos="1620"/>
        </w:tabs>
        <w:spacing w:before="120" w:beforeLines="50" w:after="120" w:afterLines="50"/>
        <w:ind w:left="162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采用分级自动调压方式时，每级电压调节值不大于额定电压的</w:t>
      </w:r>
      <w:r>
        <w:rPr>
          <w:rFonts w:asciiTheme="minorEastAsia" w:eastAsiaTheme="minorEastAsia" w:hAnsiTheme="minorEastAsia" w:cs="Arial"/>
          <w:sz w:val="21"/>
          <w:szCs w:val="21"/>
          <w:lang w:eastAsia="zh-CN"/>
        </w:rPr>
        <w:t>±2.5%</w:t>
      </w:r>
      <w:r>
        <w:rPr>
          <w:rFonts w:asciiTheme="minorEastAsia" w:eastAsiaTheme="minorEastAsia" w:hAnsiTheme="minorEastAsia" w:cs="Arial"/>
          <w:sz w:val="21"/>
          <w:szCs w:val="21"/>
          <w:lang w:eastAsia="zh-CN"/>
        </w:rPr>
        <w:t>。并应有手动调节功能。无论何种调压方式，都应有相应的保护及声光报警信号。</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采用无级自动调压</w:t>
      </w:r>
      <w:r>
        <w:rPr>
          <w:rFonts w:asciiTheme="minorEastAsia" w:eastAsiaTheme="minorEastAsia" w:hAnsiTheme="minorEastAsia" w:cs="Arial"/>
          <w:sz w:val="21"/>
          <w:szCs w:val="21"/>
          <w:lang w:eastAsia="zh-CN"/>
        </w:rPr>
        <w:t>方式时，应设置备用调压装置。备用调压装置与自动调压装置并联运行，也应具有调压功能，能够可靠地连续工作。备用调压装置投入时必须保证控制母线不间断供电。</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母线电压</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控制母线电压最大变化范围﹕额定值的</w:t>
      </w:r>
      <w:r>
        <w:rPr>
          <w:rFonts w:asciiTheme="minorEastAsia" w:eastAsiaTheme="minorEastAsia" w:hAnsiTheme="minorEastAsia" w:cs="Arial"/>
          <w:sz w:val="21"/>
          <w:szCs w:val="21"/>
          <w:lang w:eastAsia="zh-CN"/>
        </w:rPr>
        <w:t>(90-105)%</w:t>
      </w:r>
      <w:r>
        <w:rPr>
          <w:rFonts w:asciiTheme="minorEastAsia" w:eastAsiaTheme="minorEastAsia" w:hAnsiTheme="minorEastAsia" w:cs="Arial"/>
          <w:sz w:val="21"/>
          <w:szCs w:val="21"/>
          <w:lang w:eastAsia="zh-CN"/>
        </w:rPr>
        <w:t>。</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合闸母线电压最大变化范围﹕额定值的</w:t>
      </w:r>
      <w:r>
        <w:rPr>
          <w:rFonts w:asciiTheme="minorEastAsia" w:eastAsiaTheme="minorEastAsia" w:hAnsiTheme="minorEastAsia" w:cs="Arial"/>
          <w:sz w:val="21"/>
          <w:szCs w:val="21"/>
          <w:lang w:eastAsia="zh-CN"/>
        </w:rPr>
        <w:t>(90-112.5)%</w:t>
      </w:r>
      <w:r>
        <w:rPr>
          <w:rFonts w:asciiTheme="minorEastAsia" w:eastAsiaTheme="minorEastAsia" w:hAnsiTheme="minorEastAsia" w:cs="Arial"/>
          <w:sz w:val="21"/>
          <w:szCs w:val="21"/>
          <w:lang w:eastAsia="zh-CN"/>
        </w:rPr>
        <w:t>。</w:t>
      </w:r>
    </w:p>
    <w:p w:rsidR="002274AC">
      <w:pPr>
        <w:pStyle w:val="ReportLevel2"/>
        <w:keepLines/>
        <w:tabs>
          <w:tab w:val="clear" w:pos="1077"/>
          <w:tab w:val="left" w:pos="1080"/>
        </w:tabs>
        <w:spacing w:before="240" w:beforeLines="100" w:after="240" w:afterLines="100"/>
        <w:rPr>
          <w:rFonts w:asciiTheme="minorEastAsia" w:eastAsiaTheme="minorEastAsia" w:hAnsiTheme="minorEastAsia" w:cs="Arial"/>
          <w:b/>
          <w:bCs/>
          <w:sz w:val="21"/>
          <w:szCs w:val="21"/>
          <w:lang w:eastAsia="zh-CN"/>
        </w:rPr>
      </w:pPr>
      <w:r>
        <w:rPr>
          <w:rFonts w:asciiTheme="minorEastAsia" w:eastAsiaTheme="minorEastAsia" w:hAnsiTheme="minorEastAsia" w:cs="Arial"/>
          <w:b/>
          <w:bCs/>
          <w:sz w:val="21"/>
          <w:szCs w:val="21"/>
          <w:lang w:eastAsia="zh-CN"/>
        </w:rPr>
        <w:t>保护绝缘监察及音响灯光报警信号</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设备应具有完善的保护、绝缘监察及音响灯光报警信号，如﹕整流器故障、过流保护、重要位置熔断</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如电池回路、控制回路</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及空开跳闸、母线电压监视</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控制及合闸线电压、欠压</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、绝缘监察、闪光信号等。如采用阀控电池，产</w:t>
      </w:r>
      <w:r>
        <w:rPr>
          <w:rFonts w:asciiTheme="minorEastAsia" w:eastAsiaTheme="minorEastAsia" w:hAnsiTheme="minorEastAsia" w:cs="Arial"/>
          <w:sz w:val="21"/>
          <w:szCs w:val="21"/>
          <w:lang w:eastAsia="zh-CN"/>
        </w:rPr>
        <w:t>品可设置电池端电压异常及浮充电流异常报警。</w:t>
      </w:r>
    </w:p>
    <w:p w:rsidR="002274AC">
      <w:pPr>
        <w:pStyle w:val="ReportLevel3"/>
        <w:keepLines/>
        <w:tabs>
          <w:tab w:val="clear" w:pos="1077"/>
          <w:tab w:val="left" w:pos="1080"/>
        </w:tabs>
        <w:spacing w:before="120" w:beforeLines="50" w:after="120" w:afterLines="50"/>
        <w:ind w:left="1080" w:hanging="108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过压、欠压保护的动作电压精度应不大于整定值的</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，其返回系数过压应不小于</w:t>
      </w:r>
      <w:r>
        <w:rPr>
          <w:rFonts w:asciiTheme="minorEastAsia" w:eastAsiaTheme="minorEastAsia" w:hAnsiTheme="minorEastAsia" w:cs="Arial"/>
          <w:sz w:val="21"/>
          <w:szCs w:val="21"/>
          <w:lang w:eastAsia="zh-CN"/>
        </w:rPr>
        <w:t>99%</w:t>
      </w:r>
      <w:r>
        <w:rPr>
          <w:rFonts w:asciiTheme="minorEastAsia" w:eastAsiaTheme="minorEastAsia" w:hAnsiTheme="minorEastAsia" w:cs="Arial"/>
          <w:sz w:val="21"/>
          <w:szCs w:val="21"/>
          <w:lang w:eastAsia="zh-CN"/>
        </w:rPr>
        <w:t>，欠压不大于</w:t>
      </w:r>
      <w:r>
        <w:rPr>
          <w:rFonts w:asciiTheme="minorEastAsia" w:eastAsiaTheme="minorEastAsia" w:hAnsiTheme="minorEastAsia" w:cs="Arial"/>
          <w:sz w:val="21"/>
          <w:szCs w:val="21"/>
          <w:lang w:eastAsia="zh-CN"/>
        </w:rPr>
        <w:t>101%</w:t>
      </w:r>
      <w:r>
        <w:rPr>
          <w:rFonts w:asciiTheme="minorEastAsia" w:eastAsiaTheme="minorEastAsia" w:hAnsiTheme="minorEastAsia" w:cs="Arial"/>
          <w:sz w:val="21"/>
          <w:szCs w:val="21"/>
          <w:lang w:eastAsia="zh-CN"/>
        </w:rPr>
        <w:t>﹔母线对地绝缘电阻低于</w:t>
      </w:r>
      <w:r>
        <w:rPr>
          <w:rFonts w:asciiTheme="minorEastAsia" w:eastAsiaTheme="minorEastAsia" w:hAnsiTheme="minorEastAsia" w:cs="Arial"/>
          <w:sz w:val="21"/>
          <w:szCs w:val="21"/>
          <w:lang w:eastAsia="zh-CN"/>
        </w:rPr>
        <w:t>15-25</w:t>
      </w:r>
      <w:r>
        <w:rPr>
          <w:rFonts w:asciiTheme="minorEastAsia" w:eastAsiaTheme="minorEastAsia" w:hAnsiTheme="minorEastAsia" w:cs="Arial"/>
          <w:sz w:val="21"/>
          <w:szCs w:val="21"/>
          <w:lang w:val="en-US" w:eastAsia="zh-CN"/>
        </w:rPr>
        <w:t>k</w:t>
      </w:r>
      <w:r>
        <w:rPr>
          <w:rFonts w:ascii="Symbol" w:hAnsi="Symbol" w:eastAsiaTheme="minorEastAsia" w:cs="Arial"/>
          <w:sz w:val="21"/>
          <w:szCs w:val="21"/>
          <w:lang w:eastAsia="zh-TW"/>
        </w:rPr>
        <w:sym w:font="Symbol" w:char="F057"/>
      </w:r>
      <w:r>
        <w:rPr>
          <w:rFonts w:asciiTheme="minorEastAsia" w:eastAsiaTheme="minorEastAsia" w:hAnsiTheme="minorEastAsia" w:cs="Arial"/>
          <w:sz w:val="21"/>
          <w:szCs w:val="21"/>
          <w:lang w:eastAsia="zh-CN"/>
        </w:rPr>
        <w:t>时绝缘监察应可靠动作。</w:t>
      </w:r>
    </w:p>
    <w:p w:rsidR="002274AC">
      <w:pPr>
        <w:keepLines/>
        <w:rPr>
          <w:rFonts w:ascii="Arial" w:eastAsia="宋体" w:hAnsi="Arial" w:cs="Arial"/>
          <w:b/>
          <w:caps/>
          <w:sz w:val="24"/>
          <w:lang w:val="en-US" w:eastAsia="zh-CN"/>
        </w:rPr>
        <w:sectPr>
          <w:footerReference w:type="default" r:id="rId29"/>
          <w:type w:val="nextPage"/>
          <w:pgSz w:w="11906" w:h="16838"/>
          <w:pgMar w:top="1814" w:right="1418" w:bottom="1418" w:left="1814" w:header="851" w:footer="992" w:gutter="0"/>
          <w:pgNumType w:start="24"/>
          <w:cols w:space="425"/>
          <w:titlePg w:val="0"/>
          <w:docGrid w:linePitch="312"/>
        </w:sectPr>
      </w:pPr>
      <w:bookmarkStart w:id="34" w:name="_Toc237079521"/>
      <w:bookmarkStart w:id="35" w:name="_Toc162931966"/>
    </w:p>
    <w:p w:rsidR="002274AC">
      <w:pPr>
        <w:pStyle w:val="ReportLevel1"/>
        <w:keepLines/>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36" w:name="_Toc16204"/>
      <w:bookmarkStart w:id="37" w:name="_Toc116305061"/>
      <w:bookmarkStart w:id="38" w:name="_Toc5032"/>
      <w:bookmarkEnd w:id="34"/>
      <w:bookmarkEnd w:id="35"/>
      <w:r>
        <w:rPr>
          <w:rFonts w:asciiTheme="minorEastAsia" w:eastAsiaTheme="minorEastAsia" w:hAnsiTheme="minorEastAsia" w:cs="Arial"/>
          <w:sz w:val="21"/>
          <w:szCs w:val="21"/>
          <w:lang w:eastAsia="zh-CN"/>
        </w:rPr>
        <w:t>低压配电设备</w:t>
      </w:r>
      <w:bookmarkEnd w:id="13"/>
      <w:bookmarkEnd w:id="14"/>
      <w:bookmarkEnd w:id="15"/>
      <w:bookmarkEnd w:id="16"/>
      <w:bookmarkEnd w:id="17"/>
      <w:bookmarkEnd w:id="18"/>
      <w:bookmarkEnd w:id="36"/>
      <w:bookmarkEnd w:id="37"/>
      <w:bookmarkEnd w:id="38"/>
    </w:p>
    <w:p w:rsidR="002274AC">
      <w:pPr>
        <w:pStyle w:val="ReportLevel2"/>
        <w:keepLines/>
        <w:spacing w:before="240" w:beforeLines="100" w:after="240" w:afterLines="100"/>
        <w:rPr>
          <w:rFonts w:asciiTheme="minorEastAsia" w:eastAsiaTheme="minorEastAsia" w:hAnsiTheme="minorEastAsia"/>
          <w:b/>
          <w:bCs/>
          <w:sz w:val="21"/>
          <w:szCs w:val="21"/>
          <w:lang w:eastAsia="zh-CN"/>
        </w:rPr>
      </w:pPr>
      <w:bookmarkStart w:id="39" w:name="_Toc502853423"/>
      <w:r>
        <w:rPr>
          <w:rFonts w:asciiTheme="minorEastAsia" w:eastAsiaTheme="minorEastAsia" w:hAnsiTheme="minorEastAsia"/>
          <w:b/>
          <w:bCs/>
          <w:sz w:val="21"/>
          <w:szCs w:val="21"/>
        </w:rPr>
        <w:t>低压配电屏</w:t>
      </w:r>
      <w:bookmarkEnd w:id="39"/>
    </w:p>
    <w:p w:rsidR="002274AC">
      <w:pPr>
        <w:pStyle w:val="ReportLevel3"/>
        <w:keepNext w:val="0"/>
        <w:keepLines/>
        <w:spacing w:before="120" w:beforeLines="50" w:after="120" w:afterLines="50"/>
        <w:rPr>
          <w:rFonts w:asciiTheme="minorEastAsia" w:eastAsiaTheme="minorEastAsia" w:hAnsiTheme="minorEastAsia"/>
          <w:b/>
          <w:bCs/>
          <w:sz w:val="21"/>
          <w:szCs w:val="21"/>
          <w:lang w:eastAsia="zh-CN"/>
        </w:rPr>
      </w:pPr>
      <w:bookmarkStart w:id="40" w:name="_Toc502853424"/>
      <w:r>
        <w:rPr>
          <w:rFonts w:asciiTheme="minorEastAsia" w:eastAsiaTheme="minorEastAsia" w:hAnsiTheme="minorEastAsia"/>
          <w:b/>
          <w:bCs/>
          <w:sz w:val="21"/>
          <w:szCs w:val="21"/>
        </w:rPr>
        <w:t>一般要求</w:t>
      </w:r>
      <w:bookmarkEnd w:id="40"/>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41" w:name="_Toc502853425"/>
      <w:bookmarkStart w:id="42" w:name="_Toc502857477"/>
      <w:r>
        <w:rPr>
          <w:rFonts w:asciiTheme="minorEastAsia" w:eastAsiaTheme="minorEastAsia" w:hAnsiTheme="minorEastAsia"/>
          <w:sz w:val="21"/>
          <w:szCs w:val="21"/>
          <w:lang w:eastAsia="zh-CN"/>
        </w:rPr>
        <w:t>低压配电柜须为经过</w:t>
      </w:r>
      <w:r>
        <w:rPr>
          <w:rFonts w:asciiTheme="minorEastAsia" w:eastAsiaTheme="minorEastAsia" w:hAnsiTheme="minorEastAsia"/>
          <w:sz w:val="21"/>
          <w:szCs w:val="21"/>
          <w:lang w:eastAsia="zh-CN"/>
        </w:rPr>
        <w:t>GB7251.1-2013</w:t>
      </w:r>
      <w:r>
        <w:rPr>
          <w:rFonts w:asciiTheme="minorEastAsia" w:eastAsiaTheme="minorEastAsia" w:hAnsiTheme="minorEastAsia" w:hint="eastAsia"/>
          <w:sz w:val="21"/>
          <w:szCs w:val="21"/>
          <w:lang w:val="en-US" w:eastAsia="zh-CN"/>
        </w:rPr>
        <w:t>等标准</w:t>
      </w:r>
      <w:r>
        <w:rPr>
          <w:rFonts w:asciiTheme="minorEastAsia" w:eastAsiaTheme="minorEastAsia" w:hAnsiTheme="minorEastAsia"/>
          <w:sz w:val="21"/>
          <w:szCs w:val="21"/>
          <w:lang w:eastAsia="zh-CN"/>
        </w:rPr>
        <w:t>所规定的定型试验的组合装置（</w:t>
      </w:r>
      <w:r>
        <w:rPr>
          <w:rFonts w:asciiTheme="minorEastAsia" w:eastAsiaTheme="minorEastAsia" w:hAnsiTheme="minorEastAsia"/>
          <w:sz w:val="21"/>
          <w:szCs w:val="21"/>
          <w:lang w:eastAsia="zh-CN"/>
        </w:rPr>
        <w:t>TTA</w:t>
      </w:r>
      <w:r>
        <w:rPr>
          <w:rFonts w:asciiTheme="minorEastAsia" w:eastAsiaTheme="minorEastAsia" w:hAnsiTheme="minorEastAsia"/>
          <w:sz w:val="21"/>
          <w:szCs w:val="21"/>
          <w:lang w:eastAsia="zh-CN"/>
        </w:rPr>
        <w:t>），由专业制造低压配电柜的工厂生产，并在厂内组装和试验。</w:t>
      </w:r>
      <w:bookmarkEnd w:id="41"/>
      <w:bookmarkEnd w:id="42"/>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43" w:name="_Toc502853427"/>
      <w:bookmarkStart w:id="44" w:name="_Toc502857479"/>
      <w:r>
        <w:rPr>
          <w:rFonts w:asciiTheme="minorEastAsia" w:eastAsiaTheme="minorEastAsia" w:hAnsiTheme="minorEastAsia"/>
          <w:sz w:val="21"/>
          <w:szCs w:val="21"/>
          <w:lang w:eastAsia="zh-CN"/>
        </w:rPr>
        <w:t>为独立座地、可延伸的多屏式，由装设断路器、主母线、馈出母线、控制器等的间隔所组成。整套低压配电柜须适用于本规格说明书所规定的工作条件。</w:t>
      </w:r>
      <w:bookmarkEnd w:id="43"/>
      <w:bookmarkEnd w:id="44"/>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45" w:name="_Toc502857480"/>
      <w:bookmarkStart w:id="46" w:name="_Toc502853428"/>
      <w:r>
        <w:rPr>
          <w:rFonts w:asciiTheme="minorEastAsia" w:eastAsiaTheme="minorEastAsia" w:hAnsiTheme="minorEastAsia"/>
          <w:sz w:val="21"/>
          <w:szCs w:val="21"/>
          <w:lang w:eastAsia="zh-CN"/>
        </w:rPr>
        <w:t>低压配电房的位置及最少尺寸须如图纸所示。配电屏的安放须符合国家标准及</w:t>
      </w:r>
      <w:r>
        <w:rPr>
          <w:rFonts w:asciiTheme="minorEastAsia" w:eastAsiaTheme="minorEastAsia" w:hAnsiTheme="minorEastAsia" w:hint="eastAsia"/>
          <w:sz w:val="21"/>
          <w:szCs w:val="21"/>
          <w:u w:val="single"/>
          <w:lang w:eastAsia="zh-CN"/>
        </w:rPr>
        <w:t>深圳</w:t>
      </w:r>
      <w:r>
        <w:rPr>
          <w:rFonts w:asciiTheme="minorEastAsia" w:eastAsiaTheme="minorEastAsia" w:hAnsiTheme="minorEastAsia"/>
          <w:sz w:val="21"/>
          <w:szCs w:val="21"/>
          <w:u w:val="single"/>
          <w:lang w:eastAsia="zh-CN"/>
        </w:rPr>
        <w:t>市</w:t>
      </w:r>
      <w:r>
        <w:rPr>
          <w:rFonts w:asciiTheme="minorEastAsia" w:eastAsiaTheme="minorEastAsia" w:hAnsiTheme="minorEastAsia"/>
          <w:sz w:val="21"/>
          <w:szCs w:val="21"/>
          <w:lang w:eastAsia="zh-CN"/>
        </w:rPr>
        <w:t>供电局的要求。</w:t>
      </w:r>
      <w:bookmarkEnd w:id="45"/>
      <w:bookmarkEnd w:id="46"/>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47" w:name="_Toc502857481"/>
      <w:bookmarkStart w:id="48" w:name="_Toc502853429"/>
      <w:r>
        <w:rPr>
          <w:rFonts w:asciiTheme="minorEastAsia" w:eastAsiaTheme="minorEastAsia" w:hAnsiTheme="minorEastAsia"/>
          <w:sz w:val="21"/>
          <w:szCs w:val="21"/>
          <w:lang w:eastAsia="zh-CN"/>
        </w:rPr>
        <w:t>整套低压配电柜须按相关的国家标准及规范进行设计和制造。</w:t>
      </w:r>
      <w:bookmarkEnd w:id="47"/>
      <w:bookmarkEnd w:id="48"/>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49" w:name="_Toc502853430"/>
      <w:bookmarkStart w:id="50" w:name="_Toc502857482"/>
      <w:r>
        <w:rPr>
          <w:rFonts w:asciiTheme="minorEastAsia" w:eastAsiaTheme="minorEastAsia" w:hAnsiTheme="minorEastAsia"/>
          <w:sz w:val="21"/>
          <w:szCs w:val="21"/>
          <w:lang w:eastAsia="zh-CN"/>
        </w:rPr>
        <w:t>承包商须供应</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安装</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驳接三相五线</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连零线</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的铜母线</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由</w:t>
      </w:r>
      <w:r>
        <w:rPr>
          <w:rFonts w:asciiTheme="minorEastAsia" w:eastAsiaTheme="minorEastAsia" w:hAnsiTheme="minorEastAsia"/>
          <w:sz w:val="21"/>
          <w:szCs w:val="21"/>
          <w:lang w:eastAsia="zh-CN"/>
        </w:rPr>
        <w:t>10</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 xml:space="preserve">0.4k </w:t>
      </w:r>
      <w:r>
        <w:rPr>
          <w:rFonts w:asciiTheme="minorEastAsia" w:eastAsiaTheme="minorEastAsia" w:hAnsiTheme="minorEastAsia"/>
          <w:sz w:val="21"/>
          <w:szCs w:val="21"/>
          <w:lang w:eastAsia="zh-CN"/>
        </w:rPr>
        <w:t>变压器的低压终端至低压配电屏</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如图纸和规范所示。</w:t>
      </w:r>
      <w:bookmarkEnd w:id="49"/>
      <w:bookmarkEnd w:id="50"/>
    </w:p>
    <w:p w:rsidR="002274AC">
      <w:pPr>
        <w:pStyle w:val="ReportLevel3"/>
        <w:keepNext w:val="0"/>
        <w:keepLines/>
        <w:spacing w:before="120" w:beforeLines="50" w:after="120" w:afterLines="50"/>
        <w:rPr>
          <w:rFonts w:asciiTheme="minorEastAsia" w:eastAsiaTheme="minorEastAsia" w:hAnsiTheme="minorEastAsia"/>
          <w:b/>
          <w:bCs/>
          <w:sz w:val="21"/>
          <w:szCs w:val="21"/>
        </w:rPr>
      </w:pPr>
      <w:bookmarkStart w:id="51" w:name="_Toc502857483"/>
      <w:bookmarkStart w:id="52" w:name="_Toc502853431"/>
      <w:r>
        <w:rPr>
          <w:rFonts w:asciiTheme="minorEastAsia" w:eastAsiaTheme="minorEastAsia" w:hAnsiTheme="minorEastAsia"/>
          <w:b/>
          <w:bCs/>
          <w:sz w:val="21"/>
          <w:szCs w:val="21"/>
        </w:rPr>
        <w:t>安装方面</w:t>
      </w:r>
      <w:bookmarkEnd w:id="51"/>
      <w:bookmarkEnd w:id="52"/>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53" w:name="_Toc502853432"/>
      <w:bookmarkStart w:id="54" w:name="_Toc502857484"/>
      <w:r>
        <w:rPr>
          <w:rFonts w:asciiTheme="minorEastAsia" w:eastAsiaTheme="minorEastAsia" w:hAnsiTheme="minorEastAsia"/>
          <w:sz w:val="21"/>
          <w:szCs w:val="21"/>
          <w:lang w:eastAsia="zh-CN"/>
        </w:rPr>
        <w:t>必须尽可能避免使不同的导电金属接触。如不可能避免，则相接触金属的一面或两面须电镀或彼此绝缘。</w:t>
      </w:r>
      <w:bookmarkEnd w:id="53"/>
      <w:bookmarkEnd w:id="54"/>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55" w:name="_Toc502853433"/>
      <w:bookmarkStart w:id="56" w:name="_Toc502857485"/>
      <w:r>
        <w:rPr>
          <w:rFonts w:asciiTheme="minorEastAsia" w:eastAsiaTheme="minorEastAsia" w:hAnsiTheme="minorEastAsia"/>
          <w:sz w:val="21"/>
          <w:szCs w:val="21"/>
          <w:lang w:eastAsia="zh-CN"/>
        </w:rPr>
        <w:t>低压配电柜内所有类似部件均须可以互换。</w:t>
      </w:r>
      <w:bookmarkEnd w:id="55"/>
      <w:bookmarkEnd w:id="56"/>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57" w:name="_Toc502853434"/>
      <w:bookmarkStart w:id="58" w:name="_Toc502857486"/>
      <w:r>
        <w:rPr>
          <w:rFonts w:asciiTheme="minorEastAsia" w:eastAsiaTheme="minorEastAsia" w:hAnsiTheme="minorEastAsia"/>
          <w:sz w:val="21"/>
          <w:szCs w:val="21"/>
          <w:lang w:eastAsia="zh-CN"/>
        </w:rPr>
        <w:t>所有易被尘土侵蚀或损坏的部件须完全置于防护箱内。</w:t>
      </w:r>
      <w:bookmarkEnd w:id="57"/>
      <w:bookmarkEnd w:id="58"/>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59" w:name="_Toc502853435"/>
      <w:bookmarkStart w:id="60" w:name="_Toc502857487"/>
      <w:r>
        <w:rPr>
          <w:rFonts w:asciiTheme="minorEastAsia" w:eastAsiaTheme="minorEastAsia" w:hAnsiTheme="minorEastAsia"/>
          <w:sz w:val="21"/>
          <w:szCs w:val="21"/>
          <w:lang w:eastAsia="zh-CN"/>
        </w:rPr>
        <w:t>除另有规定外，在低压配电柜上不得使用粘贴。</w:t>
      </w:r>
      <w:bookmarkEnd w:id="59"/>
      <w:bookmarkEnd w:id="60"/>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61" w:name="_Toc502857488"/>
      <w:bookmarkStart w:id="62" w:name="_Toc502853436"/>
      <w:r>
        <w:rPr>
          <w:rFonts w:asciiTheme="minorEastAsia" w:eastAsiaTheme="minorEastAsia" w:hAnsiTheme="minorEastAsia"/>
          <w:sz w:val="21"/>
          <w:szCs w:val="21"/>
          <w:lang w:eastAsia="zh-CN"/>
        </w:rPr>
        <w:t>所有螺栓，螺钉，螺帽及垫片必须为高强度镀铬不锈钢制。如因公差之限制不能电镀则必须使用抗腐蚀之钢材制作。</w:t>
      </w:r>
      <w:bookmarkEnd w:id="61"/>
      <w:bookmarkEnd w:id="62"/>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63" w:name="_Toc502853437"/>
      <w:bookmarkStart w:id="64" w:name="_Toc502857489"/>
      <w:r>
        <w:rPr>
          <w:rFonts w:asciiTheme="minorEastAsia" w:eastAsiaTheme="minorEastAsia" w:hAnsiTheme="minorEastAsia"/>
          <w:sz w:val="21"/>
          <w:szCs w:val="21"/>
          <w:lang w:eastAsia="zh-CN"/>
        </w:rPr>
        <w:t>在所有螺栓和螺帽下必须加垫片。螺栓和螺钉必须伸出螺帽外至少</w:t>
      </w:r>
      <w:r>
        <w:rPr>
          <w:rFonts w:asciiTheme="minorEastAsia" w:eastAsiaTheme="minorEastAsia" w:hAnsiTheme="minorEastAsia"/>
          <w:sz w:val="21"/>
          <w:szCs w:val="21"/>
          <w:lang w:eastAsia="zh-CN"/>
        </w:rPr>
        <w:t>1</w:t>
      </w:r>
      <w:r>
        <w:rPr>
          <w:rFonts w:asciiTheme="minorEastAsia" w:eastAsiaTheme="minorEastAsia" w:hAnsiTheme="minorEastAsia"/>
          <w:sz w:val="21"/>
          <w:szCs w:val="21"/>
          <w:lang w:eastAsia="zh-CN"/>
        </w:rPr>
        <w:t>个节距但不得多于</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个节距。</w:t>
      </w:r>
      <w:bookmarkEnd w:id="63"/>
      <w:bookmarkEnd w:id="64"/>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65" w:name="_Toc502857490"/>
      <w:bookmarkStart w:id="66" w:name="_Toc502853438"/>
      <w:r>
        <w:rPr>
          <w:rFonts w:asciiTheme="minorEastAsia" w:eastAsiaTheme="minorEastAsia" w:hAnsiTheme="minorEastAsia"/>
          <w:sz w:val="21"/>
          <w:szCs w:val="21"/>
          <w:lang w:eastAsia="zh-CN"/>
        </w:rPr>
        <w:t>低压配电柜之设计必须符合最佳的工程实践。仪表，继电器，开关装置，指示灯的布置应整齐，有效和合乎逻辑。</w:t>
      </w:r>
      <w:bookmarkEnd w:id="65"/>
      <w:bookmarkEnd w:id="66"/>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67" w:name="_Toc502857491"/>
      <w:bookmarkStart w:id="68" w:name="_Toc502853439"/>
      <w:r>
        <w:rPr>
          <w:rFonts w:asciiTheme="minorEastAsia" w:eastAsiaTheme="minorEastAsia" w:hAnsiTheme="minorEastAsia"/>
          <w:sz w:val="21"/>
          <w:szCs w:val="21"/>
          <w:lang w:eastAsia="zh-CN"/>
        </w:rPr>
        <w:t>低压配电柜之设计必须使操作简便，服务可靠和维护方便。</w:t>
      </w:r>
      <w:bookmarkEnd w:id="67"/>
      <w:bookmarkEnd w:id="68"/>
    </w:p>
    <w:p w:rsidR="002274AC">
      <w:pPr>
        <w:pStyle w:val="ReportLevel3"/>
        <w:keepNext w:val="0"/>
        <w:keepLines/>
        <w:spacing w:before="120" w:beforeLines="50" w:after="120" w:afterLines="50"/>
        <w:rPr>
          <w:rFonts w:asciiTheme="minorEastAsia" w:eastAsiaTheme="minorEastAsia" w:hAnsiTheme="minorEastAsia"/>
          <w:b/>
          <w:bCs/>
          <w:sz w:val="21"/>
          <w:szCs w:val="21"/>
        </w:rPr>
      </w:pPr>
      <w:bookmarkStart w:id="69" w:name="_Toc502857492"/>
      <w:bookmarkStart w:id="70" w:name="_Toc502853440"/>
      <w:r>
        <w:rPr>
          <w:rFonts w:asciiTheme="minorEastAsia" w:eastAsiaTheme="minorEastAsia" w:hAnsiTheme="minorEastAsia"/>
          <w:b/>
          <w:bCs/>
          <w:sz w:val="21"/>
          <w:szCs w:val="21"/>
        </w:rPr>
        <w:t>结构方面</w:t>
      </w:r>
      <w:bookmarkEnd w:id="69"/>
      <w:bookmarkEnd w:id="70"/>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低</w:t>
      </w:r>
      <w:r>
        <w:rPr>
          <w:rFonts w:asciiTheme="minorEastAsia" w:eastAsiaTheme="minorEastAsia" w:hAnsiTheme="minorEastAsia" w:hint="eastAsia"/>
          <w:sz w:val="21"/>
          <w:szCs w:val="21"/>
          <w:lang w:eastAsia="zh-CN"/>
        </w:rPr>
        <w:t>压配电柜须为独立座地，低压开关柜结构采用模数化组合的装配式结构，骨架需采用不小于</w:t>
      </w:r>
      <w:r>
        <w:rPr>
          <w:rFonts w:asciiTheme="minorEastAsia" w:eastAsiaTheme="minorEastAsia" w:hAnsiTheme="minorEastAsia" w:hint="eastAsia"/>
          <w:sz w:val="21"/>
          <w:szCs w:val="21"/>
          <w:lang w:eastAsia="zh-CN"/>
        </w:rPr>
        <w:t>2.5</w:t>
      </w:r>
      <w:r>
        <w:rPr>
          <w:rFonts w:asciiTheme="minorEastAsia" w:eastAsiaTheme="minorEastAsia" w:hAnsiTheme="minorEastAsia"/>
          <w:sz w:val="21"/>
          <w:szCs w:val="21"/>
          <w:lang w:eastAsia="zh-CN"/>
        </w:rPr>
        <w:t>毫米</w:t>
      </w:r>
      <w:r>
        <w:rPr>
          <w:rFonts w:asciiTheme="minorEastAsia" w:eastAsiaTheme="minorEastAsia" w:hAnsiTheme="minorEastAsia" w:hint="eastAsia"/>
          <w:sz w:val="21"/>
          <w:szCs w:val="21"/>
          <w:lang w:eastAsia="zh-CN"/>
        </w:rPr>
        <w:t>厚镀锌板或敷铝锌板制作，保证柜体结构具有良好的机械强度，各部件之间的连接采用自攻螺钉。面板采用冷轧钢板</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厚度不小于</w:t>
      </w:r>
      <w:r>
        <w:rPr>
          <w:rFonts w:asciiTheme="minorEastAsia" w:eastAsiaTheme="minorEastAsia" w:hAnsiTheme="minorEastAsia" w:hint="eastAsia"/>
          <w:sz w:val="21"/>
          <w:szCs w:val="21"/>
          <w:lang w:eastAsia="zh-CN"/>
        </w:rPr>
        <w:t>2</w:t>
      </w:r>
      <w:r>
        <w:rPr>
          <w:rFonts w:asciiTheme="minorEastAsia" w:eastAsiaTheme="minorEastAsia" w:hAnsiTheme="minorEastAsia"/>
          <w:sz w:val="21"/>
          <w:szCs w:val="21"/>
          <w:lang w:eastAsia="zh-CN"/>
        </w:rPr>
        <w:t>毫米</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hint="eastAsia"/>
          <w:sz w:val="21"/>
          <w:szCs w:val="21"/>
          <w:lang w:eastAsia="zh-CN"/>
        </w:rPr>
        <w:t>并采用聚酯环氧树脂粉末喷涂，要求面板喷涂均匀平滑外表美观</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结构合理匀称。</w:t>
      </w:r>
      <w:r>
        <w:rPr>
          <w:rFonts w:asciiTheme="minorEastAsia" w:eastAsiaTheme="minorEastAsia" w:hAnsiTheme="minorEastAsia"/>
          <w:sz w:val="21"/>
          <w:szCs w:val="21"/>
          <w:lang w:eastAsia="zh-CN"/>
        </w:rPr>
        <w:t>并可进入接触低压配电屏内之部件</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屏内各组件之间须有足够的空间进行内部维修。低压柜柜宽不得低于</w:t>
      </w:r>
      <w:r>
        <w:rPr>
          <w:rFonts w:asciiTheme="minorEastAsia" w:eastAsiaTheme="minorEastAsia" w:hAnsiTheme="minorEastAsia" w:hint="eastAsia"/>
          <w:sz w:val="21"/>
          <w:szCs w:val="21"/>
          <w:lang w:eastAsia="zh-CN"/>
        </w:rPr>
        <w:t>600mm</w:t>
      </w:r>
      <w:r>
        <w:rPr>
          <w:rFonts w:asciiTheme="minorEastAsia" w:eastAsiaTheme="minorEastAsia" w:hAnsiTheme="minorEastAsia" w:hint="eastAsia"/>
          <w:sz w:val="21"/>
          <w:szCs w:val="21"/>
          <w:lang w:eastAsia="zh-CN"/>
        </w:rPr>
        <w:t>。</w:t>
      </w:r>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低压配电柜</w:t>
      </w:r>
      <w:r>
        <w:rPr>
          <w:rFonts w:asciiTheme="minorEastAsia" w:eastAsiaTheme="minorEastAsia" w:hAnsiTheme="minorEastAsia" w:hint="eastAsia"/>
          <w:sz w:val="21"/>
          <w:szCs w:val="21"/>
          <w:lang w:eastAsia="zh-CN"/>
        </w:rPr>
        <w:t>面板采用冷轧钢板</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厚度不小于</w:t>
      </w:r>
      <w:r>
        <w:rPr>
          <w:rFonts w:asciiTheme="minorEastAsia" w:eastAsiaTheme="minorEastAsia" w:hAnsiTheme="minorEastAsia" w:hint="eastAsia"/>
          <w:sz w:val="21"/>
          <w:szCs w:val="21"/>
          <w:lang w:eastAsia="zh-CN"/>
        </w:rPr>
        <w:t>2</w:t>
      </w:r>
      <w:r>
        <w:rPr>
          <w:rFonts w:asciiTheme="minorEastAsia" w:eastAsiaTheme="minorEastAsia" w:hAnsiTheme="minorEastAsia"/>
          <w:sz w:val="21"/>
          <w:szCs w:val="21"/>
          <w:lang w:eastAsia="zh-CN"/>
        </w:rPr>
        <w:t>毫米</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hint="eastAsia"/>
          <w:sz w:val="21"/>
          <w:szCs w:val="21"/>
          <w:lang w:eastAsia="zh-CN"/>
        </w:rPr>
        <w:t>并采用聚酯环氧树脂粉末喷涂，要求面板喷涂均匀平滑外表美观</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结构合理匀称。</w:t>
      </w:r>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71" w:name="_Toc502857494"/>
      <w:bookmarkStart w:id="72" w:name="_Toc502853442"/>
      <w:r>
        <w:rPr>
          <w:rFonts w:asciiTheme="minorEastAsia" w:eastAsiaTheme="minorEastAsia" w:hAnsiTheme="minorEastAsia"/>
          <w:sz w:val="21"/>
          <w:szCs w:val="21"/>
          <w:lang w:eastAsia="zh-CN"/>
        </w:rPr>
        <w:t>户内式屏体之保护程度须</w:t>
      </w:r>
      <w:r>
        <w:rPr>
          <w:rFonts w:asciiTheme="minorEastAsia" w:eastAsiaTheme="minorEastAsia" w:hAnsiTheme="minorEastAsia" w:hint="eastAsia"/>
          <w:sz w:val="21"/>
          <w:szCs w:val="21"/>
          <w:lang w:eastAsia="zh-CN"/>
        </w:rPr>
        <w:t>不低于</w:t>
      </w:r>
      <w:r>
        <w:rPr>
          <w:rFonts w:asciiTheme="minorEastAsia" w:eastAsiaTheme="minorEastAsia" w:hAnsiTheme="minorEastAsia"/>
          <w:sz w:val="21"/>
          <w:szCs w:val="21"/>
          <w:lang w:eastAsia="zh-CN"/>
        </w:rPr>
        <w:t>IP31</w:t>
      </w:r>
      <w:r>
        <w:rPr>
          <w:rFonts w:asciiTheme="minorEastAsia" w:eastAsiaTheme="minorEastAsia" w:hAnsiTheme="minorEastAsia"/>
          <w:sz w:val="21"/>
          <w:szCs w:val="21"/>
          <w:lang w:eastAsia="zh-CN"/>
        </w:rPr>
        <w:t>，户外式屏体</w:t>
      </w:r>
      <w:r>
        <w:rPr>
          <w:rFonts w:asciiTheme="minorEastAsia" w:eastAsiaTheme="minorEastAsia" w:hAnsiTheme="minorEastAsia" w:hint="eastAsia"/>
          <w:sz w:val="21"/>
          <w:szCs w:val="21"/>
          <w:lang w:eastAsia="zh-CN"/>
        </w:rPr>
        <w:t>不低于</w:t>
      </w:r>
      <w:r>
        <w:rPr>
          <w:rFonts w:asciiTheme="minorEastAsia" w:eastAsiaTheme="minorEastAsia" w:hAnsiTheme="minorEastAsia"/>
          <w:sz w:val="21"/>
          <w:szCs w:val="21"/>
          <w:lang w:eastAsia="zh-CN"/>
        </w:rPr>
        <w:t>IP54</w:t>
      </w:r>
      <w:r>
        <w:rPr>
          <w:rFonts w:asciiTheme="minorEastAsia" w:eastAsiaTheme="minorEastAsia" w:hAnsiTheme="minorEastAsia"/>
          <w:sz w:val="21"/>
          <w:szCs w:val="21"/>
          <w:lang w:eastAsia="zh-CN"/>
        </w:rPr>
        <w:t>。</w:t>
      </w:r>
      <w:bookmarkEnd w:id="71"/>
      <w:bookmarkEnd w:id="72"/>
    </w:p>
    <w:p w:rsidR="002274AC">
      <w:pPr>
        <w:pStyle w:val="ReportLevel4"/>
        <w:keepNext w:val="0"/>
        <w:keepLines/>
        <w:spacing w:before="120" w:beforeLines="50" w:after="120" w:afterLines="50"/>
        <w:rPr>
          <w:rFonts w:asciiTheme="minorEastAsia" w:eastAsiaTheme="minorEastAsia" w:hAnsiTheme="minorEastAsia"/>
          <w:sz w:val="21"/>
          <w:szCs w:val="21"/>
          <w:lang w:eastAsia="zh-CN"/>
        </w:rPr>
        <w:sectPr>
          <w:footerReference w:type="default" r:id="rId30"/>
          <w:type w:val="nextPage"/>
          <w:pgSz w:w="11906" w:h="16838"/>
          <w:pgMar w:top="1814" w:right="1418" w:bottom="1418" w:left="1814" w:header="851" w:footer="992" w:gutter="0"/>
          <w:pgNumType w:start="25"/>
          <w:cols w:space="425"/>
          <w:titlePg w:val="0"/>
          <w:docGrid w:linePitch="312"/>
        </w:sectPr>
      </w:pPr>
      <w:bookmarkStart w:id="73" w:name="_Toc502853443"/>
      <w:bookmarkStart w:id="74" w:name="_Toc502857495"/>
      <w:r>
        <w:rPr>
          <w:rFonts w:asciiTheme="minorEastAsia" w:eastAsiaTheme="minorEastAsia" w:hAnsiTheme="minorEastAsia"/>
          <w:sz w:val="21"/>
          <w:szCs w:val="21"/>
          <w:lang w:eastAsia="zh-CN"/>
        </w:rPr>
        <w:t>低压配电柜之非重要母线段分隔要求须符合第三类型，对重要母线段须为第四类型。对第四类型分隔，母线，引上引下之母线及包括电缆线耳，螺栓和螺帽之电缆终端全部绝缘。在母线上须套以热缩材料和在母线接头和电缆终端上加护罩。</w:t>
      </w:r>
      <w:bookmarkEnd w:id="73"/>
      <w:bookmarkEnd w:id="74"/>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75" w:name="_Toc502853444"/>
      <w:bookmarkStart w:id="76" w:name="_Toc502857496"/>
      <w:r>
        <w:rPr>
          <w:rFonts w:asciiTheme="minorEastAsia" w:eastAsiaTheme="minorEastAsia" w:hAnsiTheme="minorEastAsia"/>
          <w:sz w:val="21"/>
          <w:szCs w:val="21"/>
          <w:lang w:eastAsia="zh-CN"/>
        </w:rPr>
        <w:t>在低压配电柜之每面屏后需装有一对手把之可拆卸板以便于装卸。可装卸及可开启之面板均需装密封垫。</w:t>
      </w:r>
      <w:bookmarkEnd w:id="75"/>
      <w:bookmarkEnd w:id="76"/>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77" w:name="_Toc502857497"/>
      <w:bookmarkStart w:id="78" w:name="_Toc502853445"/>
      <w:r>
        <w:rPr>
          <w:rFonts w:asciiTheme="minorEastAsia" w:eastAsiaTheme="minorEastAsia" w:hAnsiTheme="minorEastAsia"/>
          <w:sz w:val="21"/>
          <w:szCs w:val="21"/>
          <w:lang w:eastAsia="zh-CN"/>
        </w:rPr>
        <w:t>配电屏</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在需要位置设有通风百叶</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通风百叶之位置安放在屏侧式背板。所有通风百叶之设计要经批准</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并要配有滤尘器。</w:t>
      </w:r>
      <w:bookmarkEnd w:id="77"/>
      <w:bookmarkEnd w:id="78"/>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79" w:name="_Toc502857498"/>
      <w:bookmarkStart w:id="80" w:name="_Toc502853446"/>
      <w:r>
        <w:rPr>
          <w:rFonts w:asciiTheme="minorEastAsia" w:eastAsiaTheme="minorEastAsia" w:hAnsiTheme="minorEastAsia"/>
          <w:sz w:val="21"/>
          <w:szCs w:val="21"/>
          <w:lang w:eastAsia="zh-CN"/>
        </w:rPr>
        <w:t>低压配电柜须为同等高度</w:t>
      </w:r>
      <w:r>
        <w:rPr>
          <w:rFonts w:asciiTheme="minorEastAsia" w:eastAsiaTheme="minorEastAsia" w:hAnsiTheme="minorEastAsia"/>
          <w:sz w:val="21"/>
          <w:szCs w:val="21"/>
          <w:lang w:eastAsia="zh-CN"/>
        </w:rPr>
        <w:t>，在其排列长度内深度必须一致，外观整洁。控制和指示的组件须装于离地</w:t>
      </w:r>
      <w:r>
        <w:rPr>
          <w:rFonts w:asciiTheme="minorEastAsia" w:eastAsiaTheme="minorEastAsia" w:hAnsiTheme="minorEastAsia"/>
          <w:sz w:val="21"/>
          <w:szCs w:val="21"/>
          <w:lang w:eastAsia="zh-CN"/>
        </w:rPr>
        <w:t>300mm</w:t>
      </w:r>
      <w:r>
        <w:rPr>
          <w:rFonts w:asciiTheme="minorEastAsia" w:eastAsiaTheme="minorEastAsia" w:hAnsiTheme="minorEastAsia"/>
          <w:sz w:val="21"/>
          <w:szCs w:val="21"/>
          <w:lang w:eastAsia="zh-CN"/>
        </w:rPr>
        <w:t>和</w:t>
      </w:r>
      <w:r>
        <w:rPr>
          <w:rFonts w:asciiTheme="minorEastAsia" w:eastAsiaTheme="minorEastAsia" w:hAnsiTheme="minorEastAsia"/>
          <w:sz w:val="21"/>
          <w:szCs w:val="21"/>
          <w:lang w:eastAsia="zh-CN"/>
        </w:rPr>
        <w:t>1800mm</w:t>
      </w:r>
      <w:r>
        <w:rPr>
          <w:rFonts w:asciiTheme="minorEastAsia" w:eastAsiaTheme="minorEastAsia" w:hAnsiTheme="minorEastAsia"/>
          <w:sz w:val="21"/>
          <w:szCs w:val="21"/>
          <w:lang w:eastAsia="zh-CN"/>
        </w:rPr>
        <w:t>之间。</w:t>
      </w:r>
      <w:bookmarkEnd w:id="79"/>
      <w:bookmarkEnd w:id="80"/>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81" w:name="_Toc502853447"/>
      <w:bookmarkStart w:id="82" w:name="_Toc502857499"/>
      <w:r>
        <w:rPr>
          <w:rFonts w:asciiTheme="minorEastAsia" w:eastAsiaTheme="minorEastAsia" w:hAnsiTheme="minorEastAsia"/>
          <w:sz w:val="21"/>
          <w:szCs w:val="21"/>
          <w:lang w:eastAsia="zh-CN"/>
        </w:rPr>
        <w:t>门须装暗铰链并与开关装置联锁，并具备用聚氯丁橡胶或其它相同而经批准材料制成的防尘垫。</w:t>
      </w:r>
      <w:bookmarkEnd w:id="81"/>
      <w:bookmarkEnd w:id="82"/>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83" w:name="_Toc502857500"/>
      <w:bookmarkStart w:id="84" w:name="_Toc502853448"/>
      <w:r>
        <w:rPr>
          <w:rFonts w:asciiTheme="minorEastAsia" w:eastAsiaTheme="minorEastAsia" w:hAnsiTheme="minorEastAsia"/>
          <w:sz w:val="21"/>
          <w:szCs w:val="21"/>
          <w:lang w:eastAsia="zh-CN"/>
        </w:rPr>
        <w:t>在配电柜顶部和底部需为引出电缆和</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或母线槽配备厚度不少于</w:t>
      </w:r>
      <w:r>
        <w:rPr>
          <w:rFonts w:asciiTheme="minorEastAsia" w:eastAsiaTheme="minorEastAsia" w:hAnsiTheme="minorEastAsia"/>
          <w:sz w:val="21"/>
          <w:szCs w:val="21"/>
          <w:lang w:eastAsia="zh-CN"/>
        </w:rPr>
        <w:t>3.2</w:t>
      </w:r>
      <w:r>
        <w:rPr>
          <w:rFonts w:asciiTheme="minorEastAsia" w:eastAsiaTheme="minorEastAsia" w:hAnsiTheme="minorEastAsia"/>
          <w:sz w:val="21"/>
          <w:szCs w:val="21"/>
          <w:lang w:eastAsia="zh-CN"/>
        </w:rPr>
        <w:t>毫米，可拆卸由非磁性金属制成的电缆密封端头盖板。</w:t>
      </w:r>
      <w:bookmarkEnd w:id="83"/>
      <w:bookmarkEnd w:id="84"/>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bookmarkStart w:id="85" w:name="_Toc502853449"/>
      <w:bookmarkStart w:id="86" w:name="_Toc502857501"/>
      <w:r>
        <w:rPr>
          <w:rFonts w:asciiTheme="minorEastAsia" w:eastAsiaTheme="minorEastAsia" w:hAnsiTheme="minorEastAsia"/>
          <w:sz w:val="21"/>
          <w:szCs w:val="21"/>
          <w:lang w:eastAsia="zh-CN"/>
        </w:rPr>
        <w:t>低压配电柜之间隔内必须有充分的通风。设备亦必须有足够之额定值以保证低压配电柜之内部温度不超过低压配电柜内包括开关装置，控制开关，母线，继电器和时间开关的工作温度范围。</w:t>
      </w:r>
      <w:r>
        <w:rPr>
          <w:rFonts w:asciiTheme="minorEastAsia" w:eastAsiaTheme="minorEastAsia" w:hAnsiTheme="minorEastAsia"/>
          <w:sz w:val="21"/>
          <w:szCs w:val="21"/>
        </w:rPr>
        <w:t>在必要处需加通风百叶。</w:t>
      </w:r>
      <w:bookmarkEnd w:id="85"/>
      <w:bookmarkEnd w:id="86"/>
    </w:p>
    <w:p w:rsidR="002274AC">
      <w:pPr>
        <w:pStyle w:val="ReportLevel4"/>
        <w:keepNext w:val="0"/>
        <w:keepLines/>
        <w:spacing w:before="120" w:after="120"/>
        <w:rPr>
          <w:rFonts w:asciiTheme="minorEastAsia" w:eastAsiaTheme="minorEastAsia" w:hAnsiTheme="minorEastAsia"/>
          <w:sz w:val="21"/>
          <w:szCs w:val="21"/>
          <w:lang w:eastAsia="zh-CN"/>
        </w:rPr>
      </w:pPr>
      <w:bookmarkStart w:id="87" w:name="_Toc502853450"/>
      <w:bookmarkStart w:id="88" w:name="_Toc502857502"/>
      <w:r>
        <w:rPr>
          <w:rFonts w:asciiTheme="minorEastAsia" w:eastAsiaTheme="minorEastAsia" w:hAnsiTheme="minorEastAsia"/>
          <w:sz w:val="21"/>
          <w:szCs w:val="21"/>
          <w:lang w:eastAsia="zh-CN"/>
        </w:rPr>
        <w:t>所有的绝缘子须为不吸潮及不变质的材料制成。</w:t>
      </w:r>
      <w:bookmarkEnd w:id="87"/>
      <w:bookmarkEnd w:id="88"/>
    </w:p>
    <w:p w:rsidR="002274AC">
      <w:pPr>
        <w:pStyle w:val="ReportLevel4"/>
        <w:keepNext w:val="0"/>
        <w:keepLines/>
        <w:spacing w:before="120" w:after="120"/>
        <w:rPr>
          <w:rFonts w:asciiTheme="minorEastAsia" w:eastAsiaTheme="minorEastAsia" w:hAnsiTheme="minorEastAsia"/>
          <w:sz w:val="21"/>
          <w:szCs w:val="21"/>
          <w:lang w:eastAsia="zh-CN"/>
        </w:rPr>
      </w:pPr>
      <w:bookmarkStart w:id="89" w:name="_Toc502853451"/>
      <w:bookmarkStart w:id="90" w:name="_Toc502857503"/>
      <w:r>
        <w:rPr>
          <w:rFonts w:asciiTheme="minorEastAsia" w:eastAsiaTheme="minorEastAsia" w:hAnsiTheme="minorEastAsia"/>
          <w:sz w:val="21"/>
          <w:szCs w:val="21"/>
          <w:lang w:eastAsia="zh-CN"/>
        </w:rPr>
        <w:t>在低压配电柜底部需装设具有足够强度的槽钢底座，其最少高度为</w:t>
      </w:r>
      <w:r>
        <w:rPr>
          <w:rFonts w:asciiTheme="minorEastAsia" w:eastAsiaTheme="minorEastAsia" w:hAnsiTheme="minorEastAsia"/>
          <w:sz w:val="21"/>
          <w:szCs w:val="21"/>
          <w:lang w:eastAsia="zh-CN"/>
        </w:rPr>
        <w:t>100mm</w:t>
      </w:r>
      <w:r>
        <w:rPr>
          <w:rFonts w:asciiTheme="minorEastAsia" w:eastAsiaTheme="minorEastAsia" w:hAnsiTheme="minorEastAsia"/>
          <w:sz w:val="21"/>
          <w:szCs w:val="21"/>
          <w:lang w:eastAsia="zh-CN"/>
        </w:rPr>
        <w:t>。</w:t>
      </w:r>
      <w:bookmarkEnd w:id="89"/>
      <w:bookmarkEnd w:id="90"/>
    </w:p>
    <w:p w:rsidR="002274AC">
      <w:pPr>
        <w:pStyle w:val="ReportLevel4"/>
        <w:keepNext w:val="0"/>
        <w:keepLines/>
        <w:spacing w:before="120" w:after="120"/>
        <w:rPr>
          <w:rFonts w:asciiTheme="minorEastAsia" w:eastAsiaTheme="minorEastAsia" w:hAnsiTheme="minorEastAsia"/>
          <w:sz w:val="21"/>
          <w:szCs w:val="21"/>
          <w:lang w:eastAsia="zh-CN"/>
        </w:rPr>
      </w:pPr>
      <w:bookmarkStart w:id="91" w:name="_Toc502857504"/>
      <w:bookmarkStart w:id="92" w:name="_Toc502853452"/>
      <w:r>
        <w:rPr>
          <w:rFonts w:asciiTheme="minorEastAsia" w:eastAsiaTheme="minorEastAsia" w:hAnsiTheme="minorEastAsia"/>
          <w:sz w:val="21"/>
          <w:szCs w:val="21"/>
          <w:lang w:eastAsia="zh-CN"/>
        </w:rPr>
        <w:t>所有钢件表面的尘土</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油</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油脂</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污迹</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污垢</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铁锈和其它污物，必须用喷砂予以彻底地清除，幷须在制造厂内立即覆以树脂粉末。树脂粉末面层厚度不得少于</w:t>
      </w:r>
      <w:r>
        <w:rPr>
          <w:rFonts w:asciiTheme="minorEastAsia" w:eastAsiaTheme="minorEastAsia" w:hAnsiTheme="minorEastAsia"/>
          <w:sz w:val="21"/>
          <w:szCs w:val="21"/>
          <w:lang w:eastAsia="zh-CN"/>
        </w:rPr>
        <w:t>50</w:t>
      </w:r>
      <w:r>
        <w:rPr>
          <w:rFonts w:asciiTheme="minorEastAsia" w:eastAsiaTheme="minorEastAsia" w:hAnsiTheme="minorEastAsia"/>
          <w:sz w:val="21"/>
          <w:szCs w:val="21"/>
          <w:lang w:eastAsia="zh-CN"/>
        </w:rPr>
        <w:t>微米。</w:t>
      </w:r>
      <w:bookmarkEnd w:id="91"/>
      <w:bookmarkEnd w:id="92"/>
    </w:p>
    <w:p w:rsidR="002274AC">
      <w:pPr>
        <w:pStyle w:val="ReportLevel4"/>
        <w:keepNext w:val="0"/>
        <w:keepLines/>
        <w:spacing w:before="120" w:after="120"/>
        <w:rPr>
          <w:rFonts w:asciiTheme="minorEastAsia" w:eastAsiaTheme="minorEastAsia" w:hAnsiTheme="minorEastAsia"/>
          <w:sz w:val="21"/>
          <w:szCs w:val="21"/>
          <w:lang w:eastAsia="zh-CN"/>
        </w:rPr>
      </w:pPr>
      <w:bookmarkStart w:id="93" w:name="_Toc502853453"/>
      <w:bookmarkStart w:id="94" w:name="_Toc502857505"/>
      <w:r>
        <w:rPr>
          <w:rFonts w:asciiTheme="minorEastAsia" w:eastAsiaTheme="minorEastAsia" w:hAnsiTheme="minorEastAsia"/>
          <w:sz w:val="21"/>
          <w:szCs w:val="21"/>
          <w:lang w:eastAsia="zh-CN"/>
        </w:rPr>
        <w:t>除特别说明外，面漆颜色应为浅灰色或制造厂商规定的标准颜色。</w:t>
      </w:r>
      <w:bookmarkEnd w:id="93"/>
      <w:bookmarkEnd w:id="94"/>
    </w:p>
    <w:p w:rsidR="002274AC">
      <w:pPr>
        <w:pStyle w:val="ReportLevel3"/>
        <w:keepLines/>
        <w:spacing w:before="120" w:beforeLines="50" w:after="120" w:afterLines="50"/>
        <w:rPr>
          <w:rFonts w:asciiTheme="minorEastAsia" w:eastAsiaTheme="minorEastAsia" w:hAnsiTheme="minorEastAsia"/>
          <w:b/>
          <w:bCs/>
          <w:sz w:val="21"/>
          <w:szCs w:val="21"/>
        </w:rPr>
      </w:pPr>
      <w:bookmarkStart w:id="95" w:name="_Toc502853454"/>
      <w:bookmarkStart w:id="96" w:name="_Toc502859493"/>
      <w:bookmarkStart w:id="97" w:name="_Toc502860477"/>
      <w:bookmarkStart w:id="98" w:name="_Toc502857506"/>
      <w:r>
        <w:rPr>
          <w:rFonts w:asciiTheme="minorEastAsia" w:eastAsiaTheme="minorEastAsia" w:hAnsiTheme="minorEastAsia"/>
          <w:b/>
          <w:bCs/>
          <w:sz w:val="21"/>
          <w:szCs w:val="21"/>
        </w:rPr>
        <w:t>母线</w:t>
      </w:r>
      <w:bookmarkEnd w:id="95"/>
      <w:bookmarkEnd w:id="96"/>
      <w:bookmarkEnd w:id="97"/>
      <w:bookmarkEnd w:id="98"/>
    </w:p>
    <w:p w:rsidR="002274AC">
      <w:pPr>
        <w:pStyle w:val="ReportLevel4"/>
        <w:keepNext w:val="0"/>
        <w:keepLines/>
        <w:spacing w:before="120" w:after="120"/>
        <w:rPr>
          <w:rFonts w:asciiTheme="minorEastAsia" w:eastAsiaTheme="minorEastAsia" w:hAnsiTheme="minorEastAsia"/>
          <w:sz w:val="21"/>
          <w:szCs w:val="21"/>
          <w:lang w:eastAsia="zh-CN"/>
        </w:rPr>
      </w:pPr>
      <w:bookmarkStart w:id="99" w:name="_Toc502853455"/>
      <w:bookmarkStart w:id="100" w:name="_Toc502860478"/>
      <w:bookmarkStart w:id="101" w:name="_Toc502857507"/>
      <w:bookmarkStart w:id="102" w:name="_Toc502859494"/>
      <w:r>
        <w:rPr>
          <w:rFonts w:asciiTheme="minorEastAsia" w:eastAsiaTheme="minorEastAsia" w:hAnsiTheme="minorEastAsia"/>
          <w:sz w:val="21"/>
          <w:szCs w:val="21"/>
          <w:lang w:eastAsia="zh-CN"/>
        </w:rPr>
        <w:t>母线须为硬拉，高导电率，电镀锡，矩形或</w:t>
      </w:r>
      <w:r>
        <w:rPr>
          <w:rFonts w:asciiTheme="minorEastAsia" w:eastAsiaTheme="minorEastAsia" w:hAnsiTheme="minorEastAsia"/>
          <w:sz w:val="21"/>
          <w:szCs w:val="21"/>
          <w:lang w:eastAsia="zh-CN"/>
        </w:rPr>
        <w:t>C</w:t>
      </w:r>
      <w:r>
        <w:rPr>
          <w:rFonts w:asciiTheme="minorEastAsia" w:eastAsiaTheme="minorEastAsia" w:hAnsiTheme="minorEastAsia"/>
          <w:sz w:val="21"/>
          <w:szCs w:val="21"/>
          <w:lang w:eastAsia="zh-CN"/>
        </w:rPr>
        <w:t>型实心裸铜排制成。相线和中性母线须为同等截面。</w:t>
      </w:r>
      <w:bookmarkEnd w:id="99"/>
      <w:bookmarkEnd w:id="100"/>
      <w:bookmarkEnd w:id="101"/>
      <w:bookmarkEnd w:id="102"/>
    </w:p>
    <w:p w:rsidR="002274AC">
      <w:pPr>
        <w:pStyle w:val="ReportLevel4"/>
        <w:keepNext w:val="0"/>
        <w:keepLines/>
        <w:spacing w:before="120" w:after="120"/>
        <w:rPr>
          <w:rFonts w:asciiTheme="minorEastAsia" w:eastAsiaTheme="minorEastAsia" w:hAnsiTheme="minorEastAsia"/>
          <w:sz w:val="21"/>
          <w:szCs w:val="21"/>
          <w:lang w:eastAsia="zh-CN"/>
        </w:rPr>
      </w:pPr>
      <w:bookmarkStart w:id="103" w:name="_Toc502860479"/>
      <w:bookmarkStart w:id="104" w:name="_Toc502857508"/>
      <w:bookmarkStart w:id="105" w:name="_Toc502859495"/>
      <w:bookmarkStart w:id="106" w:name="_Toc502853456"/>
      <w:r>
        <w:rPr>
          <w:rFonts w:asciiTheme="minorEastAsia" w:eastAsiaTheme="minorEastAsia" w:hAnsiTheme="minorEastAsia"/>
          <w:sz w:val="21"/>
          <w:szCs w:val="21"/>
          <w:lang w:eastAsia="zh-CN"/>
        </w:rPr>
        <w:t>母线须牢固支撑。整个母线组装须能承受在故障条件下可能遭受的最大机械应力。</w:t>
      </w:r>
      <w:bookmarkEnd w:id="103"/>
      <w:bookmarkEnd w:id="104"/>
      <w:bookmarkEnd w:id="105"/>
      <w:bookmarkEnd w:id="106"/>
    </w:p>
    <w:p w:rsidR="002274AC">
      <w:pPr>
        <w:pStyle w:val="ReportLevel4"/>
        <w:keepNext w:val="0"/>
        <w:keepLines/>
        <w:spacing w:before="120" w:after="120"/>
        <w:rPr>
          <w:rFonts w:asciiTheme="minorEastAsia" w:eastAsiaTheme="minorEastAsia" w:hAnsiTheme="minorEastAsia"/>
          <w:sz w:val="21"/>
          <w:szCs w:val="21"/>
          <w:lang w:eastAsia="zh-CN"/>
        </w:rPr>
      </w:pPr>
      <w:bookmarkStart w:id="107" w:name="_Toc502860480"/>
      <w:bookmarkStart w:id="108" w:name="_Toc502859496"/>
      <w:bookmarkStart w:id="109" w:name="_Toc502857509"/>
      <w:bookmarkStart w:id="110" w:name="_Toc502853457"/>
      <w:r>
        <w:rPr>
          <w:rFonts w:asciiTheme="minorEastAsia" w:eastAsiaTheme="minorEastAsia" w:hAnsiTheme="minorEastAsia"/>
          <w:sz w:val="21"/>
          <w:szCs w:val="21"/>
          <w:lang w:eastAsia="zh-CN"/>
        </w:rPr>
        <w:t>配电屏的母线，母</w:t>
      </w:r>
      <w:r>
        <w:rPr>
          <w:rFonts w:asciiTheme="minorEastAsia" w:eastAsiaTheme="minorEastAsia" w:hAnsiTheme="minorEastAsia"/>
          <w:sz w:val="21"/>
          <w:szCs w:val="21"/>
          <w:lang w:eastAsia="zh-CN"/>
        </w:rPr>
        <w:t>线联接和裸导体须符合</w:t>
      </w:r>
      <w:r>
        <w:rPr>
          <w:rFonts w:asciiTheme="minorEastAsia" w:eastAsiaTheme="minorEastAsia" w:hAnsiTheme="minorEastAsia"/>
          <w:sz w:val="21"/>
          <w:szCs w:val="21"/>
          <w:lang w:eastAsia="zh-CN"/>
        </w:rPr>
        <w:t>GB7251.1-2013</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JB/T9661-1999</w:t>
      </w:r>
      <w:r>
        <w:rPr>
          <w:rFonts w:asciiTheme="minorEastAsia" w:eastAsiaTheme="minorEastAsia" w:hAnsiTheme="minorEastAsia"/>
          <w:sz w:val="21"/>
          <w:szCs w:val="21"/>
          <w:lang w:eastAsia="zh-CN"/>
        </w:rPr>
        <w:t>标准中关于载流量和温升限量的要求。</w:t>
      </w:r>
      <w:bookmarkEnd w:id="107"/>
      <w:bookmarkEnd w:id="108"/>
      <w:bookmarkEnd w:id="109"/>
      <w:bookmarkEnd w:id="110"/>
    </w:p>
    <w:p w:rsidR="002274AC">
      <w:pPr>
        <w:pStyle w:val="ReportLevel4"/>
        <w:keepNext w:val="0"/>
        <w:keepLines/>
        <w:spacing w:before="120" w:after="120"/>
        <w:rPr>
          <w:rFonts w:asciiTheme="minorEastAsia" w:eastAsiaTheme="minorEastAsia" w:hAnsiTheme="minorEastAsia"/>
          <w:sz w:val="21"/>
          <w:szCs w:val="21"/>
          <w:lang w:eastAsia="zh-CN"/>
        </w:rPr>
      </w:pPr>
      <w:bookmarkStart w:id="111" w:name="_Toc502857510"/>
      <w:bookmarkStart w:id="112" w:name="_Toc502859497"/>
      <w:bookmarkStart w:id="113" w:name="_Toc502860481"/>
      <w:bookmarkStart w:id="114" w:name="_Toc502853458"/>
      <w:r>
        <w:rPr>
          <w:rFonts w:asciiTheme="minorEastAsia" w:eastAsiaTheme="minorEastAsia" w:hAnsiTheme="minorEastAsia"/>
          <w:sz w:val="21"/>
          <w:szCs w:val="21"/>
          <w:lang w:eastAsia="zh-CN"/>
        </w:rPr>
        <w:t>当低压配电屏中某个垂直部份包括一个以上的馈出回路时需由引上或引下之母线与主母线连接。引上和引下母线须尽可能短，直，幷使所有馈出回路之导线可直接与之连接而避免不必要的弯曲。</w:t>
      </w:r>
      <w:bookmarkEnd w:id="111"/>
      <w:bookmarkEnd w:id="112"/>
      <w:bookmarkEnd w:id="113"/>
      <w:bookmarkEnd w:id="114"/>
    </w:p>
    <w:p w:rsidR="002274AC">
      <w:pPr>
        <w:pStyle w:val="ReportLevel4"/>
        <w:keepNext w:val="0"/>
        <w:keepLines/>
        <w:spacing w:before="120" w:after="120"/>
        <w:rPr>
          <w:rFonts w:asciiTheme="minorEastAsia" w:eastAsiaTheme="minorEastAsia" w:hAnsiTheme="minorEastAsia"/>
          <w:sz w:val="21"/>
          <w:szCs w:val="21"/>
          <w:lang w:eastAsia="zh-CN"/>
        </w:rPr>
      </w:pPr>
      <w:bookmarkStart w:id="115" w:name="_Toc502853459"/>
      <w:bookmarkStart w:id="116" w:name="_Toc502860482"/>
      <w:bookmarkStart w:id="117" w:name="_Toc502859498"/>
      <w:bookmarkStart w:id="118" w:name="_Toc502857511"/>
      <w:r>
        <w:rPr>
          <w:rFonts w:asciiTheme="minorEastAsia" w:eastAsiaTheme="minorEastAsia" w:hAnsiTheme="minorEastAsia"/>
          <w:sz w:val="21"/>
          <w:szCs w:val="21"/>
          <w:lang w:eastAsia="zh-CN"/>
        </w:rPr>
        <w:t>主母线</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引上</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引下母线与配电屏馈出线间之导线须为规定的高导电率铜排，其额定电流不应小于与之连接的馈出线开关装置之额定电流。所有母线需以颜色区分相别。</w:t>
      </w:r>
      <w:bookmarkEnd w:id="115"/>
      <w:bookmarkEnd w:id="116"/>
      <w:bookmarkEnd w:id="117"/>
      <w:bookmarkEnd w:id="118"/>
    </w:p>
    <w:p w:rsidR="002274AC">
      <w:pPr>
        <w:pStyle w:val="ReportLevel4"/>
        <w:keepNext w:val="0"/>
        <w:keepLines/>
        <w:spacing w:before="120" w:after="120"/>
        <w:rPr>
          <w:rFonts w:asciiTheme="minorEastAsia" w:eastAsiaTheme="minorEastAsia" w:hAnsiTheme="minorEastAsia"/>
          <w:sz w:val="21"/>
          <w:szCs w:val="21"/>
          <w:lang w:eastAsia="zh-CN"/>
        </w:rPr>
      </w:pPr>
      <w:bookmarkStart w:id="119" w:name="_Toc502857512"/>
      <w:bookmarkStart w:id="120" w:name="_Toc502859499"/>
      <w:bookmarkStart w:id="121" w:name="_Toc502860483"/>
      <w:bookmarkStart w:id="122" w:name="_Toc502853460"/>
      <w:r>
        <w:rPr>
          <w:rFonts w:asciiTheme="minorEastAsia" w:eastAsiaTheme="minorEastAsia" w:hAnsiTheme="minorEastAsia"/>
          <w:sz w:val="21"/>
          <w:szCs w:val="21"/>
          <w:lang w:eastAsia="zh-CN"/>
        </w:rPr>
        <w:t>低压配电屏内母线组装的布置须与定型试验图纸所示相同。主母线</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引上</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引下母线须按</w:t>
      </w:r>
      <w:r>
        <w:rPr>
          <w:rFonts w:asciiTheme="minorEastAsia" w:eastAsiaTheme="minorEastAsia" w:hAnsiTheme="minorEastAsia"/>
          <w:sz w:val="21"/>
          <w:szCs w:val="21"/>
          <w:lang w:eastAsia="zh-CN"/>
        </w:rPr>
        <w:t>GB7251.1-2013</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JB/T9661-1999</w:t>
      </w:r>
      <w:r>
        <w:rPr>
          <w:rFonts w:asciiTheme="minorEastAsia" w:eastAsiaTheme="minorEastAsia" w:hAnsiTheme="minorEastAsia"/>
          <w:sz w:val="21"/>
          <w:szCs w:val="21"/>
          <w:lang w:eastAsia="zh-CN"/>
        </w:rPr>
        <w:t>之要求进行定型试验。任何母线布置方式的变动，另需定型试验证明书证明。对主母线</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引上</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引下母线与馈出线保护装置间之连接导线如未经功率因子为</w:t>
      </w:r>
      <w:r>
        <w:rPr>
          <w:rFonts w:asciiTheme="minorEastAsia" w:eastAsiaTheme="minorEastAsia" w:hAnsiTheme="minorEastAsia"/>
          <w:sz w:val="21"/>
          <w:szCs w:val="21"/>
          <w:lang w:eastAsia="zh-CN"/>
        </w:rPr>
        <w:t>0.25</w:t>
      </w:r>
      <w:r>
        <w:rPr>
          <w:rFonts w:asciiTheme="minorEastAsia" w:eastAsiaTheme="minorEastAsia" w:hAnsiTheme="minorEastAsia"/>
          <w:sz w:val="21"/>
          <w:szCs w:val="21"/>
          <w:lang w:eastAsia="zh-CN"/>
        </w:rPr>
        <w:t>滞后</w:t>
      </w:r>
      <w:r>
        <w:rPr>
          <w:rFonts w:asciiTheme="minorEastAsia" w:eastAsiaTheme="minorEastAsia" w:hAnsiTheme="minorEastAsia"/>
          <w:sz w:val="21"/>
          <w:szCs w:val="21"/>
          <w:lang w:eastAsia="zh-CN"/>
        </w:rPr>
        <w:t>50kA</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3</w:t>
      </w:r>
      <w:r>
        <w:rPr>
          <w:rFonts w:asciiTheme="minorEastAsia" w:eastAsiaTheme="minorEastAsia" w:hAnsiTheme="minorEastAsia"/>
          <w:sz w:val="21"/>
          <w:szCs w:val="21"/>
          <w:lang w:eastAsia="zh-CN"/>
        </w:rPr>
        <w:t>秒短路型式试验时，需用经批准的方法予以绝缘以保证内短路极少可能发生。</w:t>
      </w:r>
      <w:bookmarkEnd w:id="119"/>
      <w:bookmarkEnd w:id="120"/>
      <w:bookmarkEnd w:id="121"/>
      <w:bookmarkEnd w:id="122"/>
    </w:p>
    <w:p w:rsidR="002274AC">
      <w:pPr>
        <w:pStyle w:val="ReportLevel4"/>
        <w:keepNext w:val="0"/>
        <w:keepLines/>
        <w:spacing w:before="120" w:after="120"/>
        <w:rPr>
          <w:rFonts w:asciiTheme="minorEastAsia" w:eastAsiaTheme="minorEastAsia" w:hAnsiTheme="minorEastAsia"/>
          <w:sz w:val="21"/>
          <w:szCs w:val="21"/>
          <w:lang w:eastAsia="zh-CN"/>
        </w:rPr>
      </w:pPr>
      <w:bookmarkStart w:id="123" w:name="_Toc502859500"/>
      <w:bookmarkStart w:id="124" w:name="_Toc502853461"/>
      <w:bookmarkStart w:id="125" w:name="_Toc502860484"/>
      <w:bookmarkStart w:id="126" w:name="_Toc502857513"/>
      <w:r>
        <w:rPr>
          <w:rFonts w:asciiTheme="minorEastAsia" w:eastAsiaTheme="minorEastAsia" w:hAnsiTheme="minorEastAsia"/>
          <w:sz w:val="21"/>
          <w:szCs w:val="21"/>
          <w:lang w:eastAsia="zh-CN"/>
        </w:rPr>
        <w:t>须用机械方法连接母线。连接面需镀银或锡。所有连接螺栓须有防松螺母和垫片。连接处母线搭接长度至少须等于所连接母线的宽度。</w:t>
      </w:r>
      <w:bookmarkEnd w:id="123"/>
      <w:bookmarkEnd w:id="124"/>
      <w:bookmarkEnd w:id="125"/>
      <w:bookmarkEnd w:id="126"/>
    </w:p>
    <w:p w:rsidR="002274AC">
      <w:pPr>
        <w:pStyle w:val="ReportLevel4"/>
        <w:keepNext w:val="0"/>
        <w:keepLines/>
        <w:spacing w:before="120" w:after="120"/>
        <w:rPr>
          <w:rFonts w:asciiTheme="minorEastAsia" w:eastAsiaTheme="minorEastAsia" w:hAnsiTheme="minorEastAsia"/>
          <w:sz w:val="21"/>
          <w:szCs w:val="21"/>
          <w:lang w:eastAsia="zh-CN"/>
        </w:rPr>
      </w:pPr>
      <w:bookmarkStart w:id="127" w:name="_Toc502859501"/>
      <w:bookmarkStart w:id="128" w:name="_Toc502853462"/>
      <w:bookmarkStart w:id="129" w:name="_Toc502860485"/>
      <w:bookmarkStart w:id="130" w:name="_Toc502857514"/>
      <w:r>
        <w:rPr>
          <w:rFonts w:asciiTheme="minorEastAsia" w:eastAsiaTheme="minorEastAsia" w:hAnsiTheme="minorEastAsia"/>
          <w:sz w:val="21"/>
          <w:szCs w:val="21"/>
          <w:lang w:eastAsia="zh-CN"/>
        </w:rPr>
        <w:t>用自粘性彩色标签标明母线，引上</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引下母线的标称额定值。</w:t>
      </w:r>
      <w:bookmarkEnd w:id="127"/>
      <w:bookmarkEnd w:id="128"/>
      <w:bookmarkEnd w:id="129"/>
      <w:bookmarkEnd w:id="130"/>
    </w:p>
    <w:p w:rsidR="002274AC">
      <w:pPr>
        <w:pStyle w:val="ReportLevel4"/>
        <w:keepNext w:val="0"/>
        <w:keepLines/>
        <w:spacing w:before="120" w:after="120"/>
        <w:rPr>
          <w:rFonts w:asciiTheme="minorEastAsia" w:eastAsiaTheme="minorEastAsia" w:hAnsiTheme="minorEastAsia"/>
          <w:sz w:val="21"/>
          <w:szCs w:val="21"/>
          <w:lang w:eastAsia="zh-CN"/>
        </w:rPr>
        <w:sectPr>
          <w:footerReference w:type="default" r:id="rId31"/>
          <w:type w:val="nextPage"/>
          <w:pgSz w:w="11906" w:h="16838"/>
          <w:pgMar w:top="1814" w:right="1418" w:bottom="1418" w:left="1814" w:header="851" w:footer="992" w:gutter="0"/>
          <w:pgNumType w:start="26"/>
          <w:cols w:space="425"/>
          <w:titlePg w:val="0"/>
          <w:docGrid w:linePitch="312"/>
        </w:sectPr>
      </w:pPr>
      <w:bookmarkStart w:id="131" w:name="_Toc502859503"/>
      <w:bookmarkStart w:id="132" w:name="_Toc502860487"/>
      <w:bookmarkStart w:id="133" w:name="_Toc502853464"/>
      <w:bookmarkStart w:id="134" w:name="_Toc502857516"/>
      <w:r>
        <w:rPr>
          <w:rFonts w:asciiTheme="minorEastAsia" w:eastAsiaTheme="minorEastAsia" w:hAnsiTheme="minorEastAsia"/>
          <w:sz w:val="21"/>
          <w:szCs w:val="21"/>
          <w:lang w:eastAsia="zh-CN"/>
        </w:rPr>
        <w:t>母线支座的绝缘体须为不吸潮及高纯度的材料模压制成</w:t>
      </w:r>
      <w:r>
        <w:rPr>
          <w:rFonts w:asciiTheme="minorEastAsia" w:eastAsiaTheme="minorEastAsia" w:hAnsiTheme="minorEastAsia" w:hint="eastAsia"/>
          <w:sz w:val="21"/>
          <w:szCs w:val="21"/>
          <w:lang w:eastAsia="zh-CN"/>
        </w:rPr>
        <w:t>，在设备的使用寿命内，其机械强度和电气性能应基本保持不变。</w:t>
      </w:r>
    </w:p>
    <w:p w:rsidR="002274AC">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所有母线必须排列整齐</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母线间有足够的距离</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封闭在盖子能打开的钢结构母线箱内。</w:t>
      </w:r>
      <w:bookmarkEnd w:id="131"/>
      <w:bookmarkEnd w:id="132"/>
      <w:bookmarkEnd w:id="133"/>
      <w:bookmarkEnd w:id="134"/>
    </w:p>
    <w:p w:rsidR="002274AC">
      <w:pPr>
        <w:pStyle w:val="ReportLevel4"/>
        <w:keepNext w:val="0"/>
        <w:keepLines/>
        <w:spacing w:before="120" w:after="120"/>
        <w:rPr>
          <w:rFonts w:asciiTheme="minorEastAsia" w:eastAsiaTheme="minorEastAsia" w:hAnsiTheme="minorEastAsia"/>
          <w:sz w:val="21"/>
          <w:szCs w:val="21"/>
          <w:lang w:eastAsia="zh-CN"/>
        </w:rPr>
      </w:pPr>
      <w:bookmarkStart w:id="135" w:name="_Toc502860488"/>
      <w:bookmarkStart w:id="136" w:name="_Toc502853465"/>
      <w:bookmarkStart w:id="137" w:name="_Toc502857517"/>
      <w:bookmarkStart w:id="138" w:name="_Toc502859504"/>
      <w:r>
        <w:rPr>
          <w:rFonts w:asciiTheme="minorEastAsia" w:eastAsiaTheme="minorEastAsia" w:hAnsiTheme="minorEastAsia"/>
          <w:sz w:val="21"/>
          <w:szCs w:val="21"/>
          <w:lang w:eastAsia="zh-CN"/>
        </w:rPr>
        <w:t>母线系统之绝缘电压须为交流</w:t>
      </w:r>
      <w:r>
        <w:rPr>
          <w:rFonts w:asciiTheme="minorEastAsia" w:eastAsiaTheme="minorEastAsia" w:hAnsiTheme="minorEastAsia"/>
          <w:sz w:val="21"/>
          <w:szCs w:val="21"/>
          <w:lang w:eastAsia="zh-CN"/>
        </w:rPr>
        <w:t>1000</w:t>
      </w:r>
      <w:r>
        <w:rPr>
          <w:rFonts w:asciiTheme="minorEastAsia" w:eastAsiaTheme="minorEastAsia" w:hAnsiTheme="minorEastAsia"/>
          <w:sz w:val="21"/>
          <w:szCs w:val="21"/>
          <w:lang w:eastAsia="zh-CN"/>
        </w:rPr>
        <w:t>伏。</w:t>
      </w:r>
      <w:bookmarkEnd w:id="135"/>
      <w:bookmarkEnd w:id="136"/>
      <w:bookmarkEnd w:id="137"/>
      <w:bookmarkEnd w:id="138"/>
    </w:p>
    <w:p w:rsidR="002274AC">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所有母线需以颜色区分</w:t>
      </w:r>
      <w:r>
        <w:rPr>
          <w:rFonts w:asciiTheme="minorEastAsia" w:eastAsiaTheme="minorEastAsia" w:hAnsiTheme="minorEastAsia" w:hint="eastAsia"/>
          <w:sz w:val="21"/>
          <w:szCs w:val="21"/>
          <w:lang w:eastAsia="zh-CN"/>
        </w:rPr>
        <w:t>，需标注清楚回路标识，方便检修</w:t>
      </w:r>
    </w:p>
    <w:p w:rsidR="002274AC">
      <w:pPr>
        <w:pStyle w:val="ReportLevel4"/>
        <w:keepNext w:val="0"/>
        <w:keepLines/>
        <w:spacing w:before="120" w:after="120"/>
        <w:rPr>
          <w:rFonts w:asciiTheme="minorEastAsia" w:eastAsiaTheme="minorEastAsia" w:hAnsiTheme="minorEastAsia"/>
          <w:sz w:val="21"/>
          <w:szCs w:val="21"/>
          <w:lang w:eastAsia="zh-CN"/>
        </w:rPr>
      </w:pPr>
      <w:bookmarkStart w:id="139" w:name="_Toc502859505"/>
      <w:bookmarkStart w:id="140" w:name="_Toc502857518"/>
      <w:bookmarkStart w:id="141" w:name="_Toc502860489"/>
      <w:bookmarkStart w:id="142" w:name="_Toc502853466"/>
      <w:r>
        <w:rPr>
          <w:rFonts w:asciiTheme="minorEastAsia" w:eastAsiaTheme="minorEastAsia" w:hAnsiTheme="minorEastAsia"/>
          <w:sz w:val="21"/>
          <w:szCs w:val="21"/>
          <w:lang w:eastAsia="zh-CN"/>
        </w:rPr>
        <w:t>内部控制线路</w:t>
      </w:r>
      <w:bookmarkEnd w:id="139"/>
      <w:bookmarkEnd w:id="140"/>
      <w:bookmarkEnd w:id="141"/>
      <w:bookmarkEnd w:id="142"/>
    </w:p>
    <w:p w:rsidR="002274AC">
      <w:pPr>
        <w:pStyle w:val="ReportLevel4"/>
        <w:keepNext w:val="0"/>
        <w:keepLines/>
        <w:numPr>
          <w:ilvl w:val="0"/>
          <w:numId w:val="144"/>
        </w:numPr>
        <w:spacing w:before="120" w:after="120"/>
        <w:rPr>
          <w:rFonts w:asciiTheme="minorEastAsia" w:eastAsiaTheme="minorEastAsia" w:hAnsiTheme="minorEastAsia"/>
          <w:sz w:val="21"/>
          <w:szCs w:val="21"/>
          <w:lang w:eastAsia="zh-CN"/>
        </w:rPr>
      </w:pPr>
      <w:bookmarkStart w:id="143" w:name="_Toc502857519"/>
      <w:bookmarkStart w:id="144" w:name="_Toc502859506"/>
      <w:bookmarkStart w:id="145" w:name="_Toc502853467"/>
      <w:bookmarkStart w:id="146" w:name="_Toc502860490"/>
      <w:r>
        <w:rPr>
          <w:rFonts w:asciiTheme="minorEastAsia" w:eastAsiaTheme="minorEastAsia" w:hAnsiTheme="minorEastAsia"/>
          <w:sz w:val="21"/>
          <w:szCs w:val="21"/>
          <w:lang w:eastAsia="zh-CN"/>
        </w:rPr>
        <w:t>所有内部控制线须为符合国家标准的</w:t>
      </w:r>
      <w:r>
        <w:rPr>
          <w:rFonts w:asciiTheme="minorEastAsia" w:eastAsiaTheme="minorEastAsia" w:hAnsiTheme="minorEastAsia"/>
          <w:sz w:val="21"/>
          <w:szCs w:val="21"/>
          <w:lang w:eastAsia="zh-CN"/>
        </w:rPr>
        <w:t>1000</w:t>
      </w:r>
      <w:r>
        <w:rPr>
          <w:rFonts w:asciiTheme="minorEastAsia" w:eastAsiaTheme="minorEastAsia" w:hAnsiTheme="minorEastAsia"/>
          <w:sz w:val="21"/>
          <w:szCs w:val="21"/>
          <w:lang w:eastAsia="zh-CN"/>
        </w:rPr>
        <w:t>伏级</w:t>
      </w:r>
      <w:r>
        <w:rPr>
          <w:rFonts w:asciiTheme="minorEastAsia" w:eastAsiaTheme="minorEastAsia" w:hAnsiTheme="minorEastAsia"/>
          <w:sz w:val="21"/>
          <w:szCs w:val="21"/>
          <w:lang w:eastAsia="zh-CN"/>
        </w:rPr>
        <w:t>PVC</w:t>
      </w:r>
      <w:r>
        <w:rPr>
          <w:rFonts w:asciiTheme="minorEastAsia" w:eastAsiaTheme="minorEastAsia" w:hAnsiTheme="minorEastAsia"/>
          <w:sz w:val="21"/>
          <w:szCs w:val="21"/>
          <w:lang w:eastAsia="zh-CN"/>
        </w:rPr>
        <w:t>绝缘铜电缆，且为低烟无卤阻燃型。</w:t>
      </w:r>
      <w:bookmarkEnd w:id="143"/>
      <w:bookmarkEnd w:id="144"/>
      <w:bookmarkEnd w:id="145"/>
      <w:bookmarkEnd w:id="146"/>
    </w:p>
    <w:p w:rsidR="002274AC">
      <w:pPr>
        <w:pStyle w:val="ReportLevel4"/>
        <w:keepNext w:val="0"/>
        <w:keepLines/>
        <w:numPr>
          <w:ilvl w:val="0"/>
          <w:numId w:val="144"/>
        </w:numPr>
        <w:spacing w:before="120" w:after="120"/>
        <w:rPr>
          <w:rFonts w:asciiTheme="minorEastAsia" w:eastAsiaTheme="minorEastAsia" w:hAnsiTheme="minorEastAsia"/>
          <w:sz w:val="21"/>
          <w:szCs w:val="21"/>
          <w:lang w:eastAsia="zh-CN"/>
        </w:rPr>
      </w:pPr>
      <w:bookmarkStart w:id="147" w:name="_Toc502860491"/>
      <w:bookmarkStart w:id="148" w:name="_Toc502857520"/>
      <w:bookmarkStart w:id="149" w:name="_Toc502859507"/>
      <w:bookmarkStart w:id="150" w:name="_Toc502853468"/>
      <w:r>
        <w:rPr>
          <w:rFonts w:asciiTheme="minorEastAsia" w:eastAsiaTheme="minorEastAsia" w:hAnsiTheme="minorEastAsia"/>
          <w:sz w:val="21"/>
          <w:szCs w:val="21"/>
          <w:lang w:eastAsia="zh-CN"/>
        </w:rPr>
        <w:t>所有电缆须有足够的截面但不少于</w:t>
      </w:r>
      <w:r>
        <w:rPr>
          <w:rFonts w:asciiTheme="minorEastAsia" w:eastAsiaTheme="minorEastAsia" w:hAnsiTheme="minorEastAsia"/>
          <w:sz w:val="21"/>
          <w:szCs w:val="21"/>
          <w:lang w:eastAsia="zh-CN"/>
        </w:rPr>
        <w:t>1.5</w:t>
      </w:r>
      <w:r>
        <w:rPr>
          <w:rFonts w:asciiTheme="minorEastAsia" w:eastAsiaTheme="minorEastAsia" w:hAnsiTheme="minorEastAsia"/>
          <w:sz w:val="21"/>
          <w:szCs w:val="21"/>
          <w:lang w:eastAsia="zh-CN"/>
        </w:rPr>
        <w:t>平方毫米的单芯多股绞合导线。敷设于</w:t>
      </w:r>
      <w:r>
        <w:rPr>
          <w:rFonts w:asciiTheme="minorEastAsia" w:eastAsiaTheme="minorEastAsia" w:hAnsiTheme="minorEastAsia"/>
          <w:sz w:val="21"/>
          <w:szCs w:val="21"/>
          <w:lang w:eastAsia="zh-CN"/>
        </w:rPr>
        <w:t>PVC</w:t>
      </w:r>
      <w:r>
        <w:rPr>
          <w:rFonts w:asciiTheme="minorEastAsia" w:eastAsiaTheme="minorEastAsia" w:hAnsiTheme="minorEastAsia"/>
          <w:sz w:val="21"/>
          <w:szCs w:val="21"/>
          <w:lang w:eastAsia="zh-CN"/>
        </w:rPr>
        <w:t>线夹或线槽内。</w:t>
      </w:r>
      <w:bookmarkEnd w:id="147"/>
      <w:bookmarkEnd w:id="148"/>
      <w:bookmarkEnd w:id="149"/>
      <w:bookmarkEnd w:id="150"/>
    </w:p>
    <w:p w:rsidR="002274AC">
      <w:pPr>
        <w:pStyle w:val="ReportLevel4"/>
        <w:keepNext w:val="0"/>
        <w:keepLines/>
        <w:numPr>
          <w:ilvl w:val="0"/>
          <w:numId w:val="144"/>
        </w:numPr>
        <w:spacing w:before="120" w:after="120"/>
        <w:rPr>
          <w:rFonts w:asciiTheme="minorEastAsia" w:eastAsiaTheme="minorEastAsia" w:hAnsiTheme="minorEastAsia"/>
          <w:sz w:val="21"/>
          <w:szCs w:val="21"/>
          <w:lang w:eastAsia="zh-CN"/>
        </w:rPr>
      </w:pPr>
      <w:bookmarkStart w:id="151" w:name="_Toc502857521"/>
      <w:bookmarkStart w:id="152" w:name="_Toc502859508"/>
      <w:bookmarkStart w:id="153" w:name="_Toc502853469"/>
      <w:bookmarkStart w:id="154" w:name="_Toc502860492"/>
      <w:r>
        <w:rPr>
          <w:rFonts w:asciiTheme="minorEastAsia" w:eastAsiaTheme="minorEastAsia" w:hAnsiTheme="minorEastAsia"/>
          <w:sz w:val="21"/>
          <w:szCs w:val="21"/>
          <w:lang w:eastAsia="zh-CN"/>
        </w:rPr>
        <w:t>每条电线的两端须套</w:t>
      </w:r>
      <w:r>
        <w:rPr>
          <w:rFonts w:asciiTheme="minorEastAsia" w:eastAsiaTheme="minorEastAsia" w:hAnsiTheme="minorEastAsia"/>
          <w:sz w:val="21"/>
          <w:szCs w:val="21"/>
          <w:lang w:eastAsia="zh-CN"/>
        </w:rPr>
        <w:t>有白色的套箍，刻以与接线图相符之黑色字样。</w:t>
      </w:r>
      <w:bookmarkEnd w:id="151"/>
      <w:bookmarkEnd w:id="152"/>
      <w:bookmarkEnd w:id="153"/>
      <w:bookmarkEnd w:id="154"/>
    </w:p>
    <w:p w:rsidR="002274AC">
      <w:pPr>
        <w:pStyle w:val="ReportLevel4"/>
        <w:keepNext w:val="0"/>
        <w:keepLines/>
        <w:numPr>
          <w:ilvl w:val="0"/>
          <w:numId w:val="144"/>
        </w:numPr>
        <w:spacing w:before="120" w:after="120"/>
        <w:rPr>
          <w:rFonts w:asciiTheme="minorEastAsia" w:eastAsiaTheme="minorEastAsia" w:hAnsiTheme="minorEastAsia"/>
          <w:sz w:val="21"/>
          <w:szCs w:val="21"/>
          <w:lang w:eastAsia="zh-CN"/>
        </w:rPr>
      </w:pPr>
      <w:bookmarkStart w:id="155" w:name="_Toc502859509"/>
      <w:bookmarkStart w:id="156" w:name="_Toc502857522"/>
      <w:bookmarkStart w:id="157" w:name="_Toc502853470"/>
      <w:bookmarkStart w:id="158" w:name="_Toc502860493"/>
      <w:r>
        <w:rPr>
          <w:rFonts w:asciiTheme="minorEastAsia" w:eastAsiaTheme="minorEastAsia" w:hAnsiTheme="minorEastAsia"/>
          <w:sz w:val="21"/>
          <w:szCs w:val="21"/>
          <w:lang w:eastAsia="zh-CN"/>
        </w:rPr>
        <w:t>不同的回路须以不同的绝缘颜色区分。</w:t>
      </w:r>
      <w:bookmarkEnd w:id="155"/>
      <w:bookmarkEnd w:id="156"/>
      <w:bookmarkEnd w:id="157"/>
      <w:bookmarkEnd w:id="158"/>
    </w:p>
    <w:p w:rsidR="002274AC">
      <w:pPr>
        <w:pStyle w:val="ReportLevel3"/>
        <w:keepLines/>
        <w:spacing w:before="120" w:beforeLines="50" w:after="120" w:afterLines="50"/>
        <w:rPr>
          <w:rFonts w:asciiTheme="minorEastAsia" w:eastAsiaTheme="minorEastAsia" w:hAnsiTheme="minorEastAsia"/>
          <w:b/>
          <w:bCs/>
          <w:sz w:val="21"/>
          <w:szCs w:val="21"/>
        </w:rPr>
      </w:pPr>
      <w:bookmarkStart w:id="159" w:name="_Toc502857523"/>
      <w:bookmarkStart w:id="160" w:name="_Toc502853471"/>
      <w:bookmarkStart w:id="161" w:name="_Toc502859510"/>
      <w:bookmarkStart w:id="162" w:name="_Toc502860494"/>
      <w:r>
        <w:rPr>
          <w:rFonts w:asciiTheme="minorEastAsia" w:eastAsiaTheme="minorEastAsia" w:hAnsiTheme="minorEastAsia"/>
          <w:b/>
          <w:bCs/>
          <w:sz w:val="21"/>
          <w:szCs w:val="21"/>
        </w:rPr>
        <w:t>接地</w:t>
      </w:r>
      <w:bookmarkEnd w:id="159"/>
      <w:bookmarkEnd w:id="160"/>
      <w:bookmarkEnd w:id="161"/>
      <w:bookmarkEnd w:id="162"/>
    </w:p>
    <w:p w:rsidR="002274AC">
      <w:pPr>
        <w:pStyle w:val="ReportLevel4"/>
        <w:keepNext w:val="0"/>
        <w:keepLines/>
        <w:spacing w:before="50" w:after="50"/>
        <w:rPr>
          <w:rFonts w:asciiTheme="minorEastAsia" w:eastAsiaTheme="minorEastAsia" w:hAnsiTheme="minorEastAsia"/>
          <w:sz w:val="21"/>
          <w:szCs w:val="21"/>
          <w:lang w:eastAsia="zh-CN"/>
        </w:rPr>
      </w:pPr>
      <w:bookmarkStart w:id="163" w:name="_Toc502853472"/>
      <w:bookmarkStart w:id="164" w:name="_Toc502857524"/>
      <w:bookmarkStart w:id="165" w:name="_Toc502860495"/>
      <w:bookmarkStart w:id="166" w:name="_Toc502859511"/>
      <w:r>
        <w:rPr>
          <w:rFonts w:asciiTheme="minorEastAsia" w:eastAsiaTheme="minorEastAsia" w:hAnsiTheme="minorEastAsia"/>
          <w:sz w:val="21"/>
          <w:szCs w:val="21"/>
          <w:lang w:eastAsia="zh-CN"/>
        </w:rPr>
        <w:t>须配备一条沿配电屏全长敷设不少于</w:t>
      </w:r>
      <w:r>
        <w:rPr>
          <w:rFonts w:asciiTheme="minorEastAsia" w:eastAsiaTheme="minorEastAsia" w:hAnsiTheme="minorEastAsia"/>
          <w:sz w:val="21"/>
          <w:szCs w:val="21"/>
          <w:lang w:eastAsia="zh-CN"/>
        </w:rPr>
        <w:t>50 x 6mm</w:t>
      </w:r>
      <w:r>
        <w:rPr>
          <w:rFonts w:asciiTheme="minorEastAsia" w:eastAsiaTheme="minorEastAsia" w:hAnsiTheme="minorEastAsia"/>
          <w:sz w:val="21"/>
          <w:szCs w:val="21"/>
          <w:lang w:eastAsia="zh-CN"/>
        </w:rPr>
        <w:t>的镀锡铜接地母线，用以将配电屏之屏架，各屏内之单元以及各回进线和馈出线铠装和金属屏蔽相连接的终端。母线槽中之地线一起接地。</w:t>
      </w:r>
      <w:bookmarkEnd w:id="163"/>
      <w:bookmarkEnd w:id="164"/>
      <w:bookmarkEnd w:id="165"/>
      <w:bookmarkEnd w:id="166"/>
    </w:p>
    <w:p w:rsidR="002274AC">
      <w:pPr>
        <w:pStyle w:val="ReportLevel4"/>
        <w:keepNext w:val="0"/>
        <w:keepLines/>
        <w:spacing w:before="50" w:after="50"/>
        <w:rPr>
          <w:rFonts w:asciiTheme="minorEastAsia" w:eastAsiaTheme="minorEastAsia" w:hAnsiTheme="minorEastAsia"/>
          <w:sz w:val="21"/>
          <w:szCs w:val="21"/>
          <w:lang w:eastAsia="zh-CN"/>
        </w:rPr>
      </w:pPr>
      <w:bookmarkStart w:id="167" w:name="_Toc502860496"/>
      <w:bookmarkStart w:id="168" w:name="_Toc502853473"/>
      <w:bookmarkStart w:id="169" w:name="_Toc502859512"/>
      <w:bookmarkStart w:id="170" w:name="_Toc502857525"/>
      <w:r>
        <w:rPr>
          <w:rFonts w:asciiTheme="minorEastAsia" w:eastAsiaTheme="minorEastAsia" w:hAnsiTheme="minorEastAsia"/>
          <w:sz w:val="21"/>
          <w:szCs w:val="21"/>
          <w:lang w:eastAsia="zh-CN"/>
        </w:rPr>
        <w:t>在配电屏的两端外各配置一个接地端子用以将配电屏接地。</w:t>
      </w:r>
      <w:bookmarkEnd w:id="167"/>
      <w:bookmarkEnd w:id="168"/>
      <w:bookmarkEnd w:id="169"/>
      <w:bookmarkEnd w:id="170"/>
    </w:p>
    <w:p w:rsidR="002274AC">
      <w:pPr>
        <w:pStyle w:val="ReportLevel2"/>
        <w:keepLines/>
        <w:spacing w:before="240" w:beforeLines="100" w:after="240" w:afterLines="100"/>
        <w:rPr>
          <w:rFonts w:asciiTheme="minorEastAsia" w:eastAsiaTheme="minorEastAsia" w:hAnsiTheme="minorEastAsia"/>
          <w:b/>
          <w:bCs/>
          <w:sz w:val="21"/>
          <w:szCs w:val="21"/>
        </w:rPr>
      </w:pPr>
      <w:bookmarkStart w:id="171" w:name="_Toc502853793"/>
      <w:bookmarkStart w:id="172" w:name="_Toc502857845"/>
      <w:bookmarkStart w:id="173" w:name="_Toc502860816"/>
      <w:bookmarkStart w:id="174" w:name="_Toc502859832"/>
      <w:r>
        <w:rPr>
          <w:rFonts w:asciiTheme="minorEastAsia" w:eastAsiaTheme="minorEastAsia" w:hAnsiTheme="minorEastAsia"/>
          <w:b/>
          <w:bCs/>
          <w:sz w:val="21"/>
          <w:szCs w:val="21"/>
        </w:rPr>
        <w:t>空气断路器</w:t>
      </w:r>
      <w:r>
        <w:rPr>
          <w:rFonts w:asciiTheme="minorEastAsia" w:eastAsiaTheme="minorEastAsia" w:hAnsiTheme="minorEastAsia"/>
          <w:b/>
          <w:bCs/>
          <w:sz w:val="21"/>
          <w:szCs w:val="21"/>
        </w:rPr>
        <w:t>(ACB)</w:t>
      </w:r>
      <w:bookmarkEnd w:id="171"/>
      <w:bookmarkEnd w:id="172"/>
      <w:bookmarkEnd w:id="173"/>
      <w:bookmarkEnd w:id="174"/>
    </w:p>
    <w:p w:rsidR="002274AC">
      <w:pPr>
        <w:pStyle w:val="ReportLevel3"/>
        <w:keepLines/>
        <w:spacing w:before="120" w:beforeLines="50" w:after="120" w:afterLines="50"/>
        <w:rPr>
          <w:rFonts w:asciiTheme="minorEastAsia" w:eastAsiaTheme="minorEastAsia" w:hAnsiTheme="minorEastAsia"/>
          <w:sz w:val="21"/>
          <w:szCs w:val="21"/>
          <w:lang w:eastAsia="zh-CN"/>
        </w:rPr>
      </w:pPr>
      <w:bookmarkStart w:id="175" w:name="_Toc502859833"/>
      <w:bookmarkStart w:id="176" w:name="_Toc502860817"/>
      <w:bookmarkStart w:id="177" w:name="_Toc502853794"/>
      <w:bookmarkStart w:id="178" w:name="_Toc502857846"/>
      <w:r>
        <w:rPr>
          <w:rFonts w:asciiTheme="minorEastAsia" w:eastAsiaTheme="minorEastAsia" w:hAnsiTheme="minorEastAsia"/>
          <w:sz w:val="21"/>
          <w:szCs w:val="21"/>
          <w:lang w:eastAsia="zh-CN"/>
        </w:rPr>
        <w:t>一般规定</w:t>
      </w:r>
      <w:bookmarkEnd w:id="175"/>
      <w:bookmarkEnd w:id="176"/>
      <w:bookmarkEnd w:id="177"/>
      <w:bookmarkEnd w:id="178"/>
    </w:p>
    <w:p w:rsidR="002274AC">
      <w:pPr>
        <w:keepNext/>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所有空气断路器须为水平抽出式符合并按</w:t>
      </w:r>
      <w:r>
        <w:rPr>
          <w:rFonts w:asciiTheme="minorEastAsia" w:eastAsiaTheme="minorEastAsia" w:hAnsiTheme="minorEastAsia"/>
          <w:sz w:val="21"/>
          <w:szCs w:val="21"/>
          <w:lang w:eastAsia="zh-CN"/>
        </w:rPr>
        <w:t>GB14048.2-2008</w:t>
      </w:r>
      <w:r>
        <w:rPr>
          <w:rFonts w:asciiTheme="minorEastAsia" w:eastAsiaTheme="minorEastAsia" w:hAnsiTheme="minorEastAsia"/>
          <w:sz w:val="21"/>
          <w:szCs w:val="21"/>
          <w:lang w:eastAsia="zh-CN"/>
        </w:rPr>
        <w:t>《低压开关设备和控制设备第</w:t>
      </w:r>
      <w:r>
        <w:rPr>
          <w:rFonts w:asciiTheme="minorEastAsia" w:eastAsiaTheme="minorEastAsia" w:hAnsiTheme="minorEastAsia"/>
          <w:sz w:val="21"/>
          <w:szCs w:val="21"/>
          <w:lang w:eastAsia="zh-CN"/>
        </w:rPr>
        <w:t>2</w:t>
      </w:r>
      <w:r>
        <w:rPr>
          <w:rFonts w:asciiTheme="minorEastAsia" w:eastAsiaTheme="minorEastAsia" w:hAnsiTheme="minorEastAsia"/>
          <w:sz w:val="21"/>
          <w:szCs w:val="21"/>
          <w:lang w:eastAsia="zh-CN"/>
        </w:rPr>
        <w:t>部分：断路器》</w:t>
      </w:r>
      <w:r>
        <w:rPr>
          <w:rFonts w:asciiTheme="minorEastAsia" w:eastAsiaTheme="minorEastAsia" w:hAnsiTheme="minorEastAsia"/>
          <w:sz w:val="21"/>
          <w:szCs w:val="21"/>
          <w:lang w:eastAsia="zh-CN"/>
        </w:rPr>
        <w:t xml:space="preserve"> GB14048.2 </w:t>
      </w:r>
      <w:r>
        <w:rPr>
          <w:rFonts w:asciiTheme="minorEastAsia" w:eastAsiaTheme="minorEastAsia" w:hAnsiTheme="minorEastAsia"/>
          <w:sz w:val="21"/>
          <w:szCs w:val="21"/>
          <w:lang w:eastAsia="zh-CN"/>
        </w:rPr>
        <w:t>之规定进行定型试验，和符合以下要求：</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极数</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按招标图纸</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对馈出线</w:t>
      </w:r>
      <w:r>
        <w:rPr>
          <w:rFonts w:asciiTheme="minorEastAsia" w:eastAsiaTheme="minorEastAsia" w:hAnsiTheme="minorEastAsia"/>
          <w:sz w:val="21"/>
          <w:szCs w:val="21"/>
          <w:lang w:eastAsia="zh-CN"/>
        </w:rPr>
        <w:t>)</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额定绝缘电压</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1000V a.c.</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额定频率</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50Hz</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额定连续电流</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如图规定</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额定工作温度</w:t>
      </w:r>
      <w:r>
        <w:rPr>
          <w:rFonts w:asciiTheme="minorEastAsia" w:eastAsiaTheme="minorEastAsia" w:hAnsiTheme="minorEastAsia"/>
          <w:sz w:val="21"/>
          <w:szCs w:val="21"/>
          <w:lang w:eastAsia="zh-CN"/>
        </w:rPr>
        <w:t xml:space="preserve">                       40°C</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额定电压</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 xml:space="preserve">      Ue=690V, </w:t>
      </w:r>
      <w:r>
        <w:rPr>
          <w:rFonts w:asciiTheme="minorEastAsia" w:eastAsiaTheme="minorEastAsia" w:hAnsiTheme="minorEastAsia" w:hint="eastAsia"/>
          <w:sz w:val="21"/>
          <w:szCs w:val="21"/>
          <w:lang w:eastAsia="zh-CN"/>
        </w:rPr>
        <w:t>a.c.</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额定冲击耐受电压</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Uimp=12kV</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a.c</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框架断路器的分断能力在交流电压</w:t>
      </w:r>
      <w:r>
        <w:rPr>
          <w:rFonts w:asciiTheme="minorEastAsia" w:eastAsiaTheme="minorEastAsia" w:hAnsiTheme="minorEastAsia"/>
          <w:sz w:val="21"/>
          <w:szCs w:val="21"/>
          <w:lang w:eastAsia="zh-CN"/>
        </w:rPr>
        <w:t>415V</w:t>
      </w:r>
      <w:r>
        <w:rPr>
          <w:rFonts w:asciiTheme="minorEastAsia" w:eastAsiaTheme="minorEastAsia" w:hAnsiTheme="minorEastAsia"/>
          <w:sz w:val="21"/>
          <w:szCs w:val="21"/>
          <w:lang w:eastAsia="zh-CN"/>
        </w:rPr>
        <w:t>时</w:t>
      </w:r>
      <w:r>
        <w:rPr>
          <w:rFonts w:asciiTheme="minorEastAsia" w:eastAsiaTheme="minorEastAsia" w:hAnsiTheme="minorEastAsia" w:hint="eastAsia"/>
          <w:sz w:val="21"/>
          <w:szCs w:val="21"/>
          <w:lang w:eastAsia="zh-CN"/>
        </w:rPr>
        <w:t>满足：</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r>
        <w:rPr>
          <w:rFonts w:asciiTheme="minorEastAsia" w:eastAsiaTheme="minorEastAsia" w:hAnsiTheme="minorEastAsia"/>
          <w:sz w:val="21"/>
          <w:szCs w:val="21"/>
          <w:lang w:eastAsia="zh-CN"/>
        </w:rPr>
        <w:t>2500A</w:t>
      </w:r>
      <w:r>
        <w:rPr>
          <w:rFonts w:asciiTheme="minorEastAsia" w:eastAsiaTheme="minorEastAsia" w:hAnsiTheme="minorEastAsia"/>
          <w:sz w:val="21"/>
          <w:szCs w:val="21"/>
          <w:lang w:eastAsia="zh-CN"/>
        </w:rPr>
        <w:t>及以下</w:t>
      </w:r>
      <w:r>
        <w:rPr>
          <w:rFonts w:asciiTheme="minorEastAsia" w:eastAsiaTheme="minorEastAsia" w:hAnsiTheme="minorEastAsia"/>
          <w:sz w:val="21"/>
          <w:szCs w:val="21"/>
          <w:lang w:eastAsia="zh-CN"/>
        </w:rPr>
        <w:t>,               Ics=100%Icu ≧ 5</w:t>
      </w:r>
      <w:r>
        <w:rPr>
          <w:rFonts w:asciiTheme="minorEastAsia" w:eastAsiaTheme="minorEastAsia" w:hAnsiTheme="minorEastAsia"/>
          <w:sz w:val="21"/>
          <w:szCs w:val="21"/>
          <w:lang w:eastAsia="zh-CN"/>
        </w:rPr>
        <w:t>0kA</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r>
        <w:rPr>
          <w:rFonts w:asciiTheme="minorEastAsia" w:eastAsiaTheme="minorEastAsia" w:hAnsiTheme="minorEastAsia"/>
          <w:sz w:val="21"/>
          <w:szCs w:val="21"/>
          <w:lang w:eastAsia="zh-CN"/>
        </w:rPr>
        <w:t>2500A</w:t>
      </w:r>
      <w:r>
        <w:rPr>
          <w:rFonts w:asciiTheme="minorEastAsia" w:eastAsiaTheme="minorEastAsia" w:hAnsiTheme="minorEastAsia"/>
          <w:sz w:val="21"/>
          <w:szCs w:val="21"/>
          <w:lang w:eastAsia="zh-CN"/>
        </w:rPr>
        <w:t>以上至</w:t>
      </w:r>
      <w:r>
        <w:rPr>
          <w:rFonts w:asciiTheme="minorEastAsia" w:eastAsiaTheme="minorEastAsia" w:hAnsiTheme="minorEastAsia"/>
          <w:sz w:val="21"/>
          <w:szCs w:val="21"/>
          <w:lang w:eastAsia="zh-CN"/>
        </w:rPr>
        <w:t>4000A,          Ics=100%Icu ≧ 65kA</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r>
        <w:rPr>
          <w:rFonts w:asciiTheme="minorEastAsia" w:eastAsiaTheme="minorEastAsia" w:hAnsiTheme="minorEastAsia"/>
          <w:sz w:val="21"/>
          <w:szCs w:val="21"/>
          <w:lang w:eastAsia="zh-CN"/>
        </w:rPr>
        <w:t>4000A</w:t>
      </w:r>
      <w:r>
        <w:rPr>
          <w:rFonts w:asciiTheme="minorEastAsia" w:eastAsiaTheme="minorEastAsia" w:hAnsiTheme="minorEastAsia"/>
          <w:sz w:val="21"/>
          <w:szCs w:val="21"/>
          <w:lang w:eastAsia="zh-CN"/>
        </w:rPr>
        <w:t>以上</w:t>
      </w:r>
      <w:r>
        <w:rPr>
          <w:rFonts w:asciiTheme="minorEastAsia" w:eastAsiaTheme="minorEastAsia" w:hAnsiTheme="minorEastAsia"/>
          <w:sz w:val="21"/>
          <w:szCs w:val="21"/>
          <w:lang w:eastAsia="zh-CN"/>
        </w:rPr>
        <w:t>,                 Ics=100%Icu ≧ 85kA</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r>
        <w:rPr>
          <w:rFonts w:asciiTheme="minorEastAsia" w:eastAsiaTheme="minorEastAsia" w:hAnsiTheme="minorEastAsia"/>
          <w:sz w:val="21"/>
          <w:szCs w:val="21"/>
          <w:lang w:eastAsia="zh-CN"/>
        </w:rPr>
        <w:t>2500A</w:t>
      </w:r>
      <w:r>
        <w:rPr>
          <w:rFonts w:asciiTheme="minorEastAsia" w:eastAsiaTheme="minorEastAsia" w:hAnsiTheme="minorEastAsia"/>
          <w:sz w:val="21"/>
          <w:szCs w:val="21"/>
          <w:lang w:eastAsia="zh-CN"/>
        </w:rPr>
        <w:t>及以下</w:t>
      </w:r>
      <w:r>
        <w:rPr>
          <w:rFonts w:asciiTheme="minorEastAsia" w:eastAsiaTheme="minorEastAsia" w:hAnsiTheme="minorEastAsia"/>
          <w:sz w:val="21"/>
          <w:szCs w:val="21"/>
          <w:lang w:eastAsia="zh-CN"/>
        </w:rPr>
        <w:t xml:space="preserve">,               Icw(1s) ≧ 50kA; </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r>
        <w:rPr>
          <w:rFonts w:asciiTheme="minorEastAsia" w:eastAsiaTheme="minorEastAsia" w:hAnsiTheme="minorEastAsia"/>
          <w:sz w:val="21"/>
          <w:szCs w:val="21"/>
          <w:lang w:eastAsia="zh-CN"/>
        </w:rPr>
        <w:t>2500A</w:t>
      </w:r>
      <w:r>
        <w:rPr>
          <w:rFonts w:asciiTheme="minorEastAsia" w:eastAsiaTheme="minorEastAsia" w:hAnsiTheme="minorEastAsia"/>
          <w:sz w:val="21"/>
          <w:szCs w:val="21"/>
          <w:lang w:eastAsia="zh-CN"/>
        </w:rPr>
        <w:t>以上至</w:t>
      </w:r>
      <w:r>
        <w:rPr>
          <w:rFonts w:asciiTheme="minorEastAsia" w:eastAsiaTheme="minorEastAsia" w:hAnsiTheme="minorEastAsia"/>
          <w:sz w:val="21"/>
          <w:szCs w:val="21"/>
          <w:lang w:eastAsia="zh-CN"/>
        </w:rPr>
        <w:t xml:space="preserve">4000A,          Icw(1s) ≧ 65kA;  </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额定电流</w:t>
      </w:r>
      <w:r>
        <w:rPr>
          <w:rFonts w:asciiTheme="minorEastAsia" w:eastAsiaTheme="minorEastAsia" w:hAnsiTheme="minorEastAsia"/>
          <w:sz w:val="21"/>
          <w:szCs w:val="21"/>
          <w:lang w:eastAsia="zh-CN"/>
        </w:rPr>
        <w:t>4000A</w:t>
      </w:r>
      <w:r>
        <w:rPr>
          <w:rFonts w:asciiTheme="minorEastAsia" w:eastAsiaTheme="minorEastAsia" w:hAnsiTheme="minorEastAsia"/>
          <w:sz w:val="21"/>
          <w:szCs w:val="21"/>
          <w:lang w:eastAsia="zh-CN"/>
        </w:rPr>
        <w:t>以上</w:t>
      </w:r>
      <w:r>
        <w:rPr>
          <w:rFonts w:asciiTheme="minorEastAsia" w:eastAsiaTheme="minorEastAsia" w:hAnsiTheme="minorEastAsia"/>
          <w:sz w:val="21"/>
          <w:szCs w:val="21"/>
          <w:lang w:eastAsia="zh-CN"/>
        </w:rPr>
        <w:t>,                 Ic</w:t>
      </w:r>
      <w:r>
        <w:rPr>
          <w:rFonts w:asciiTheme="minorEastAsia" w:eastAsiaTheme="minorEastAsia" w:hAnsiTheme="minorEastAsia" w:hint="eastAsia"/>
          <w:sz w:val="21"/>
          <w:szCs w:val="21"/>
          <w:lang w:eastAsia="zh-CN"/>
        </w:rPr>
        <w:t>w(1s)</w:t>
      </w:r>
      <w:r>
        <w:rPr>
          <w:rFonts w:asciiTheme="minorEastAsia" w:eastAsiaTheme="minorEastAsia" w:hAnsiTheme="minorEastAsia"/>
          <w:sz w:val="21"/>
          <w:szCs w:val="21"/>
          <w:lang w:eastAsia="zh-CN"/>
        </w:rPr>
        <w:t>≧ 85kA</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合闸机构</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 xml:space="preserve">220V a . c </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电动机储能的弹簧机构或按招标图</w:t>
      </w:r>
    </w:p>
    <w:p w:rsidR="002274AC">
      <w:pPr>
        <w:keepLines/>
        <w:spacing w:before="120" w:beforeLines="50" w:after="120" w:afterLines="50"/>
        <w:ind w:left="992" w:leftChars="451"/>
        <w:rPr>
          <w:rFonts w:asciiTheme="minorEastAsia" w:eastAsiaTheme="minorEastAsia" w:hAnsiTheme="minorEastAsia"/>
          <w:sz w:val="21"/>
          <w:szCs w:val="21"/>
          <w:lang w:eastAsia="zh-CN"/>
        </w:rPr>
        <w:sectPr>
          <w:footerReference w:type="default" r:id="rId32"/>
          <w:type w:val="nextPage"/>
          <w:pgSz w:w="11906" w:h="16838"/>
          <w:pgMar w:top="1814" w:right="1418" w:bottom="1418" w:left="1814" w:header="851" w:footer="992" w:gutter="0"/>
          <w:pgNumType w:start="27"/>
          <w:cols w:space="425"/>
          <w:titlePg w:val="0"/>
          <w:docGrid w:linePitch="312"/>
        </w:sectPr>
      </w:pPr>
      <w:r>
        <w:rPr>
          <w:rFonts w:asciiTheme="minorEastAsia" w:eastAsiaTheme="minorEastAsia" w:hAnsiTheme="minorEastAsia"/>
          <w:sz w:val="21"/>
          <w:szCs w:val="21"/>
          <w:lang w:eastAsia="zh-CN"/>
        </w:rPr>
        <w:t>跳闸机构</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 xml:space="preserve">         </w:t>
      </w:r>
      <w:r>
        <w:rPr>
          <w:rFonts w:asciiTheme="minorEastAsia" w:eastAsiaTheme="minorEastAsia" w:hAnsiTheme="minorEastAsia"/>
          <w:sz w:val="21"/>
          <w:szCs w:val="21"/>
          <w:lang w:eastAsia="zh-CN"/>
        </w:rPr>
        <w:t>按图中的规定</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安装方式</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 xml:space="preserve">               </w:t>
      </w:r>
      <w:r>
        <w:rPr>
          <w:rFonts w:asciiTheme="minorEastAsia" w:eastAsiaTheme="minorEastAsia" w:hAnsiTheme="minorEastAsia"/>
          <w:sz w:val="21"/>
          <w:szCs w:val="21"/>
          <w:lang w:eastAsia="zh-CN"/>
        </w:rPr>
        <w:t>抽出式</w:t>
      </w:r>
    </w:p>
    <w:p w:rsidR="002274AC">
      <w:pPr>
        <w:keepLines/>
        <w:spacing w:before="120" w:beforeLines="50" w:after="120" w:afterLines="50"/>
        <w:ind w:left="992" w:leftChars="451"/>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所有空气断路器须由认可的国家级测试机构证明其短路容量符合以上之规定。空气断路器盖子须根据国家相关规范之要求粉饰。</w:t>
      </w:r>
    </w:p>
    <w:p w:rsidR="002274AC">
      <w:pPr>
        <w:pStyle w:val="ReportLevel3"/>
        <w:keepLines/>
        <w:spacing w:before="240" w:beforeLines="100" w:after="240" w:afterLines="100"/>
        <w:rPr>
          <w:rFonts w:asciiTheme="minorEastAsia" w:eastAsiaTheme="minorEastAsia" w:hAnsiTheme="minorEastAsia"/>
          <w:sz w:val="21"/>
          <w:szCs w:val="21"/>
          <w:lang w:eastAsia="zh-CN"/>
        </w:rPr>
      </w:pPr>
      <w:bookmarkStart w:id="179" w:name="_Toc502853795"/>
      <w:bookmarkStart w:id="180" w:name="_Toc502860818"/>
      <w:bookmarkStart w:id="181" w:name="_Toc502859834"/>
      <w:bookmarkStart w:id="182" w:name="_Toc502857847"/>
      <w:r>
        <w:rPr>
          <w:rFonts w:asciiTheme="minorEastAsia" w:eastAsiaTheme="minorEastAsia" w:hAnsiTheme="minorEastAsia"/>
          <w:sz w:val="21"/>
          <w:szCs w:val="21"/>
          <w:lang w:eastAsia="zh-CN"/>
        </w:rPr>
        <w:t>运作特点</w:t>
      </w:r>
      <w:bookmarkEnd w:id="179"/>
      <w:bookmarkEnd w:id="180"/>
      <w:bookmarkEnd w:id="181"/>
      <w:bookmarkEnd w:id="182"/>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须有联锁装置或挂销使</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能锁在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闭合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试验</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和</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隔离</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位置，并能关闭空气断路器盖子。</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当</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在闭合位置上不能被插入或抽出。但若企图取出断路器，不会引起闭合的断路器跳闸。</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除非</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被抽出，在配电柜之前面不能接触到</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之带电部分。</w:t>
      </w:r>
    </w:p>
    <w:p w:rsidR="002274AC">
      <w:pPr>
        <w:keepLines/>
        <w:tabs>
          <w:tab w:val="left" w:pos="1620"/>
        </w:tabs>
        <w:spacing w:before="120" w:beforeLines="50" w:after="120" w:afterLines="50"/>
        <w:ind w:left="161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抽出后须有隔板，门封闭，不能接触带电部分的母排</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主要的进线输入保护装置是一个活动的空气断路器。空气断路器的规格和容量见电气招标图</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施工图之系统图。</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与低压配电屏母线系统间之电气连接须经触头和插孔并带自动屏蔽隔板。当</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被抽出后用以遮盖低压配电屏内固定插孔端。隔板应以标牌指示属于</w:t>
      </w:r>
      <w:r>
        <w:rPr>
          <w:rFonts w:asciiTheme="minorEastAsia" w:eastAsiaTheme="minorEastAsia" w:hAnsiTheme="minorEastAsia"/>
          <w:sz w:val="21"/>
          <w:szCs w:val="21"/>
          <w:lang w:eastAsia="zh-CN"/>
        </w:rPr>
        <w:t>ACB</w:t>
      </w:r>
      <w:r>
        <w:rPr>
          <w:rFonts w:asciiTheme="minorEastAsia" w:eastAsiaTheme="minorEastAsia" w:hAnsiTheme="minorEastAsia"/>
          <w:sz w:val="21"/>
          <w:szCs w:val="21"/>
          <w:lang w:eastAsia="zh-CN"/>
        </w:rPr>
        <w:t>之入或出端并配备联锁装置。</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进线空气断路器是用马达来动作的，以便对跳闸</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关闭电路进行遥控，并且，用导线接回到配电柜内的公共排线腔室内。</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在输入电源的主空气断路器和重要供电的塑壳断路器上，配有无电压触点，表明断路器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断开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闭合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跳闸</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几个状态。该触点将用导线接回到配电柜的公共排线腔室。公共排线腔室也配有触点，以接收来自于电力管理系统</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断开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闭合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信号，以便当来自于</w:t>
      </w:r>
      <w:r>
        <w:rPr>
          <w:rFonts w:asciiTheme="minorEastAsia" w:eastAsiaTheme="minorEastAsia" w:hAnsiTheme="minorEastAsia"/>
          <w:sz w:val="21"/>
          <w:szCs w:val="21"/>
          <w:lang w:eastAsia="zh-CN"/>
        </w:rPr>
        <w:t>CPB</w:t>
      </w:r>
      <w:r>
        <w:rPr>
          <w:rFonts w:asciiTheme="minorEastAsia" w:eastAsiaTheme="minorEastAsia" w:hAnsiTheme="minorEastAsia"/>
          <w:sz w:val="21"/>
          <w:szCs w:val="21"/>
          <w:lang w:eastAsia="zh-CN"/>
        </w:rPr>
        <w:t>的电力完全中断时，截断电流的供应以及重新起动。</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当按规定需要远方控制时，需配备手</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自动转换开关。</w:t>
      </w:r>
    </w:p>
    <w:p w:rsidR="002274AC">
      <w:pPr>
        <w:keepLines/>
        <w:numPr>
          <w:ilvl w:val="0"/>
          <w:numId w:val="145"/>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主断路器配有挂锁和钥匙。</w:t>
      </w:r>
    </w:p>
    <w:p w:rsidR="002274AC">
      <w:pPr>
        <w:pStyle w:val="ReportLevel3"/>
        <w:keepLines/>
        <w:spacing w:before="240" w:beforeLines="100" w:after="240" w:afterLines="100"/>
        <w:rPr>
          <w:rFonts w:asciiTheme="minorEastAsia" w:eastAsiaTheme="minorEastAsia" w:hAnsiTheme="minorEastAsia"/>
          <w:sz w:val="21"/>
          <w:szCs w:val="21"/>
          <w:lang w:eastAsia="zh-CN"/>
        </w:rPr>
      </w:pPr>
      <w:bookmarkStart w:id="183" w:name="_Toc502859835"/>
      <w:bookmarkStart w:id="184" w:name="_Toc502857848"/>
      <w:bookmarkStart w:id="185" w:name="_Toc502860819"/>
      <w:bookmarkStart w:id="186" w:name="_Toc502853796"/>
      <w:r>
        <w:rPr>
          <w:rFonts w:asciiTheme="minorEastAsia" w:eastAsiaTheme="minorEastAsia" w:hAnsiTheme="minorEastAsia"/>
          <w:sz w:val="21"/>
          <w:szCs w:val="21"/>
          <w:lang w:eastAsia="zh-CN"/>
        </w:rPr>
        <w:t>性能特点</w:t>
      </w:r>
      <w:bookmarkEnd w:id="183"/>
      <w:bookmarkEnd w:id="184"/>
      <w:bookmarkEnd w:id="185"/>
      <w:bookmarkEnd w:id="186"/>
    </w:p>
    <w:p w:rsidR="002274AC">
      <w:pPr>
        <w:keepLines/>
        <w:spacing w:before="120" w:beforeLines="50" w:after="120" w:afterLines="50"/>
        <w:ind w:left="1078" w:leftChars="49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除特别说明外，空气断路器须提供自动切断的机械性及等于预期短路电流的闭销电流。</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机械操作的指示器用以指示断路器之位置。</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以钥匙操作，按图所指示的断路器间的联锁。</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断路器开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断路器闭合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断路器事故跳闸指示灯。</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用以操纵断路器断开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闭合的控制按钮。</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rPr>
      </w:pPr>
      <w:r>
        <w:rPr>
          <w:rFonts w:asciiTheme="minorEastAsia" w:eastAsiaTheme="minorEastAsia" w:hAnsiTheme="minorEastAsia"/>
          <w:sz w:val="21"/>
          <w:szCs w:val="21"/>
        </w:rPr>
        <w:t>指示灯试验按钮。</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按本技术规格说明书及招标图纸之要求，</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配备足够数量之辅助开关接点供远方指示和控制断路器用，预留三对辅助触点接线至配电屏端子排备用。</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一组带选择开关和与电流互感器配合的电流表，用以测量线电流。</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一组带选择开关的电压表用以测量线和相电压（仅装备于进线断路器）。</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sectPr>
          <w:footerReference w:type="default" r:id="rId33"/>
          <w:type w:val="nextPage"/>
          <w:pgSz w:w="11906" w:h="16838"/>
          <w:pgMar w:top="1814" w:right="1418" w:bottom="1418" w:left="1814" w:header="851" w:footer="992" w:gutter="0"/>
          <w:pgNumType w:start="28"/>
          <w:cols w:space="425"/>
          <w:titlePg w:val="0"/>
          <w:docGrid w:linePitch="312"/>
        </w:sectPr>
      </w:pPr>
      <w:r>
        <w:rPr>
          <w:rFonts w:asciiTheme="minorEastAsia" w:eastAsiaTheme="minorEastAsia" w:hAnsiTheme="minorEastAsia"/>
          <w:sz w:val="21"/>
          <w:szCs w:val="21"/>
          <w:lang w:eastAsia="zh-CN"/>
        </w:rPr>
        <w:t>一组三相功率因于表（仅装于进线断路器）。</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相位指示灯（仅装于进线及母联断路器）。</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按图标位置，配备过电流保护继电器，继电器须为三极无方向性，其整定电流及时间值均可调整，并设有可调整速断保护。继电器之</w:t>
      </w:r>
      <w:r>
        <w:rPr>
          <w:rFonts w:asciiTheme="minorEastAsia" w:eastAsiaTheme="minorEastAsia" w:hAnsiTheme="minorEastAsia"/>
          <w:sz w:val="21"/>
          <w:szCs w:val="21"/>
          <w:lang w:eastAsia="zh-CN"/>
        </w:rPr>
        <w:t>时间与电流特性之选择须保证与其前级配电器至且和高压开关柜所许可的最大时间与电流特性完全匹配及有选择性，并获得供电局的批准。</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标位置，配备接地保护继电器。继电器须为单极无方向性之，其整定电流及时间值均可调整。继电器之时间与电流特性之选择须保证与其前级配电变压器和高压开关柜所许可的最大时间与电流特性完全匹配及有选择性，并获得供电局的批准。</w:t>
      </w:r>
    </w:p>
    <w:p w:rsidR="002274AC">
      <w:pPr>
        <w:keepLines/>
        <w:numPr>
          <w:ilvl w:val="0"/>
          <w:numId w:val="58"/>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按图示位置配备低电压至继电器，用以当主电源故障后使用回路能继续保持闭合达</w:t>
      </w:r>
      <w:r>
        <w:rPr>
          <w:rFonts w:asciiTheme="minorEastAsia" w:eastAsiaTheme="minorEastAsia" w:hAnsiTheme="minorEastAsia"/>
          <w:sz w:val="21"/>
          <w:szCs w:val="21"/>
          <w:lang w:eastAsia="zh-CN"/>
        </w:rPr>
        <w:t>0-5</w:t>
      </w:r>
      <w:r>
        <w:rPr>
          <w:rFonts w:asciiTheme="minorEastAsia" w:eastAsiaTheme="minorEastAsia" w:hAnsiTheme="minorEastAsia"/>
          <w:sz w:val="21"/>
          <w:szCs w:val="21"/>
          <w:lang w:eastAsia="zh-CN"/>
        </w:rPr>
        <w:t>秒（可调）。此低电压继电器须为自复归型。</w:t>
      </w:r>
    </w:p>
    <w:p w:rsidR="002274AC">
      <w:pPr>
        <w:pStyle w:val="ReportLevel3"/>
        <w:keepLines/>
        <w:spacing w:before="240" w:beforeLines="100" w:after="240" w:afterLines="100"/>
        <w:rPr>
          <w:rFonts w:asciiTheme="minorEastAsia" w:eastAsiaTheme="minorEastAsia" w:hAnsiTheme="minorEastAsia"/>
          <w:sz w:val="21"/>
          <w:szCs w:val="21"/>
          <w:lang w:eastAsia="zh-CN"/>
        </w:rPr>
      </w:pPr>
      <w:bookmarkStart w:id="187" w:name="_Toc502859836"/>
      <w:bookmarkStart w:id="188" w:name="_Toc502857849"/>
      <w:bookmarkStart w:id="189" w:name="_Toc502860820"/>
      <w:bookmarkStart w:id="190" w:name="_Toc502853797"/>
      <w:r>
        <w:rPr>
          <w:rFonts w:asciiTheme="minorEastAsia" w:eastAsiaTheme="minorEastAsia" w:hAnsiTheme="minorEastAsia"/>
          <w:sz w:val="21"/>
          <w:szCs w:val="21"/>
          <w:lang w:eastAsia="zh-CN"/>
        </w:rPr>
        <w:t>采用电子微处理器脱扣器</w:t>
      </w:r>
      <w:bookmarkEnd w:id="187"/>
      <w:bookmarkEnd w:id="188"/>
      <w:bookmarkEnd w:id="189"/>
      <w:bookmarkEnd w:id="190"/>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电气微处理器性能</w:t>
      </w:r>
    </w:p>
    <w:p w:rsidR="002274AC">
      <w:pPr>
        <w:keepLines/>
        <w:numPr>
          <w:ilvl w:val="0"/>
          <w:numId w:val="59"/>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保护功能</w:t>
      </w:r>
    </w:p>
    <w:p w:rsidR="002274AC">
      <w:pPr>
        <w:pStyle w:val="ListParagraph"/>
        <w:keepLines/>
        <w:numPr>
          <w:ilvl w:val="0"/>
          <w:numId w:val="60"/>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过载</w:t>
      </w:r>
      <w:r>
        <w:rPr>
          <w:rFonts w:asciiTheme="minorEastAsia" w:eastAsiaTheme="minorEastAsia" w:hAnsiTheme="minorEastAsia" w:hint="eastAsia"/>
          <w:sz w:val="21"/>
          <w:szCs w:val="21"/>
          <w:lang w:eastAsia="zh-CN"/>
        </w:rPr>
        <w:t>保护（具有反时限长延时脱扣特性）</w:t>
      </w:r>
      <w:r>
        <w:rPr>
          <w:rFonts w:asciiTheme="minorEastAsia" w:eastAsiaTheme="minorEastAsia" w:hAnsiTheme="minorEastAsia"/>
          <w:sz w:val="21"/>
          <w:szCs w:val="21"/>
          <w:lang w:eastAsia="zh-CN"/>
        </w:rPr>
        <w:t>：脱扣电流整定范围</w:t>
      </w:r>
      <w:r>
        <w:rPr>
          <w:rFonts w:asciiTheme="minorEastAsia" w:eastAsiaTheme="minorEastAsia" w:hAnsiTheme="minorEastAsia"/>
          <w:sz w:val="21"/>
          <w:szCs w:val="21"/>
          <w:lang w:eastAsia="zh-CN"/>
        </w:rPr>
        <w:t>(0.4</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1)×I</w:t>
      </w:r>
      <w:r>
        <w:rPr>
          <w:rFonts w:asciiTheme="minorEastAsia" w:eastAsiaTheme="minorEastAsia" w:hAnsiTheme="minorEastAsia" w:hint="eastAsia"/>
          <w:sz w:val="21"/>
          <w:szCs w:val="21"/>
          <w:lang w:eastAsia="zh-CN"/>
        </w:rPr>
        <w:t>n</w:t>
      </w:r>
      <w:r>
        <w:rPr>
          <w:rFonts w:asciiTheme="minorEastAsia" w:eastAsiaTheme="minorEastAsia" w:hAnsiTheme="minorEastAsia"/>
          <w:sz w:val="21"/>
          <w:szCs w:val="21"/>
          <w:lang w:eastAsia="zh-CN"/>
        </w:rPr>
        <w:t>可多点设定</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脱扣延时时间可调节（</w:t>
      </w:r>
      <w:r>
        <w:rPr>
          <w:rFonts w:asciiTheme="minorEastAsia" w:eastAsiaTheme="minorEastAsia" w:hAnsiTheme="minorEastAsia"/>
          <w:sz w:val="21"/>
          <w:szCs w:val="21"/>
          <w:lang w:eastAsia="zh-CN"/>
        </w:rPr>
        <w:t>2.5</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30</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w:t>
      </w:r>
    </w:p>
    <w:p w:rsidR="002274AC">
      <w:pPr>
        <w:pStyle w:val="ListParagraph"/>
        <w:keepLines/>
        <w:numPr>
          <w:ilvl w:val="0"/>
          <w:numId w:val="60"/>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选择性</w:t>
      </w:r>
      <w:r>
        <w:rPr>
          <w:rFonts w:asciiTheme="minorEastAsia" w:eastAsiaTheme="minorEastAsia" w:hAnsiTheme="minorEastAsia"/>
          <w:sz w:val="21"/>
          <w:szCs w:val="21"/>
          <w:lang w:eastAsia="zh-CN"/>
        </w:rPr>
        <w:t>短路</w:t>
      </w:r>
      <w:r>
        <w:rPr>
          <w:rFonts w:asciiTheme="minorEastAsia" w:eastAsiaTheme="minorEastAsia" w:hAnsiTheme="minorEastAsia" w:hint="eastAsia"/>
          <w:sz w:val="21"/>
          <w:szCs w:val="21"/>
          <w:lang w:eastAsia="zh-CN"/>
        </w:rPr>
        <w:t>保护（具有反时限短延时脱扣特性）</w:t>
      </w:r>
      <w:r>
        <w:rPr>
          <w:rFonts w:asciiTheme="minorEastAsia" w:eastAsiaTheme="minorEastAsia" w:hAnsiTheme="minorEastAsia"/>
          <w:sz w:val="21"/>
          <w:szCs w:val="21"/>
          <w:lang w:eastAsia="zh-CN"/>
        </w:rPr>
        <w:t>：脱扣电流整定范围</w:t>
      </w:r>
      <w:r>
        <w:rPr>
          <w:rFonts w:asciiTheme="minorEastAsia" w:eastAsiaTheme="minorEastAsia" w:hAnsiTheme="minorEastAsia"/>
          <w:sz w:val="21"/>
          <w:szCs w:val="21"/>
          <w:lang w:eastAsia="zh-CN"/>
        </w:rPr>
        <w:t>(1</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6</w:t>
      </w:r>
      <w:r>
        <w:rPr>
          <w:rFonts w:asciiTheme="minorEastAsia" w:eastAsiaTheme="minorEastAsia" w:hAnsiTheme="minorEastAsia"/>
          <w:sz w:val="21"/>
          <w:szCs w:val="21"/>
          <w:lang w:eastAsia="zh-CN"/>
        </w:rPr>
        <w:t>)×I</w:t>
      </w:r>
      <w:r>
        <w:rPr>
          <w:rFonts w:asciiTheme="minorEastAsia" w:eastAsiaTheme="minorEastAsia" w:hAnsiTheme="minorEastAsia" w:hint="eastAsia"/>
          <w:sz w:val="21"/>
          <w:szCs w:val="21"/>
          <w:lang w:eastAsia="zh-CN"/>
        </w:rPr>
        <w:t>n</w:t>
      </w:r>
      <w:r>
        <w:rPr>
          <w:rFonts w:asciiTheme="minorEastAsia" w:eastAsiaTheme="minorEastAsia" w:hAnsiTheme="minorEastAsia"/>
          <w:sz w:val="21"/>
          <w:szCs w:val="21"/>
          <w:lang w:eastAsia="zh-CN"/>
        </w:rPr>
        <w:t>可调节</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脱扣时间可调节</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0</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0.4s</w:t>
      </w:r>
      <w:r>
        <w:rPr>
          <w:rFonts w:asciiTheme="minorEastAsia" w:eastAsiaTheme="minorEastAsia" w:hAnsiTheme="minorEastAsia" w:hint="eastAsia"/>
          <w:sz w:val="21"/>
          <w:szCs w:val="21"/>
          <w:lang w:eastAsia="zh-CN"/>
        </w:rPr>
        <w:t>）</w:t>
      </w:r>
    </w:p>
    <w:p w:rsidR="002274AC">
      <w:pPr>
        <w:pStyle w:val="ListParagraph"/>
        <w:keepLines/>
        <w:numPr>
          <w:ilvl w:val="0"/>
          <w:numId w:val="60"/>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瞬时短路</w:t>
      </w:r>
      <w:r>
        <w:rPr>
          <w:rFonts w:asciiTheme="minorEastAsia" w:eastAsiaTheme="minorEastAsia" w:hAnsiTheme="minorEastAsia" w:hint="eastAsia"/>
          <w:sz w:val="21"/>
          <w:szCs w:val="21"/>
          <w:lang w:eastAsia="zh-CN"/>
        </w:rPr>
        <w:t>保护</w:t>
      </w:r>
      <w:r>
        <w:rPr>
          <w:rFonts w:asciiTheme="minorEastAsia" w:eastAsiaTheme="minorEastAsia" w:hAnsiTheme="minorEastAsia"/>
          <w:sz w:val="21"/>
          <w:szCs w:val="21"/>
          <w:lang w:eastAsia="zh-CN"/>
        </w:rPr>
        <w:t>：瞬时脱扣电流可调</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2</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14</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×I</w:t>
      </w:r>
      <w:r>
        <w:rPr>
          <w:rFonts w:asciiTheme="minorEastAsia" w:eastAsiaTheme="minorEastAsia" w:hAnsiTheme="minorEastAsia" w:hint="eastAsia"/>
          <w:sz w:val="21"/>
          <w:szCs w:val="21"/>
          <w:lang w:eastAsia="zh-CN"/>
        </w:rPr>
        <w:t>n</w:t>
      </w:r>
    </w:p>
    <w:p w:rsidR="002274AC">
      <w:pPr>
        <w:keepNext/>
        <w:keepLines/>
        <w:numPr>
          <w:ilvl w:val="0"/>
          <w:numId w:val="59"/>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信号显示</w:t>
      </w:r>
    </w:p>
    <w:p w:rsidR="002274AC">
      <w:pPr>
        <w:keepLines/>
        <w:tabs>
          <w:tab w:val="left" w:pos="1620"/>
        </w:tabs>
        <w:spacing w:before="120" w:beforeLines="50" w:after="120" w:afterLines="50"/>
        <w:ind w:left="1616"/>
        <w:jc w:val="both"/>
        <w:rPr>
          <w:rFonts w:asciiTheme="minorEastAsia" w:eastAsiaTheme="minorEastAsia" w:hAnsiTheme="minorEastAsia"/>
          <w:sz w:val="21"/>
          <w:szCs w:val="21"/>
          <w:lang w:eastAsia="zh-CN"/>
        </w:rPr>
      </w:pPr>
      <w:r>
        <w:rPr>
          <w:rFonts w:asciiTheme="minorEastAsia" w:eastAsiaTheme="minorEastAsia" w:hAnsiTheme="minorEastAsia"/>
          <w:snapToGrid w:val="0"/>
          <w:sz w:val="21"/>
          <w:szCs w:val="21"/>
          <w:lang w:eastAsia="zh-CN"/>
        </w:rPr>
        <w:t>能有指示灯显示当时断路器</w:t>
      </w:r>
      <w:r>
        <w:rPr>
          <w:rFonts w:asciiTheme="minorEastAsia" w:eastAsiaTheme="minorEastAsia" w:hAnsiTheme="minorEastAsia" w:hint="eastAsia"/>
          <w:snapToGrid w:val="0"/>
          <w:sz w:val="21"/>
          <w:szCs w:val="21"/>
          <w:lang w:eastAsia="zh-CN"/>
        </w:rPr>
        <w:t>工况</w:t>
      </w:r>
      <w:r>
        <w:rPr>
          <w:rFonts w:asciiTheme="minorEastAsia" w:eastAsiaTheme="minorEastAsia" w:hAnsiTheme="minorEastAsia"/>
          <w:snapToGrid w:val="0"/>
          <w:sz w:val="21"/>
          <w:szCs w:val="21"/>
          <w:lang w:eastAsia="zh-CN"/>
        </w:rPr>
        <w:t>（开</w:t>
      </w:r>
      <w:r>
        <w:rPr>
          <w:rFonts w:asciiTheme="minorEastAsia" w:eastAsiaTheme="minorEastAsia" w:hAnsiTheme="minorEastAsia" w:hint="eastAsia"/>
          <w:snapToGrid w:val="0"/>
          <w:sz w:val="21"/>
          <w:szCs w:val="21"/>
          <w:lang w:eastAsia="zh-CN"/>
        </w:rPr>
        <w:t>、</w:t>
      </w:r>
      <w:r>
        <w:rPr>
          <w:rFonts w:asciiTheme="minorEastAsia" w:eastAsiaTheme="minorEastAsia" w:hAnsiTheme="minorEastAsia"/>
          <w:snapToGrid w:val="0"/>
          <w:sz w:val="21"/>
          <w:szCs w:val="21"/>
          <w:lang w:eastAsia="zh-CN"/>
        </w:rPr>
        <w:t>合）和故障显示（过载、短路、接地等）并可手动复位并带有历史故障记录（最后</w:t>
      </w:r>
      <w:r>
        <w:rPr>
          <w:rFonts w:asciiTheme="minorEastAsia" w:eastAsiaTheme="minorEastAsia" w:hAnsiTheme="minorEastAsia"/>
          <w:snapToGrid w:val="0"/>
          <w:sz w:val="21"/>
          <w:szCs w:val="21"/>
          <w:lang w:eastAsia="zh-CN"/>
        </w:rPr>
        <w:t>10</w:t>
      </w:r>
      <w:r>
        <w:rPr>
          <w:rFonts w:asciiTheme="minorEastAsia" w:eastAsiaTheme="minorEastAsia" w:hAnsiTheme="minorEastAsia"/>
          <w:snapToGrid w:val="0"/>
          <w:sz w:val="21"/>
          <w:szCs w:val="21"/>
          <w:lang w:eastAsia="zh-CN"/>
        </w:rPr>
        <w:t>次）。</w:t>
      </w:r>
    </w:p>
    <w:p w:rsidR="002274AC">
      <w:pPr>
        <w:keepNext/>
        <w:keepLines/>
        <w:numPr>
          <w:ilvl w:val="0"/>
          <w:numId w:val="59"/>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napToGrid w:val="0"/>
          <w:sz w:val="21"/>
          <w:szCs w:val="21"/>
          <w:lang w:eastAsia="zh-CN"/>
        </w:rPr>
        <w:t>具有</w:t>
      </w:r>
      <w:r>
        <w:rPr>
          <w:rFonts w:asciiTheme="minorEastAsia" w:eastAsiaTheme="minorEastAsia" w:hAnsiTheme="minorEastAsia"/>
          <w:snapToGrid w:val="0"/>
          <w:sz w:val="21"/>
          <w:szCs w:val="21"/>
          <w:lang w:eastAsia="zh-CN"/>
        </w:rPr>
        <w:t>故障报警</w:t>
      </w:r>
      <w:r>
        <w:rPr>
          <w:rFonts w:asciiTheme="minorEastAsia" w:eastAsiaTheme="minorEastAsia" w:hAnsiTheme="minorEastAsia" w:hint="eastAsia"/>
          <w:snapToGrid w:val="0"/>
          <w:sz w:val="21"/>
          <w:szCs w:val="21"/>
          <w:lang w:eastAsia="zh-CN"/>
        </w:rPr>
        <w:t>功能，同时指示故障原因，包括但不限于以下各项</w:t>
      </w:r>
      <w:r>
        <w:rPr>
          <w:rFonts w:asciiTheme="minorEastAsia" w:eastAsiaTheme="minorEastAsia" w:hAnsiTheme="minorEastAsia"/>
          <w:snapToGrid w:val="0"/>
          <w:sz w:val="21"/>
          <w:szCs w:val="21"/>
          <w:lang w:eastAsia="zh-CN"/>
        </w:rPr>
        <w:t>：</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微处理器在工作中</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出故障</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过载反时限长延时保护功能引起继电器跳闸</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短路短延时保护功能引起继电器跳闸</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瞬时短路保护功能引起继电器跳闸</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接地故障保护功能引起继电器跳闸</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三相不平衡电流引起继电器跳闸</w:t>
      </w:r>
    </w:p>
    <w:p w:rsidR="002274AC">
      <w:pPr>
        <w:pStyle w:val="ListParagraph"/>
        <w:keepLines/>
        <w:numPr>
          <w:ilvl w:val="0"/>
          <w:numId w:val="6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二次线路与电源部分完全绝缘</w:t>
      </w:r>
    </w:p>
    <w:p w:rsidR="002274AC">
      <w:pPr>
        <w:keepLines/>
        <w:numPr>
          <w:ilvl w:val="0"/>
          <w:numId w:val="59"/>
        </w:numPr>
        <w:tabs>
          <w:tab w:val="left" w:pos="1620"/>
        </w:tabs>
        <w:spacing w:before="120" w:beforeLines="50" w:after="120" w:afterLines="50"/>
        <w:ind w:left="1616" w:hanging="539"/>
        <w:jc w:val="both"/>
        <w:rPr>
          <w:rFonts w:asciiTheme="minorEastAsia" w:eastAsiaTheme="minorEastAsia" w:hAnsiTheme="minorEastAsia"/>
          <w:snapToGrid w:val="0"/>
          <w:sz w:val="21"/>
          <w:szCs w:val="21"/>
          <w:lang w:eastAsia="zh-CN"/>
        </w:rPr>
      </w:pPr>
      <w:r>
        <w:rPr>
          <w:rFonts w:asciiTheme="minorEastAsia" w:eastAsiaTheme="minorEastAsia" w:hAnsiTheme="minorEastAsia" w:hint="eastAsia"/>
          <w:snapToGrid w:val="0"/>
          <w:sz w:val="21"/>
          <w:szCs w:val="21"/>
          <w:lang w:eastAsia="zh-CN"/>
        </w:rPr>
        <w:t>招标图纸中要求有遥测的</w:t>
      </w:r>
      <w:r>
        <w:rPr>
          <w:rFonts w:asciiTheme="minorEastAsia" w:eastAsiaTheme="minorEastAsia" w:hAnsiTheme="minorEastAsia" w:hint="eastAsia"/>
          <w:snapToGrid w:val="0"/>
          <w:sz w:val="21"/>
          <w:szCs w:val="21"/>
          <w:lang w:eastAsia="zh-CN"/>
        </w:rPr>
        <w:t>ACB</w:t>
      </w:r>
      <w:r>
        <w:rPr>
          <w:rFonts w:asciiTheme="minorEastAsia" w:eastAsiaTheme="minorEastAsia" w:hAnsiTheme="minorEastAsia" w:hint="eastAsia"/>
          <w:snapToGrid w:val="0"/>
          <w:sz w:val="21"/>
          <w:szCs w:val="21"/>
          <w:lang w:eastAsia="zh-CN"/>
        </w:rPr>
        <w:t>断路器需带有开关控制、开关状态及故障状态的辅助触点，并将上述信号接入智能仪表，通过智能仪表的</w:t>
      </w:r>
      <w:r>
        <w:rPr>
          <w:rFonts w:asciiTheme="minorEastAsia" w:eastAsiaTheme="minorEastAsia" w:hAnsiTheme="minorEastAsia"/>
          <w:snapToGrid w:val="0"/>
          <w:sz w:val="21"/>
          <w:szCs w:val="21"/>
          <w:lang w:eastAsia="zh-CN"/>
        </w:rPr>
        <w:t>TCP</w:t>
      </w:r>
      <w:r>
        <w:rPr>
          <w:rFonts w:asciiTheme="minorEastAsia" w:eastAsiaTheme="minorEastAsia" w:hAnsiTheme="minorEastAsia" w:hint="eastAsia"/>
          <w:snapToGrid w:val="0"/>
          <w:sz w:val="21"/>
          <w:szCs w:val="21"/>
          <w:lang w:eastAsia="zh-CN"/>
        </w:rPr>
        <w:t>接口（通信协议采用</w:t>
      </w:r>
      <w:r>
        <w:rPr>
          <w:rFonts w:asciiTheme="minorEastAsia" w:eastAsiaTheme="minorEastAsia" w:hAnsiTheme="minorEastAsia" w:hint="eastAsia"/>
          <w:snapToGrid w:val="0"/>
          <w:sz w:val="21"/>
          <w:szCs w:val="21"/>
          <w:lang w:eastAsia="zh-CN"/>
        </w:rPr>
        <w:t>ModBUS-</w:t>
      </w:r>
      <w:r>
        <w:rPr>
          <w:rFonts w:asciiTheme="minorEastAsia" w:eastAsiaTheme="minorEastAsia" w:hAnsiTheme="minorEastAsia"/>
          <w:snapToGrid w:val="0"/>
          <w:sz w:val="21"/>
          <w:szCs w:val="21"/>
          <w:lang w:eastAsia="zh-CN"/>
        </w:rPr>
        <w:t>TCP</w:t>
      </w:r>
      <w:r>
        <w:rPr>
          <w:rFonts w:asciiTheme="minorEastAsia" w:eastAsiaTheme="minorEastAsia" w:hAnsiTheme="minorEastAsia" w:hint="eastAsia"/>
          <w:snapToGrid w:val="0"/>
          <w:sz w:val="21"/>
          <w:szCs w:val="21"/>
          <w:lang w:eastAsia="zh-CN"/>
        </w:rPr>
        <w:t>协议）交接由电气综合监控系统监视及控制。</w:t>
      </w:r>
    </w:p>
    <w:p w:rsidR="002274AC">
      <w:pPr>
        <w:keepLines/>
        <w:numPr>
          <w:ilvl w:val="0"/>
          <w:numId w:val="59"/>
        </w:numPr>
        <w:tabs>
          <w:tab w:val="left" w:pos="1620"/>
        </w:tabs>
        <w:spacing w:before="120" w:beforeLines="50" w:after="120" w:afterLines="50"/>
        <w:ind w:left="1616" w:hanging="539"/>
        <w:jc w:val="both"/>
        <w:rPr>
          <w:rFonts w:asciiTheme="minorEastAsia" w:eastAsiaTheme="minorEastAsia" w:hAnsiTheme="minorEastAsia"/>
          <w:snapToGrid w:val="0"/>
          <w:sz w:val="21"/>
          <w:szCs w:val="21"/>
          <w:lang w:eastAsia="zh-CN"/>
        </w:rPr>
        <w:sectPr>
          <w:footerReference w:type="default" r:id="rId34"/>
          <w:type w:val="nextPage"/>
          <w:pgSz w:w="11906" w:h="16838"/>
          <w:pgMar w:top="1814" w:right="1418" w:bottom="1418" w:left="1814" w:header="851" w:footer="992" w:gutter="0"/>
          <w:pgNumType w:start="29"/>
          <w:cols w:space="425"/>
          <w:titlePg w:val="0"/>
          <w:docGrid w:linePitch="312"/>
        </w:sectPr>
      </w:pPr>
      <w:r>
        <w:rPr>
          <w:rFonts w:asciiTheme="minorEastAsia" w:eastAsiaTheme="minorEastAsia" w:hAnsiTheme="minorEastAsia" w:hint="eastAsia"/>
          <w:snapToGrid w:val="0"/>
          <w:sz w:val="21"/>
          <w:szCs w:val="21"/>
          <w:lang w:eastAsia="zh-CN"/>
        </w:rPr>
        <w:t>测量要求：能够测量电流、电压、功率值、谐波分析、脱扣事件记录。需具备监测开关状态，与电力监控系统连接反馈信号。</w:t>
      </w:r>
    </w:p>
    <w:p w:rsidR="002274AC">
      <w:pPr>
        <w:pStyle w:val="ReportLevel2"/>
        <w:keepLines/>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b/>
          <w:bCs/>
          <w:sz w:val="21"/>
          <w:szCs w:val="21"/>
        </w:rPr>
        <w:t>塑壳断路器</w:t>
      </w:r>
      <w:r>
        <w:rPr>
          <w:rFonts w:asciiTheme="minorEastAsia" w:eastAsiaTheme="minorEastAsia" w:hAnsiTheme="minorEastAsia"/>
          <w:b/>
          <w:bCs/>
          <w:sz w:val="21"/>
          <w:szCs w:val="21"/>
        </w:rPr>
        <w:t xml:space="preserve"> (MCCB) </w:t>
      </w:r>
    </w:p>
    <w:p w:rsidR="002274AC">
      <w:pPr>
        <w:pStyle w:val="ReportLevel3"/>
        <w:keepLines/>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一般规定</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MCCBs </w:t>
      </w:r>
      <w:r>
        <w:rPr>
          <w:rFonts w:asciiTheme="minorEastAsia" w:eastAsiaTheme="minorEastAsia" w:hAnsiTheme="minorEastAsia"/>
          <w:sz w:val="21"/>
          <w:szCs w:val="21"/>
          <w:lang w:eastAsia="zh-CN"/>
        </w:rPr>
        <w:t>须符合并按</w:t>
      </w:r>
      <w:r>
        <w:rPr>
          <w:rFonts w:asciiTheme="minorEastAsia" w:eastAsiaTheme="minorEastAsia" w:hAnsiTheme="minorEastAsia"/>
          <w:sz w:val="21"/>
          <w:szCs w:val="21"/>
          <w:lang w:eastAsia="zh-CN"/>
        </w:rPr>
        <w:t>GB14048-2-2008</w:t>
      </w:r>
      <w:r>
        <w:rPr>
          <w:rFonts w:asciiTheme="minorEastAsia" w:eastAsiaTheme="minorEastAsia" w:hAnsiTheme="minorEastAsia"/>
          <w:sz w:val="21"/>
          <w:szCs w:val="21"/>
          <w:lang w:eastAsia="zh-CN"/>
        </w:rPr>
        <w:t>之规定进行定型试验，和符合下列要求：</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极数</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按图指示。</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额定绝缘电压</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800V</w:t>
      </w:r>
      <w:r>
        <w:rPr>
          <w:rFonts w:asciiTheme="minorEastAsia" w:eastAsiaTheme="minorEastAsia" w:hAnsiTheme="minorEastAsia"/>
          <w:sz w:val="21"/>
          <w:szCs w:val="21"/>
          <w:lang w:eastAsia="zh-CN"/>
        </w:rPr>
        <w:t>，交流</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额定频率</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50Hz</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额定连续电流（应降低如图规定</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额定值以适合工地条件）</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额定工作温度</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40</w:t>
      </w:r>
      <w:r>
        <w:rPr>
          <w:rFonts w:asciiTheme="minorEastAsia" w:eastAsiaTheme="minorEastAsia" w:hAnsiTheme="minorEastAsia" w:cs="宋体" w:hint="eastAsia"/>
          <w:sz w:val="21"/>
          <w:szCs w:val="21"/>
          <w:lang w:eastAsia="zh-CN"/>
        </w:rPr>
        <w:t>℃</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额定短路接通容量</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不小于</w:t>
      </w:r>
      <w:r>
        <w:rPr>
          <w:rFonts w:asciiTheme="minorEastAsia" w:eastAsiaTheme="minorEastAsia" w:hAnsiTheme="minorEastAsia"/>
          <w:sz w:val="21"/>
          <w:szCs w:val="21"/>
          <w:lang w:eastAsia="zh-CN"/>
        </w:rPr>
        <w:t>2</w:t>
      </w:r>
      <w:r>
        <w:rPr>
          <w:rFonts w:asciiTheme="minorEastAsia" w:eastAsiaTheme="minorEastAsia" w:hAnsiTheme="minorEastAsia"/>
          <w:sz w:val="21"/>
          <w:szCs w:val="21"/>
          <w:lang w:eastAsia="zh-CN"/>
        </w:rPr>
        <w:t>倍</w:t>
      </w:r>
      <w:r>
        <w:rPr>
          <w:rFonts w:asciiTheme="minorEastAsia" w:eastAsiaTheme="minorEastAsia" w:hAnsiTheme="minorEastAsia"/>
          <w:sz w:val="21"/>
          <w:szCs w:val="21"/>
          <w:lang w:eastAsia="zh-CN"/>
        </w:rPr>
        <w:t>Icu</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功率因子</w:t>
      </w:r>
      <w:r>
        <w:rPr>
          <w:rFonts w:asciiTheme="minorEastAsia" w:eastAsiaTheme="minorEastAsia" w:hAnsiTheme="minorEastAsia"/>
          <w:sz w:val="21"/>
          <w:szCs w:val="21"/>
          <w:lang w:eastAsia="zh-CN"/>
        </w:rPr>
        <w:t>0.25</w:t>
      </w:r>
      <w:r>
        <w:rPr>
          <w:rFonts w:asciiTheme="minorEastAsia" w:eastAsiaTheme="minorEastAsia" w:hAnsiTheme="minorEastAsia"/>
          <w:sz w:val="21"/>
          <w:szCs w:val="21"/>
          <w:lang w:eastAsia="zh-CN"/>
        </w:rPr>
        <w:t>（电压滞后）</w:t>
      </w:r>
    </w:p>
    <w:p w:rsidR="002274AC">
      <w:pPr>
        <w:keepLines/>
        <w:tabs>
          <w:tab w:val="left" w:pos="1620"/>
        </w:tabs>
        <w:spacing w:before="120" w:beforeLines="50" w:after="120" w:afterLines="50"/>
        <w:ind w:left="1985" w:hanging="369"/>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额定极限短路断开容量（</w:t>
      </w:r>
      <w:r>
        <w:rPr>
          <w:rFonts w:asciiTheme="minorEastAsia" w:eastAsiaTheme="minorEastAsia" w:hAnsiTheme="minorEastAsia"/>
          <w:sz w:val="21"/>
          <w:szCs w:val="21"/>
          <w:lang w:eastAsia="zh-CN"/>
        </w:rPr>
        <w:t>Icu</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ab/>
        <w:t xml:space="preserve">      </w:t>
      </w:r>
      <w:r>
        <w:rPr>
          <w:rFonts w:asciiTheme="minorEastAsia" w:eastAsiaTheme="minorEastAsia" w:hAnsiTheme="minorEastAsia"/>
          <w:sz w:val="21"/>
          <w:szCs w:val="21"/>
          <w:lang w:eastAsia="zh-CN"/>
        </w:rPr>
        <w:t>按招标图所示并满足安装位置</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t xml:space="preserve">    </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之短路分断能力之要求</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额定工作短路断开容量（</w:t>
      </w:r>
      <w:r>
        <w:rPr>
          <w:rFonts w:asciiTheme="minorEastAsia" w:eastAsiaTheme="minorEastAsia" w:hAnsiTheme="minorEastAsia"/>
          <w:sz w:val="21"/>
          <w:szCs w:val="21"/>
          <w:lang w:eastAsia="zh-CN"/>
        </w:rPr>
        <w:t>Ics</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ab/>
        <w:t xml:space="preserve">      100%Icu</w:t>
      </w:r>
    </w:p>
    <w:p w:rsidR="002274AC">
      <w:pPr>
        <w:keepLines/>
        <w:tabs>
          <w:tab w:val="left" w:pos="1620"/>
        </w:tabs>
        <w:spacing w:before="120" w:beforeLines="50" w:after="120" w:afterLines="50"/>
        <w:ind w:left="1077" w:firstLine="539"/>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安装方式</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插拔式或抽屉式</w:t>
      </w:r>
    </w:p>
    <w:p w:rsidR="002274AC">
      <w:pPr>
        <w:keepLines/>
        <w:tabs>
          <w:tab w:val="left" w:pos="1620"/>
        </w:tabs>
        <w:spacing w:before="120" w:beforeLines="50" w:after="120" w:afterLines="50"/>
        <w:ind w:left="5245" w:hanging="3629"/>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操作方式</w:t>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ab/>
      </w:r>
      <w:r>
        <w:rPr>
          <w:rFonts w:asciiTheme="minorEastAsia" w:eastAsiaTheme="minorEastAsia" w:hAnsiTheme="minorEastAsia"/>
          <w:sz w:val="21"/>
          <w:szCs w:val="21"/>
          <w:lang w:eastAsia="zh-CN"/>
        </w:rPr>
        <w:t>手动</w:t>
      </w:r>
    </w:p>
    <w:p w:rsidR="002274AC">
      <w:pPr>
        <w:keepLines/>
        <w:tabs>
          <w:tab w:val="left" w:pos="1620"/>
        </w:tabs>
        <w:spacing w:before="120" w:beforeLines="50" w:after="120" w:afterLines="50"/>
        <w:ind w:left="1080" w:firstLine="536"/>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w:t>
      </w:r>
      <w:r>
        <w:rPr>
          <w:rFonts w:asciiTheme="minorEastAsia" w:eastAsiaTheme="minorEastAsia" w:hAnsiTheme="minorEastAsia"/>
          <w:sz w:val="21"/>
          <w:szCs w:val="21"/>
          <w:lang w:eastAsia="zh-CN"/>
        </w:rPr>
        <w:t xml:space="preserve">MCCBs </w:t>
      </w:r>
      <w:r>
        <w:rPr>
          <w:rFonts w:asciiTheme="minorEastAsia" w:eastAsiaTheme="minorEastAsia" w:hAnsiTheme="minorEastAsia"/>
          <w:sz w:val="21"/>
          <w:szCs w:val="21"/>
          <w:lang w:eastAsia="zh-CN"/>
        </w:rPr>
        <w:t>均须由认可的国家级测试机构证明其短路容量</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MCCBs</w:t>
      </w:r>
      <w:r>
        <w:rPr>
          <w:rFonts w:asciiTheme="minorEastAsia" w:eastAsiaTheme="minorEastAsia" w:hAnsiTheme="minorEastAsia"/>
          <w:sz w:val="21"/>
          <w:szCs w:val="21"/>
          <w:lang w:eastAsia="zh-CN"/>
        </w:rPr>
        <w:t>之所有机械和带电之金属部件须全部装置于模制之外壳内。</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w:t>
      </w:r>
      <w:r>
        <w:rPr>
          <w:rFonts w:asciiTheme="minorEastAsia" w:eastAsiaTheme="minorEastAsia" w:hAnsiTheme="minorEastAsia"/>
          <w:sz w:val="21"/>
          <w:szCs w:val="21"/>
          <w:lang w:eastAsia="zh-CN"/>
        </w:rPr>
        <w:t xml:space="preserve">MCCBs </w:t>
      </w:r>
      <w:r>
        <w:rPr>
          <w:rFonts w:asciiTheme="minorEastAsia" w:eastAsiaTheme="minorEastAsia" w:hAnsiTheme="minorEastAsia"/>
          <w:sz w:val="21"/>
          <w:szCs w:val="21"/>
          <w:lang w:eastAsia="zh-CN"/>
        </w:rPr>
        <w:t>均须有由制造厂提供的外壳。</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操作机构须与操作速度无关其触发作用须可靠地保证迅速闭合和迅速断开操作。须为自动脱扣。触头须为不焊合材料。</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MCCBs</w:t>
      </w:r>
      <w:r>
        <w:rPr>
          <w:rFonts w:asciiTheme="minorEastAsia" w:eastAsiaTheme="minorEastAsia" w:hAnsiTheme="minorEastAsia"/>
          <w:sz w:val="21"/>
          <w:szCs w:val="21"/>
          <w:lang w:eastAsia="zh-CN"/>
        </w:rPr>
        <w:t>之进线与出线端须配置适合于连接电缆的端头。</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MCCB</w:t>
      </w:r>
      <w:r>
        <w:rPr>
          <w:rFonts w:asciiTheme="minorEastAsia" w:eastAsiaTheme="minorEastAsia" w:hAnsiTheme="minorEastAsia" w:hint="eastAsia"/>
          <w:sz w:val="21"/>
          <w:szCs w:val="21"/>
          <w:lang w:eastAsia="zh-CN"/>
        </w:rPr>
        <w:t>额定电流≤</w:t>
      </w:r>
      <w:r>
        <w:rPr>
          <w:rFonts w:asciiTheme="minorEastAsia" w:eastAsiaTheme="minorEastAsia" w:hAnsiTheme="minorEastAsia" w:hint="eastAsia"/>
          <w:sz w:val="21"/>
          <w:szCs w:val="21"/>
          <w:lang w:eastAsia="zh-CN"/>
        </w:rPr>
        <w:t>250A</w:t>
      </w:r>
      <w:r>
        <w:rPr>
          <w:rFonts w:asciiTheme="minorEastAsia" w:eastAsiaTheme="minorEastAsia" w:hAnsiTheme="minorEastAsia" w:hint="eastAsia"/>
          <w:sz w:val="21"/>
          <w:szCs w:val="21"/>
          <w:lang w:eastAsia="zh-CN"/>
        </w:rPr>
        <w:t>的塑壳断路器采用热磁式脱扣器，</w:t>
      </w:r>
      <w:r>
        <w:rPr>
          <w:rFonts w:asciiTheme="minorEastAsia" w:eastAsiaTheme="minorEastAsia" w:hAnsiTheme="minorEastAsia"/>
          <w:sz w:val="21"/>
          <w:szCs w:val="21"/>
          <w:lang w:eastAsia="zh-CN"/>
        </w:rPr>
        <w:t>MCCB</w:t>
      </w:r>
      <w:r>
        <w:rPr>
          <w:rFonts w:asciiTheme="minorEastAsia" w:eastAsiaTheme="minorEastAsia" w:hAnsiTheme="minorEastAsia" w:hint="eastAsia"/>
          <w:sz w:val="21"/>
          <w:szCs w:val="21"/>
          <w:lang w:eastAsia="zh-CN"/>
        </w:rPr>
        <w:t>额定电流＞</w:t>
      </w:r>
      <w:r>
        <w:rPr>
          <w:rFonts w:asciiTheme="minorEastAsia" w:eastAsiaTheme="minorEastAsia" w:hAnsiTheme="minorEastAsia" w:hint="eastAsia"/>
          <w:sz w:val="21"/>
          <w:szCs w:val="21"/>
          <w:lang w:eastAsia="zh-CN"/>
        </w:rPr>
        <w:t>250A</w:t>
      </w:r>
      <w:r>
        <w:rPr>
          <w:rFonts w:asciiTheme="minorEastAsia" w:eastAsiaTheme="minorEastAsia" w:hAnsiTheme="minorEastAsia" w:hint="eastAsia"/>
          <w:sz w:val="21"/>
          <w:szCs w:val="21"/>
          <w:lang w:eastAsia="zh-CN"/>
        </w:rPr>
        <w:t>的塑壳断路器采用电子式脱扣器，</w:t>
      </w:r>
      <w:r>
        <w:rPr>
          <w:rFonts w:asciiTheme="minorEastAsia" w:eastAsiaTheme="minorEastAsia" w:hAnsiTheme="minorEastAsia" w:hint="eastAsia"/>
          <w:sz w:val="21"/>
          <w:szCs w:val="21"/>
          <w:lang w:val="en-US" w:eastAsia="zh-CN"/>
        </w:rPr>
        <w:t>需具备监测开关状态，与电力监控系统连接反馈信号。</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需提供手柄附件连挂锁及二条锁匙，能使</w:t>
      </w:r>
      <w:r>
        <w:rPr>
          <w:rFonts w:asciiTheme="minorEastAsia" w:eastAsiaTheme="minorEastAsia" w:hAnsiTheme="minorEastAsia"/>
          <w:sz w:val="21"/>
          <w:szCs w:val="21"/>
          <w:lang w:eastAsia="zh-CN"/>
        </w:rPr>
        <w:t>MCCBs</w:t>
      </w:r>
      <w:r>
        <w:rPr>
          <w:rFonts w:asciiTheme="minorEastAsia" w:eastAsiaTheme="minorEastAsia" w:hAnsiTheme="minorEastAsia"/>
          <w:sz w:val="21"/>
          <w:szCs w:val="21"/>
          <w:lang w:eastAsia="zh-CN"/>
        </w:rPr>
        <w:t>锁在</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断开</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或</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闭合</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之位置上。</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所有输出电路保护装置将从固定式塑壳断路器接出来。断路器的所有框架容量和跳闸装置标于图纸和明细表中，属于合同范围内的项目。</w:t>
      </w:r>
    </w:p>
    <w:p w:rsidR="002274AC">
      <w:pPr>
        <w:keepNext/>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电子式脱扣器</w:t>
      </w:r>
      <w:r>
        <w:rPr>
          <w:rFonts w:asciiTheme="minorEastAsia" w:eastAsiaTheme="minorEastAsia" w:hAnsiTheme="minorEastAsia"/>
          <w:sz w:val="21"/>
          <w:szCs w:val="21"/>
          <w:lang w:eastAsia="zh-CN"/>
        </w:rPr>
        <w:t>的技术特性</w:t>
      </w:r>
      <w:r>
        <w:rPr>
          <w:rFonts w:asciiTheme="minorEastAsia" w:eastAsiaTheme="minorEastAsia" w:hAnsiTheme="minorEastAsia" w:hint="eastAsia"/>
          <w:sz w:val="21"/>
          <w:szCs w:val="21"/>
          <w:lang w:eastAsia="zh-CN"/>
        </w:rPr>
        <w:t>：</w:t>
      </w:r>
    </w:p>
    <w:p w:rsidR="002274AC">
      <w:pPr>
        <w:pStyle w:val="ListParagraph"/>
        <w:keepLines/>
        <w:numPr>
          <w:ilvl w:val="0"/>
          <w:numId w:val="63"/>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过载</w:t>
      </w:r>
      <w:r>
        <w:rPr>
          <w:rFonts w:asciiTheme="minorEastAsia" w:eastAsiaTheme="minorEastAsia" w:hAnsiTheme="minorEastAsia" w:hint="eastAsia"/>
          <w:sz w:val="21"/>
          <w:szCs w:val="21"/>
          <w:lang w:eastAsia="zh-CN"/>
        </w:rPr>
        <w:t>保护（</w:t>
      </w:r>
      <w:r>
        <w:rPr>
          <w:rFonts w:asciiTheme="minorEastAsia" w:eastAsiaTheme="minorEastAsia" w:hAnsiTheme="minorEastAsia" w:hint="eastAsia"/>
          <w:sz w:val="21"/>
          <w:szCs w:val="21"/>
          <w:lang w:eastAsia="zh-CN"/>
        </w:rPr>
        <w:t>L</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：脱扣电流整定范围</w:t>
      </w:r>
      <w:r>
        <w:rPr>
          <w:rFonts w:asciiTheme="minorEastAsia" w:eastAsiaTheme="minorEastAsia" w:hAnsiTheme="minorEastAsia"/>
          <w:sz w:val="21"/>
          <w:szCs w:val="21"/>
          <w:lang w:eastAsia="zh-CN"/>
        </w:rPr>
        <w:t>(0.4</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1)×I</w:t>
      </w:r>
      <w:r>
        <w:rPr>
          <w:rFonts w:asciiTheme="minorEastAsia" w:eastAsiaTheme="minorEastAsia" w:hAnsiTheme="minorEastAsia" w:hint="eastAsia"/>
          <w:sz w:val="21"/>
          <w:szCs w:val="21"/>
          <w:lang w:eastAsia="zh-CN"/>
        </w:rPr>
        <w:t>n</w:t>
      </w:r>
      <w:r>
        <w:rPr>
          <w:rFonts w:asciiTheme="minorEastAsia" w:eastAsiaTheme="minorEastAsia" w:hAnsiTheme="minorEastAsia"/>
          <w:sz w:val="21"/>
          <w:szCs w:val="21"/>
          <w:lang w:eastAsia="zh-CN"/>
        </w:rPr>
        <w:t>可多点设定</w:t>
      </w:r>
      <w:r>
        <w:rPr>
          <w:rFonts w:asciiTheme="minorEastAsia" w:eastAsiaTheme="minorEastAsia" w:hAnsiTheme="minorEastAsia" w:hint="eastAsia"/>
          <w:sz w:val="21"/>
          <w:szCs w:val="21"/>
          <w:lang w:eastAsia="zh-CN"/>
        </w:rPr>
        <w:t>。</w:t>
      </w:r>
    </w:p>
    <w:p w:rsidR="002274AC">
      <w:pPr>
        <w:pStyle w:val="ListParagraph"/>
        <w:keepLines/>
        <w:numPr>
          <w:ilvl w:val="0"/>
          <w:numId w:val="63"/>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瞬时短路</w:t>
      </w:r>
      <w:r>
        <w:rPr>
          <w:rFonts w:asciiTheme="minorEastAsia" w:eastAsiaTheme="minorEastAsia" w:hAnsiTheme="minorEastAsia" w:hint="eastAsia"/>
          <w:sz w:val="21"/>
          <w:szCs w:val="21"/>
          <w:lang w:eastAsia="zh-CN"/>
        </w:rPr>
        <w:t>保护（</w:t>
      </w:r>
      <w:r>
        <w:rPr>
          <w:rFonts w:asciiTheme="minorEastAsia" w:eastAsiaTheme="minorEastAsia" w:hAnsiTheme="minorEastAsia" w:hint="eastAsia"/>
          <w:sz w:val="21"/>
          <w:szCs w:val="21"/>
          <w:lang w:eastAsia="zh-CN"/>
        </w:rPr>
        <w:t>I</w:t>
      </w:r>
      <w:r>
        <w:rPr>
          <w:rFonts w:asciiTheme="minorEastAsia" w:eastAsiaTheme="minorEastAsia" w:hAnsiTheme="minorEastAsia" w:hint="eastAsia"/>
          <w:sz w:val="21"/>
          <w:szCs w:val="21"/>
          <w:lang w:eastAsia="zh-CN"/>
        </w:rPr>
        <w:t>）。</w:t>
      </w:r>
    </w:p>
    <w:p w:rsidR="002274AC">
      <w:pPr>
        <w:keepLines/>
        <w:numPr>
          <w:ilvl w:val="0"/>
          <w:numId w:val="146"/>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热磁式脱扣器</w:t>
      </w:r>
      <w:r>
        <w:rPr>
          <w:rFonts w:asciiTheme="minorEastAsia" w:eastAsiaTheme="minorEastAsia" w:hAnsiTheme="minorEastAsia"/>
          <w:sz w:val="21"/>
          <w:szCs w:val="21"/>
          <w:lang w:eastAsia="zh-CN"/>
        </w:rPr>
        <w:t>的技术特性：</w:t>
      </w:r>
    </w:p>
    <w:p w:rsidR="002274AC">
      <w:pPr>
        <w:pStyle w:val="ListParagraph"/>
        <w:keepLines/>
        <w:numPr>
          <w:ilvl w:val="0"/>
          <w:numId w:val="64"/>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过负荷保护，脱扣电流可调节（</w:t>
      </w:r>
      <w:r>
        <w:rPr>
          <w:rFonts w:asciiTheme="minorEastAsia" w:eastAsiaTheme="minorEastAsia" w:hAnsiTheme="minorEastAsia" w:hint="eastAsia"/>
          <w:sz w:val="21"/>
          <w:szCs w:val="21"/>
          <w:lang w:eastAsia="zh-CN"/>
        </w:rPr>
        <w:t>0.7</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1.0</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In</w:t>
      </w:r>
      <w:r>
        <w:rPr>
          <w:rFonts w:asciiTheme="minorEastAsia" w:eastAsiaTheme="minorEastAsia" w:hAnsiTheme="minorEastAsia"/>
          <w:sz w:val="21"/>
          <w:szCs w:val="21"/>
          <w:lang w:eastAsia="zh-CN"/>
        </w:rPr>
        <w:t>。</w:t>
      </w:r>
    </w:p>
    <w:p w:rsidR="002274AC">
      <w:pPr>
        <w:pStyle w:val="ListParagraph"/>
        <w:keepLines/>
        <w:numPr>
          <w:ilvl w:val="0"/>
          <w:numId w:val="64"/>
        </w:numPr>
        <w:tabs>
          <w:tab w:val="left" w:pos="1620"/>
        </w:tabs>
        <w:spacing w:before="120" w:beforeLines="50" w:after="120" w:afterLines="50"/>
        <w:jc w:val="both"/>
        <w:rPr>
          <w:rFonts w:asciiTheme="minorEastAsia" w:eastAsiaTheme="minorEastAsia" w:hAnsiTheme="minorEastAsia"/>
          <w:sz w:val="21"/>
          <w:szCs w:val="21"/>
          <w:lang w:eastAsia="zh-CN"/>
        </w:rPr>
        <w:sectPr>
          <w:footerReference w:type="default" r:id="rId35"/>
          <w:type w:val="nextPage"/>
          <w:pgSz w:w="11906" w:h="16838"/>
          <w:pgMar w:top="1814" w:right="1418" w:bottom="1418" w:left="1814" w:header="851" w:footer="992" w:gutter="0"/>
          <w:pgNumType w:start="30"/>
          <w:cols w:space="425"/>
          <w:titlePg w:val="0"/>
          <w:docGrid w:linePitch="312"/>
        </w:sectPr>
      </w:pPr>
      <w:r>
        <w:rPr>
          <w:rFonts w:asciiTheme="minorEastAsia" w:eastAsiaTheme="minorEastAsia" w:hAnsiTheme="minorEastAsia" w:hint="eastAsia"/>
          <w:sz w:val="21"/>
          <w:szCs w:val="21"/>
          <w:lang w:eastAsia="zh-CN"/>
        </w:rPr>
        <w:t>短路电流保护（电磁脱扣器）：短路瞬时。</w:t>
      </w:r>
    </w:p>
    <w:p w:rsidR="002274AC">
      <w:pPr>
        <w:keepLines/>
        <w:numPr>
          <w:ilvl w:val="0"/>
          <w:numId w:val="62"/>
        </w:numPr>
        <w:tabs>
          <w:tab w:val="left" w:pos="162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满足上述产品制造规范及</w:t>
      </w:r>
      <w:r>
        <w:rPr>
          <w:rFonts w:asciiTheme="minorEastAsia" w:eastAsiaTheme="minorEastAsia" w:hAnsiTheme="minorEastAsia"/>
          <w:sz w:val="21"/>
          <w:szCs w:val="21"/>
          <w:lang w:eastAsia="zh-CN"/>
        </w:rPr>
        <w:t>NRS031</w:t>
      </w:r>
      <w:r>
        <w:rPr>
          <w:rFonts w:asciiTheme="minorEastAsia" w:eastAsiaTheme="minorEastAsia" w:hAnsiTheme="minorEastAsia" w:hint="eastAsia"/>
          <w:sz w:val="21"/>
          <w:szCs w:val="21"/>
          <w:lang w:eastAsia="zh-CN"/>
        </w:rPr>
        <w:t>交流断路器和接地开关</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NRS 047-1~9</w:t>
      </w:r>
      <w:r>
        <w:rPr>
          <w:rFonts w:asciiTheme="minorEastAsia" w:eastAsiaTheme="minorEastAsia" w:hAnsiTheme="minorEastAsia" w:hint="eastAsia"/>
          <w:sz w:val="21"/>
          <w:szCs w:val="21"/>
          <w:lang w:eastAsia="zh-CN"/>
        </w:rPr>
        <w:t>电力供应等规范要求，技术参数按其中最高要求执行。</w:t>
      </w:r>
    </w:p>
    <w:p w:rsidR="002274AC">
      <w:pPr>
        <w:pStyle w:val="ReportLevel3"/>
        <w:keepLines/>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性能特点</w:t>
      </w:r>
    </w:p>
    <w:p w:rsidR="002274AC">
      <w:pPr>
        <w:keepLines/>
        <w:numPr>
          <w:ilvl w:val="0"/>
          <w:numId w:val="65"/>
        </w:numPr>
        <w:tabs>
          <w:tab w:val="left" w:pos="1619"/>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若使用并联跳闸时，其并联跳闸须能在塑壳断路器达至短路遮断容量及供电电压为</w:t>
      </w:r>
      <w:r>
        <w:rPr>
          <w:rFonts w:asciiTheme="minorEastAsia" w:eastAsiaTheme="minorEastAsia" w:hAnsiTheme="minorEastAsia"/>
          <w:sz w:val="21"/>
          <w:szCs w:val="21"/>
          <w:lang w:eastAsia="zh-CN"/>
        </w:rPr>
        <w:t xml:space="preserve">70%-120% </w:t>
      </w:r>
      <w:r>
        <w:rPr>
          <w:rFonts w:asciiTheme="minorEastAsia" w:eastAsiaTheme="minorEastAsia" w:hAnsiTheme="minorEastAsia"/>
          <w:sz w:val="21"/>
          <w:szCs w:val="21"/>
          <w:lang w:eastAsia="zh-CN"/>
        </w:rPr>
        <w:t>之间正常运作。</w:t>
      </w:r>
    </w:p>
    <w:p w:rsidR="002274AC">
      <w:pPr>
        <w:keepLines/>
        <w:numPr>
          <w:ilvl w:val="0"/>
          <w:numId w:val="65"/>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若塑壳断路器及并联跳闸一同使用，须提供阻塞终端及并联跳闸电线。</w:t>
      </w:r>
    </w:p>
    <w:p w:rsidR="002274AC">
      <w:pPr>
        <w:keepLines/>
        <w:numPr>
          <w:ilvl w:val="0"/>
          <w:numId w:val="65"/>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按图标配置电动操作的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用以操作</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或接地故障和低电压保护跳闸。</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之操作须由装于其上的短时通电的螺线管线圈操作。合闸螺线管线圈须由主电源供电，而跳闸则由规定的直流电源操作。</w:t>
      </w:r>
    </w:p>
    <w:p w:rsidR="002274AC">
      <w:pPr>
        <w:keepLines/>
        <w:numPr>
          <w:ilvl w:val="0"/>
          <w:numId w:val="65"/>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按图标规定，配置接地故障电流敏感装置和电子线路。其漏电跳闸可调范围为</w:t>
      </w:r>
      <w:r>
        <w:rPr>
          <w:rFonts w:asciiTheme="minorEastAsia" w:eastAsiaTheme="minorEastAsia" w:hAnsiTheme="minorEastAsia"/>
          <w:sz w:val="21"/>
          <w:szCs w:val="21"/>
          <w:lang w:eastAsia="zh-CN"/>
        </w:rPr>
        <w:t>1</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安，可调跳闸时间为</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秒。</w:t>
      </w:r>
    </w:p>
    <w:p w:rsidR="002274AC">
      <w:pPr>
        <w:keepLines/>
        <w:numPr>
          <w:ilvl w:val="0"/>
          <w:numId w:val="65"/>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按图标规定，配置低电压继电器使在主电源故障开始后，能令回路仍保持接通，其时间要求</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秒可调。此低电压继电器须为自复归型。为</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装设延时电路，使主电源恢复供电后在</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30</w:t>
      </w:r>
      <w:r>
        <w:rPr>
          <w:rFonts w:asciiTheme="minorEastAsia" w:eastAsiaTheme="minorEastAsia" w:hAnsiTheme="minorEastAsia"/>
          <w:sz w:val="21"/>
          <w:szCs w:val="21"/>
          <w:lang w:eastAsia="zh-CN"/>
        </w:rPr>
        <w:t>秒</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可调</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自动闭合</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w:t>
      </w:r>
    </w:p>
    <w:p w:rsidR="002274AC">
      <w:pPr>
        <w:keepLines/>
        <w:numPr>
          <w:ilvl w:val="0"/>
          <w:numId w:val="65"/>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除上述之要求外，</w:t>
      </w:r>
      <w:r>
        <w:rPr>
          <w:rFonts w:asciiTheme="minorEastAsia" w:eastAsiaTheme="minorEastAsia" w:hAnsiTheme="minorEastAsia"/>
          <w:sz w:val="21"/>
          <w:szCs w:val="21"/>
          <w:lang w:eastAsia="zh-CN"/>
        </w:rPr>
        <w:t>每台电动操作的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须装备，但不局限于下列各项</w:t>
      </w:r>
      <w:r>
        <w:rPr>
          <w:rFonts w:asciiTheme="minorEastAsia" w:eastAsiaTheme="minorEastAsia" w:hAnsiTheme="minorEastAsia"/>
          <w:sz w:val="21"/>
          <w:szCs w:val="21"/>
          <w:lang w:eastAsia="zh-CN"/>
        </w:rPr>
        <w:t>:</w:t>
      </w:r>
    </w:p>
    <w:p w:rsidR="002274AC">
      <w:pPr>
        <w:keepLines/>
        <w:numPr>
          <w:ilvl w:val="1"/>
          <w:numId w:val="66"/>
        </w:numPr>
        <w:spacing w:before="120" w:beforeLines="50" w:after="120" w:afterLines="50"/>
        <w:ind w:left="2154" w:hanging="51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故障跳闸指示灯。</w:t>
      </w:r>
    </w:p>
    <w:p w:rsidR="002274AC">
      <w:pPr>
        <w:keepLines/>
        <w:numPr>
          <w:ilvl w:val="1"/>
          <w:numId w:val="66"/>
        </w:numPr>
        <w:spacing w:before="120" w:beforeLines="50" w:after="120" w:afterLines="50"/>
        <w:ind w:left="2154" w:hanging="510"/>
        <w:jc w:val="both"/>
        <w:rPr>
          <w:rFonts w:asciiTheme="minorEastAsia" w:eastAsiaTheme="minorEastAsia" w:hAnsiTheme="minorEastAsia"/>
          <w:sz w:val="21"/>
          <w:szCs w:val="21"/>
        </w:rPr>
      </w:pPr>
      <w:r>
        <w:rPr>
          <w:rFonts w:asciiTheme="minorEastAsia" w:eastAsiaTheme="minorEastAsia" w:hAnsiTheme="minorEastAsia"/>
          <w:sz w:val="21"/>
          <w:szCs w:val="21"/>
        </w:rPr>
        <w:t>MCCB</w:t>
      </w:r>
      <w:r>
        <w:rPr>
          <w:rFonts w:asciiTheme="minorEastAsia" w:eastAsiaTheme="minorEastAsia" w:hAnsiTheme="minorEastAsia"/>
          <w:sz w:val="21"/>
          <w:szCs w:val="21"/>
        </w:rPr>
        <w:t>开</w:t>
      </w:r>
      <w:r>
        <w:rPr>
          <w:rFonts w:asciiTheme="minorEastAsia" w:eastAsiaTheme="minorEastAsia" w:hAnsiTheme="minorEastAsia"/>
          <w:sz w:val="21"/>
          <w:szCs w:val="21"/>
        </w:rPr>
        <w:t>/</w:t>
      </w:r>
      <w:r>
        <w:rPr>
          <w:rFonts w:asciiTheme="minorEastAsia" w:eastAsiaTheme="minorEastAsia" w:hAnsiTheme="minorEastAsia"/>
          <w:sz w:val="21"/>
          <w:szCs w:val="21"/>
        </w:rPr>
        <w:t>合按钮。</w:t>
      </w:r>
    </w:p>
    <w:p w:rsidR="002274AC">
      <w:pPr>
        <w:keepLines/>
        <w:numPr>
          <w:ilvl w:val="1"/>
          <w:numId w:val="66"/>
        </w:numPr>
        <w:spacing w:before="120" w:beforeLines="50" w:after="120" w:afterLines="50"/>
        <w:ind w:left="2154" w:hanging="51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对需要自动合闸的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，带防止跳跃继电器的控制回路以保证可靠动作。</w:t>
      </w:r>
    </w:p>
    <w:p w:rsidR="002274AC">
      <w:pPr>
        <w:keepLines/>
        <w:numPr>
          <w:ilvl w:val="1"/>
          <w:numId w:val="66"/>
        </w:numPr>
        <w:spacing w:before="120" w:beforeLines="50" w:after="120" w:afterLines="50"/>
        <w:ind w:left="2154" w:hanging="51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提供就地指示位置和控制用的辅助开关接点，并预留三对触点接线至端子排备用。</w:t>
      </w:r>
    </w:p>
    <w:p w:rsidR="002274AC">
      <w:pPr>
        <w:keepLines/>
        <w:numPr>
          <w:ilvl w:val="1"/>
          <w:numId w:val="66"/>
        </w:numPr>
        <w:spacing w:before="120" w:beforeLines="50" w:after="120" w:afterLines="50"/>
        <w:ind w:left="2154" w:hanging="510"/>
        <w:jc w:val="both"/>
        <w:rPr>
          <w:rFonts w:asciiTheme="minorEastAsia" w:eastAsiaTheme="minorEastAsia" w:hAnsiTheme="minorEastAsia"/>
          <w:sz w:val="21"/>
          <w:szCs w:val="21"/>
        </w:rPr>
      </w:pPr>
      <w:r>
        <w:rPr>
          <w:rFonts w:asciiTheme="minorEastAsia" w:eastAsiaTheme="minorEastAsia" w:hAnsiTheme="minorEastAsia"/>
          <w:sz w:val="21"/>
          <w:szCs w:val="21"/>
        </w:rPr>
        <w:t>指示灯试验按钮。</w:t>
      </w:r>
    </w:p>
    <w:p w:rsidR="002274AC">
      <w:pPr>
        <w:pStyle w:val="ReportText"/>
        <w:keepLines/>
        <w:spacing w:before="120" w:beforeLines="50" w:after="120" w:afterLines="50"/>
        <w:ind w:firstLine="420" w:firstLineChars="20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当按规定需要远方控制时，需配置手</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自动切换开关。</w:t>
      </w:r>
    </w:p>
    <w:p w:rsidR="002274AC">
      <w:pPr>
        <w:pStyle w:val="ReportLevel3"/>
        <w:keepLines/>
        <w:spacing w:before="240" w:beforeLines="100" w:after="240" w:afterLines="100"/>
        <w:rPr>
          <w:rFonts w:asciiTheme="minorEastAsia" w:eastAsiaTheme="minorEastAsia" w:hAnsiTheme="minorEastAsia"/>
          <w:sz w:val="21"/>
          <w:szCs w:val="21"/>
          <w:lang w:eastAsia="zh-CN"/>
        </w:rPr>
      </w:pPr>
      <w:bookmarkStart w:id="191" w:name="_Toc502859586"/>
      <w:bookmarkStart w:id="192" w:name="_Toc502857599"/>
      <w:bookmarkStart w:id="193" w:name="_Toc502860570"/>
      <w:bookmarkStart w:id="194" w:name="_Toc502853547"/>
      <w:r>
        <w:rPr>
          <w:rFonts w:asciiTheme="minorEastAsia" w:eastAsiaTheme="minorEastAsia" w:hAnsiTheme="minorEastAsia"/>
          <w:sz w:val="21"/>
          <w:szCs w:val="21"/>
          <w:lang w:eastAsia="zh-CN"/>
        </w:rPr>
        <w:t>电动操作的</w:t>
      </w:r>
      <w:r>
        <w:rPr>
          <w:rFonts w:asciiTheme="minorEastAsia" w:eastAsiaTheme="minorEastAsia" w:hAnsiTheme="minorEastAsia"/>
          <w:sz w:val="21"/>
          <w:szCs w:val="21"/>
          <w:lang w:eastAsia="zh-CN"/>
        </w:rPr>
        <w:t>MCCB</w:t>
      </w:r>
      <w:bookmarkEnd w:id="191"/>
      <w:bookmarkEnd w:id="192"/>
      <w:bookmarkEnd w:id="193"/>
      <w:bookmarkEnd w:id="194"/>
    </w:p>
    <w:p w:rsidR="002274AC">
      <w:pPr>
        <w:keepLines/>
        <w:numPr>
          <w:ilvl w:val="0"/>
          <w:numId w:val="67"/>
        </w:numPr>
        <w:tabs>
          <w:tab w:val="left" w:pos="1619"/>
        </w:tabs>
        <w:spacing w:before="120" w:beforeLines="50" w:after="120" w:afterLines="50"/>
        <w:jc w:val="both"/>
        <w:rPr>
          <w:rFonts w:asciiTheme="minorEastAsia" w:eastAsiaTheme="minorEastAsia" w:hAnsiTheme="minorEastAsia"/>
          <w:sz w:val="21"/>
          <w:szCs w:val="21"/>
          <w:lang w:eastAsia="zh-CN"/>
        </w:rPr>
      </w:pPr>
      <w:bookmarkStart w:id="195" w:name="_Toc502857600"/>
      <w:bookmarkStart w:id="196" w:name="_Toc502853548"/>
      <w:bookmarkStart w:id="197" w:name="_Toc502860571"/>
      <w:bookmarkStart w:id="198" w:name="_Toc502859587"/>
      <w:r>
        <w:rPr>
          <w:rFonts w:asciiTheme="minorEastAsia" w:eastAsiaTheme="minorEastAsia" w:hAnsiTheme="minorEastAsia"/>
          <w:sz w:val="21"/>
          <w:szCs w:val="21"/>
          <w:lang w:eastAsia="zh-CN"/>
        </w:rPr>
        <w:t>配置电动操作的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用以操作</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或接地故障和低电压保护跳闸。</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之操作须由装于其上的短时通电的螺线管线圈操作。合闸螺线管线圈须由主电源供电，而跳闸则由规定的直流电</w:t>
      </w:r>
      <w:r>
        <w:rPr>
          <w:rFonts w:asciiTheme="minorEastAsia" w:eastAsiaTheme="minorEastAsia" w:hAnsiTheme="minorEastAsia"/>
          <w:sz w:val="21"/>
          <w:szCs w:val="21"/>
          <w:lang w:eastAsia="zh-CN"/>
        </w:rPr>
        <w:t>源操作。</w:t>
      </w:r>
      <w:bookmarkEnd w:id="195"/>
      <w:bookmarkEnd w:id="196"/>
      <w:bookmarkEnd w:id="197"/>
      <w:bookmarkEnd w:id="198"/>
    </w:p>
    <w:p w:rsidR="002274AC">
      <w:pPr>
        <w:keepLines/>
        <w:numPr>
          <w:ilvl w:val="0"/>
          <w:numId w:val="67"/>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bookmarkStart w:id="199" w:name="_Toc502853549"/>
      <w:bookmarkStart w:id="200" w:name="_Toc502857601"/>
      <w:bookmarkStart w:id="201" w:name="_Toc502860572"/>
      <w:bookmarkStart w:id="202" w:name="_Toc502859588"/>
      <w:r>
        <w:rPr>
          <w:rFonts w:asciiTheme="minorEastAsia" w:eastAsiaTheme="minorEastAsia" w:hAnsiTheme="minorEastAsia"/>
          <w:sz w:val="21"/>
          <w:szCs w:val="21"/>
          <w:lang w:eastAsia="zh-CN"/>
        </w:rPr>
        <w:t>按招标图所示，配置接地故障电流敏感装置和电子线路。其漏电跳闸可调范围为</w:t>
      </w:r>
      <w:r>
        <w:rPr>
          <w:rFonts w:asciiTheme="minorEastAsia" w:eastAsiaTheme="minorEastAsia" w:hAnsiTheme="minorEastAsia"/>
          <w:sz w:val="21"/>
          <w:szCs w:val="21"/>
          <w:lang w:eastAsia="zh-CN"/>
        </w:rPr>
        <w:t>1</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安，可调跳闸时间为</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秒。</w:t>
      </w:r>
      <w:bookmarkEnd w:id="199"/>
      <w:bookmarkEnd w:id="200"/>
      <w:bookmarkEnd w:id="201"/>
      <w:bookmarkEnd w:id="202"/>
    </w:p>
    <w:p w:rsidR="002274AC">
      <w:pPr>
        <w:keepLines/>
        <w:numPr>
          <w:ilvl w:val="0"/>
          <w:numId w:val="67"/>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bookmarkStart w:id="203" w:name="_Toc502853550"/>
      <w:bookmarkStart w:id="204" w:name="_Toc502860573"/>
      <w:bookmarkStart w:id="205" w:name="_Toc502859589"/>
      <w:bookmarkStart w:id="206" w:name="_Toc502857602"/>
      <w:r>
        <w:rPr>
          <w:rFonts w:asciiTheme="minorEastAsia" w:eastAsiaTheme="minorEastAsia" w:hAnsiTheme="minorEastAsia"/>
          <w:sz w:val="21"/>
          <w:szCs w:val="21"/>
          <w:lang w:eastAsia="zh-CN"/>
        </w:rPr>
        <w:t>按招标图所示，配置低电压继电器使在主电源故障开始后，能令回路仍保持接通，其时间要求</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sz w:val="21"/>
          <w:szCs w:val="21"/>
          <w:lang w:eastAsia="zh-CN"/>
        </w:rPr>
        <w:t>秒可调。此低电压继电器须为自复归型。为</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装设延时电路，使主电源恢复供电后在</w:t>
      </w:r>
      <w:r>
        <w:rPr>
          <w:rFonts w:asciiTheme="minorEastAsia" w:eastAsiaTheme="minorEastAsia" w:hAnsiTheme="minorEastAsia"/>
          <w:sz w:val="21"/>
          <w:szCs w:val="21"/>
          <w:lang w:eastAsia="zh-CN"/>
        </w:rPr>
        <w:t>0</w:t>
      </w:r>
      <w:r>
        <w:rPr>
          <w:rFonts w:asciiTheme="minorEastAsia" w:eastAsiaTheme="minorEastAsia" w:hAnsiTheme="minorEastAsia"/>
          <w:sz w:val="21"/>
          <w:szCs w:val="21"/>
          <w:lang w:eastAsia="zh-CN"/>
        </w:rPr>
        <w:t>至</w:t>
      </w:r>
      <w:r>
        <w:rPr>
          <w:rFonts w:asciiTheme="minorEastAsia" w:eastAsiaTheme="minorEastAsia" w:hAnsiTheme="minorEastAsia"/>
          <w:sz w:val="21"/>
          <w:szCs w:val="21"/>
          <w:lang w:eastAsia="zh-CN"/>
        </w:rPr>
        <w:t>30</w:t>
      </w:r>
      <w:r>
        <w:rPr>
          <w:rFonts w:asciiTheme="minorEastAsia" w:eastAsiaTheme="minorEastAsia" w:hAnsiTheme="minorEastAsia"/>
          <w:sz w:val="21"/>
          <w:szCs w:val="21"/>
          <w:lang w:eastAsia="zh-CN"/>
        </w:rPr>
        <w:t>秒</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可调</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自动闭合</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w:t>
      </w:r>
      <w:bookmarkEnd w:id="203"/>
      <w:bookmarkEnd w:id="204"/>
      <w:bookmarkEnd w:id="205"/>
      <w:bookmarkEnd w:id="206"/>
    </w:p>
    <w:p w:rsidR="002274AC">
      <w:pPr>
        <w:keepLines/>
        <w:numPr>
          <w:ilvl w:val="0"/>
          <w:numId w:val="67"/>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bookmarkStart w:id="207" w:name="_Toc502857603"/>
      <w:bookmarkStart w:id="208" w:name="_Toc502860574"/>
      <w:bookmarkStart w:id="209" w:name="_Toc502853551"/>
      <w:bookmarkStart w:id="210" w:name="_Toc502859590"/>
      <w:r>
        <w:rPr>
          <w:rFonts w:asciiTheme="minorEastAsia" w:eastAsiaTheme="minorEastAsia" w:hAnsiTheme="minorEastAsia"/>
          <w:sz w:val="21"/>
          <w:szCs w:val="21"/>
          <w:lang w:eastAsia="zh-CN"/>
        </w:rPr>
        <w:t>除上述之要求外，每台电动操作的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须装备，但不局限于下列各项﹕</w:t>
      </w:r>
      <w:bookmarkEnd w:id="207"/>
      <w:bookmarkEnd w:id="208"/>
      <w:bookmarkEnd w:id="209"/>
      <w:bookmarkEnd w:id="210"/>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开</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合</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故障跳闸指示灯。</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rPr>
      </w:pPr>
      <w:r>
        <w:rPr>
          <w:rFonts w:asciiTheme="minorEastAsia" w:eastAsiaTheme="minorEastAsia" w:hAnsiTheme="minorEastAsia"/>
          <w:sz w:val="21"/>
          <w:szCs w:val="21"/>
        </w:rPr>
        <w:t>MCCB</w:t>
      </w:r>
      <w:r>
        <w:rPr>
          <w:rFonts w:asciiTheme="minorEastAsia" w:eastAsiaTheme="minorEastAsia" w:hAnsiTheme="minorEastAsia"/>
          <w:sz w:val="21"/>
          <w:szCs w:val="21"/>
        </w:rPr>
        <w:t>开</w:t>
      </w:r>
      <w:r>
        <w:rPr>
          <w:rFonts w:asciiTheme="minorEastAsia" w:eastAsiaTheme="minorEastAsia" w:hAnsiTheme="minorEastAsia"/>
          <w:sz w:val="21"/>
          <w:szCs w:val="21"/>
        </w:rPr>
        <w:t>/</w:t>
      </w:r>
      <w:r>
        <w:rPr>
          <w:rFonts w:asciiTheme="minorEastAsia" w:eastAsiaTheme="minorEastAsia" w:hAnsiTheme="minorEastAsia"/>
          <w:sz w:val="21"/>
          <w:szCs w:val="21"/>
        </w:rPr>
        <w:t>合按钮。</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对需要自动合闸的</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，带防止跳跃继电器的控制回路以保证可靠动作。</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提供就地指示位置和控制用的辅助开关接点，并有</w:t>
      </w:r>
      <w:r>
        <w:rPr>
          <w:rFonts w:asciiTheme="minorEastAsia" w:eastAsiaTheme="minorEastAsia" w:hAnsiTheme="minorEastAsia"/>
          <w:sz w:val="21"/>
          <w:szCs w:val="21"/>
          <w:lang w:eastAsia="zh-CN"/>
        </w:rPr>
        <w:t>20%</w:t>
      </w:r>
      <w:r>
        <w:rPr>
          <w:rFonts w:asciiTheme="minorEastAsia" w:eastAsiaTheme="minorEastAsia" w:hAnsiTheme="minorEastAsia"/>
          <w:sz w:val="21"/>
          <w:szCs w:val="21"/>
          <w:lang w:eastAsia="zh-CN"/>
        </w:rPr>
        <w:t>之备用量。</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rPr>
        <w:sectPr>
          <w:footerReference w:type="default" r:id="rId36"/>
          <w:type w:val="nextPage"/>
          <w:pgSz w:w="11906" w:h="16838"/>
          <w:pgMar w:top="1814" w:right="1418" w:bottom="1418" w:left="1814" w:header="851" w:footer="992" w:gutter="0"/>
          <w:pgNumType w:start="31"/>
          <w:cols w:space="425"/>
          <w:titlePg w:val="0"/>
          <w:docGrid w:linePitch="312"/>
        </w:sectPr>
      </w:pPr>
      <w:r>
        <w:rPr>
          <w:rFonts w:asciiTheme="minorEastAsia" w:eastAsiaTheme="minorEastAsia" w:hAnsiTheme="minorEastAsia"/>
          <w:sz w:val="21"/>
          <w:szCs w:val="21"/>
        </w:rPr>
        <w:t>指示灯试验按钮。</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按本技术规格说明书之要求，配置足够之辅助开关接点，供远方指示和控制用并有</w:t>
      </w:r>
      <w:r>
        <w:rPr>
          <w:rFonts w:asciiTheme="minorEastAsia" w:eastAsiaTheme="minorEastAsia" w:hAnsiTheme="minorEastAsia"/>
          <w:sz w:val="21"/>
          <w:szCs w:val="21"/>
          <w:lang w:eastAsia="zh-CN"/>
        </w:rPr>
        <w:t>20%</w:t>
      </w:r>
      <w:r>
        <w:rPr>
          <w:rFonts w:asciiTheme="minorEastAsia" w:eastAsiaTheme="minorEastAsia" w:hAnsiTheme="minorEastAsia"/>
          <w:sz w:val="21"/>
          <w:szCs w:val="21"/>
          <w:lang w:eastAsia="zh-CN"/>
        </w:rPr>
        <w:t>之备用量。</w:t>
      </w:r>
    </w:p>
    <w:p w:rsidR="002274AC">
      <w:pPr>
        <w:keepLines/>
        <w:numPr>
          <w:ilvl w:val="0"/>
          <w:numId w:val="68"/>
        </w:numPr>
        <w:spacing w:before="120" w:beforeLines="50" w:after="120" w:afterLines="50"/>
        <w:ind w:left="2127"/>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当按规定需要远方控制时，需配置</w:t>
      </w:r>
      <w:r>
        <w:rPr>
          <w:rFonts w:asciiTheme="minorEastAsia" w:eastAsiaTheme="minorEastAsia" w:hAnsiTheme="minorEastAsia"/>
          <w:sz w:val="21"/>
          <w:szCs w:val="21"/>
          <w:lang w:eastAsia="zh-CN"/>
        </w:rPr>
        <w:t>MCCB</w:t>
      </w:r>
      <w:r>
        <w:rPr>
          <w:rFonts w:asciiTheme="minorEastAsia" w:eastAsiaTheme="minorEastAsia" w:hAnsiTheme="minorEastAsia"/>
          <w:sz w:val="21"/>
          <w:szCs w:val="21"/>
          <w:lang w:eastAsia="zh-CN"/>
        </w:rPr>
        <w:t>远方</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就地手动的控制开关。</w:t>
      </w:r>
    </w:p>
    <w:p w:rsidR="002274AC">
      <w:pPr>
        <w:pStyle w:val="ReportLevel2"/>
        <w:keepLines/>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b/>
          <w:bCs/>
          <w:sz w:val="21"/>
          <w:szCs w:val="21"/>
        </w:rPr>
        <w:t>微型断路器</w:t>
      </w:r>
      <w:r>
        <w:rPr>
          <w:rFonts w:asciiTheme="minorEastAsia" w:eastAsiaTheme="minorEastAsia" w:hAnsiTheme="minorEastAsia"/>
          <w:b/>
          <w:bCs/>
          <w:sz w:val="21"/>
          <w:szCs w:val="21"/>
        </w:rPr>
        <w:t>(MCB)</w:t>
      </w:r>
    </w:p>
    <w:p w:rsidR="002274AC">
      <w:pPr>
        <w:pStyle w:val="ReportLevel3"/>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一般规定</w:t>
      </w:r>
    </w:p>
    <w:p w:rsidR="002274AC">
      <w:pPr>
        <w:keepLines/>
        <w:numPr>
          <w:ilvl w:val="0"/>
          <w:numId w:val="69"/>
        </w:numPr>
        <w:tabs>
          <w:tab w:val="left" w:pos="1619"/>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MCBs </w:t>
      </w:r>
      <w:r>
        <w:rPr>
          <w:rFonts w:asciiTheme="minorEastAsia" w:eastAsiaTheme="minorEastAsia" w:hAnsiTheme="minorEastAsia"/>
          <w:sz w:val="21"/>
          <w:szCs w:val="21"/>
          <w:lang w:eastAsia="zh-CN"/>
        </w:rPr>
        <w:t>必须符合</w:t>
      </w:r>
      <w:r>
        <w:rPr>
          <w:rFonts w:asciiTheme="minorEastAsia" w:eastAsiaTheme="minorEastAsia" w:hAnsiTheme="minorEastAsia"/>
          <w:sz w:val="21"/>
          <w:szCs w:val="21"/>
          <w:lang w:eastAsia="zh-CN"/>
        </w:rPr>
        <w:t>GB10963</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IEC898</w:t>
      </w:r>
      <w:r>
        <w:rPr>
          <w:rFonts w:asciiTheme="minorEastAsia" w:eastAsiaTheme="minorEastAsia" w:hAnsiTheme="minorEastAsia"/>
          <w:sz w:val="21"/>
          <w:szCs w:val="21"/>
          <w:lang w:eastAsia="zh-CN"/>
        </w:rPr>
        <w:t>，及</w:t>
      </w:r>
      <w:r>
        <w:rPr>
          <w:rFonts w:asciiTheme="minorEastAsia" w:eastAsiaTheme="minorEastAsia" w:hAnsiTheme="minorEastAsia"/>
          <w:sz w:val="21"/>
          <w:szCs w:val="21"/>
          <w:lang w:eastAsia="zh-CN"/>
        </w:rPr>
        <w:t>IEC60947-2</w:t>
      </w:r>
      <w:r>
        <w:rPr>
          <w:rFonts w:asciiTheme="minorEastAsia" w:eastAsiaTheme="minorEastAsia" w:hAnsiTheme="minorEastAsia"/>
          <w:sz w:val="21"/>
          <w:szCs w:val="21"/>
          <w:lang w:eastAsia="zh-CN"/>
        </w:rPr>
        <w:t>其额定短路容量为</w:t>
      </w:r>
      <w:r>
        <w:rPr>
          <w:rFonts w:asciiTheme="minorEastAsia" w:eastAsiaTheme="minorEastAsia" w:hAnsiTheme="minorEastAsia"/>
          <w:sz w:val="21"/>
          <w:szCs w:val="21"/>
          <w:lang w:eastAsia="zh-CN"/>
        </w:rPr>
        <w:t xml:space="preserve">10kA </w:t>
      </w:r>
      <w:r>
        <w:rPr>
          <w:rFonts w:asciiTheme="minorEastAsia" w:eastAsiaTheme="minorEastAsia" w:hAnsiTheme="minorEastAsia"/>
          <w:sz w:val="21"/>
          <w:szCs w:val="21"/>
          <w:lang w:eastAsia="zh-CN"/>
        </w:rPr>
        <w:t>或以上。除另有规定外用于照明线路的跳闸特性为Ｂ型，用于小电力回路为Ｃ型，用于电</w:t>
      </w:r>
      <w:r>
        <w:rPr>
          <w:rFonts w:asciiTheme="minorEastAsia" w:eastAsiaTheme="minorEastAsia" w:hAnsiTheme="minorEastAsia"/>
          <w:sz w:val="21"/>
          <w:szCs w:val="21"/>
          <w:lang w:eastAsia="zh-CN"/>
        </w:rPr>
        <w:t>动机回路为</w:t>
      </w:r>
      <w:r>
        <w:rPr>
          <w:rFonts w:asciiTheme="minorEastAsia" w:eastAsiaTheme="minorEastAsia" w:hAnsiTheme="minorEastAsia"/>
          <w:sz w:val="21"/>
          <w:szCs w:val="21"/>
          <w:lang w:eastAsia="zh-CN"/>
        </w:rPr>
        <w:t>D</w:t>
      </w:r>
      <w:r>
        <w:rPr>
          <w:rFonts w:asciiTheme="minorEastAsia" w:eastAsiaTheme="minorEastAsia" w:hAnsiTheme="minorEastAsia"/>
          <w:sz w:val="21"/>
          <w:szCs w:val="21"/>
          <w:lang w:eastAsia="zh-CN"/>
        </w:rPr>
        <w:t>型或以上。</w:t>
      </w:r>
    </w:p>
    <w:p w:rsidR="002274AC">
      <w:pPr>
        <w:keepLines/>
        <w:numPr>
          <w:ilvl w:val="0"/>
          <w:numId w:val="69"/>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断路操作机构须为自动脱扣，其设计应保证负载触头在故障时不会保持在闭合位置。</w:t>
      </w:r>
    </w:p>
    <w:p w:rsidR="002274AC">
      <w:pPr>
        <w:keepLines/>
        <w:numPr>
          <w:ilvl w:val="0"/>
          <w:numId w:val="69"/>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除另有规定外，单极断路器、双极断路器须用于单相电路。三相电路须使用三极断路器，且须联锁，使一相超载或故障时，可以同时切断断路器的各相。</w:t>
      </w:r>
    </w:p>
    <w:p w:rsidR="002274AC">
      <w:pPr>
        <w:keepLines/>
        <w:numPr>
          <w:ilvl w:val="0"/>
          <w:numId w:val="69"/>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满足上述产品制造规范及</w:t>
      </w:r>
      <w:r>
        <w:rPr>
          <w:rFonts w:asciiTheme="minorEastAsia" w:eastAsiaTheme="minorEastAsia" w:hAnsiTheme="minorEastAsia"/>
          <w:sz w:val="21"/>
          <w:szCs w:val="21"/>
          <w:lang w:eastAsia="zh-CN"/>
        </w:rPr>
        <w:t>ABNT NBR5410</w:t>
      </w:r>
      <w:r>
        <w:rPr>
          <w:rFonts w:asciiTheme="minorEastAsia" w:eastAsiaTheme="minorEastAsia" w:hAnsiTheme="minorEastAsia" w:hint="eastAsia"/>
          <w:sz w:val="21"/>
          <w:szCs w:val="21"/>
          <w:lang w:eastAsia="zh-CN"/>
        </w:rPr>
        <w:t>低压电器装置</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NRS031</w:t>
      </w:r>
      <w:r>
        <w:rPr>
          <w:rFonts w:asciiTheme="minorEastAsia" w:eastAsiaTheme="minorEastAsia" w:hAnsiTheme="minorEastAsia" w:hint="eastAsia"/>
          <w:sz w:val="21"/>
          <w:szCs w:val="21"/>
          <w:lang w:eastAsia="zh-CN"/>
        </w:rPr>
        <w:t>交流断路器和接地开关</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NRS 047-1~9</w:t>
      </w:r>
      <w:r>
        <w:rPr>
          <w:rFonts w:asciiTheme="minorEastAsia" w:eastAsiaTheme="minorEastAsia" w:hAnsiTheme="minorEastAsia" w:hint="eastAsia"/>
          <w:sz w:val="21"/>
          <w:szCs w:val="21"/>
          <w:lang w:eastAsia="zh-CN"/>
        </w:rPr>
        <w:t>电力供应等规范要求，技术参数按其中最高要求执行。</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运作特点</w:t>
      </w:r>
    </w:p>
    <w:p w:rsidR="002274AC">
      <w:pPr>
        <w:keepLines/>
        <w:numPr>
          <w:ilvl w:val="0"/>
          <w:numId w:val="70"/>
        </w:numPr>
        <w:tabs>
          <w:tab w:val="left" w:pos="1619"/>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微型断路器须为热磁可调整装有手动操作机构能速合、速分、自动脱扣，使断路器在过载和短路时不会保持在闭合位置。</w:t>
      </w:r>
    </w:p>
    <w:p w:rsidR="002274AC">
      <w:pPr>
        <w:keepLines/>
        <w:numPr>
          <w:ilvl w:val="0"/>
          <w:numId w:val="70"/>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额定工作温度须为</w:t>
      </w:r>
      <w:r>
        <w:rPr>
          <w:rFonts w:asciiTheme="minorEastAsia" w:eastAsiaTheme="minorEastAsia" w:hAnsiTheme="minorEastAsia"/>
          <w:sz w:val="21"/>
          <w:szCs w:val="21"/>
          <w:lang w:eastAsia="zh-CN"/>
        </w:rPr>
        <w:t>40°C</w:t>
      </w:r>
      <w:r>
        <w:rPr>
          <w:rFonts w:asciiTheme="minorEastAsia" w:eastAsiaTheme="minorEastAsia" w:hAnsiTheme="minorEastAsia"/>
          <w:sz w:val="21"/>
          <w:szCs w:val="21"/>
          <w:lang w:eastAsia="zh-CN"/>
        </w:rPr>
        <w:t>，额定短时承受电流（</w:t>
      </w:r>
      <w:r>
        <w:rPr>
          <w:rFonts w:asciiTheme="minorEastAsia" w:eastAsiaTheme="minorEastAsia" w:hAnsiTheme="minorEastAsia"/>
          <w:sz w:val="21"/>
          <w:szCs w:val="21"/>
          <w:lang w:eastAsia="zh-CN"/>
        </w:rPr>
        <w:t>Icw</w:t>
      </w:r>
      <w:r>
        <w:rPr>
          <w:rFonts w:asciiTheme="minorEastAsia" w:eastAsiaTheme="minorEastAsia" w:hAnsiTheme="minorEastAsia"/>
          <w:sz w:val="21"/>
          <w:szCs w:val="21"/>
          <w:lang w:eastAsia="zh-CN"/>
        </w:rPr>
        <w:t>）须为</w:t>
      </w:r>
      <w:r>
        <w:rPr>
          <w:rFonts w:asciiTheme="minorEastAsia" w:eastAsiaTheme="minorEastAsia" w:hAnsiTheme="minorEastAsia"/>
          <w:sz w:val="21"/>
          <w:szCs w:val="21"/>
          <w:lang w:eastAsia="zh-CN"/>
        </w:rPr>
        <w:t>10kA (1</w:t>
      </w:r>
      <w:r>
        <w:rPr>
          <w:rFonts w:asciiTheme="minorEastAsia" w:eastAsiaTheme="minorEastAsia" w:hAnsiTheme="minorEastAsia"/>
          <w:sz w:val="21"/>
          <w:szCs w:val="21"/>
          <w:lang w:eastAsia="zh-CN"/>
        </w:rPr>
        <w:t>秒</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eastAsia="zh-CN"/>
        </w:rPr>
        <w:t>。</w:t>
      </w:r>
    </w:p>
    <w:p w:rsidR="002274AC">
      <w:pPr>
        <w:pStyle w:val="ReportLevel2"/>
        <w:keepLines/>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带漏电保护的微型断路器（</w:t>
      </w:r>
      <w:r>
        <w:rPr>
          <w:rFonts w:asciiTheme="minorEastAsia" w:eastAsiaTheme="minorEastAsia" w:hAnsiTheme="minorEastAsia"/>
          <w:b/>
          <w:bCs/>
          <w:sz w:val="21"/>
          <w:szCs w:val="21"/>
          <w:lang w:eastAsia="zh-CN"/>
        </w:rPr>
        <w:t>RCCB</w:t>
      </w:r>
      <w:r>
        <w:rPr>
          <w:rFonts w:asciiTheme="minorEastAsia" w:eastAsiaTheme="minorEastAsia" w:hAnsiTheme="minorEastAsia"/>
          <w:b/>
          <w:bCs/>
          <w:sz w:val="21"/>
          <w:szCs w:val="21"/>
          <w:lang w:eastAsia="zh-CN"/>
        </w:rPr>
        <w:t>）</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一般规定</w:t>
      </w:r>
    </w:p>
    <w:p w:rsidR="002274AC">
      <w:pPr>
        <w:keepLines/>
        <w:numPr>
          <w:ilvl w:val="0"/>
          <w:numId w:val="71"/>
        </w:numPr>
        <w:tabs>
          <w:tab w:val="left" w:pos="1619"/>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漏电断路器须为两极、三级或四极，由电流操作装于一个完全密封的塑壳内，须符合</w:t>
      </w:r>
      <w:r>
        <w:rPr>
          <w:rFonts w:asciiTheme="minorEastAsia" w:eastAsiaTheme="minorEastAsia" w:hAnsiTheme="minorEastAsia"/>
          <w:sz w:val="21"/>
          <w:szCs w:val="21"/>
          <w:lang w:eastAsia="zh-CN"/>
        </w:rPr>
        <w:t>GB6829-2008</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IEC755</w:t>
      </w:r>
      <w:r>
        <w:rPr>
          <w:rFonts w:asciiTheme="minorEastAsia" w:eastAsiaTheme="minorEastAsia" w:hAnsiTheme="minorEastAsia"/>
          <w:sz w:val="21"/>
          <w:szCs w:val="21"/>
          <w:lang w:eastAsia="zh-CN"/>
        </w:rPr>
        <w:t>规范制造及测试之要求。微型断路器须得到</w:t>
      </w:r>
      <w:r>
        <w:rPr>
          <w:rFonts w:asciiTheme="minorEastAsia" w:eastAsiaTheme="minorEastAsia" w:hAnsiTheme="minorEastAsia"/>
          <w:sz w:val="21"/>
          <w:szCs w:val="21"/>
          <w:lang w:eastAsia="zh-CN"/>
        </w:rPr>
        <w:t>NAMAS</w:t>
      </w:r>
      <w:r>
        <w:rPr>
          <w:rFonts w:asciiTheme="minorEastAsia" w:eastAsiaTheme="minorEastAsia" w:hAnsiTheme="minorEastAsia"/>
          <w:sz w:val="21"/>
          <w:szCs w:val="21"/>
          <w:lang w:eastAsia="zh-CN"/>
        </w:rPr>
        <w:t>测试核准。</w:t>
      </w:r>
    </w:p>
    <w:p w:rsidR="002274AC">
      <w:pPr>
        <w:keepLines/>
        <w:numPr>
          <w:ilvl w:val="0"/>
          <w:numId w:val="71"/>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断路操作机构须为自动脱扣，其设计应保证负载触头在故障时不会保持在闭合位置。</w:t>
      </w:r>
    </w:p>
    <w:p w:rsidR="002274AC">
      <w:pPr>
        <w:keepLines/>
        <w:numPr>
          <w:ilvl w:val="0"/>
          <w:numId w:val="71"/>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除另有规定外，双极断路器须用于单相电路。三相电路须使用三、四极断路器，且须联锁，使一相超载或故障时，可以同时切断断路器的各相及中性线。</w:t>
      </w:r>
    </w:p>
    <w:p w:rsidR="002274AC">
      <w:pPr>
        <w:keepLines/>
        <w:numPr>
          <w:ilvl w:val="0"/>
          <w:numId w:val="71"/>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满足上述产品制造规范及</w:t>
      </w:r>
      <w:r>
        <w:rPr>
          <w:rFonts w:asciiTheme="minorEastAsia" w:eastAsiaTheme="minorEastAsia" w:hAnsiTheme="minorEastAsia"/>
          <w:sz w:val="21"/>
          <w:szCs w:val="21"/>
          <w:lang w:eastAsia="zh-CN"/>
        </w:rPr>
        <w:t>ABNT NBR5410</w:t>
      </w:r>
      <w:r>
        <w:rPr>
          <w:rFonts w:asciiTheme="minorEastAsia" w:eastAsiaTheme="minorEastAsia" w:hAnsiTheme="minorEastAsia" w:hint="eastAsia"/>
          <w:sz w:val="21"/>
          <w:szCs w:val="21"/>
          <w:lang w:eastAsia="zh-CN"/>
        </w:rPr>
        <w:t>低压电器装置</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NRS031</w:t>
      </w:r>
      <w:r>
        <w:rPr>
          <w:rFonts w:asciiTheme="minorEastAsia" w:eastAsiaTheme="minorEastAsia" w:hAnsiTheme="minorEastAsia" w:hint="eastAsia"/>
          <w:sz w:val="21"/>
          <w:szCs w:val="21"/>
          <w:lang w:eastAsia="zh-CN"/>
        </w:rPr>
        <w:t>交流断路器和接地开关</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NRS 047-1~9</w:t>
      </w:r>
      <w:r>
        <w:rPr>
          <w:rFonts w:asciiTheme="minorEastAsia" w:eastAsiaTheme="minorEastAsia" w:hAnsiTheme="minorEastAsia" w:hint="eastAsia"/>
          <w:sz w:val="21"/>
          <w:szCs w:val="21"/>
          <w:lang w:eastAsia="zh-CN"/>
        </w:rPr>
        <w:t>电力供应等规范要求，技术参数按其中最高要求执行。</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运作特点</w:t>
      </w:r>
    </w:p>
    <w:p w:rsidR="002274AC">
      <w:pPr>
        <w:keepLines/>
        <w:numPr>
          <w:ilvl w:val="0"/>
          <w:numId w:val="72"/>
        </w:numPr>
        <w:tabs>
          <w:tab w:val="left" w:pos="1619"/>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跳闸机构须为自动脱扣，使断路器在接地故障时不会保持在闭合位置。跳闸装置不得利用电子放大器或整流器。</w:t>
      </w:r>
    </w:p>
    <w:p w:rsidR="002274AC">
      <w:pPr>
        <w:keepLines/>
        <w:numPr>
          <w:ilvl w:val="0"/>
          <w:numId w:val="72"/>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额定漏电跳闸电流须按图及</w:t>
      </w:r>
      <w:r>
        <w:rPr>
          <w:rFonts w:asciiTheme="minorEastAsia" w:eastAsiaTheme="minorEastAsia" w:hAnsiTheme="minorEastAsia"/>
          <w:sz w:val="21"/>
          <w:szCs w:val="21"/>
          <w:lang w:eastAsia="zh-CN"/>
        </w:rPr>
        <w:t>MCB</w:t>
      </w:r>
      <w:r>
        <w:rPr>
          <w:rFonts w:asciiTheme="minorEastAsia" w:eastAsiaTheme="minorEastAsia" w:hAnsiTheme="minorEastAsia"/>
          <w:sz w:val="21"/>
          <w:szCs w:val="21"/>
          <w:lang w:eastAsia="zh-CN"/>
        </w:rPr>
        <w:t>箱详图所示。</w:t>
      </w:r>
    </w:p>
    <w:p w:rsidR="002274AC">
      <w:pPr>
        <w:keepLines/>
        <w:numPr>
          <w:ilvl w:val="0"/>
          <w:numId w:val="72"/>
        </w:numPr>
        <w:tabs>
          <w:tab w:val="left" w:pos="1619"/>
        </w:tabs>
        <w:spacing w:before="120" w:beforeLines="50" w:after="120" w:afterLines="50"/>
        <w:ind w:left="1616" w:hanging="539"/>
        <w:jc w:val="both"/>
        <w:rPr>
          <w:rFonts w:asciiTheme="minorEastAsia" w:eastAsiaTheme="minorEastAsia" w:hAnsiTheme="minorEastAsia"/>
          <w:sz w:val="21"/>
          <w:szCs w:val="21"/>
          <w:lang w:eastAsia="zh-CN"/>
        </w:rPr>
        <w:sectPr>
          <w:footerReference w:type="default" r:id="rId37"/>
          <w:type w:val="nextPage"/>
          <w:pgSz w:w="11906" w:h="16838"/>
          <w:pgMar w:top="1814" w:right="1418" w:bottom="1418" w:left="1814" w:header="851" w:footer="992" w:gutter="0"/>
          <w:pgNumType w:start="32"/>
          <w:cols w:space="425"/>
          <w:titlePg w:val="0"/>
          <w:docGrid w:linePitch="312"/>
        </w:sectPr>
      </w:pPr>
      <w:r>
        <w:rPr>
          <w:rFonts w:asciiTheme="minorEastAsia" w:eastAsiaTheme="minorEastAsia" w:hAnsiTheme="minorEastAsia"/>
          <w:sz w:val="21"/>
          <w:szCs w:val="21"/>
          <w:lang w:eastAsia="zh-CN"/>
        </w:rPr>
        <w:t>需内附可试验自动漏电跳闸的试验装置并需装设防止在漏电跳闸</w:t>
      </w:r>
      <w:r>
        <w:rPr>
          <w:rFonts w:asciiTheme="minorEastAsia" w:eastAsiaTheme="minorEastAsia" w:hAnsiTheme="minorEastAsia"/>
          <w:sz w:val="21"/>
          <w:szCs w:val="21"/>
          <w:lang w:eastAsia="zh-CN"/>
        </w:rPr>
        <w:t>后重合的装置。</w:t>
      </w:r>
    </w:p>
    <w:p w:rsidR="002274AC">
      <w:pPr>
        <w:pStyle w:val="ReportLevel2"/>
        <w:keepLines/>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双电源切换开关（</w:t>
      </w:r>
      <w:r>
        <w:rPr>
          <w:rFonts w:asciiTheme="minorEastAsia" w:eastAsiaTheme="minorEastAsia" w:hAnsiTheme="minorEastAsia"/>
          <w:b/>
          <w:bCs/>
          <w:sz w:val="21"/>
          <w:szCs w:val="21"/>
          <w:lang w:eastAsia="zh-CN"/>
        </w:rPr>
        <w:t>ATS</w:t>
      </w:r>
      <w:r>
        <w:rPr>
          <w:rFonts w:asciiTheme="minorEastAsia" w:eastAsiaTheme="minorEastAsia" w:hAnsiTheme="minorEastAsia"/>
          <w:b/>
          <w:bCs/>
          <w:sz w:val="21"/>
          <w:szCs w:val="21"/>
          <w:lang w:eastAsia="zh-CN"/>
        </w:rPr>
        <w:t>）</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自动切换开关应符合</w:t>
      </w:r>
      <w:r>
        <w:rPr>
          <w:rFonts w:asciiTheme="minorEastAsia" w:eastAsiaTheme="minorEastAsia" w:hAnsiTheme="minorEastAsia" w:hint="eastAsia"/>
          <w:sz w:val="21"/>
          <w:szCs w:val="21"/>
          <w:lang w:eastAsia="zh-CN"/>
        </w:rPr>
        <w:t>GB/T</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hint="eastAsia"/>
          <w:sz w:val="21"/>
          <w:szCs w:val="21"/>
          <w:lang w:eastAsia="zh-CN"/>
        </w:rPr>
        <w:t>14048.11-2016</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/IEC</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eastAsia="zh-CN"/>
        </w:rPr>
        <w:t>60947-6-1</w:t>
      </w:r>
      <w:r>
        <w:rPr>
          <w:rFonts w:asciiTheme="minorEastAsia" w:eastAsiaTheme="minorEastAsia" w:hAnsiTheme="minorEastAsia"/>
          <w:sz w:val="21"/>
          <w:szCs w:val="21"/>
          <w:lang w:eastAsia="zh-CN"/>
        </w:rPr>
        <w:t>之规定进行测试。</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双电源切换开关均要求具有自投自复功能（除图纸已有特殊说明外）。</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用于两路电源之间的转换，在转换过程中中断对负载供电的自动转换开关电器。双电源切换开关符合</w:t>
      </w:r>
      <w:r>
        <w:rPr>
          <w:rFonts w:asciiTheme="minorEastAsia" w:eastAsiaTheme="minorEastAsia" w:hAnsiTheme="minorEastAsia" w:hint="eastAsia"/>
          <w:sz w:val="21"/>
          <w:szCs w:val="21"/>
          <w:lang w:eastAsia="zh-CN"/>
        </w:rPr>
        <w:t>G</w:t>
      </w:r>
      <w:r>
        <w:rPr>
          <w:rFonts w:asciiTheme="minorEastAsia" w:eastAsiaTheme="minorEastAsia" w:hAnsiTheme="minorEastAsia"/>
          <w:sz w:val="21"/>
          <w:szCs w:val="21"/>
          <w:lang w:eastAsia="zh-CN"/>
        </w:rPr>
        <w:t>B/T 14048.11-2016</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I</w:t>
      </w:r>
      <w:r>
        <w:rPr>
          <w:rFonts w:asciiTheme="minorEastAsia" w:eastAsiaTheme="minorEastAsia" w:hAnsiTheme="minorEastAsia"/>
          <w:sz w:val="21"/>
          <w:szCs w:val="21"/>
          <w:lang w:eastAsia="zh-CN"/>
        </w:rPr>
        <w:t>EC60947-6-1</w:t>
      </w:r>
      <w:r>
        <w:rPr>
          <w:rFonts w:asciiTheme="minorEastAsia" w:eastAsiaTheme="minorEastAsia" w:hAnsiTheme="minorEastAsia" w:hint="eastAsia"/>
          <w:sz w:val="21"/>
          <w:szCs w:val="21"/>
          <w:lang w:eastAsia="zh-CN"/>
        </w:rPr>
        <w:t>之规定进行定型试验和符合下列要求：</w:t>
      </w:r>
    </w:p>
    <w:tbl>
      <w:tblPr>
        <w:tblStyle w:val="TableNormal"/>
        <w:tblW w:w="0" w:type="auto"/>
        <w:tblInd w:w="1213" w:type="dxa"/>
        <w:tblLook w:val="04A0"/>
      </w:tblPr>
      <w:tblGrid>
        <w:gridCol w:w="3391"/>
        <w:gridCol w:w="3779"/>
      </w:tblGrid>
      <w:tr>
        <w:tblPrEx>
          <w:tblW w:w="0" w:type="auto"/>
          <w:tblInd w:w="1213" w:type="dxa"/>
          <w:tblLook w:val="04A0"/>
        </w:tblPrEx>
        <w:trPr>
          <w:trHeight w:val="325"/>
        </w:trPr>
        <w:tc>
          <w:tcPr>
            <w:tcW w:w="3391" w:type="dxa"/>
          </w:tcPr>
          <w:p w:rsidR="002274AC">
            <w:pPr>
              <w:pStyle w:val="ReportExecSummary"/>
              <w:keepNext w:val="0"/>
              <w:keepLines/>
              <w:spacing w:after="120" w:afterLines="50"/>
              <w:rPr>
                <w:rFonts w:asciiTheme="minorEastAsia" w:eastAsiaTheme="minorEastAsia" w:hAnsiTheme="minorEastAsia"/>
                <w:b w:val="0"/>
                <w:caps w:val="0"/>
                <w:sz w:val="21"/>
                <w:szCs w:val="21"/>
                <w:lang w:val="en-US" w:eastAsia="zh-CN"/>
              </w:rPr>
            </w:pPr>
            <w:r>
              <w:rPr>
                <w:rFonts w:asciiTheme="minorEastAsia" w:eastAsiaTheme="minorEastAsia" w:hAnsiTheme="minorEastAsia"/>
                <w:b w:val="0"/>
                <w:caps w:val="0"/>
                <w:sz w:val="21"/>
                <w:szCs w:val="21"/>
                <w:lang w:val="en-US" w:eastAsia="zh-CN"/>
              </w:rPr>
              <w:t>极数</w:t>
            </w:r>
          </w:p>
        </w:tc>
        <w:tc>
          <w:tcPr>
            <w:tcW w:w="3779" w:type="dxa"/>
          </w:tcPr>
          <w:p w:rsidR="002274AC">
            <w:pPr>
              <w:keepLines/>
              <w:spacing w:after="120" w:afterLines="50"/>
              <w:rPr>
                <w:rFonts w:asciiTheme="minorEastAsia" w:eastAsiaTheme="minorEastAsia" w:hAnsiTheme="minorEastAsia"/>
                <w:caps/>
                <w:sz w:val="21"/>
                <w:szCs w:val="21"/>
              </w:rPr>
            </w:pPr>
            <w:r>
              <w:rPr>
                <w:rFonts w:asciiTheme="minorEastAsia" w:eastAsiaTheme="minorEastAsia" w:hAnsiTheme="minorEastAsia"/>
                <w:sz w:val="21"/>
                <w:szCs w:val="21"/>
              </w:rPr>
              <w:t>三相：</w:t>
            </w:r>
            <w:r>
              <w:rPr>
                <w:rFonts w:asciiTheme="minorEastAsia" w:eastAsiaTheme="minorEastAsia" w:hAnsiTheme="minorEastAsia"/>
                <w:sz w:val="21"/>
                <w:szCs w:val="21"/>
              </w:rPr>
              <w:t xml:space="preserve">4 </w:t>
            </w:r>
            <w:r>
              <w:rPr>
                <w:rFonts w:asciiTheme="minorEastAsia" w:eastAsiaTheme="minorEastAsia" w:hAnsiTheme="minorEastAsia"/>
                <w:caps/>
                <w:sz w:val="21"/>
                <w:szCs w:val="21"/>
              </w:rPr>
              <w:t>极；单相：</w:t>
            </w:r>
            <w:r>
              <w:rPr>
                <w:rFonts w:asciiTheme="minorEastAsia" w:eastAsiaTheme="minorEastAsia" w:hAnsiTheme="minorEastAsia"/>
                <w:caps/>
                <w:sz w:val="21"/>
                <w:szCs w:val="21"/>
              </w:rPr>
              <w:t>2</w:t>
            </w:r>
            <w:r>
              <w:rPr>
                <w:rFonts w:asciiTheme="minorEastAsia" w:eastAsiaTheme="minorEastAsia" w:hAnsiTheme="minorEastAsia"/>
                <w:caps/>
                <w:sz w:val="21"/>
                <w:szCs w:val="21"/>
              </w:rPr>
              <w:t>极</w:t>
            </w:r>
          </w:p>
        </w:tc>
      </w:tr>
      <w:tr>
        <w:tblPrEx>
          <w:tblW w:w="0" w:type="auto"/>
          <w:tblInd w:w="1213" w:type="dxa"/>
          <w:tblLook w:val="04A0"/>
        </w:tblPrEx>
        <w:trPr>
          <w:trHeight w:val="1932"/>
        </w:trPr>
        <w:tc>
          <w:tcPr>
            <w:tcW w:w="3391" w:type="dxa"/>
          </w:tcPr>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额定绝缘电压</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额定频率</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额定电流</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额定电压</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控制电压</w:t>
            </w:r>
          </w:p>
        </w:tc>
        <w:tc>
          <w:tcPr>
            <w:tcW w:w="3779" w:type="dxa"/>
          </w:tcPr>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690V</w:t>
            </w:r>
            <w:r>
              <w:rPr>
                <w:rFonts w:asciiTheme="minorEastAsia" w:eastAsiaTheme="minorEastAsia" w:hAnsiTheme="minorEastAsia"/>
                <w:sz w:val="21"/>
                <w:szCs w:val="21"/>
                <w:lang w:eastAsia="zh-CN"/>
              </w:rPr>
              <w:t>交流</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50Hz</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如图规定</w:t>
            </w:r>
          </w:p>
          <w:p w:rsidR="002274AC">
            <w:pPr>
              <w:keepLines/>
              <w:spacing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230V/400V, </w:t>
            </w:r>
            <w:r>
              <w:rPr>
                <w:rFonts w:asciiTheme="minorEastAsia" w:eastAsiaTheme="minorEastAsia" w:hAnsiTheme="minorEastAsia"/>
                <w:sz w:val="21"/>
                <w:szCs w:val="21"/>
                <w:lang w:eastAsia="zh-CN"/>
              </w:rPr>
              <w:t>交流</w:t>
            </w:r>
          </w:p>
          <w:p w:rsidR="002274AC">
            <w:pPr>
              <w:keepLines/>
              <w:spacing w:after="120" w:afterLines="50"/>
              <w:rPr>
                <w:rFonts w:asciiTheme="minorEastAsia" w:eastAsiaTheme="minorEastAsia" w:hAnsiTheme="minorEastAsia"/>
                <w:sz w:val="21"/>
                <w:szCs w:val="21"/>
              </w:rPr>
            </w:pPr>
            <w:r>
              <w:rPr>
                <w:rFonts w:asciiTheme="minorEastAsia" w:eastAsiaTheme="minorEastAsia" w:hAnsiTheme="minorEastAsia"/>
                <w:sz w:val="21"/>
                <w:szCs w:val="21"/>
              </w:rPr>
              <w:t>110V/AC/DC</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rPr>
              <w:t>220/230VAC</w:t>
            </w:r>
          </w:p>
        </w:tc>
      </w:tr>
    </w:tbl>
    <w:p w:rsidR="002274AC">
      <w:pPr>
        <w:keepNext/>
        <w:keepLines/>
        <w:spacing w:before="120" w:beforeLines="50" w:after="120" w:afterLines="50"/>
        <w:ind w:left="1077"/>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3</w:t>
      </w:r>
      <w:r>
        <w:rPr>
          <w:rFonts w:asciiTheme="minorEastAsia" w:eastAsiaTheme="minorEastAsia" w:hAnsiTheme="minorEastAsia"/>
          <w:sz w:val="21"/>
          <w:szCs w:val="21"/>
          <w:lang w:eastAsia="zh-CN"/>
        </w:rPr>
        <w:t>个开关位置</w:t>
      </w:r>
      <w:r>
        <w:rPr>
          <w:rFonts w:asciiTheme="minorEastAsia" w:eastAsiaTheme="minorEastAsia" w:hAnsiTheme="minorEastAsia"/>
          <w:sz w:val="21"/>
          <w:szCs w:val="21"/>
          <w:lang w:eastAsia="zh-CN"/>
        </w:rPr>
        <w:t xml:space="preserve"> (I-O-I)</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一路电源故障时，</w:t>
      </w:r>
      <w:r>
        <w:rPr>
          <w:rFonts w:asciiTheme="minorEastAsia" w:eastAsiaTheme="minorEastAsia" w:hAnsiTheme="minorEastAsia"/>
          <w:sz w:val="21"/>
          <w:szCs w:val="21"/>
          <w:lang w:eastAsia="zh-CN"/>
        </w:rPr>
        <w:t>能自动地带负荷从一个位置切换到另一个位置。</w:t>
      </w:r>
    </w:p>
    <w:p w:rsidR="002274AC">
      <w:pPr>
        <w:pStyle w:val="ReportText"/>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配备手动操作手柄，一旦自动功能出现故障，允许由手柄的手动操作取代马达</w:t>
      </w:r>
      <w:r>
        <w:rPr>
          <w:rFonts w:asciiTheme="minorEastAsia" w:eastAsiaTheme="minorEastAsia" w:hAnsiTheme="minorEastAsia"/>
          <w:sz w:val="21"/>
          <w:szCs w:val="21"/>
          <w:lang w:val="en-US" w:eastAsia="zh-CN"/>
        </w:rPr>
        <w:t>/</w:t>
      </w:r>
      <w:r>
        <w:rPr>
          <w:rFonts w:asciiTheme="minorEastAsia" w:eastAsiaTheme="minorEastAsia" w:hAnsiTheme="minorEastAsia"/>
          <w:sz w:val="21"/>
          <w:szCs w:val="21"/>
          <w:lang w:val="en-US" w:eastAsia="zh-CN"/>
        </w:rPr>
        <w:t>电磁驱动。</w:t>
      </w:r>
    </w:p>
    <w:p w:rsidR="002274AC">
      <w:pPr>
        <w:pStyle w:val="ReportText"/>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PC</w:t>
      </w:r>
      <w:r>
        <w:rPr>
          <w:rFonts w:asciiTheme="minorEastAsia" w:eastAsiaTheme="minorEastAsia" w:hAnsiTheme="minorEastAsia"/>
          <w:sz w:val="21"/>
          <w:szCs w:val="21"/>
          <w:lang w:val="en-US" w:eastAsia="zh-CN"/>
        </w:rPr>
        <w:t>级</w:t>
      </w:r>
      <w:r>
        <w:rPr>
          <w:rFonts w:asciiTheme="minorEastAsia" w:eastAsiaTheme="minorEastAsia" w:hAnsiTheme="minorEastAsia"/>
          <w:sz w:val="21"/>
          <w:szCs w:val="21"/>
          <w:lang w:val="en-US" w:eastAsia="zh-CN"/>
        </w:rPr>
        <w:t>ATS</w:t>
      </w:r>
      <w:r>
        <w:rPr>
          <w:rFonts w:asciiTheme="minorEastAsia" w:eastAsiaTheme="minorEastAsia" w:hAnsiTheme="minorEastAsia"/>
          <w:sz w:val="21"/>
          <w:szCs w:val="21"/>
          <w:lang w:val="en-US" w:eastAsia="zh-CN"/>
        </w:rPr>
        <w:t>开关</w:t>
      </w:r>
      <w:r>
        <w:rPr>
          <w:rFonts w:asciiTheme="minorEastAsia" w:eastAsiaTheme="minorEastAsia" w:hAnsiTheme="minorEastAsia" w:hint="eastAsia"/>
          <w:sz w:val="21"/>
          <w:szCs w:val="21"/>
          <w:lang w:val="en-US" w:eastAsia="zh-CN"/>
        </w:rPr>
        <w:t>触头</w:t>
      </w:r>
      <w:r>
        <w:rPr>
          <w:rFonts w:asciiTheme="minorEastAsia" w:eastAsiaTheme="minorEastAsia" w:hAnsiTheme="minorEastAsia"/>
          <w:sz w:val="21"/>
          <w:szCs w:val="21"/>
          <w:lang w:val="en-US" w:eastAsia="zh-CN"/>
        </w:rPr>
        <w:t>转换</w:t>
      </w:r>
      <w:r>
        <w:rPr>
          <w:rFonts w:asciiTheme="minorEastAsia" w:eastAsiaTheme="minorEastAsia" w:hAnsiTheme="minorEastAsia" w:hint="eastAsia"/>
          <w:sz w:val="21"/>
          <w:szCs w:val="21"/>
          <w:lang w:val="en-US" w:eastAsia="zh-CN"/>
        </w:rPr>
        <w:t>时间</w:t>
      </w:r>
      <w:r>
        <w:rPr>
          <w:rFonts w:asciiTheme="minorEastAsia" w:eastAsiaTheme="minorEastAsia" w:hAnsiTheme="minorEastAsia"/>
          <w:sz w:val="21"/>
          <w:szCs w:val="21"/>
          <w:lang w:val="en-US" w:eastAsia="zh-CN"/>
        </w:rPr>
        <w:t>小于</w:t>
      </w:r>
      <w:r>
        <w:rPr>
          <w:rFonts w:asciiTheme="minorEastAsia" w:eastAsiaTheme="minorEastAsia" w:hAnsiTheme="minorEastAsia"/>
          <w:sz w:val="21"/>
          <w:szCs w:val="21"/>
          <w:lang w:val="en-US" w:eastAsia="zh-CN"/>
        </w:rPr>
        <w:t>100MS</w:t>
      </w:r>
      <w:r>
        <w:rPr>
          <w:rFonts w:asciiTheme="minorEastAsia" w:eastAsiaTheme="minorEastAsia" w:hAnsiTheme="minorEastAsia"/>
          <w:sz w:val="21"/>
          <w:szCs w:val="21"/>
          <w:lang w:val="en-US" w:eastAsia="zh-CN"/>
        </w:rPr>
        <w:t>。</w:t>
      </w:r>
    </w:p>
    <w:p w:rsidR="002274AC">
      <w:pPr>
        <w:pStyle w:val="ReportText"/>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自动转换开关使用类别为：</w:t>
      </w:r>
      <w:r>
        <w:rPr>
          <w:rFonts w:asciiTheme="minorEastAsia" w:eastAsiaTheme="minorEastAsia" w:hAnsiTheme="minorEastAsia"/>
          <w:sz w:val="21"/>
          <w:szCs w:val="21"/>
          <w:lang w:val="en-US" w:eastAsia="zh-CN"/>
        </w:rPr>
        <w:t>AC 33A</w:t>
      </w:r>
      <w:r>
        <w:rPr>
          <w:rFonts w:asciiTheme="minorEastAsia" w:eastAsiaTheme="minorEastAsia" w:hAnsiTheme="minorEastAsia"/>
          <w:sz w:val="21"/>
          <w:szCs w:val="21"/>
          <w:lang w:val="en-US" w:eastAsia="zh-CN"/>
        </w:rPr>
        <w:t>混合类型负载，带载切换时不能降低容量使用。</w:t>
      </w:r>
    </w:p>
    <w:p w:rsidR="002274AC">
      <w:pPr>
        <w:pStyle w:val="ReportText"/>
        <w:keepLines/>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主触点配有灭弧触点</w:t>
      </w:r>
      <w:r>
        <w:rPr>
          <w:rFonts w:asciiTheme="minorEastAsia" w:eastAsiaTheme="minorEastAsia" w:hAnsiTheme="minorEastAsia" w:hint="eastAsia"/>
          <w:sz w:val="21"/>
          <w:szCs w:val="21"/>
          <w:lang w:val="en-US" w:eastAsia="zh-CN"/>
        </w:rPr>
        <w:t>。</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结构</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hint="eastAsia"/>
          <w:sz w:val="21"/>
          <w:szCs w:val="21"/>
          <w:lang w:eastAsia="zh-CN"/>
        </w:rPr>
        <w:t>切换开关</w:t>
      </w:r>
      <w:r>
        <w:rPr>
          <w:rFonts w:asciiTheme="minorEastAsia" w:eastAsiaTheme="minorEastAsia" w:hAnsiTheme="minorEastAsia"/>
          <w:sz w:val="21"/>
          <w:szCs w:val="21"/>
          <w:lang w:eastAsia="zh-CN"/>
        </w:rPr>
        <w:t xml:space="preserve"> (A.T.S.)</w:t>
      </w:r>
      <w:r>
        <w:rPr>
          <w:rFonts w:asciiTheme="minorEastAsia" w:eastAsiaTheme="minorEastAsia" w:hAnsiTheme="minorEastAsia" w:hint="eastAsia"/>
          <w:sz w:val="21"/>
          <w:szCs w:val="21"/>
          <w:lang w:eastAsia="zh-CN"/>
        </w:rPr>
        <w:t>本体为一体化机械设计，单刃双投机构，机械保持。机构本身具备可靠机械连锁功能</w:t>
      </w:r>
      <w:r>
        <w:rPr>
          <w:rFonts w:asciiTheme="minorEastAsia" w:eastAsiaTheme="minorEastAsia" w:hAnsiTheme="minorEastAsia"/>
          <w:sz w:val="21"/>
          <w:szCs w:val="21"/>
          <w:lang w:eastAsia="zh-CN"/>
        </w:rPr>
        <w:t>。</w:t>
      </w:r>
    </w:p>
    <w:p w:rsidR="002274AC">
      <w:pPr>
        <w:pStyle w:val="ReportLevel3"/>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微处理器化的逻辑控制器</w:t>
      </w:r>
    </w:p>
    <w:p w:rsidR="002274AC">
      <w:pPr>
        <w:pStyle w:val="ReportText"/>
        <w:keepLines/>
        <w:numPr>
          <w:ilvl w:val="0"/>
          <w:numId w:val="147"/>
        </w:numPr>
        <w:tabs>
          <w:tab w:val="left" w:pos="1854"/>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自动进行</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主用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与</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应急</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电源的单向欠压和过压控制。</w:t>
      </w:r>
    </w:p>
    <w:p w:rsidR="002274AC">
      <w:pPr>
        <w:pStyle w:val="ReportText"/>
        <w:keepLines/>
        <w:numPr>
          <w:ilvl w:val="0"/>
          <w:numId w:val="147"/>
        </w:numPr>
        <w:tabs>
          <w:tab w:val="left" w:pos="1854"/>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控制口电源直接取自系统电压，勿需额外控制电源。</w:t>
      </w:r>
    </w:p>
    <w:p w:rsidR="002274AC">
      <w:pPr>
        <w:pStyle w:val="ReportText"/>
        <w:keepLines/>
        <w:numPr>
          <w:ilvl w:val="0"/>
          <w:numId w:val="147"/>
        </w:numPr>
        <w:tabs>
          <w:tab w:val="left" w:pos="1854"/>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当</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主用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侧电源恢复到正常值时，控制</w:t>
      </w:r>
      <w:r>
        <w:rPr>
          <w:rFonts w:asciiTheme="minorEastAsia" w:eastAsiaTheme="minorEastAsia" w:hAnsiTheme="minorEastAsia"/>
          <w:sz w:val="21"/>
          <w:szCs w:val="21"/>
          <w:lang w:eastAsia="zh-CN"/>
        </w:rPr>
        <w:t>A.T.S.</w:t>
      </w:r>
      <w:r>
        <w:rPr>
          <w:rFonts w:asciiTheme="minorEastAsia" w:eastAsiaTheme="minorEastAsia" w:hAnsiTheme="minorEastAsia"/>
          <w:sz w:val="21"/>
          <w:szCs w:val="21"/>
          <w:lang w:eastAsia="zh-CN"/>
        </w:rPr>
        <w:t>经延时后，由</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应急</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电源侧切换到</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主用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侧，并给出复位信号。</w:t>
      </w:r>
    </w:p>
    <w:p w:rsidR="002274AC">
      <w:pPr>
        <w:pStyle w:val="ReportText"/>
        <w:keepLines/>
        <w:numPr>
          <w:ilvl w:val="0"/>
          <w:numId w:val="147"/>
        </w:numPr>
        <w:tabs>
          <w:tab w:val="left" w:pos="1854"/>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手动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自动选择：当选择开关置于</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手动位置</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，则控制器关闭，</w:t>
      </w:r>
      <w:r>
        <w:rPr>
          <w:rFonts w:asciiTheme="minorEastAsia" w:eastAsiaTheme="minorEastAsia" w:hAnsiTheme="minorEastAsia"/>
          <w:sz w:val="21"/>
          <w:szCs w:val="21"/>
          <w:lang w:eastAsia="zh-CN"/>
        </w:rPr>
        <w:t>A.T.S</w:t>
      </w:r>
      <w:r>
        <w:rPr>
          <w:rFonts w:asciiTheme="minorEastAsia" w:eastAsiaTheme="minorEastAsia" w:hAnsiTheme="minorEastAsia"/>
          <w:sz w:val="21"/>
          <w:szCs w:val="21"/>
          <w:lang w:eastAsia="zh-CN"/>
        </w:rPr>
        <w:t>可手动操作（手动操作时</w:t>
      </w:r>
      <w:r>
        <w:rPr>
          <w:rFonts w:asciiTheme="minorEastAsia" w:eastAsiaTheme="minorEastAsia" w:hAnsiTheme="minorEastAsia"/>
          <w:sz w:val="21"/>
          <w:szCs w:val="21"/>
          <w:lang w:eastAsia="zh-CN"/>
        </w:rPr>
        <w:t>A.T.S</w:t>
      </w:r>
      <w:r>
        <w:rPr>
          <w:rFonts w:asciiTheme="minorEastAsia" w:eastAsiaTheme="minorEastAsia" w:hAnsiTheme="minorEastAsia"/>
          <w:sz w:val="21"/>
          <w:szCs w:val="21"/>
          <w:lang w:eastAsia="zh-CN"/>
        </w:rPr>
        <w:t>的钥匙也应打在手动开关置于</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自动</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位置时），</w:t>
      </w:r>
      <w:r>
        <w:rPr>
          <w:rFonts w:asciiTheme="minorEastAsia" w:eastAsiaTheme="minorEastAsia" w:hAnsiTheme="minorEastAsia"/>
          <w:sz w:val="21"/>
          <w:szCs w:val="21"/>
          <w:lang w:eastAsia="zh-CN"/>
        </w:rPr>
        <w:t>A.T.S</w:t>
      </w:r>
      <w:r>
        <w:rPr>
          <w:rFonts w:asciiTheme="minorEastAsia" w:eastAsiaTheme="minorEastAsia" w:hAnsiTheme="minorEastAsia"/>
          <w:sz w:val="21"/>
          <w:szCs w:val="21"/>
          <w:lang w:eastAsia="zh-CN"/>
        </w:rPr>
        <w:t>按控制器设置的程序自动工作。</w:t>
      </w:r>
    </w:p>
    <w:p w:rsidR="002274AC">
      <w:pPr>
        <w:pStyle w:val="ReportText"/>
        <w:keepLines/>
        <w:numPr>
          <w:ilvl w:val="0"/>
          <w:numId w:val="147"/>
        </w:numPr>
        <w:tabs>
          <w:tab w:val="left" w:pos="1854"/>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配有</w:t>
      </w:r>
      <w:r>
        <w:rPr>
          <w:rFonts w:asciiTheme="minorEastAsia" w:eastAsiaTheme="minorEastAsia" w:hAnsiTheme="minorEastAsia" w:hint="eastAsia"/>
          <w:sz w:val="21"/>
          <w:szCs w:val="21"/>
          <w:lang w:val="en-US" w:eastAsia="zh-CN"/>
        </w:rPr>
        <w:t>显示装置</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开关位置显示及两路电源正常与否的显示。</w:t>
      </w:r>
    </w:p>
    <w:p w:rsidR="002274AC">
      <w:pPr>
        <w:pStyle w:val="ReportText"/>
        <w:keepLines/>
        <w:numPr>
          <w:ilvl w:val="0"/>
          <w:numId w:val="147"/>
        </w:numPr>
        <w:tabs>
          <w:tab w:val="left" w:pos="1854"/>
        </w:tabs>
        <w:spacing w:before="120" w:beforeLines="50" w:after="120" w:afterLines="50"/>
        <w:jc w:val="left"/>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TCP/IP</w:t>
      </w:r>
      <w:r>
        <w:rPr>
          <w:rFonts w:asciiTheme="minorEastAsia" w:eastAsiaTheme="minorEastAsia" w:hAnsiTheme="minorEastAsia"/>
          <w:sz w:val="21"/>
          <w:szCs w:val="21"/>
          <w:lang w:eastAsia="zh-CN"/>
        </w:rPr>
        <w:t>通信接口。（监测正常电源三相电压、频率、备用电源三相电压、频率，能通过</w:t>
      </w:r>
      <w:r>
        <w:rPr>
          <w:rFonts w:asciiTheme="minorEastAsia" w:eastAsiaTheme="minorEastAsia" w:hAnsiTheme="minorEastAsia"/>
          <w:sz w:val="21"/>
          <w:szCs w:val="21"/>
          <w:lang w:eastAsia="zh-CN"/>
        </w:rPr>
        <w:t>TCP/IP</w:t>
      </w:r>
      <w:r>
        <w:rPr>
          <w:rFonts w:asciiTheme="minorEastAsia" w:eastAsiaTheme="minorEastAsia" w:hAnsiTheme="minorEastAsia"/>
          <w:sz w:val="21"/>
          <w:szCs w:val="21"/>
          <w:lang w:eastAsia="zh-CN"/>
        </w:rPr>
        <w:t>接口，采用</w:t>
      </w:r>
      <w:r>
        <w:rPr>
          <w:rFonts w:asciiTheme="minorEastAsia" w:eastAsiaTheme="minorEastAsia" w:hAnsiTheme="minorEastAsia"/>
          <w:sz w:val="21"/>
          <w:szCs w:val="21"/>
          <w:lang w:eastAsia="zh-CN"/>
        </w:rPr>
        <w:t>TCP</w:t>
      </w:r>
      <w:r>
        <w:rPr>
          <w:rFonts w:asciiTheme="minorEastAsia" w:eastAsiaTheme="minorEastAsia" w:hAnsiTheme="minorEastAsia"/>
          <w:sz w:val="21"/>
          <w:szCs w:val="21"/>
          <w:lang w:eastAsia="zh-CN"/>
        </w:rPr>
        <w:t>协议将上述信号传至电力监控系统。）</w:t>
      </w:r>
    </w:p>
    <w:p w:rsidR="002274AC">
      <w:pPr>
        <w:pStyle w:val="ReportLevel2"/>
        <w:keepLines/>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b/>
          <w:bCs/>
          <w:sz w:val="21"/>
          <w:szCs w:val="21"/>
        </w:rPr>
        <w:t>隔离开关</w:t>
      </w:r>
    </w:p>
    <w:p w:rsidR="002274AC">
      <w:pPr>
        <w:pStyle w:val="ReportLevel3"/>
        <w:keepNext w:val="0"/>
        <w:keepLines/>
        <w:spacing w:before="120" w:beforeLines="50" w:after="120" w:afterLines="5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塑壳隔离开关（</w:t>
      </w:r>
      <w:r>
        <w:rPr>
          <w:rFonts w:asciiTheme="minorEastAsia" w:eastAsiaTheme="minorEastAsia" w:hAnsiTheme="minorEastAsia"/>
          <w:b/>
          <w:bCs/>
          <w:sz w:val="21"/>
          <w:szCs w:val="21"/>
          <w:lang w:eastAsia="zh-CN"/>
        </w:rPr>
        <w:t>MCCB ISOLATOR</w:t>
      </w:r>
      <w:r>
        <w:rPr>
          <w:rFonts w:asciiTheme="minorEastAsia" w:eastAsiaTheme="minorEastAsia" w:hAnsiTheme="minorEastAsia"/>
          <w:b/>
          <w:bCs/>
          <w:sz w:val="21"/>
          <w:szCs w:val="21"/>
          <w:lang w:eastAsia="zh-CN"/>
        </w:rPr>
        <w:t>）</w:t>
      </w:r>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塑壳隔离开关（</w:t>
      </w:r>
      <w:r>
        <w:rPr>
          <w:rFonts w:asciiTheme="minorEastAsia" w:eastAsiaTheme="minorEastAsia" w:hAnsiTheme="minorEastAsia"/>
          <w:sz w:val="21"/>
          <w:szCs w:val="21"/>
          <w:lang w:eastAsia="zh-CN"/>
        </w:rPr>
        <w:t>MCCB ISOLATOR</w:t>
      </w:r>
      <w:r>
        <w:rPr>
          <w:rFonts w:asciiTheme="minorEastAsia" w:eastAsiaTheme="minorEastAsia" w:hAnsiTheme="minorEastAsia"/>
          <w:sz w:val="21"/>
          <w:szCs w:val="21"/>
          <w:lang w:eastAsia="zh-CN"/>
        </w:rPr>
        <w:t>）须符合本章内塑壳断路器的各项要求。</w:t>
      </w:r>
      <w:r>
        <w:rPr>
          <w:rFonts w:asciiTheme="minorEastAsia" w:eastAsiaTheme="minorEastAsia" w:hAnsiTheme="minorEastAsia"/>
          <w:sz w:val="21"/>
          <w:szCs w:val="21"/>
          <w:lang w:eastAsia="zh-CN"/>
        </w:rPr>
        <w:br/>
      </w:r>
      <w:r>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https://d.book118.com/378032141002006043</w:t>
        </w:r>
      </w:hyperlink>
    </w:p>
    <w:p w:rsidR="002274AC">
      <w:pPr>
        <w:pStyle w:val="ReportLevel4"/>
        <w:keepNext w:val="0"/>
        <w:keepLines/>
        <w:spacing w:before="120" w:beforeLines="50" w:after="120" w:afterLines="50"/>
        <w:rPr>
          <w:rFonts w:asciiTheme="minorEastAsia" w:eastAsiaTheme="minorEastAsia" w:hAnsiTheme="minorEastAsia"/>
          <w:sz w:val="21"/>
          <w:szCs w:val="21"/>
          <w:lang w:eastAsia="zh-CN"/>
        </w:rPr>
      </w:pPr>
    </w:p>
    <w:sectPr>
      <w:footerReference w:type="default" r:id="rId39"/>
      <w:type w:val="nextPage"/>
      <w:pgSz w:w="11906" w:h="16838"/>
      <w:pgMar w:top="1814" w:right="1418" w:bottom="1418" w:left="1814" w:header="851" w:footer="992" w:gutter="0"/>
      <w:pgNumType w:start="3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Frutiger 45 Light">
    <w:altName w:val="新宋体"/>
    <w:charset w:val="86"/>
    <w:family w:val="swiss"/>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PMingLiU">
    <w:altName w:val="Arial Unicode MS"/>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auto"/>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16</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18</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18</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19</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21</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21</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22</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23</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24</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26</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26</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27</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28</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29</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30</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31</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32</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4AC">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2274AC">
    <w:pPr>
      <w:pStyle w:val="Footer"/>
      <w:tabs>
        <w:tab w:val="clear" w:pos="4153"/>
        <w:tab w:val="clear" w:pos="8306"/>
        <w:tab w:val="right" w:pos="8647"/>
      </w:tabs>
      <w:rPr>
        <w:rStyle w:val="PageNumber"/>
        <w:rFonts w:ascii="PMingLiU" w:hAnsi="PMingLiU"/>
        <w:sz w:val="18"/>
        <w:u w:val="single"/>
        <w:lang w:eastAsia="zh-TW"/>
      </w:rPr>
    </w:pPr>
    <w:r>
      <w:rPr>
        <w:rFonts w:asciiTheme="minorEastAsia" w:eastAsiaTheme="minorEastAsia" w:hAnsiTheme="minorEastAsia" w:hint="eastAsia"/>
        <w:sz w:val="18"/>
        <w:lang w:eastAsia="zh-CN"/>
      </w:rPr>
      <w:t>高低压配电工程</w:t>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34</w:t>
    </w:r>
    <w:r>
      <w:rPr>
        <w:rStyle w:val="PageNumber"/>
        <w:rFonts w:eastAsia="宋体"/>
        <w:sz w:val="18"/>
      </w:rPr>
      <w:fldChar w:fldCharType="end"/>
    </w:r>
    <w:r>
      <w:rPr>
        <w:rStyle w:val="PageNumber"/>
        <w:rFonts w:eastAsia="宋体" w:hint="eastAsia"/>
        <w:sz w:val="18"/>
        <w:lang w:eastAsia="zh-CN"/>
      </w:rPr>
      <w:t>页</w:t>
    </w:r>
  </w:p>
  <w:p w:rsidR="002274AC">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2274AC">
    <w:pPr>
      <w:pStyle w:val="BodyText"/>
      <w:spacing w:line="14" w:lineRule="auto"/>
      <w:rPr>
        <w:sz w:val="20"/>
        <w:lang w:eastAsia="zh-CN"/>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E8C8F9"/>
    <w:multiLevelType w:val="multilevel"/>
    <w:tmpl w:val="8DE8C8F9"/>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
    <w:nsid w:val="99E5030B"/>
    <w:multiLevelType w:val="multilevel"/>
    <w:tmpl w:val="99E5030B"/>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2">
    <w:nsid w:val="AB9D5589"/>
    <w:multiLevelType w:val="singleLevel"/>
    <w:tmpl w:val="AB9D5589"/>
    <w:lvl w:ilvl="0">
      <w:start w:val="1"/>
      <w:numFmt w:val="upperLetter"/>
      <w:lvlText w:val="%1."/>
      <w:lvlJc w:val="left"/>
      <w:pPr>
        <w:ind w:left="425" w:hanging="425"/>
      </w:pPr>
      <w:rPr>
        <w:rFonts w:hint="default"/>
      </w:rPr>
    </w:lvl>
  </w:abstractNum>
  <w:abstractNum w:abstractNumId="3">
    <w:nsid w:val="BC0E177A"/>
    <w:multiLevelType w:val="multilevel"/>
    <w:tmpl w:val="BC0E177A"/>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4">
    <w:nsid w:val="C3764AF1"/>
    <w:multiLevelType w:val="multilevel"/>
    <w:tmpl w:val="C3764AF1"/>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5">
    <w:nsid w:val="C77670D0"/>
    <w:multiLevelType w:val="singleLevel"/>
    <w:tmpl w:val="C77670D0"/>
    <w:lvl w:ilvl="0">
      <w:start w:val="1"/>
      <w:numFmt w:val="bullet"/>
      <w:lvlText w:val=""/>
      <w:lvlJc w:val="left"/>
      <w:pPr>
        <w:ind w:left="420" w:hanging="420"/>
      </w:pPr>
      <w:rPr>
        <w:rFonts w:ascii="Wingdings" w:hAnsi="Wingdings" w:hint="default"/>
      </w:rPr>
    </w:lvl>
  </w:abstractNum>
  <w:abstractNum w:abstractNumId="6">
    <w:nsid w:val="C825525E"/>
    <w:multiLevelType w:val="multilevel"/>
    <w:tmpl w:val="C825525E"/>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7">
    <w:nsid w:val="D8846DB4"/>
    <w:multiLevelType w:val="multilevel"/>
    <w:tmpl w:val="D8846DB4"/>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8">
    <w:nsid w:val="E5418454"/>
    <w:multiLevelType w:val="multilevel"/>
    <w:tmpl w:val="E5418454"/>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9">
    <w:nsid w:val="EC67D6EB"/>
    <w:multiLevelType w:val="multilevel"/>
    <w:tmpl w:val="EC67D6EB"/>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0">
    <w:nsid w:val="FCCAB4E0"/>
    <w:multiLevelType w:val="multilevel"/>
    <w:tmpl w:val="FCCAB4E0"/>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1">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2">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13">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14">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15">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16">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17">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18">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19">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2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21">
    <w:nsid w:val="025241A0"/>
    <w:multiLevelType w:val="multilevel"/>
    <w:tmpl w:val="025241A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2">
    <w:nsid w:val="02AB131E"/>
    <w:multiLevelType w:val="multilevel"/>
    <w:tmpl w:val="02AB131E"/>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23">
    <w:nsid w:val="02C55F3B"/>
    <w:multiLevelType w:val="multilevel"/>
    <w:tmpl w:val="02C55F3B"/>
    <w:lvl w:ilvl="0">
      <w:start w:val="1"/>
      <w:numFmt w:val="decimal"/>
      <w:lvlText w:val="%1)"/>
      <w:lvlJc w:val="left"/>
      <w:pPr>
        <w:tabs>
          <w:tab w:val="left" w:pos="1656"/>
        </w:tabs>
        <w:ind w:left="1656" w:hanging="576"/>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nsid w:val="05A3668F"/>
    <w:multiLevelType w:val="multilevel"/>
    <w:tmpl w:val="05A3668F"/>
    <w:lvl w:ilvl="0">
      <w:start w:val="1"/>
      <w:numFmt w:val="lowerLetter"/>
      <w:lvlText w:val="%1)"/>
      <w:lvlJc w:val="left"/>
      <w:pPr>
        <w:ind w:left="2036" w:hanging="420"/>
      </w:pPr>
      <w:rPr>
        <w:rFonts w:hint="default"/>
      </w:rPr>
    </w:lvl>
    <w:lvl w:ilvl="1">
      <w:start w:val="1"/>
      <w:numFmt w:val="bullet"/>
      <w:lvlText w:val=""/>
      <w:lvlJc w:val="left"/>
      <w:pPr>
        <w:ind w:left="2456" w:hanging="420"/>
      </w:pPr>
      <w:rPr>
        <w:rFonts w:ascii="Wingdings" w:hAnsi="Wingdings" w:hint="default"/>
      </w:rPr>
    </w:lvl>
    <w:lvl w:ilvl="2">
      <w:start w:val="1"/>
      <w:numFmt w:val="bullet"/>
      <w:lvlText w:val=""/>
      <w:lvlJc w:val="left"/>
      <w:pPr>
        <w:ind w:left="2876" w:hanging="420"/>
      </w:pPr>
      <w:rPr>
        <w:rFonts w:ascii="Wingdings" w:hAnsi="Wingdings" w:hint="default"/>
      </w:rPr>
    </w:lvl>
    <w:lvl w:ilvl="3">
      <w:start w:val="1"/>
      <w:numFmt w:val="bullet"/>
      <w:lvlText w:val=""/>
      <w:lvlJc w:val="left"/>
      <w:pPr>
        <w:ind w:left="3296" w:hanging="420"/>
      </w:pPr>
      <w:rPr>
        <w:rFonts w:ascii="Wingdings" w:hAnsi="Wingdings" w:hint="default"/>
      </w:rPr>
    </w:lvl>
    <w:lvl w:ilvl="4">
      <w:start w:val="1"/>
      <w:numFmt w:val="bullet"/>
      <w:lvlText w:val=""/>
      <w:lvlJc w:val="left"/>
      <w:pPr>
        <w:ind w:left="3716" w:hanging="420"/>
      </w:pPr>
      <w:rPr>
        <w:rFonts w:ascii="Wingdings" w:hAnsi="Wingdings" w:hint="default"/>
      </w:rPr>
    </w:lvl>
    <w:lvl w:ilvl="5">
      <w:start w:val="1"/>
      <w:numFmt w:val="bullet"/>
      <w:lvlText w:val=""/>
      <w:lvlJc w:val="left"/>
      <w:pPr>
        <w:ind w:left="4136" w:hanging="420"/>
      </w:pPr>
      <w:rPr>
        <w:rFonts w:ascii="Wingdings" w:hAnsi="Wingdings" w:hint="default"/>
      </w:rPr>
    </w:lvl>
    <w:lvl w:ilvl="6">
      <w:start w:val="1"/>
      <w:numFmt w:val="bullet"/>
      <w:lvlText w:val=""/>
      <w:lvlJc w:val="left"/>
      <w:pPr>
        <w:ind w:left="4556" w:hanging="420"/>
      </w:pPr>
      <w:rPr>
        <w:rFonts w:ascii="Wingdings" w:hAnsi="Wingdings" w:hint="default"/>
      </w:rPr>
    </w:lvl>
    <w:lvl w:ilvl="7">
      <w:start w:val="1"/>
      <w:numFmt w:val="bullet"/>
      <w:lvlText w:val=""/>
      <w:lvlJc w:val="left"/>
      <w:pPr>
        <w:ind w:left="4976" w:hanging="420"/>
      </w:pPr>
      <w:rPr>
        <w:rFonts w:ascii="Wingdings" w:hAnsi="Wingdings" w:hint="default"/>
      </w:rPr>
    </w:lvl>
    <w:lvl w:ilvl="8">
      <w:start w:val="1"/>
      <w:numFmt w:val="bullet"/>
      <w:lvlText w:val=""/>
      <w:lvlJc w:val="left"/>
      <w:pPr>
        <w:ind w:left="5396" w:hanging="420"/>
      </w:pPr>
      <w:rPr>
        <w:rFonts w:ascii="Wingdings" w:hAnsi="Wingdings" w:hint="default"/>
      </w:rPr>
    </w:lvl>
  </w:abstractNum>
  <w:abstractNum w:abstractNumId="25">
    <w:nsid w:val="05D27F70"/>
    <w:multiLevelType w:val="multilevel"/>
    <w:tmpl w:val="05D27F70"/>
    <w:lvl w:ilvl="0">
      <w:start w:val="1"/>
      <w:numFmt w:val="decimal"/>
      <w:lvlText w:val="%1)"/>
      <w:lvlJc w:val="left"/>
      <w:pPr>
        <w:tabs>
          <w:tab w:val="left" w:pos="2880"/>
        </w:tabs>
        <w:ind w:left="2880" w:hanging="360"/>
      </w:pPr>
      <w:rPr>
        <w:rFonts w:ascii="Times New Roman" w:hAnsi="Times New Roman" w:hint="default"/>
        <w:b w:val="0"/>
        <w:i w:val="0"/>
        <w:sz w:val="21"/>
        <w:szCs w:val="21"/>
      </w:rPr>
    </w:lvl>
    <w:lvl w:ilvl="1">
      <w:start w:val="1"/>
      <w:numFmt w:val="lowerLetter"/>
      <w:lvlText w:val="%2."/>
      <w:lvlJc w:val="left"/>
      <w:pPr>
        <w:tabs>
          <w:tab w:val="left" w:pos="2880"/>
        </w:tabs>
        <w:ind w:left="2880" w:hanging="360"/>
      </w:pPr>
    </w:lvl>
    <w:lvl w:ilvl="2">
      <w:start w:val="1"/>
      <w:numFmt w:val="lowerRoman"/>
      <w:lvlText w:val="%3."/>
      <w:lvlJc w:val="right"/>
      <w:pPr>
        <w:tabs>
          <w:tab w:val="left" w:pos="3600"/>
        </w:tabs>
        <w:ind w:left="3600" w:hanging="180"/>
      </w:pPr>
    </w:lvl>
    <w:lvl w:ilvl="3">
      <w:start w:val="1"/>
      <w:numFmt w:val="decimal"/>
      <w:lvlText w:val="%4."/>
      <w:lvlJc w:val="left"/>
      <w:pPr>
        <w:tabs>
          <w:tab w:val="left" w:pos="4320"/>
        </w:tabs>
        <w:ind w:left="4320" w:hanging="360"/>
      </w:pPr>
    </w:lvl>
    <w:lvl w:ilvl="4">
      <w:start w:val="1"/>
      <w:numFmt w:val="lowerLetter"/>
      <w:lvlText w:val="%5."/>
      <w:lvlJc w:val="left"/>
      <w:pPr>
        <w:tabs>
          <w:tab w:val="left" w:pos="5040"/>
        </w:tabs>
        <w:ind w:left="5040" w:hanging="360"/>
      </w:pPr>
    </w:lvl>
    <w:lvl w:ilvl="5">
      <w:start w:val="1"/>
      <w:numFmt w:val="lowerRoman"/>
      <w:lvlText w:val="%6."/>
      <w:lvlJc w:val="right"/>
      <w:pPr>
        <w:tabs>
          <w:tab w:val="left" w:pos="5760"/>
        </w:tabs>
        <w:ind w:left="5760" w:hanging="180"/>
      </w:pPr>
    </w:lvl>
    <w:lvl w:ilvl="6">
      <w:start w:val="1"/>
      <w:numFmt w:val="decimal"/>
      <w:lvlText w:val="%7."/>
      <w:lvlJc w:val="left"/>
      <w:pPr>
        <w:tabs>
          <w:tab w:val="left" w:pos="6480"/>
        </w:tabs>
        <w:ind w:left="6480" w:hanging="360"/>
      </w:pPr>
    </w:lvl>
    <w:lvl w:ilvl="7">
      <w:start w:val="1"/>
      <w:numFmt w:val="lowerLetter"/>
      <w:lvlText w:val="%8."/>
      <w:lvlJc w:val="left"/>
      <w:pPr>
        <w:tabs>
          <w:tab w:val="left" w:pos="7200"/>
        </w:tabs>
        <w:ind w:left="7200" w:hanging="360"/>
      </w:pPr>
    </w:lvl>
    <w:lvl w:ilvl="8">
      <w:start w:val="1"/>
      <w:numFmt w:val="lowerRoman"/>
      <w:lvlText w:val="%9."/>
      <w:lvlJc w:val="right"/>
      <w:pPr>
        <w:tabs>
          <w:tab w:val="left" w:pos="7920"/>
        </w:tabs>
        <w:ind w:left="7920" w:hanging="180"/>
      </w:pPr>
    </w:lvl>
  </w:abstractNum>
  <w:abstractNum w:abstractNumId="26">
    <w:nsid w:val="05F83928"/>
    <w:multiLevelType w:val="multilevel"/>
    <w:tmpl w:val="05F83928"/>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3"/>
      <w:numFmt w:val="bullet"/>
      <w:lvlText w:val="-"/>
      <w:lvlJc w:val="left"/>
      <w:pPr>
        <w:tabs>
          <w:tab w:val="left" w:pos="1440"/>
        </w:tabs>
        <w:ind w:left="1296" w:hanging="216"/>
      </w:pPr>
      <w:rPr>
        <w:rFonts w:hint="default"/>
        <w:b w:val="0"/>
        <w:i w:val="0"/>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07DB0D40"/>
    <w:multiLevelType w:val="multilevel"/>
    <w:tmpl w:val="07DB0D4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8">
    <w:nsid w:val="0812A295"/>
    <w:multiLevelType w:val="multilevel"/>
    <w:tmpl w:val="3D145CF9"/>
    <w:lvl w:ilvl="0">
      <w:start w:val="1"/>
      <w:numFmt w:val="decimal"/>
      <w:lvlText w:val="%1)"/>
      <w:lvlJc w:val="left"/>
      <w:pPr>
        <w:tabs>
          <w:tab w:val="left" w:pos="1701"/>
        </w:tabs>
        <w:ind w:left="1701" w:hanging="621"/>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9">
    <w:nsid w:val="08490BA3"/>
    <w:multiLevelType w:val="multilevel"/>
    <w:tmpl w:val="08490BA3"/>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0B7366D7"/>
    <w:multiLevelType w:val="multilevel"/>
    <w:tmpl w:val="0B7366D7"/>
    <w:lvl w:ilvl="0">
      <w:start w:val="1"/>
      <w:numFmt w:val="decimal"/>
      <w:lvlText w:val="%1)"/>
      <w:lvlJc w:val="left"/>
      <w:pPr>
        <w:tabs>
          <w:tab w:val="left" w:pos="1701"/>
        </w:tabs>
        <w:ind w:left="1701" w:hanging="621"/>
      </w:pPr>
      <w:rPr>
        <w:rFonts w:hint="eastAsia"/>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1">
    <w:nsid w:val="0BBF4E8A"/>
    <w:multiLevelType w:val="multilevel"/>
    <w:tmpl w:val="0BBF4E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2">
    <w:nsid w:val="0D14635C"/>
    <w:multiLevelType w:val="multilevel"/>
    <w:tmpl w:val="0D14635C"/>
    <w:lvl w:ilvl="0">
      <w:start w:val="1"/>
      <w:numFmt w:val="decimal"/>
      <w:lvlText w:val="%1)"/>
      <w:lvlJc w:val="left"/>
      <w:pPr>
        <w:tabs>
          <w:tab w:val="left" w:pos="1800"/>
        </w:tabs>
        <w:ind w:left="1800" w:hanging="360"/>
      </w:p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3">
    <w:nsid w:val="0D3B4F5F"/>
    <w:multiLevelType w:val="multilevel"/>
    <w:tmpl w:val="0D3B4F5F"/>
    <w:lvl w:ilvl="0">
      <w:start w:val="1"/>
      <w:numFmt w:val="lowerRoman"/>
      <w:lvlText w:val="%1)"/>
      <w:lvlJc w:val="left"/>
      <w:pPr>
        <w:tabs>
          <w:tab w:val="left" w:pos="3240"/>
        </w:tabs>
        <w:ind w:left="3240" w:hanging="720"/>
      </w:pPr>
      <w:rPr>
        <w:rFonts w:ascii="Times New Roman" w:hAnsi="Times New Roman" w:hint="default"/>
        <w:b w:val="0"/>
        <w:i w:val="0"/>
        <w:sz w:val="24"/>
      </w:rPr>
    </w:lvl>
    <w:lvl w:ilvl="1">
      <w:start w:val="1"/>
      <w:numFmt w:val="lowerLetter"/>
      <w:lvlText w:val="%2)"/>
      <w:lvlJc w:val="left"/>
      <w:pPr>
        <w:tabs>
          <w:tab w:val="left" w:pos="1440"/>
        </w:tabs>
        <w:ind w:left="1440" w:hanging="360"/>
      </w:pPr>
      <w:rPr>
        <w:rFonts w:hint="eastAsia"/>
      </w:rPr>
    </w:lvl>
    <w:lvl w:ilvl="2">
      <w:start w:val="1"/>
      <w:numFmt w:val="decimal"/>
      <w:lvlText w:val="%3)"/>
      <w:lvlJc w:val="left"/>
      <w:pPr>
        <w:tabs>
          <w:tab w:val="left" w:pos="2340"/>
        </w:tabs>
        <w:ind w:left="2340" w:hanging="360"/>
      </w:pPr>
      <w:rPr>
        <w:rFonts w:ascii="Times New Roman" w:hAnsi="Times New Roman" w:hint="default"/>
        <w:b w:val="0"/>
        <w:i w:val="0"/>
        <w:sz w:val="21"/>
        <w:szCs w:val="21"/>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4">
    <w:nsid w:val="0DA76ABF"/>
    <w:multiLevelType w:val="multilevel"/>
    <w:tmpl w:val="0DA76ABF"/>
    <w:lvl w:ilvl="0">
      <w:start w:val="1"/>
      <w:numFmt w:val="lowerLetter"/>
      <w:lvlText w:val="%1)"/>
      <w:lvlJc w:val="left"/>
      <w:pPr>
        <w:tabs>
          <w:tab w:val="left" w:pos="1440"/>
        </w:tabs>
        <w:ind w:left="1440" w:hanging="360"/>
      </w:pPr>
      <w:rPr>
        <w:rFonts w:hint="default"/>
      </w:rPr>
    </w:lvl>
    <w:lvl w:ilvl="1">
      <w:start w:val="3"/>
      <w:numFmt w:val="bullet"/>
      <w:lvlText w:val="-"/>
      <w:lvlJc w:val="left"/>
      <w:pPr>
        <w:tabs>
          <w:tab w:val="left" w:pos="1440"/>
        </w:tabs>
        <w:ind w:left="1296" w:hanging="216"/>
      </w:pPr>
      <w:rPr>
        <w:rFonts w:hint="default"/>
        <w:b w:val="0"/>
        <w:i w:val="0"/>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5">
    <w:nsid w:val="0E1A347B"/>
    <w:multiLevelType w:val="multilevel"/>
    <w:tmpl w:val="0E1A347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36">
    <w:nsid w:val="0E772AC1"/>
    <w:multiLevelType w:val="multilevel"/>
    <w:tmpl w:val="0E772AC1"/>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ascii="Times New Roman" w:hAnsi="Times New Roman" w:hint="default"/>
        <w:b w:val="0"/>
        <w:i w:val="0"/>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7">
    <w:nsid w:val="0ED65063"/>
    <w:multiLevelType w:val="multilevel"/>
    <w:tmpl w:val="0ED6506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8">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9">
    <w:nsid w:val="13165AD0"/>
    <w:multiLevelType w:val="multilevel"/>
    <w:tmpl w:val="13165AD0"/>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3"/>
      <w:numFmt w:val="bullet"/>
      <w:lvlText w:val="-"/>
      <w:lvlJc w:val="left"/>
      <w:pPr>
        <w:tabs>
          <w:tab w:val="left" w:pos="1440"/>
        </w:tabs>
        <w:ind w:left="1296" w:hanging="216"/>
      </w:pPr>
      <w:rPr>
        <w:rFonts w:hint="default"/>
        <w:b w:val="0"/>
        <w:i w:val="0"/>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0">
    <w:nsid w:val="13AC8A7B"/>
    <w:multiLevelType w:val="multilevel"/>
    <w:tmpl w:val="1E792CB2"/>
    <w:lvl w:ilvl="0">
      <w:start w:val="1"/>
      <w:numFmt w:val="lowerLetter"/>
      <w:lvlText w:val="%1)"/>
      <w:lvlJc w:val="left"/>
      <w:pPr>
        <w:tabs>
          <w:tab w:val="left" w:pos="2880"/>
        </w:tabs>
        <w:ind w:left="2556" w:hanging="36"/>
      </w:pPr>
      <w:rPr>
        <w:rFonts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41">
    <w:nsid w:val="14D3199E"/>
    <w:multiLevelType w:val="multilevel"/>
    <w:tmpl w:val="14D3199E"/>
    <w:lvl w:ilvl="0">
      <w:start w:val="1"/>
      <w:numFmt w:val="decimal"/>
      <w:lvlText w:val="%1)"/>
      <w:lvlJc w:val="left"/>
      <w:pPr>
        <w:ind w:left="1555" w:hanging="420"/>
      </w:p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abstractNum w:abstractNumId="42">
    <w:nsid w:val="160C6C86"/>
    <w:multiLevelType w:val="multilevel"/>
    <w:tmpl w:val="160C6C86"/>
    <w:lvl w:ilvl="0">
      <w:start w:val="1"/>
      <w:numFmt w:val="decimal"/>
      <w:lvlText w:val="%1)"/>
      <w:lvlJc w:val="left"/>
      <w:pPr>
        <w:tabs>
          <w:tab w:val="left" w:pos="420"/>
        </w:tabs>
        <w:ind w:left="420" w:hanging="42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3">
    <w:nsid w:val="179F5D39"/>
    <w:multiLevelType w:val="multilevel"/>
    <w:tmpl w:val="179F5D39"/>
    <w:lvl w:ilvl="0">
      <w:start w:val="1"/>
      <w:numFmt w:val="decimal"/>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color w:val="auto"/>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44">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45">
    <w:nsid w:val="1BD45987"/>
    <w:multiLevelType w:val="multilevel"/>
    <w:tmpl w:val="1BD45987"/>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46">
    <w:nsid w:val="1CF79E22"/>
    <w:multiLevelType w:val="multilevel"/>
    <w:tmpl w:val="447F0E9A"/>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47">
    <w:nsid w:val="1D323E17"/>
    <w:multiLevelType w:val="multilevel"/>
    <w:tmpl w:val="1D323E17"/>
    <w:lvl w:ilvl="0">
      <w:start w:val="1"/>
      <w:numFmt w:val="decimal"/>
      <w:lvlText w:val="%1)"/>
      <w:lvlJc w:val="left"/>
      <w:pPr>
        <w:tabs>
          <w:tab w:val="left" w:pos="1656"/>
        </w:tabs>
        <w:ind w:left="1656" w:hanging="576"/>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8">
    <w:nsid w:val="1E792CB2"/>
    <w:multiLevelType w:val="multilevel"/>
    <w:tmpl w:val="1E792CB2"/>
    <w:lvl w:ilvl="0">
      <w:start w:val="1"/>
      <w:numFmt w:val="lowerLetter"/>
      <w:lvlText w:val="%1)"/>
      <w:lvlJc w:val="left"/>
      <w:pPr>
        <w:tabs>
          <w:tab w:val="left" w:pos="2880"/>
        </w:tabs>
        <w:ind w:left="2556" w:hanging="36"/>
      </w:pPr>
      <w:rPr>
        <w:rFonts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49">
    <w:nsid w:val="1FE3774D"/>
    <w:multiLevelType w:val="multilevel"/>
    <w:tmpl w:val="1FE3774D"/>
    <w:lvl w:ilvl="0">
      <w:start w:val="1"/>
      <w:numFmt w:val="decimal"/>
      <w:lvlText w:val="(%1)"/>
      <w:lvlJc w:val="left"/>
      <w:pPr>
        <w:tabs>
          <w:tab w:val="left" w:pos="1440"/>
        </w:tabs>
        <w:ind w:left="1440" w:hanging="360"/>
      </w:pPr>
      <w:rPr>
        <w:rFonts w:hint="eastAsia"/>
      </w:rPr>
    </w:lvl>
    <w:lvl w:ilvl="1">
      <w:start w:val="1"/>
      <w:numFmt w:val="decimal"/>
      <w:lvlText w:val="%2)"/>
      <w:lvlJc w:val="left"/>
      <w:pPr>
        <w:tabs>
          <w:tab w:val="left" w:pos="2520"/>
        </w:tabs>
        <w:ind w:left="2520" w:hanging="720"/>
      </w:pPr>
      <w:rPr>
        <w:rFonts w:hint="default"/>
      </w:rPr>
    </w:lvl>
    <w:lvl w:ilvl="2">
      <w:start w:val="1"/>
      <w:numFmt w:val="decimal"/>
      <w:lvlText w:val="%3)"/>
      <w:lvlJc w:val="left"/>
      <w:pPr>
        <w:tabs>
          <w:tab w:val="left" w:pos="2520"/>
        </w:tabs>
        <w:ind w:left="2520" w:hanging="864"/>
      </w:pPr>
      <w:rPr>
        <w:rFonts w:hint="default"/>
      </w:rPr>
    </w:lvl>
    <w:lvl w:ilvl="3">
      <w:start w:val="1"/>
      <w:numFmt w:val="decimal"/>
      <w:lvlText w:val="%4)"/>
      <w:lvlJc w:val="left"/>
      <w:pPr>
        <w:tabs>
          <w:tab w:val="left" w:pos="3600"/>
        </w:tabs>
        <w:ind w:left="3600" w:hanging="360"/>
      </w:pPr>
      <w:rPr>
        <w:rFonts w:ascii="Times New Roman" w:hAnsi="Times New Roman" w:hint="default"/>
        <w:b w:val="0"/>
        <w:i w:val="0"/>
        <w:sz w:val="21"/>
        <w:szCs w:val="21"/>
      </w:rPr>
    </w:lvl>
    <w:lvl w:ilvl="4">
      <w:start w:val="1"/>
      <w:numFmt w:val="decimal"/>
      <w:lvlText w:val="%5)"/>
      <w:lvlJc w:val="left"/>
      <w:pPr>
        <w:tabs>
          <w:tab w:val="left" w:pos="4320"/>
        </w:tabs>
        <w:ind w:left="4320" w:hanging="360"/>
      </w:pPr>
      <w:rPr>
        <w:rFonts w:hint="default"/>
      </w:rPr>
    </w:lvl>
    <w:lvl w:ilvl="5">
      <w:start w:val="1"/>
      <w:numFmt w:val="decimal"/>
      <w:lvlText w:val="%6)"/>
      <w:lvlJc w:val="left"/>
      <w:pPr>
        <w:tabs>
          <w:tab w:val="left" w:pos="5508"/>
        </w:tabs>
        <w:ind w:left="5508" w:hanging="648"/>
      </w:pPr>
      <w:rPr>
        <w:rFonts w:ascii="Times New Roman" w:hAnsi="Times New Roman" w:hint="default"/>
        <w:b w:val="0"/>
        <w:i w:val="0"/>
        <w:sz w:val="21"/>
        <w:szCs w:val="21"/>
      </w:r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0">
    <w:nsid w:val="1FF532C9"/>
    <w:multiLevelType w:val="multilevel"/>
    <w:tmpl w:val="1FE3774D"/>
    <w:lvl w:ilvl="0">
      <w:start w:val="1"/>
      <w:numFmt w:val="decimal"/>
      <w:lvlText w:val="(%1)"/>
      <w:lvlJc w:val="left"/>
      <w:pPr>
        <w:tabs>
          <w:tab w:val="left" w:pos="1440"/>
        </w:tabs>
        <w:ind w:left="1440" w:hanging="360"/>
      </w:pPr>
      <w:rPr>
        <w:rFonts w:hint="eastAsia"/>
      </w:rPr>
    </w:lvl>
    <w:lvl w:ilvl="1">
      <w:start w:val="1"/>
      <w:numFmt w:val="decimal"/>
      <w:lvlText w:val="%2)"/>
      <w:lvlJc w:val="left"/>
      <w:pPr>
        <w:tabs>
          <w:tab w:val="left" w:pos="2520"/>
        </w:tabs>
        <w:ind w:left="2520" w:hanging="720"/>
      </w:pPr>
      <w:rPr>
        <w:rFonts w:hint="default"/>
      </w:rPr>
    </w:lvl>
    <w:lvl w:ilvl="2">
      <w:start w:val="1"/>
      <w:numFmt w:val="decimal"/>
      <w:lvlText w:val="%3)"/>
      <w:lvlJc w:val="left"/>
      <w:pPr>
        <w:tabs>
          <w:tab w:val="left" w:pos="2520"/>
        </w:tabs>
        <w:ind w:left="2520" w:hanging="864"/>
      </w:pPr>
      <w:rPr>
        <w:rFonts w:hint="default"/>
      </w:rPr>
    </w:lvl>
    <w:lvl w:ilvl="3">
      <w:start w:val="1"/>
      <w:numFmt w:val="decimal"/>
      <w:lvlText w:val="%4)"/>
      <w:lvlJc w:val="left"/>
      <w:pPr>
        <w:tabs>
          <w:tab w:val="left" w:pos="3600"/>
        </w:tabs>
        <w:ind w:left="3600" w:hanging="360"/>
      </w:pPr>
      <w:rPr>
        <w:rFonts w:ascii="Times New Roman" w:hAnsi="Times New Roman" w:hint="default"/>
        <w:b w:val="0"/>
        <w:i w:val="0"/>
        <w:sz w:val="21"/>
        <w:szCs w:val="21"/>
      </w:rPr>
    </w:lvl>
    <w:lvl w:ilvl="4">
      <w:start w:val="1"/>
      <w:numFmt w:val="decimal"/>
      <w:lvlText w:val="%5)"/>
      <w:lvlJc w:val="left"/>
      <w:pPr>
        <w:tabs>
          <w:tab w:val="left" w:pos="4320"/>
        </w:tabs>
        <w:ind w:left="4320" w:hanging="360"/>
      </w:pPr>
      <w:rPr>
        <w:rFonts w:hint="default"/>
      </w:rPr>
    </w:lvl>
    <w:lvl w:ilvl="5">
      <w:start w:val="1"/>
      <w:numFmt w:val="decimal"/>
      <w:lvlText w:val="%6)"/>
      <w:lvlJc w:val="left"/>
      <w:pPr>
        <w:tabs>
          <w:tab w:val="left" w:pos="5508"/>
        </w:tabs>
        <w:ind w:left="5508" w:hanging="648"/>
      </w:pPr>
      <w:rPr>
        <w:rFonts w:ascii="Times New Roman" w:hAnsi="Times New Roman" w:hint="default"/>
        <w:b w:val="0"/>
        <w:i w:val="0"/>
        <w:sz w:val="21"/>
        <w:szCs w:val="21"/>
      </w:r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1">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52">
    <w:nsid w:val="22CB6D86"/>
    <w:multiLevelType w:val="multilevel"/>
    <w:tmpl w:val="22CB6D86"/>
    <w:lvl w:ilvl="0">
      <w:start w:val="1"/>
      <w:numFmt w:val="decimal"/>
      <w:lvlText w:val="%1)"/>
      <w:lvlJc w:val="left"/>
      <w:pPr>
        <w:tabs>
          <w:tab w:val="left" w:pos="480"/>
        </w:tabs>
        <w:ind w:left="480" w:hanging="420"/>
      </w:pPr>
    </w:lvl>
    <w:lvl w:ilvl="1">
      <w:start w:val="1"/>
      <w:numFmt w:val="lowerLetter"/>
      <w:lvlText w:val="%2)"/>
      <w:lvlJc w:val="left"/>
      <w:pPr>
        <w:tabs>
          <w:tab w:val="left" w:pos="900"/>
        </w:tabs>
        <w:ind w:left="900" w:hanging="420"/>
      </w:pPr>
    </w:lvl>
    <w:lvl w:ilvl="2">
      <w:start w:val="1"/>
      <w:numFmt w:val="lowerRoman"/>
      <w:lvlText w:val="%3."/>
      <w:lvlJc w:val="right"/>
      <w:pPr>
        <w:tabs>
          <w:tab w:val="left" w:pos="1320"/>
        </w:tabs>
        <w:ind w:left="1320" w:hanging="420"/>
      </w:pPr>
    </w:lvl>
    <w:lvl w:ilvl="3">
      <w:start w:val="1"/>
      <w:numFmt w:val="decimal"/>
      <w:lvlText w:val="%4."/>
      <w:lvlJc w:val="left"/>
      <w:pPr>
        <w:tabs>
          <w:tab w:val="left" w:pos="1740"/>
        </w:tabs>
        <w:ind w:left="1740" w:hanging="420"/>
      </w:pPr>
    </w:lvl>
    <w:lvl w:ilvl="4">
      <w:start w:val="1"/>
      <w:numFmt w:val="lowerLetter"/>
      <w:lvlText w:val="%5)"/>
      <w:lvlJc w:val="left"/>
      <w:pPr>
        <w:tabs>
          <w:tab w:val="left" w:pos="2160"/>
        </w:tabs>
        <w:ind w:left="2160" w:hanging="420"/>
      </w:pPr>
    </w:lvl>
    <w:lvl w:ilvl="5">
      <w:start w:val="1"/>
      <w:numFmt w:val="lowerRoman"/>
      <w:lvlText w:val="%6."/>
      <w:lvlJc w:val="right"/>
      <w:pPr>
        <w:tabs>
          <w:tab w:val="left" w:pos="2580"/>
        </w:tabs>
        <w:ind w:left="2580" w:hanging="420"/>
      </w:pPr>
    </w:lvl>
    <w:lvl w:ilvl="6">
      <w:start w:val="1"/>
      <w:numFmt w:val="decimal"/>
      <w:lvlText w:val="%7."/>
      <w:lvlJc w:val="left"/>
      <w:pPr>
        <w:tabs>
          <w:tab w:val="left" w:pos="3000"/>
        </w:tabs>
        <w:ind w:left="3000" w:hanging="420"/>
      </w:pPr>
    </w:lvl>
    <w:lvl w:ilvl="7">
      <w:start w:val="1"/>
      <w:numFmt w:val="lowerLetter"/>
      <w:lvlText w:val="%8)"/>
      <w:lvlJc w:val="left"/>
      <w:pPr>
        <w:tabs>
          <w:tab w:val="left" w:pos="3420"/>
        </w:tabs>
        <w:ind w:left="3420" w:hanging="420"/>
      </w:pPr>
    </w:lvl>
    <w:lvl w:ilvl="8">
      <w:start w:val="1"/>
      <w:numFmt w:val="lowerRoman"/>
      <w:lvlText w:val="%9."/>
      <w:lvlJc w:val="right"/>
      <w:pPr>
        <w:tabs>
          <w:tab w:val="left" w:pos="3840"/>
        </w:tabs>
        <w:ind w:left="3840" w:hanging="420"/>
      </w:pPr>
    </w:lvl>
  </w:abstractNum>
  <w:abstractNum w:abstractNumId="53">
    <w:nsid w:val="22F66915"/>
    <w:multiLevelType w:val="multilevel"/>
    <w:tmpl w:val="22F66915"/>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54">
    <w:nsid w:val="23593BCF"/>
    <w:multiLevelType w:val="multilevel"/>
    <w:tmpl w:val="23593BCF"/>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2160"/>
        </w:tabs>
        <w:ind w:left="2160" w:hanging="504"/>
      </w:pPr>
      <w:rPr>
        <w:rFonts w:hint="default"/>
      </w:rPr>
    </w:lvl>
    <w:lvl w:ilvl="2">
      <w:start w:val="1"/>
      <w:numFmt w:val="lowerRoman"/>
      <w:lvlText w:val="%3)"/>
      <w:lvlJc w:val="left"/>
      <w:pPr>
        <w:tabs>
          <w:tab w:val="left" w:pos="2736"/>
        </w:tabs>
        <w:ind w:left="2736" w:hanging="576"/>
      </w:pPr>
      <w:rPr>
        <w:rFonts w:hint="default"/>
      </w:rPr>
    </w:lvl>
    <w:lvl w:ilvl="3">
      <w:start w:val="6"/>
      <w:numFmt w:val="lowerLetter"/>
      <w:lvlText w:val="%4)"/>
      <w:lvlJc w:val="left"/>
      <w:pPr>
        <w:tabs>
          <w:tab w:val="left" w:pos="2160"/>
        </w:tabs>
        <w:ind w:left="2160" w:hanging="504"/>
      </w:pPr>
      <w:rPr>
        <w:rFonts w:hint="default"/>
      </w:rPr>
    </w:lvl>
    <w:lvl w:ilvl="4">
      <w:start w:val="1"/>
      <w:numFmt w:val="decimal"/>
      <w:lvlText w:val="%5)"/>
      <w:lvlJc w:val="left"/>
      <w:pPr>
        <w:tabs>
          <w:tab w:val="left" w:pos="1656"/>
        </w:tabs>
        <w:ind w:left="1656" w:hanging="576"/>
      </w:pPr>
      <w:rPr>
        <w:rFonts w:ascii="Times New Roman" w:hAnsi="Times New Roman" w:cs="Times New Roman" w:hint="default"/>
      </w:r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nsid w:val="25167F1C"/>
    <w:multiLevelType w:val="multilevel"/>
    <w:tmpl w:val="25167F1C"/>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56">
    <w:nsid w:val="2603058A"/>
    <w:multiLevelType w:val="multilevel"/>
    <w:tmpl w:val="260305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57">
    <w:nsid w:val="26111E38"/>
    <w:multiLevelType w:val="multilevel"/>
    <w:tmpl w:val="26111E38"/>
    <w:lvl w:ilvl="0">
      <w:start w:val="1"/>
      <w:numFmt w:val="lowerLetter"/>
      <w:lvlText w:val="%1)"/>
      <w:lvlJc w:val="left"/>
      <w:pPr>
        <w:tabs>
          <w:tab w:val="left" w:pos="2520"/>
        </w:tabs>
        <w:ind w:left="2160" w:firstLine="0"/>
      </w:pPr>
      <w:rPr>
        <w:rFonts w:asciiTheme="minorEastAsia" w:eastAsiaTheme="minorEastAsia" w:hAnsiTheme="minorEastAsia" w:cs="Times New Roman" w:hint="default"/>
        <w:sz w:val="21"/>
        <w:szCs w:val="21"/>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8">
    <w:nsid w:val="263B7240"/>
    <w:multiLevelType w:val="multilevel"/>
    <w:tmpl w:val="263B7240"/>
    <w:lvl w:ilvl="0">
      <w:start w:val="1"/>
      <w:numFmt w:val="lowerLetter"/>
      <w:lvlText w:val="%1)"/>
      <w:lvlJc w:val="left"/>
      <w:pPr>
        <w:ind w:left="2036" w:hanging="420"/>
      </w:pPr>
      <w:rPr>
        <w:rFonts w:hint="default"/>
      </w:rPr>
    </w:lvl>
    <w:lvl w:ilvl="1">
      <w:start w:val="1"/>
      <w:numFmt w:val="bullet"/>
      <w:lvlText w:val=""/>
      <w:lvlJc w:val="left"/>
      <w:pPr>
        <w:ind w:left="2456" w:hanging="420"/>
      </w:pPr>
      <w:rPr>
        <w:rFonts w:ascii="Wingdings" w:hAnsi="Wingdings" w:hint="default"/>
      </w:rPr>
    </w:lvl>
    <w:lvl w:ilvl="2">
      <w:start w:val="1"/>
      <w:numFmt w:val="bullet"/>
      <w:lvlText w:val=""/>
      <w:lvlJc w:val="left"/>
      <w:pPr>
        <w:ind w:left="2876" w:hanging="420"/>
      </w:pPr>
      <w:rPr>
        <w:rFonts w:ascii="Wingdings" w:hAnsi="Wingdings" w:hint="default"/>
      </w:rPr>
    </w:lvl>
    <w:lvl w:ilvl="3">
      <w:start w:val="1"/>
      <w:numFmt w:val="bullet"/>
      <w:lvlText w:val=""/>
      <w:lvlJc w:val="left"/>
      <w:pPr>
        <w:ind w:left="3296" w:hanging="420"/>
      </w:pPr>
      <w:rPr>
        <w:rFonts w:ascii="Wingdings" w:hAnsi="Wingdings" w:hint="default"/>
      </w:rPr>
    </w:lvl>
    <w:lvl w:ilvl="4">
      <w:start w:val="1"/>
      <w:numFmt w:val="bullet"/>
      <w:lvlText w:val=""/>
      <w:lvlJc w:val="left"/>
      <w:pPr>
        <w:ind w:left="3716" w:hanging="420"/>
      </w:pPr>
      <w:rPr>
        <w:rFonts w:ascii="Wingdings" w:hAnsi="Wingdings" w:hint="default"/>
      </w:rPr>
    </w:lvl>
    <w:lvl w:ilvl="5">
      <w:start w:val="1"/>
      <w:numFmt w:val="bullet"/>
      <w:lvlText w:val=""/>
      <w:lvlJc w:val="left"/>
      <w:pPr>
        <w:ind w:left="4136" w:hanging="420"/>
      </w:pPr>
      <w:rPr>
        <w:rFonts w:ascii="Wingdings" w:hAnsi="Wingdings" w:hint="default"/>
      </w:rPr>
    </w:lvl>
    <w:lvl w:ilvl="6">
      <w:start w:val="1"/>
      <w:numFmt w:val="bullet"/>
      <w:lvlText w:val=""/>
      <w:lvlJc w:val="left"/>
      <w:pPr>
        <w:ind w:left="4556" w:hanging="420"/>
      </w:pPr>
      <w:rPr>
        <w:rFonts w:ascii="Wingdings" w:hAnsi="Wingdings" w:hint="default"/>
      </w:rPr>
    </w:lvl>
    <w:lvl w:ilvl="7">
      <w:start w:val="1"/>
      <w:numFmt w:val="bullet"/>
      <w:lvlText w:val=""/>
      <w:lvlJc w:val="left"/>
      <w:pPr>
        <w:ind w:left="4976" w:hanging="420"/>
      </w:pPr>
      <w:rPr>
        <w:rFonts w:ascii="Wingdings" w:hAnsi="Wingdings" w:hint="default"/>
      </w:rPr>
    </w:lvl>
    <w:lvl w:ilvl="8">
      <w:start w:val="1"/>
      <w:numFmt w:val="bullet"/>
      <w:lvlText w:val=""/>
      <w:lvlJc w:val="left"/>
      <w:pPr>
        <w:ind w:left="5396" w:hanging="420"/>
      </w:pPr>
      <w:rPr>
        <w:rFonts w:ascii="Wingdings" w:hAnsi="Wingdings" w:hint="default"/>
      </w:rPr>
    </w:lvl>
  </w:abstractNum>
  <w:abstractNum w:abstractNumId="59">
    <w:nsid w:val="27400708"/>
    <w:multiLevelType w:val="multilevel"/>
    <w:tmpl w:val="27400708"/>
    <w:lvl w:ilvl="0">
      <w:start w:val="1"/>
      <w:numFmt w:val="lowerLetter"/>
      <w:lvlText w:val="%1)"/>
      <w:lvlJc w:val="left"/>
      <w:pPr>
        <w:ind w:left="2036" w:hanging="420"/>
      </w:pPr>
      <w:rPr>
        <w:rFonts w:hint="default"/>
      </w:rPr>
    </w:lvl>
    <w:lvl w:ilvl="1">
      <w:start w:val="1"/>
      <w:numFmt w:val="bullet"/>
      <w:lvlText w:val=""/>
      <w:lvlJc w:val="left"/>
      <w:pPr>
        <w:ind w:left="2456" w:hanging="420"/>
      </w:pPr>
      <w:rPr>
        <w:rFonts w:ascii="Wingdings" w:hAnsi="Wingdings" w:hint="default"/>
      </w:rPr>
    </w:lvl>
    <w:lvl w:ilvl="2">
      <w:start w:val="1"/>
      <w:numFmt w:val="bullet"/>
      <w:lvlText w:val=""/>
      <w:lvlJc w:val="left"/>
      <w:pPr>
        <w:ind w:left="2876" w:hanging="420"/>
      </w:pPr>
      <w:rPr>
        <w:rFonts w:ascii="Wingdings" w:hAnsi="Wingdings" w:hint="default"/>
      </w:rPr>
    </w:lvl>
    <w:lvl w:ilvl="3">
      <w:start w:val="1"/>
      <w:numFmt w:val="bullet"/>
      <w:lvlText w:val=""/>
      <w:lvlJc w:val="left"/>
      <w:pPr>
        <w:ind w:left="3296" w:hanging="420"/>
      </w:pPr>
      <w:rPr>
        <w:rFonts w:ascii="Wingdings" w:hAnsi="Wingdings" w:hint="default"/>
      </w:rPr>
    </w:lvl>
    <w:lvl w:ilvl="4">
      <w:start w:val="1"/>
      <w:numFmt w:val="bullet"/>
      <w:lvlText w:val=""/>
      <w:lvlJc w:val="left"/>
      <w:pPr>
        <w:ind w:left="3716" w:hanging="420"/>
      </w:pPr>
      <w:rPr>
        <w:rFonts w:ascii="Wingdings" w:hAnsi="Wingdings" w:hint="default"/>
      </w:rPr>
    </w:lvl>
    <w:lvl w:ilvl="5">
      <w:start w:val="1"/>
      <w:numFmt w:val="bullet"/>
      <w:lvlText w:val=""/>
      <w:lvlJc w:val="left"/>
      <w:pPr>
        <w:ind w:left="4136" w:hanging="420"/>
      </w:pPr>
      <w:rPr>
        <w:rFonts w:ascii="Wingdings" w:hAnsi="Wingdings" w:hint="default"/>
      </w:rPr>
    </w:lvl>
    <w:lvl w:ilvl="6">
      <w:start w:val="1"/>
      <w:numFmt w:val="bullet"/>
      <w:lvlText w:val=""/>
      <w:lvlJc w:val="left"/>
      <w:pPr>
        <w:ind w:left="4556" w:hanging="420"/>
      </w:pPr>
      <w:rPr>
        <w:rFonts w:ascii="Wingdings" w:hAnsi="Wingdings" w:hint="default"/>
      </w:rPr>
    </w:lvl>
    <w:lvl w:ilvl="7">
      <w:start w:val="1"/>
      <w:numFmt w:val="bullet"/>
      <w:lvlText w:val=""/>
      <w:lvlJc w:val="left"/>
      <w:pPr>
        <w:ind w:left="4976" w:hanging="420"/>
      </w:pPr>
      <w:rPr>
        <w:rFonts w:ascii="Wingdings" w:hAnsi="Wingdings" w:hint="default"/>
      </w:rPr>
    </w:lvl>
    <w:lvl w:ilvl="8">
      <w:start w:val="1"/>
      <w:numFmt w:val="bullet"/>
      <w:lvlText w:val=""/>
      <w:lvlJc w:val="left"/>
      <w:pPr>
        <w:ind w:left="5396" w:hanging="420"/>
      </w:pPr>
      <w:rPr>
        <w:rFonts w:ascii="Wingdings" w:hAnsi="Wingdings" w:hint="default"/>
      </w:rPr>
    </w:lvl>
  </w:abstractNum>
  <w:abstractNum w:abstractNumId="60">
    <w:nsid w:val="27AB2315"/>
    <w:multiLevelType w:val="multilevel"/>
    <w:tmpl w:val="27AB2315"/>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61">
    <w:nsid w:val="291D6429"/>
    <w:multiLevelType w:val="multilevel"/>
    <w:tmpl w:val="291D6429"/>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62">
    <w:nsid w:val="2B325324"/>
    <w:multiLevelType w:val="multilevel"/>
    <w:tmpl w:val="2B325324"/>
    <w:lvl w:ilvl="0">
      <w:start w:val="1"/>
      <w:numFmt w:val="lowerLetter"/>
      <w:lvlText w:val="%1）"/>
      <w:lvlJc w:val="left"/>
      <w:pPr>
        <w:tabs>
          <w:tab w:val="left" w:pos="2520"/>
        </w:tabs>
        <w:ind w:left="2520" w:hanging="720"/>
      </w:pPr>
      <w:rPr>
        <w:rFonts w:hint="default"/>
      </w:rPr>
    </w:lvl>
    <w:lvl w:ilvl="1">
      <w:start w:val="1"/>
      <w:numFmt w:val="lowerLetter"/>
      <w:lvlText w:val="%2."/>
      <w:lvlJc w:val="left"/>
      <w:pPr>
        <w:tabs>
          <w:tab w:val="left" w:pos="720"/>
        </w:tabs>
        <w:ind w:left="720" w:hanging="360"/>
      </w:pPr>
    </w:lvl>
    <w:lvl w:ilvl="2">
      <w:start w:val="1"/>
      <w:numFmt w:val="lowerRoman"/>
      <w:lvlText w:val="%3."/>
      <w:lvlJc w:val="right"/>
      <w:pPr>
        <w:tabs>
          <w:tab w:val="left" w:pos="1440"/>
        </w:tabs>
        <w:ind w:left="1440" w:hanging="180"/>
      </w:pPr>
    </w:lvl>
    <w:lvl w:ilvl="3">
      <w:start w:val="1"/>
      <w:numFmt w:val="decimal"/>
      <w:lvlText w:val="%4."/>
      <w:lvlJc w:val="left"/>
      <w:pPr>
        <w:tabs>
          <w:tab w:val="left" w:pos="2160"/>
        </w:tabs>
        <w:ind w:left="2160" w:hanging="360"/>
      </w:pPr>
    </w:lvl>
    <w:lvl w:ilvl="4">
      <w:start w:val="1"/>
      <w:numFmt w:val="lowerLetter"/>
      <w:lvlText w:val="%5."/>
      <w:lvlJc w:val="left"/>
      <w:pPr>
        <w:tabs>
          <w:tab w:val="left" w:pos="2880"/>
        </w:tabs>
        <w:ind w:left="2880" w:hanging="360"/>
      </w:pPr>
    </w:lvl>
    <w:lvl w:ilvl="5">
      <w:start w:val="1"/>
      <w:numFmt w:val="lowerRoman"/>
      <w:lvlText w:val="%6."/>
      <w:lvlJc w:val="right"/>
      <w:pPr>
        <w:tabs>
          <w:tab w:val="left" w:pos="3600"/>
        </w:tabs>
        <w:ind w:left="3600" w:hanging="180"/>
      </w:pPr>
    </w:lvl>
    <w:lvl w:ilvl="6">
      <w:start w:val="1"/>
      <w:numFmt w:val="decimal"/>
      <w:lvlText w:val="%7."/>
      <w:lvlJc w:val="left"/>
      <w:pPr>
        <w:tabs>
          <w:tab w:val="left" w:pos="4320"/>
        </w:tabs>
        <w:ind w:left="4320" w:hanging="360"/>
      </w:pPr>
    </w:lvl>
    <w:lvl w:ilvl="7">
      <w:start w:val="1"/>
      <w:numFmt w:val="lowerLetter"/>
      <w:lvlText w:val="%8."/>
      <w:lvlJc w:val="left"/>
      <w:pPr>
        <w:tabs>
          <w:tab w:val="left" w:pos="5040"/>
        </w:tabs>
        <w:ind w:left="5040" w:hanging="360"/>
      </w:pPr>
    </w:lvl>
    <w:lvl w:ilvl="8">
      <w:start w:val="1"/>
      <w:numFmt w:val="lowerRoman"/>
      <w:lvlText w:val="%9."/>
      <w:lvlJc w:val="right"/>
      <w:pPr>
        <w:tabs>
          <w:tab w:val="left" w:pos="5760"/>
        </w:tabs>
        <w:ind w:left="5760" w:hanging="180"/>
      </w:pPr>
    </w:lvl>
  </w:abstractNum>
  <w:abstractNum w:abstractNumId="63">
    <w:nsid w:val="2B9703F0"/>
    <w:multiLevelType w:val="multilevel"/>
    <w:tmpl w:val="2B9703F0"/>
    <w:lvl w:ilvl="0">
      <w:start w:val="1"/>
      <w:numFmt w:val="decimal"/>
      <w:lvlText w:val="%1)"/>
      <w:lvlJc w:val="left"/>
      <w:pPr>
        <w:tabs>
          <w:tab w:val="left" w:pos="3312"/>
        </w:tabs>
        <w:ind w:left="3312" w:hanging="432"/>
      </w:pPr>
      <w:rPr>
        <w:rFonts w:hint="default"/>
      </w:rPr>
    </w:lvl>
    <w:lvl w:ilvl="1">
      <w:start w:val="1"/>
      <w:numFmt w:val="decimal"/>
      <w:lvlText w:val="%2)"/>
      <w:lvlJc w:val="left"/>
      <w:pPr>
        <w:tabs>
          <w:tab w:val="left" w:pos="1512"/>
        </w:tabs>
        <w:ind w:left="1512" w:hanging="432"/>
      </w:pPr>
      <w:rPr>
        <w:rFonts w:hint="default"/>
      </w:rPr>
    </w:lvl>
    <w:lvl w:ilvl="2">
      <w:start w:val="1"/>
      <w:numFmt w:val="lowerLetter"/>
      <w:lvlText w:val="%3)"/>
      <w:lvlJc w:val="left"/>
      <w:pPr>
        <w:tabs>
          <w:tab w:val="left" w:pos="2340"/>
        </w:tabs>
        <w:ind w:left="2340" w:hanging="360"/>
      </w:pPr>
      <w:rPr>
        <w:rFonts w:hint="eastAsia"/>
      </w:rPr>
    </w:lvl>
    <w:lvl w:ilvl="3">
      <w:start w:val="1"/>
      <w:numFmt w:val="lowerLetter"/>
      <w:lvlText w:val="%4)"/>
      <w:lvlJc w:val="left"/>
      <w:pPr>
        <w:tabs>
          <w:tab w:val="left" w:pos="2880"/>
        </w:tabs>
        <w:ind w:left="2880" w:hanging="360"/>
      </w:pPr>
      <w:rPr>
        <w:rFonts w:ascii="Times New Roman" w:hAnsi="Times New Roman" w:hint="default"/>
        <w:b w:val="0"/>
        <w:i w:val="0"/>
        <w:sz w:val="21"/>
        <w:szCs w:val="21"/>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4">
    <w:nsid w:val="2DCC1810"/>
    <w:multiLevelType w:val="multilevel"/>
    <w:tmpl w:val="2DCC1810"/>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800"/>
        </w:tabs>
        <w:ind w:left="1800" w:hanging="720"/>
      </w:pPr>
      <w:rPr>
        <w:rFonts w:ascii="Times New Roman" w:hAnsi="Times New Roman" w:cs="Times New Roman" w:hint="default"/>
      </w:rPr>
    </w:lvl>
    <w:lvl w:ilvl="2">
      <w:start w:val="5"/>
      <w:numFmt w:val="decimal"/>
      <w:lvlText w:val="%3)"/>
      <w:lvlJc w:val="left"/>
      <w:pPr>
        <w:tabs>
          <w:tab w:val="left" w:pos="2340"/>
        </w:tabs>
        <w:ind w:left="2340" w:hanging="360"/>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2E1AA1C7"/>
    <w:multiLevelType w:val="multilevel"/>
    <w:tmpl w:val="56F65E9E"/>
    <w:lvl w:ilvl="0">
      <w:start w:val="1"/>
      <w:numFmt w:val="decimal"/>
      <w:lvlText w:val="%1)"/>
      <w:lvlJc w:val="left"/>
      <w:pPr>
        <w:tabs>
          <w:tab w:val="left" w:pos="1872"/>
        </w:tabs>
        <w:ind w:left="1872" w:hanging="792"/>
      </w:pPr>
      <w:rPr>
        <w:rFonts w:hint="default"/>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66">
    <w:nsid w:val="2F0F21F4"/>
    <w:multiLevelType w:val="multilevel"/>
    <w:tmpl w:val="2F0F21F4"/>
    <w:lvl w:ilvl="0">
      <w:start w:val="1"/>
      <w:numFmt w:val="decimal"/>
      <w:lvlText w:val="%1)"/>
      <w:lvlJc w:val="left"/>
      <w:pPr>
        <w:ind w:left="1411" w:hanging="420"/>
      </w:pPr>
      <w:rPr>
        <w:rFonts w:ascii="Times New Roman" w:hAnsi="Times New Roman" w:cs="Times New Roman" w:hint="default"/>
      </w:rPr>
    </w:lvl>
    <w:lvl w:ilvl="1">
      <w:start w:val="1"/>
      <w:numFmt w:val="lowerLetter"/>
      <w:lvlText w:val="%2)"/>
      <w:lvlJc w:val="left"/>
      <w:pPr>
        <w:ind w:left="1831" w:hanging="420"/>
      </w:pPr>
    </w:lvl>
    <w:lvl w:ilvl="2">
      <w:start w:val="1"/>
      <w:numFmt w:val="lowerRoman"/>
      <w:lvlText w:val="%3."/>
      <w:lvlJc w:val="right"/>
      <w:pPr>
        <w:ind w:left="2251" w:hanging="420"/>
      </w:pPr>
    </w:lvl>
    <w:lvl w:ilvl="3">
      <w:start w:val="1"/>
      <w:numFmt w:val="decimal"/>
      <w:lvlText w:val="%4."/>
      <w:lvlJc w:val="left"/>
      <w:pPr>
        <w:ind w:left="2671" w:hanging="420"/>
      </w:pPr>
    </w:lvl>
    <w:lvl w:ilvl="4">
      <w:start w:val="1"/>
      <w:numFmt w:val="lowerLetter"/>
      <w:lvlText w:val="%5)"/>
      <w:lvlJc w:val="left"/>
      <w:pPr>
        <w:ind w:left="3091" w:hanging="420"/>
      </w:pPr>
    </w:lvl>
    <w:lvl w:ilvl="5">
      <w:start w:val="1"/>
      <w:numFmt w:val="lowerRoman"/>
      <w:lvlText w:val="%6."/>
      <w:lvlJc w:val="right"/>
      <w:pPr>
        <w:ind w:left="3511" w:hanging="420"/>
      </w:pPr>
    </w:lvl>
    <w:lvl w:ilvl="6">
      <w:start w:val="1"/>
      <w:numFmt w:val="decimal"/>
      <w:lvlText w:val="%7."/>
      <w:lvlJc w:val="left"/>
      <w:pPr>
        <w:ind w:left="3931" w:hanging="420"/>
      </w:pPr>
    </w:lvl>
    <w:lvl w:ilvl="7">
      <w:start w:val="1"/>
      <w:numFmt w:val="lowerLetter"/>
      <w:lvlText w:val="%8)"/>
      <w:lvlJc w:val="left"/>
      <w:pPr>
        <w:ind w:left="4351" w:hanging="420"/>
      </w:pPr>
    </w:lvl>
    <w:lvl w:ilvl="8">
      <w:start w:val="1"/>
      <w:numFmt w:val="lowerRoman"/>
      <w:lvlText w:val="%9."/>
      <w:lvlJc w:val="right"/>
      <w:pPr>
        <w:ind w:left="4771" w:hanging="420"/>
      </w:pPr>
    </w:lvl>
  </w:abstractNum>
  <w:abstractNum w:abstractNumId="67">
    <w:nsid w:val="2F312712"/>
    <w:multiLevelType w:val="multilevel"/>
    <w:tmpl w:val="2F312712"/>
    <w:lvl w:ilvl="0">
      <w:start w:val="1"/>
      <w:numFmt w:val="decimal"/>
      <w:lvlText w:val="%1)"/>
      <w:lvlJc w:val="left"/>
      <w:pPr>
        <w:tabs>
          <w:tab w:val="left" w:pos="1656"/>
        </w:tabs>
        <w:ind w:left="1656" w:hanging="576"/>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nsid w:val="301601AB"/>
    <w:multiLevelType w:val="multilevel"/>
    <w:tmpl w:val="301601A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69">
    <w:nsid w:val="305B4CD6"/>
    <w:multiLevelType w:val="multilevel"/>
    <w:tmpl w:val="305B4CD6"/>
    <w:lvl w:ilvl="0">
      <w:start w:val="1"/>
      <w:numFmt w:val="decimal"/>
      <w:lvlText w:val="%1)"/>
      <w:lvlJc w:val="left"/>
      <w:pPr>
        <w:tabs>
          <w:tab w:val="left" w:pos="1656"/>
        </w:tabs>
        <w:ind w:left="1656" w:hanging="576"/>
      </w:pPr>
      <w:rPr>
        <w:rFonts w:ascii="Times New Roman" w:hAnsi="Times New Roman" w:hint="default"/>
        <w:b w:val="0"/>
        <w:i w:val="0"/>
        <w:sz w:val="24"/>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30AC0255"/>
    <w:multiLevelType w:val="multilevel"/>
    <w:tmpl w:val="30AC0255"/>
    <w:lvl w:ilvl="0">
      <w:start w:val="1"/>
      <w:numFmt w:val="lowerLetter"/>
      <w:lvlText w:val="%1)"/>
      <w:lvlJc w:val="left"/>
      <w:pPr>
        <w:tabs>
          <w:tab w:val="left" w:pos="2268"/>
        </w:tabs>
        <w:ind w:left="2268" w:hanging="567"/>
      </w:pPr>
      <w:rPr>
        <w:rFonts w:hint="default"/>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1">
    <w:nsid w:val="30D9244E"/>
    <w:multiLevelType w:val="multilevel"/>
    <w:tmpl w:val="30D9244E"/>
    <w:lvl w:ilvl="0">
      <w:start w:val="1"/>
      <w:numFmt w:val="decimal"/>
      <w:lvlText w:val="%1)"/>
      <w:lvlJc w:val="left"/>
      <w:pPr>
        <w:tabs>
          <w:tab w:val="left" w:pos="2736"/>
        </w:tabs>
        <w:ind w:left="2736" w:hanging="1728"/>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32581749"/>
    <w:multiLevelType w:val="multilevel"/>
    <w:tmpl w:val="32581749"/>
    <w:lvl w:ilvl="0">
      <w:start w:val="1"/>
      <w:numFmt w:val="decimal"/>
      <w:lvlText w:val="%1)"/>
      <w:lvlJc w:val="left"/>
      <w:pPr>
        <w:tabs>
          <w:tab w:val="left" w:pos="1656"/>
        </w:tabs>
        <w:ind w:left="1656" w:hanging="576"/>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3">
    <w:nsid w:val="326C0A0E"/>
    <w:multiLevelType w:val="multilevel"/>
    <w:tmpl w:val="326C0A0E"/>
    <w:lvl w:ilvl="0">
      <w:start w:val="1"/>
      <w:numFmt w:val="lowerLetter"/>
      <w:lvlText w:val="%1)"/>
      <w:lvlJc w:val="left"/>
      <w:pPr>
        <w:tabs>
          <w:tab w:val="left" w:pos="2520"/>
        </w:tabs>
        <w:ind w:left="2160" w:firstLine="0"/>
      </w:pPr>
      <w:rPr>
        <w:rFonts w:asciiTheme="minorEastAsia" w:eastAsiaTheme="minorEastAsia" w:hAnsiTheme="minorEastAsia" w:cs="Times New Roman" w:hint="default"/>
        <w:sz w:val="21"/>
        <w:szCs w:val="21"/>
      </w:rPr>
    </w:lvl>
    <w:lvl w:ilvl="1">
      <w:start w:val="1"/>
      <w:numFmt w:val="lowerLetter"/>
      <w:lvlText w:val="%2."/>
      <w:lvlJc w:val="left"/>
      <w:pPr>
        <w:tabs>
          <w:tab w:val="left" w:pos="2879"/>
        </w:tabs>
        <w:ind w:left="2879" w:hanging="360"/>
      </w:pPr>
    </w:lvl>
    <w:lvl w:ilvl="2">
      <w:start w:val="1"/>
      <w:numFmt w:val="lowerRoman"/>
      <w:lvlText w:val="%3."/>
      <w:lvlJc w:val="right"/>
      <w:pPr>
        <w:tabs>
          <w:tab w:val="left" w:pos="3599"/>
        </w:tabs>
        <w:ind w:left="3599" w:hanging="180"/>
      </w:pPr>
    </w:lvl>
    <w:lvl w:ilvl="3">
      <w:start w:val="1"/>
      <w:numFmt w:val="decimal"/>
      <w:lvlText w:val="%4."/>
      <w:lvlJc w:val="left"/>
      <w:pPr>
        <w:tabs>
          <w:tab w:val="left" w:pos="4319"/>
        </w:tabs>
        <w:ind w:left="4319" w:hanging="360"/>
      </w:pPr>
    </w:lvl>
    <w:lvl w:ilvl="4">
      <w:start w:val="1"/>
      <w:numFmt w:val="lowerLetter"/>
      <w:lvlText w:val="%5."/>
      <w:lvlJc w:val="left"/>
      <w:pPr>
        <w:tabs>
          <w:tab w:val="left" w:pos="5039"/>
        </w:tabs>
        <w:ind w:left="5039" w:hanging="360"/>
      </w:pPr>
    </w:lvl>
    <w:lvl w:ilvl="5">
      <w:start w:val="1"/>
      <w:numFmt w:val="lowerRoman"/>
      <w:lvlText w:val="%6."/>
      <w:lvlJc w:val="right"/>
      <w:pPr>
        <w:tabs>
          <w:tab w:val="left" w:pos="5759"/>
        </w:tabs>
        <w:ind w:left="5759" w:hanging="180"/>
      </w:pPr>
    </w:lvl>
    <w:lvl w:ilvl="6">
      <w:start w:val="1"/>
      <w:numFmt w:val="decimal"/>
      <w:lvlText w:val="%7."/>
      <w:lvlJc w:val="left"/>
      <w:pPr>
        <w:tabs>
          <w:tab w:val="left" w:pos="6479"/>
        </w:tabs>
        <w:ind w:left="6479" w:hanging="360"/>
      </w:pPr>
    </w:lvl>
    <w:lvl w:ilvl="7">
      <w:start w:val="1"/>
      <w:numFmt w:val="lowerLetter"/>
      <w:lvlText w:val="%8."/>
      <w:lvlJc w:val="left"/>
      <w:pPr>
        <w:tabs>
          <w:tab w:val="left" w:pos="7199"/>
        </w:tabs>
        <w:ind w:left="7199" w:hanging="360"/>
      </w:pPr>
    </w:lvl>
    <w:lvl w:ilvl="8">
      <w:start w:val="1"/>
      <w:numFmt w:val="lowerRoman"/>
      <w:lvlText w:val="%9."/>
      <w:lvlJc w:val="right"/>
      <w:pPr>
        <w:tabs>
          <w:tab w:val="left" w:pos="7919"/>
        </w:tabs>
        <w:ind w:left="7919" w:hanging="180"/>
      </w:pPr>
    </w:lvl>
  </w:abstractNum>
  <w:abstractNum w:abstractNumId="74">
    <w:nsid w:val="32D25412"/>
    <w:multiLevelType w:val="multilevel"/>
    <w:tmpl w:val="32D25412"/>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75">
    <w:nsid w:val="34345B63"/>
    <w:multiLevelType w:val="multilevel"/>
    <w:tmpl w:val="34345B63"/>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76">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77">
    <w:nsid w:val="3643E52B"/>
    <w:multiLevelType w:val="multilevel"/>
    <w:tmpl w:val="3643E52B"/>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78">
    <w:nsid w:val="36870BCD"/>
    <w:multiLevelType w:val="multilevel"/>
    <w:tmpl w:val="36870BCD"/>
    <w:lvl w:ilvl="0">
      <w:start w:val="1"/>
      <w:numFmt w:val="decimal"/>
      <w:lvlText w:val="%1)"/>
      <w:lvlJc w:val="left"/>
      <w:pPr>
        <w:tabs>
          <w:tab w:val="left" w:pos="3024"/>
        </w:tabs>
        <w:ind w:left="3024" w:hanging="936"/>
      </w:pPr>
      <w:rPr>
        <w:rFonts w:hint="default"/>
      </w:rPr>
    </w:lvl>
    <w:lvl w:ilvl="1">
      <w:start w:val="1"/>
      <w:numFmt w:val="lowerLetter"/>
      <w:lvlText w:val="%2)"/>
      <w:lvlJc w:val="left"/>
      <w:pPr>
        <w:tabs>
          <w:tab w:val="left" w:pos="2520"/>
        </w:tabs>
        <w:ind w:left="2196" w:hanging="36"/>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9">
    <w:nsid w:val="37D060A2"/>
    <w:multiLevelType w:val="multilevel"/>
    <w:tmpl w:val="37D060A2"/>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1620"/>
        </w:tabs>
        <w:ind w:left="1620" w:hanging="540"/>
      </w:pPr>
      <w:rPr>
        <w:rFonts w:ascii="Times New Roman" w:hAnsi="Times New Roman" w:cs="Times New Roman"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0">
    <w:nsid w:val="3B3469C8"/>
    <w:multiLevelType w:val="multilevel"/>
    <w:tmpl w:val="3B3469C8"/>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nsid w:val="3D145CF9"/>
    <w:multiLevelType w:val="multilevel"/>
    <w:tmpl w:val="3D145CF9"/>
    <w:lvl w:ilvl="0">
      <w:start w:val="1"/>
      <w:numFmt w:val="decimal"/>
      <w:lvlText w:val="%1)"/>
      <w:lvlJc w:val="left"/>
      <w:pPr>
        <w:tabs>
          <w:tab w:val="left" w:pos="1701"/>
        </w:tabs>
        <w:ind w:left="1701" w:hanging="621"/>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2">
    <w:nsid w:val="3E85274A"/>
    <w:multiLevelType w:val="multilevel"/>
    <w:tmpl w:val="3E85274A"/>
    <w:lvl w:ilvl="0">
      <w:start w:val="1"/>
      <w:numFmt w:val="decimal"/>
      <w:lvlText w:val="%1)"/>
      <w:lvlJc w:val="left"/>
      <w:pPr>
        <w:tabs>
          <w:tab w:val="left" w:pos="2069"/>
        </w:tabs>
        <w:ind w:left="2069" w:hanging="792"/>
      </w:pPr>
      <w:rPr>
        <w:rFonts w:ascii="Times New Roman" w:hAnsi="Times New Roman" w:cs="Times New Roman" w:hint="default"/>
        <w:sz w:val="21"/>
        <w:szCs w:val="21"/>
      </w:rPr>
    </w:lvl>
    <w:lvl w:ilvl="1">
      <w:start w:val="1"/>
      <w:numFmt w:val="lowerLetter"/>
      <w:lvlText w:val="%2."/>
      <w:lvlJc w:val="left"/>
      <w:pPr>
        <w:tabs>
          <w:tab w:val="left" w:pos="1637"/>
        </w:tabs>
        <w:ind w:left="1637" w:hanging="360"/>
      </w:pPr>
    </w:lvl>
    <w:lvl w:ilvl="2">
      <w:start w:val="1"/>
      <w:numFmt w:val="lowerRoman"/>
      <w:lvlText w:val="%3."/>
      <w:lvlJc w:val="right"/>
      <w:pPr>
        <w:tabs>
          <w:tab w:val="left" w:pos="2357"/>
        </w:tabs>
        <w:ind w:left="2357" w:hanging="180"/>
      </w:pPr>
    </w:lvl>
    <w:lvl w:ilvl="3">
      <w:start w:val="1"/>
      <w:numFmt w:val="decimal"/>
      <w:lvlText w:val="%4."/>
      <w:lvlJc w:val="left"/>
      <w:pPr>
        <w:tabs>
          <w:tab w:val="left" w:pos="3077"/>
        </w:tabs>
        <w:ind w:left="3077" w:hanging="360"/>
      </w:pPr>
    </w:lvl>
    <w:lvl w:ilvl="4">
      <w:start w:val="1"/>
      <w:numFmt w:val="lowerLetter"/>
      <w:lvlText w:val="%5."/>
      <w:lvlJc w:val="left"/>
      <w:pPr>
        <w:tabs>
          <w:tab w:val="left" w:pos="3797"/>
        </w:tabs>
        <w:ind w:left="3797" w:hanging="360"/>
      </w:pPr>
    </w:lvl>
    <w:lvl w:ilvl="5">
      <w:start w:val="1"/>
      <w:numFmt w:val="lowerRoman"/>
      <w:lvlText w:val="%6."/>
      <w:lvlJc w:val="right"/>
      <w:pPr>
        <w:tabs>
          <w:tab w:val="left" w:pos="4517"/>
        </w:tabs>
        <w:ind w:left="4517" w:hanging="180"/>
      </w:pPr>
    </w:lvl>
    <w:lvl w:ilvl="6">
      <w:start w:val="1"/>
      <w:numFmt w:val="decimal"/>
      <w:lvlText w:val="%7."/>
      <w:lvlJc w:val="left"/>
      <w:pPr>
        <w:tabs>
          <w:tab w:val="left" w:pos="5237"/>
        </w:tabs>
        <w:ind w:left="5237" w:hanging="360"/>
      </w:pPr>
    </w:lvl>
    <w:lvl w:ilvl="7">
      <w:start w:val="1"/>
      <w:numFmt w:val="lowerLetter"/>
      <w:lvlText w:val="%8."/>
      <w:lvlJc w:val="left"/>
      <w:pPr>
        <w:tabs>
          <w:tab w:val="left" w:pos="5957"/>
        </w:tabs>
        <w:ind w:left="5957" w:hanging="360"/>
      </w:pPr>
    </w:lvl>
    <w:lvl w:ilvl="8">
      <w:start w:val="1"/>
      <w:numFmt w:val="lowerRoman"/>
      <w:lvlText w:val="%9."/>
      <w:lvlJc w:val="right"/>
      <w:pPr>
        <w:tabs>
          <w:tab w:val="left" w:pos="6677"/>
        </w:tabs>
        <w:ind w:left="6677" w:hanging="180"/>
      </w:pPr>
    </w:lvl>
  </w:abstractNum>
  <w:abstractNum w:abstractNumId="83">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84">
    <w:nsid w:val="40635F79"/>
    <w:multiLevelType w:val="multilevel"/>
    <w:tmpl w:val="40635F79"/>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85">
    <w:nsid w:val="41A46593"/>
    <w:multiLevelType w:val="multilevel"/>
    <w:tmpl w:val="41A46593"/>
    <w:lvl w:ilvl="0">
      <w:start w:val="1"/>
      <w:numFmt w:val="decimal"/>
      <w:lvlText w:val="%1)"/>
      <w:lvlJc w:val="left"/>
      <w:pPr>
        <w:tabs>
          <w:tab w:val="left" w:pos="2880"/>
        </w:tabs>
        <w:ind w:left="2880" w:hanging="360"/>
      </w:pPr>
      <w:rPr>
        <w:rFonts w:ascii="Times New Roman" w:hAnsi="Times New Roman" w:hint="default"/>
        <w:b w:val="0"/>
        <w:i w:val="0"/>
        <w:sz w:val="21"/>
        <w:szCs w:val="21"/>
      </w:rPr>
    </w:lvl>
    <w:lvl w:ilvl="1">
      <w:start w:val="1"/>
      <w:numFmt w:val="lowerLetter"/>
      <w:lvlText w:val="%2."/>
      <w:lvlJc w:val="left"/>
      <w:pPr>
        <w:tabs>
          <w:tab w:val="left" w:pos="2880"/>
        </w:tabs>
        <w:ind w:left="2880" w:hanging="360"/>
      </w:pPr>
    </w:lvl>
    <w:lvl w:ilvl="2">
      <w:start w:val="1"/>
      <w:numFmt w:val="lowerRoman"/>
      <w:lvlText w:val="%3."/>
      <w:lvlJc w:val="right"/>
      <w:pPr>
        <w:tabs>
          <w:tab w:val="left" w:pos="3600"/>
        </w:tabs>
        <w:ind w:left="3600" w:hanging="180"/>
      </w:pPr>
    </w:lvl>
    <w:lvl w:ilvl="3">
      <w:start w:val="1"/>
      <w:numFmt w:val="decimal"/>
      <w:lvlText w:val="%4."/>
      <w:lvlJc w:val="left"/>
      <w:pPr>
        <w:tabs>
          <w:tab w:val="left" w:pos="4320"/>
        </w:tabs>
        <w:ind w:left="4320" w:hanging="360"/>
      </w:pPr>
    </w:lvl>
    <w:lvl w:ilvl="4">
      <w:start w:val="1"/>
      <w:numFmt w:val="lowerLetter"/>
      <w:lvlText w:val="%5."/>
      <w:lvlJc w:val="left"/>
      <w:pPr>
        <w:tabs>
          <w:tab w:val="left" w:pos="5040"/>
        </w:tabs>
        <w:ind w:left="5040" w:hanging="360"/>
      </w:pPr>
    </w:lvl>
    <w:lvl w:ilvl="5">
      <w:start w:val="1"/>
      <w:numFmt w:val="lowerRoman"/>
      <w:lvlText w:val="%6."/>
      <w:lvlJc w:val="right"/>
      <w:pPr>
        <w:tabs>
          <w:tab w:val="left" w:pos="5760"/>
        </w:tabs>
        <w:ind w:left="5760" w:hanging="180"/>
      </w:pPr>
    </w:lvl>
    <w:lvl w:ilvl="6">
      <w:start w:val="1"/>
      <w:numFmt w:val="decimal"/>
      <w:lvlText w:val="%7."/>
      <w:lvlJc w:val="left"/>
      <w:pPr>
        <w:tabs>
          <w:tab w:val="left" w:pos="6480"/>
        </w:tabs>
        <w:ind w:left="6480" w:hanging="360"/>
      </w:pPr>
    </w:lvl>
    <w:lvl w:ilvl="7">
      <w:start w:val="1"/>
      <w:numFmt w:val="lowerLetter"/>
      <w:lvlText w:val="%8."/>
      <w:lvlJc w:val="left"/>
      <w:pPr>
        <w:tabs>
          <w:tab w:val="left" w:pos="7200"/>
        </w:tabs>
        <w:ind w:left="7200" w:hanging="360"/>
      </w:pPr>
    </w:lvl>
    <w:lvl w:ilvl="8">
      <w:start w:val="1"/>
      <w:numFmt w:val="lowerRoman"/>
      <w:lvlText w:val="%9."/>
      <w:lvlJc w:val="right"/>
      <w:pPr>
        <w:tabs>
          <w:tab w:val="left" w:pos="7920"/>
        </w:tabs>
        <w:ind w:left="7920" w:hanging="180"/>
      </w:pPr>
    </w:lvl>
  </w:abstractNum>
  <w:abstractNum w:abstractNumId="86">
    <w:nsid w:val="42BBB321"/>
    <w:multiLevelType w:val="multilevel"/>
    <w:tmpl w:val="42BBB321"/>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87">
    <w:nsid w:val="447F0E9A"/>
    <w:multiLevelType w:val="multilevel"/>
    <w:tmpl w:val="447F0E9A"/>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88">
    <w:nsid w:val="44CC0BD9"/>
    <w:multiLevelType w:val="multilevel"/>
    <w:tmpl w:val="44CC0BD9"/>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nsid w:val="45464902"/>
    <w:multiLevelType w:val="multilevel"/>
    <w:tmpl w:val="45464902"/>
    <w:lvl w:ilvl="0">
      <w:start w:val="1"/>
      <w:numFmt w:val="decimal"/>
      <w:lvlText w:val="%1)"/>
      <w:lvlJc w:val="left"/>
      <w:pPr>
        <w:ind w:left="1411" w:hanging="420"/>
      </w:pPr>
      <w:rPr>
        <w:rFonts w:ascii="Times New Roman" w:hAnsi="Times New Roman" w:cs="Times New Roman" w:hint="default"/>
      </w:rPr>
    </w:lvl>
    <w:lvl w:ilvl="1">
      <w:start w:val="1"/>
      <w:numFmt w:val="lowerLetter"/>
      <w:lvlText w:val="%2)"/>
      <w:lvlJc w:val="left"/>
      <w:pPr>
        <w:ind w:left="1831" w:hanging="420"/>
      </w:pPr>
    </w:lvl>
    <w:lvl w:ilvl="2">
      <w:start w:val="1"/>
      <w:numFmt w:val="lowerRoman"/>
      <w:lvlText w:val="%3."/>
      <w:lvlJc w:val="right"/>
      <w:pPr>
        <w:ind w:left="2251" w:hanging="420"/>
      </w:pPr>
    </w:lvl>
    <w:lvl w:ilvl="3">
      <w:start w:val="1"/>
      <w:numFmt w:val="decimal"/>
      <w:lvlText w:val="%4."/>
      <w:lvlJc w:val="left"/>
      <w:pPr>
        <w:ind w:left="2671" w:hanging="420"/>
      </w:pPr>
    </w:lvl>
    <w:lvl w:ilvl="4">
      <w:start w:val="1"/>
      <w:numFmt w:val="lowerLetter"/>
      <w:lvlText w:val="%5)"/>
      <w:lvlJc w:val="left"/>
      <w:pPr>
        <w:ind w:left="3091" w:hanging="420"/>
      </w:pPr>
    </w:lvl>
    <w:lvl w:ilvl="5">
      <w:start w:val="1"/>
      <w:numFmt w:val="lowerRoman"/>
      <w:lvlText w:val="%6."/>
      <w:lvlJc w:val="right"/>
      <w:pPr>
        <w:ind w:left="3511" w:hanging="420"/>
      </w:pPr>
    </w:lvl>
    <w:lvl w:ilvl="6">
      <w:start w:val="1"/>
      <w:numFmt w:val="decimal"/>
      <w:lvlText w:val="%7."/>
      <w:lvlJc w:val="left"/>
      <w:pPr>
        <w:ind w:left="3931" w:hanging="420"/>
      </w:pPr>
    </w:lvl>
    <w:lvl w:ilvl="7">
      <w:start w:val="1"/>
      <w:numFmt w:val="lowerLetter"/>
      <w:lvlText w:val="%8)"/>
      <w:lvlJc w:val="left"/>
      <w:pPr>
        <w:ind w:left="4351" w:hanging="420"/>
      </w:pPr>
    </w:lvl>
    <w:lvl w:ilvl="8">
      <w:start w:val="1"/>
      <w:numFmt w:val="lowerRoman"/>
      <w:lvlText w:val="%9."/>
      <w:lvlJc w:val="right"/>
      <w:pPr>
        <w:ind w:left="4771" w:hanging="420"/>
      </w:pPr>
    </w:lvl>
  </w:abstractNum>
  <w:abstractNum w:abstractNumId="90">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14:shadow w14:blurRad="0" w14:dist="0" w14:dir="0" w14:sx="0" w14:sy="0" w14:kx="0" w14:ky="0" w14:algn="none">
          <w14:srgbClr w14:val="000000"/>
        </w14:shadow>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14:shadow w14:blurRad="0" w14:dist="0" w14:dir="0" w14:sx="0" w14:sy="0" w14:kx="0" w14:ky="0" w14:algn="none">
          <w14:srgbClr w14:val="000000"/>
        </w14:shadow>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14:shadow w14:blurRad="0" w14:dist="0" w14:dir="0" w14:sx="0" w14:sy="0" w14:kx="0" w14:ky="0" w14:algn="none">
          <w14:srgbClr w14:val="000000"/>
        </w14:shadow>
      </w:rPr>
    </w:lvl>
    <w:lvl w:ilvl="8">
      <w:start w:val="1"/>
      <w:numFmt w:val="bullet"/>
      <w:lvlText w:val=""/>
      <w:lvlJc w:val="left"/>
      <w:pPr>
        <w:tabs>
          <w:tab w:val="left" w:pos="3240"/>
        </w:tabs>
        <w:ind w:left="3240" w:hanging="360"/>
      </w:pPr>
      <w:rPr>
        <w:rFonts w:ascii="Symbol" w:hAnsi="Symbol" w:hint="default"/>
      </w:rPr>
    </w:lvl>
  </w:abstractNum>
  <w:abstractNum w:abstractNumId="91">
    <w:nsid w:val="4B180CB2"/>
    <w:multiLevelType w:val="multilevel"/>
    <w:tmpl w:val="4B180CB2"/>
    <w:lvl w:ilvl="0">
      <w:start w:val="1"/>
      <w:numFmt w:val="decimal"/>
      <w:lvlText w:val="%1)"/>
      <w:lvlJc w:val="left"/>
      <w:pPr>
        <w:tabs>
          <w:tab w:val="left" w:pos="420"/>
        </w:tabs>
        <w:ind w:left="420" w:hanging="42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2">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93">
    <w:nsid w:val="4BA24B8D"/>
    <w:multiLevelType w:val="multilevel"/>
    <w:tmpl w:val="4BA24B8D"/>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94">
    <w:nsid w:val="4C966E74"/>
    <w:multiLevelType w:val="multilevel"/>
    <w:tmpl w:val="4C966E74"/>
    <w:lvl w:ilvl="0">
      <w:start w:val="1"/>
      <w:numFmt w:val="decimal"/>
      <w:lvlText w:val="%1)"/>
      <w:lvlJc w:val="left"/>
      <w:pPr>
        <w:tabs>
          <w:tab w:val="left" w:pos="2781"/>
        </w:tabs>
        <w:ind w:left="2781" w:hanging="624"/>
      </w:pPr>
      <w:rPr>
        <w:rFonts w:hint="eastAsia"/>
      </w:rPr>
    </w:lvl>
    <w:lvl w:ilvl="1">
      <w:start w:val="1"/>
      <w:numFmt w:val="decimal"/>
      <w:lvlText w:val="%2)"/>
      <w:lvlJc w:val="left"/>
      <w:pPr>
        <w:tabs>
          <w:tab w:val="left" w:pos="1701"/>
        </w:tabs>
        <w:ind w:left="1701" w:hanging="621"/>
      </w:pPr>
      <w:rPr>
        <w:rFonts w:hint="eastAsia"/>
      </w:rPr>
    </w:lvl>
    <w:lvl w:ilvl="2">
      <w:start w:val="1"/>
      <w:numFmt w:val="decimal"/>
      <w:lvlText w:val="%3)"/>
      <w:lvlJc w:val="left"/>
      <w:pPr>
        <w:tabs>
          <w:tab w:val="left" w:pos="2340"/>
        </w:tabs>
        <w:ind w:left="2340" w:hanging="360"/>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5">
    <w:nsid w:val="4DA31A91"/>
    <w:multiLevelType w:val="multilevel"/>
    <w:tmpl w:val="4DA31A91"/>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6">
    <w:nsid w:val="4DB95548"/>
    <w:multiLevelType w:val="singleLevel"/>
    <w:tmpl w:val="4DB95548"/>
    <w:lvl w:ilvl="0">
      <w:start w:val="1"/>
      <w:numFmt w:val="bullet"/>
      <w:lvlText w:val=""/>
      <w:lvlJc w:val="left"/>
      <w:pPr>
        <w:ind w:left="420" w:hanging="420"/>
      </w:pPr>
      <w:rPr>
        <w:rFonts w:ascii="Wingdings" w:hAnsi="Wingdings" w:hint="default"/>
      </w:rPr>
    </w:lvl>
  </w:abstractNum>
  <w:abstractNum w:abstractNumId="97">
    <w:nsid w:val="4E247C07"/>
    <w:multiLevelType w:val="multilevel"/>
    <w:tmpl w:val="4E247C07"/>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ascii="Times New Roman" w:hAnsi="Times New Roman" w:hint="default"/>
        <w:b w:val="0"/>
        <w:i w:val="0"/>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8">
    <w:nsid w:val="4EF3078F"/>
    <w:multiLevelType w:val="multilevel"/>
    <w:tmpl w:val="4EF3078F"/>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99">
    <w:nsid w:val="4F326B12"/>
    <w:multiLevelType w:val="multilevel"/>
    <w:tmpl w:val="4F326B12"/>
    <w:lvl w:ilvl="0">
      <w:start w:val="1"/>
      <w:numFmt w:val="decimal"/>
      <w:lvlText w:val="%1)"/>
      <w:lvlJc w:val="left"/>
      <w:pPr>
        <w:tabs>
          <w:tab w:val="left" w:pos="3096"/>
        </w:tabs>
        <w:ind w:left="3096" w:hanging="576"/>
      </w:pPr>
      <w:rPr>
        <w:rFonts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100">
    <w:nsid w:val="4F471B3A"/>
    <w:multiLevelType w:val="multilevel"/>
    <w:tmpl w:val="4F471B3A"/>
    <w:lvl w:ilvl="0">
      <w:start w:val="1"/>
      <w:numFmt w:val="lowerLetter"/>
      <w:lvlText w:val="%1）"/>
      <w:lvlJc w:val="left"/>
      <w:pPr>
        <w:tabs>
          <w:tab w:val="left" w:pos="3240"/>
        </w:tabs>
        <w:ind w:left="3240" w:hanging="720"/>
      </w:pPr>
      <w:rPr>
        <w:rFonts w:hint="default"/>
        <w:b w:val="0"/>
        <w:i w:val="0"/>
        <w:sz w:val="21"/>
        <w:szCs w:val="21"/>
      </w:rPr>
    </w:lvl>
    <w:lvl w:ilvl="1">
      <w:start w:val="1"/>
      <w:numFmt w:val="lowerLetter"/>
      <w:lvlText w:val="%2)"/>
      <w:lvlJc w:val="left"/>
      <w:pPr>
        <w:tabs>
          <w:tab w:val="left" w:pos="1440"/>
        </w:tabs>
        <w:ind w:left="1440" w:hanging="360"/>
      </w:pPr>
      <w:rPr>
        <w:rFonts w:hint="eastAsia"/>
      </w:rPr>
    </w:lvl>
    <w:lvl w:ilvl="2">
      <w:start w:val="1"/>
      <w:numFmt w:val="decimal"/>
      <w:lvlText w:val="%3)"/>
      <w:lvlJc w:val="left"/>
      <w:pPr>
        <w:tabs>
          <w:tab w:val="left" w:pos="2340"/>
        </w:tabs>
        <w:ind w:left="2340" w:hanging="360"/>
      </w:pPr>
      <w:rPr>
        <w:rFonts w:hint="eastAsia"/>
      </w:rPr>
    </w:lvl>
    <w:lvl w:ilvl="3">
      <w:start w:val="1"/>
      <w:numFmt w:val="lowerLetter"/>
      <w:lvlText w:val="%4)"/>
      <w:lvlJc w:val="left"/>
      <w:pPr>
        <w:tabs>
          <w:tab w:val="left" w:pos="2880"/>
        </w:tabs>
        <w:ind w:left="2520" w:firstLine="0"/>
      </w:pPr>
      <w:rPr>
        <w:rFonts w:hint="default"/>
        <w:sz w:val="24"/>
      </w:rPr>
    </w:lvl>
    <w:lvl w:ilvl="4">
      <w:start w:val="1"/>
      <w:numFmt w:val="decimal"/>
      <w:lvlText w:val="%5)"/>
      <w:lvlJc w:val="left"/>
      <w:pPr>
        <w:tabs>
          <w:tab w:val="left" w:pos="3600"/>
        </w:tabs>
        <w:ind w:left="3600" w:hanging="360"/>
      </w:pPr>
      <w:rPr>
        <w:rFonts w:ascii="Times New Roman" w:hAnsi="Times New Roman" w:hint="default"/>
        <w:b w:val="0"/>
        <w:i w:val="0"/>
        <w:sz w:val="24"/>
      </w:rPr>
    </w:lvl>
    <w:lvl w:ilvl="5">
      <w:start w:val="1"/>
      <w:numFmt w:val="lowerLetter"/>
      <w:lvlText w:val="%6)"/>
      <w:lvlJc w:val="left"/>
      <w:pPr>
        <w:tabs>
          <w:tab w:val="left" w:pos="4500"/>
        </w:tabs>
        <w:ind w:left="4140" w:firstLine="0"/>
      </w:pPr>
      <w:rPr>
        <w:rFonts w:hint="default"/>
        <w:sz w:val="24"/>
      </w:r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1">
    <w:nsid w:val="4F4B35BA"/>
    <w:multiLevelType w:val="multilevel"/>
    <w:tmpl w:val="4F4B35B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02">
    <w:nsid w:val="4F79528A"/>
    <w:multiLevelType w:val="multilevel"/>
    <w:tmpl w:val="4F79528A"/>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103">
    <w:nsid w:val="4F930AC7"/>
    <w:multiLevelType w:val="multilevel"/>
    <w:tmpl w:val="4F930AC7"/>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4">
    <w:nsid w:val="51810DCB"/>
    <w:multiLevelType w:val="multilevel"/>
    <w:tmpl w:val="51810DCB"/>
    <w:lvl w:ilvl="0">
      <w:start w:val="1"/>
      <w:numFmt w:val="decimal"/>
      <w:lvlText w:val="%1)"/>
      <w:lvlJc w:val="left"/>
      <w:pPr>
        <w:tabs>
          <w:tab w:val="left" w:pos="2592"/>
        </w:tabs>
        <w:ind w:left="2592" w:hanging="432"/>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5">
    <w:nsid w:val="51A74955"/>
    <w:multiLevelType w:val="multilevel"/>
    <w:tmpl w:val="51A74955"/>
    <w:lvl w:ilvl="0">
      <w:start w:val="1"/>
      <w:numFmt w:val="lowerLetter"/>
      <w:lvlText w:val="%1)"/>
      <w:lvlJc w:val="left"/>
      <w:pPr>
        <w:ind w:left="2036" w:hanging="420"/>
      </w:pPr>
      <w:rPr>
        <w:rFonts w:hint="default"/>
      </w:rPr>
    </w:lvl>
    <w:lvl w:ilvl="1">
      <w:start w:val="1"/>
      <w:numFmt w:val="bullet"/>
      <w:lvlText w:val=""/>
      <w:lvlJc w:val="left"/>
      <w:pPr>
        <w:ind w:left="2456" w:hanging="420"/>
      </w:pPr>
      <w:rPr>
        <w:rFonts w:ascii="Wingdings" w:hAnsi="Wingdings" w:hint="default"/>
      </w:rPr>
    </w:lvl>
    <w:lvl w:ilvl="2">
      <w:start w:val="1"/>
      <w:numFmt w:val="bullet"/>
      <w:lvlText w:val=""/>
      <w:lvlJc w:val="left"/>
      <w:pPr>
        <w:ind w:left="2876" w:hanging="420"/>
      </w:pPr>
      <w:rPr>
        <w:rFonts w:ascii="Wingdings" w:hAnsi="Wingdings" w:hint="default"/>
      </w:rPr>
    </w:lvl>
    <w:lvl w:ilvl="3">
      <w:start w:val="1"/>
      <w:numFmt w:val="bullet"/>
      <w:lvlText w:val=""/>
      <w:lvlJc w:val="left"/>
      <w:pPr>
        <w:ind w:left="3296" w:hanging="420"/>
      </w:pPr>
      <w:rPr>
        <w:rFonts w:ascii="Wingdings" w:hAnsi="Wingdings" w:hint="default"/>
      </w:rPr>
    </w:lvl>
    <w:lvl w:ilvl="4">
      <w:start w:val="1"/>
      <w:numFmt w:val="bullet"/>
      <w:lvlText w:val=""/>
      <w:lvlJc w:val="left"/>
      <w:pPr>
        <w:ind w:left="3716" w:hanging="420"/>
      </w:pPr>
      <w:rPr>
        <w:rFonts w:ascii="Wingdings" w:hAnsi="Wingdings" w:hint="default"/>
      </w:rPr>
    </w:lvl>
    <w:lvl w:ilvl="5">
      <w:start w:val="1"/>
      <w:numFmt w:val="bullet"/>
      <w:lvlText w:val=""/>
      <w:lvlJc w:val="left"/>
      <w:pPr>
        <w:ind w:left="4136" w:hanging="420"/>
      </w:pPr>
      <w:rPr>
        <w:rFonts w:ascii="Wingdings" w:hAnsi="Wingdings" w:hint="default"/>
      </w:rPr>
    </w:lvl>
    <w:lvl w:ilvl="6">
      <w:start w:val="1"/>
      <w:numFmt w:val="bullet"/>
      <w:lvlText w:val=""/>
      <w:lvlJc w:val="left"/>
      <w:pPr>
        <w:ind w:left="4556" w:hanging="420"/>
      </w:pPr>
      <w:rPr>
        <w:rFonts w:ascii="Wingdings" w:hAnsi="Wingdings" w:hint="default"/>
      </w:rPr>
    </w:lvl>
    <w:lvl w:ilvl="7">
      <w:start w:val="1"/>
      <w:numFmt w:val="bullet"/>
      <w:lvlText w:val=""/>
      <w:lvlJc w:val="left"/>
      <w:pPr>
        <w:ind w:left="4976" w:hanging="420"/>
      </w:pPr>
      <w:rPr>
        <w:rFonts w:ascii="Wingdings" w:hAnsi="Wingdings" w:hint="default"/>
      </w:rPr>
    </w:lvl>
    <w:lvl w:ilvl="8">
      <w:start w:val="1"/>
      <w:numFmt w:val="bullet"/>
      <w:lvlText w:val=""/>
      <w:lvlJc w:val="left"/>
      <w:pPr>
        <w:ind w:left="5396" w:hanging="420"/>
      </w:pPr>
      <w:rPr>
        <w:rFonts w:ascii="Wingdings" w:hAnsi="Wingdings" w:hint="default"/>
      </w:rPr>
    </w:lvl>
  </w:abstractNum>
  <w:abstractNum w:abstractNumId="106">
    <w:nsid w:val="524555E8"/>
    <w:multiLevelType w:val="multilevel"/>
    <w:tmpl w:val="524555E8"/>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7">
    <w:nsid w:val="52996BB0"/>
    <w:multiLevelType w:val="multilevel"/>
    <w:tmpl w:val="52996BB0"/>
    <w:lvl w:ilvl="0">
      <w:start w:val="1"/>
      <w:numFmt w:val="lowerLetter"/>
      <w:lvlText w:val="%1)"/>
      <w:lvlJc w:val="left"/>
      <w:pPr>
        <w:ind w:left="1500" w:hanging="420"/>
      </w:pPr>
      <w:rPr>
        <w:rFonts w:ascii="Times New Roman" w:hAnsi="Times New Roman" w:cs="Times New Roman" w:hint="default"/>
      </w:r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108">
    <w:nsid w:val="54D2455E"/>
    <w:multiLevelType w:val="multilevel"/>
    <w:tmpl w:val="54D2455E"/>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decimal"/>
      <w:lvlText w:val="%2)"/>
      <w:lvlJc w:val="left"/>
      <w:pPr>
        <w:tabs>
          <w:tab w:val="left" w:pos="1701"/>
        </w:tabs>
        <w:ind w:left="1701" w:hanging="621"/>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9">
    <w:nsid w:val="54F44E9E"/>
    <w:multiLevelType w:val="multilevel"/>
    <w:tmpl w:val="54F44E9E"/>
    <w:lvl w:ilvl="0">
      <w:start w:val="1"/>
      <w:numFmt w:val="decimal"/>
      <w:pStyle w:val="Heading1"/>
      <w:lvlText w:val="%1.0"/>
      <w:lvlJc w:val="left"/>
      <w:pPr>
        <w:tabs>
          <w:tab w:val="left" w:pos="720"/>
        </w:tabs>
        <w:ind w:left="720" w:hanging="720"/>
      </w:pPr>
      <w:rPr>
        <w:rFonts w:ascii="Times New Roman" w:hAnsi="Times New Roman" w:hint="default"/>
        <w:b/>
        <w:i w:val="0"/>
        <w:caps w:val="0"/>
        <w:sz w:val="24"/>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10">
    <w:nsid w:val="55FF7016"/>
    <w:multiLevelType w:val="multilevel"/>
    <w:tmpl w:val="55FF7016"/>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111">
    <w:nsid w:val="56F65E9E"/>
    <w:multiLevelType w:val="multilevel"/>
    <w:tmpl w:val="56F65E9E"/>
    <w:lvl w:ilvl="0">
      <w:start w:val="1"/>
      <w:numFmt w:val="decimal"/>
      <w:lvlText w:val="%1)"/>
      <w:lvlJc w:val="left"/>
      <w:pPr>
        <w:tabs>
          <w:tab w:val="left" w:pos="1872"/>
        </w:tabs>
        <w:ind w:left="1872" w:hanging="792"/>
      </w:pPr>
      <w:rPr>
        <w:rFonts w:hint="default"/>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112">
    <w:nsid w:val="57342041"/>
    <w:multiLevelType w:val="multilevel"/>
    <w:tmpl w:val="57342041"/>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440"/>
        </w:tabs>
        <w:ind w:left="1440" w:hanging="360"/>
      </w:pPr>
      <w:rPr>
        <w:rFonts w:hint="eastAsia"/>
      </w:rPr>
    </w:lvl>
    <w:lvl w:ilvl="2">
      <w:start w:val="1"/>
      <w:numFmt w:val="lowerLetter"/>
      <w:lvlText w:val="%3)"/>
      <w:lvlJc w:val="left"/>
      <w:pPr>
        <w:tabs>
          <w:tab w:val="left" w:pos="2340"/>
        </w:tabs>
        <w:ind w:left="1980" w:firstLine="0"/>
      </w:pPr>
      <w:rPr>
        <w:rFonts w:hint="default"/>
        <w:sz w:val="24"/>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3">
    <w:nsid w:val="5A9C7AFA"/>
    <w:multiLevelType w:val="multilevel"/>
    <w:tmpl w:val="5A9C7AFA"/>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14">
    <w:nsid w:val="5C016813"/>
    <w:multiLevelType w:val="multilevel"/>
    <w:tmpl w:val="5C016813"/>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115">
    <w:nsid w:val="5DCAEAAC"/>
    <w:multiLevelType w:val="singleLevel"/>
    <w:tmpl w:val="6A3EEC7A"/>
    <w:lvl w:ilvl="0">
      <w:start w:val="1"/>
      <w:numFmt w:val="decimal"/>
      <w:lvlText w:val="%1)"/>
      <w:lvlJc w:val="left"/>
      <w:pPr>
        <w:ind w:left="1497" w:hanging="420"/>
      </w:pPr>
      <w:rPr>
        <w:rFonts w:hint="default"/>
      </w:rPr>
    </w:lvl>
  </w:abstractNum>
  <w:abstractNum w:abstractNumId="116">
    <w:nsid w:val="60212807"/>
    <w:multiLevelType w:val="multilevel"/>
    <w:tmpl w:val="60212807"/>
    <w:lvl w:ilvl="0">
      <w:start w:val="1"/>
      <w:numFmt w:val="decimal"/>
      <w:lvlText w:val="%1)"/>
      <w:lvlJc w:val="left"/>
      <w:pPr>
        <w:ind w:left="1800" w:hanging="360"/>
      </w:pPr>
      <w:rPr>
        <w:rFonts w:ascii="Times New Roman" w:hAnsi="Times New Roman" w:cs="Times New Roman"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17">
    <w:nsid w:val="61802E7E"/>
    <w:multiLevelType w:val="multilevel"/>
    <w:tmpl w:val="61802E7E"/>
    <w:lvl w:ilvl="0">
      <w:start w:val="1"/>
      <w:numFmt w:val="decimal"/>
      <w:lvlText w:val="%1)"/>
      <w:lvlJc w:val="left"/>
      <w:pPr>
        <w:tabs>
          <w:tab w:val="left" w:pos="1728"/>
        </w:tabs>
        <w:ind w:left="1728" w:hanging="648"/>
      </w:pPr>
      <w:rPr>
        <w:rFonts w:ascii="Times New Roman" w:hAnsi="Times New Roman" w:hint="default"/>
        <w:b w:val="0"/>
        <w:i w:val="0"/>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8">
    <w:nsid w:val="6302139C"/>
    <w:multiLevelType w:val="multilevel"/>
    <w:tmpl w:val="6302139C"/>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19">
    <w:nsid w:val="649F7A47"/>
    <w:multiLevelType w:val="multilevel"/>
    <w:tmpl w:val="649F7A47"/>
    <w:lvl w:ilvl="0">
      <w:start w:val="1"/>
      <w:numFmt w:val="decimal"/>
      <w:lvlText w:val="%1)"/>
      <w:lvlJc w:val="left"/>
      <w:pPr>
        <w:tabs>
          <w:tab w:val="left" w:pos="4680"/>
        </w:tabs>
        <w:ind w:left="4680" w:hanging="360"/>
      </w:pPr>
      <w:rPr>
        <w:rFonts w:hint="eastAsia"/>
      </w:rPr>
    </w:lvl>
    <w:lvl w:ilvl="1">
      <w:start w:val="1"/>
      <w:numFmt w:val="decimal"/>
      <w:lvlText w:val="%2)"/>
      <w:lvlJc w:val="left"/>
      <w:pPr>
        <w:tabs>
          <w:tab w:val="left" w:pos="1701"/>
        </w:tabs>
        <w:ind w:left="1701" w:hanging="621"/>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0">
    <w:nsid w:val="65542586"/>
    <w:multiLevelType w:val="multilevel"/>
    <w:tmpl w:val="65542586"/>
    <w:lvl w:ilvl="0">
      <w:start w:val="1"/>
      <w:numFmt w:val="decimal"/>
      <w:lvlText w:val="%1)"/>
      <w:lvlJc w:val="left"/>
      <w:pPr>
        <w:ind w:left="1411" w:hanging="420"/>
      </w:pPr>
      <w:rPr>
        <w:rFonts w:ascii="Times New Roman" w:hAnsi="Times New Roman" w:cs="Times New Roman" w:hint="default"/>
      </w:rPr>
    </w:lvl>
    <w:lvl w:ilvl="1">
      <w:start w:val="1"/>
      <w:numFmt w:val="lowerLetter"/>
      <w:lvlText w:val="%2)"/>
      <w:lvlJc w:val="left"/>
      <w:pPr>
        <w:ind w:left="1831" w:hanging="420"/>
      </w:pPr>
    </w:lvl>
    <w:lvl w:ilvl="2">
      <w:start w:val="1"/>
      <w:numFmt w:val="lowerRoman"/>
      <w:lvlText w:val="%3."/>
      <w:lvlJc w:val="right"/>
      <w:pPr>
        <w:ind w:left="2251" w:hanging="420"/>
      </w:pPr>
    </w:lvl>
    <w:lvl w:ilvl="3">
      <w:start w:val="1"/>
      <w:numFmt w:val="decimal"/>
      <w:lvlText w:val="%4."/>
      <w:lvlJc w:val="left"/>
      <w:pPr>
        <w:ind w:left="2671" w:hanging="420"/>
      </w:pPr>
    </w:lvl>
    <w:lvl w:ilvl="4">
      <w:start w:val="1"/>
      <w:numFmt w:val="lowerLetter"/>
      <w:lvlText w:val="%5)"/>
      <w:lvlJc w:val="left"/>
      <w:pPr>
        <w:ind w:left="3091" w:hanging="420"/>
      </w:pPr>
    </w:lvl>
    <w:lvl w:ilvl="5">
      <w:start w:val="1"/>
      <w:numFmt w:val="lowerRoman"/>
      <w:lvlText w:val="%6."/>
      <w:lvlJc w:val="right"/>
      <w:pPr>
        <w:ind w:left="3511" w:hanging="420"/>
      </w:pPr>
    </w:lvl>
    <w:lvl w:ilvl="6">
      <w:start w:val="1"/>
      <w:numFmt w:val="decimal"/>
      <w:lvlText w:val="%7."/>
      <w:lvlJc w:val="left"/>
      <w:pPr>
        <w:ind w:left="3931" w:hanging="420"/>
      </w:pPr>
    </w:lvl>
    <w:lvl w:ilvl="7">
      <w:start w:val="1"/>
      <w:numFmt w:val="lowerLetter"/>
      <w:lvlText w:val="%8)"/>
      <w:lvlJc w:val="left"/>
      <w:pPr>
        <w:ind w:left="4351" w:hanging="420"/>
      </w:pPr>
    </w:lvl>
    <w:lvl w:ilvl="8">
      <w:start w:val="1"/>
      <w:numFmt w:val="lowerRoman"/>
      <w:lvlText w:val="%9."/>
      <w:lvlJc w:val="right"/>
      <w:pPr>
        <w:ind w:left="4771" w:hanging="420"/>
      </w:pPr>
    </w:lvl>
  </w:abstractNum>
  <w:abstractNum w:abstractNumId="121">
    <w:nsid w:val="65CA38EA"/>
    <w:multiLevelType w:val="multilevel"/>
    <w:tmpl w:val="65CA38EA"/>
    <w:lvl w:ilvl="0">
      <w:start w:val="1"/>
      <w:numFmt w:val="decimal"/>
      <w:lvlText w:val="%1)"/>
      <w:lvlJc w:val="left"/>
      <w:pPr>
        <w:tabs>
          <w:tab w:val="left" w:pos="3073"/>
        </w:tabs>
        <w:ind w:left="3001" w:hanging="288"/>
      </w:pPr>
      <w:rPr>
        <w:rFonts w:hint="eastAsia"/>
      </w:rPr>
    </w:lvl>
    <w:lvl w:ilvl="1">
      <w:start w:val="1"/>
      <w:numFmt w:val="decimal"/>
      <w:lvlText w:val="%2)"/>
      <w:lvlJc w:val="left"/>
      <w:pPr>
        <w:tabs>
          <w:tab w:val="left" w:pos="1777"/>
        </w:tabs>
        <w:ind w:left="1777" w:hanging="360"/>
      </w:pPr>
      <w:rPr>
        <w:rFonts w:eastAsia="宋体" w:hint="eastAsia"/>
      </w:rPr>
    </w:lvl>
    <w:lvl w:ilvl="2">
      <w:start w:val="1"/>
      <w:numFmt w:val="decimal"/>
      <w:lvlText w:val="%3)"/>
      <w:lvlJc w:val="left"/>
      <w:pPr>
        <w:tabs>
          <w:tab w:val="left" w:pos="2677"/>
        </w:tabs>
        <w:ind w:left="2677" w:hanging="360"/>
      </w:pPr>
      <w:rPr>
        <w:rFonts w:hint="default"/>
      </w:rPr>
    </w:lvl>
    <w:lvl w:ilvl="3">
      <w:start w:val="1"/>
      <w:numFmt w:val="decimal"/>
      <w:lvlText w:val="%4）"/>
      <w:lvlJc w:val="left"/>
      <w:pPr>
        <w:tabs>
          <w:tab w:val="left" w:pos="3217"/>
        </w:tabs>
        <w:ind w:left="3217" w:hanging="360"/>
      </w:pPr>
      <w:rPr>
        <w:rFonts w:hint="default"/>
      </w:rPr>
    </w:lvl>
    <w:lvl w:ilvl="4">
      <w:start w:val="1"/>
      <w:numFmt w:val="lowerLetter"/>
      <w:lvlText w:val="%5."/>
      <w:lvlJc w:val="left"/>
      <w:pPr>
        <w:tabs>
          <w:tab w:val="left" w:pos="3937"/>
        </w:tabs>
        <w:ind w:left="3937" w:hanging="360"/>
      </w:pPr>
    </w:lvl>
    <w:lvl w:ilvl="5">
      <w:start w:val="1"/>
      <w:numFmt w:val="lowerRoman"/>
      <w:lvlText w:val="%6."/>
      <w:lvlJc w:val="right"/>
      <w:pPr>
        <w:tabs>
          <w:tab w:val="left" w:pos="4657"/>
        </w:tabs>
        <w:ind w:left="4657" w:hanging="180"/>
      </w:pPr>
    </w:lvl>
    <w:lvl w:ilvl="6">
      <w:start w:val="1"/>
      <w:numFmt w:val="decimal"/>
      <w:lvlText w:val="%7."/>
      <w:lvlJc w:val="left"/>
      <w:pPr>
        <w:tabs>
          <w:tab w:val="left" w:pos="5377"/>
        </w:tabs>
        <w:ind w:left="5377" w:hanging="360"/>
      </w:pPr>
    </w:lvl>
    <w:lvl w:ilvl="7">
      <w:start w:val="1"/>
      <w:numFmt w:val="lowerLetter"/>
      <w:lvlText w:val="%8."/>
      <w:lvlJc w:val="left"/>
      <w:pPr>
        <w:tabs>
          <w:tab w:val="left" w:pos="6097"/>
        </w:tabs>
        <w:ind w:left="6097" w:hanging="360"/>
      </w:pPr>
    </w:lvl>
    <w:lvl w:ilvl="8">
      <w:start w:val="1"/>
      <w:numFmt w:val="lowerRoman"/>
      <w:lvlText w:val="%9."/>
      <w:lvlJc w:val="right"/>
      <w:pPr>
        <w:tabs>
          <w:tab w:val="left" w:pos="6817"/>
        </w:tabs>
        <w:ind w:left="6817" w:hanging="180"/>
      </w:pPr>
    </w:lvl>
  </w:abstractNum>
  <w:abstractNum w:abstractNumId="122">
    <w:nsid w:val="65E60550"/>
    <w:multiLevelType w:val="multilevel"/>
    <w:tmpl w:val="65E60550"/>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3">
    <w:nsid w:val="669410FB"/>
    <w:multiLevelType w:val="multilevel"/>
    <w:tmpl w:val="669410FB"/>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24">
    <w:nsid w:val="6755657A"/>
    <w:multiLevelType w:val="multilevel"/>
    <w:tmpl w:val="6755657A"/>
    <w:lvl w:ilvl="0">
      <w:start w:val="1"/>
      <w:numFmt w:val="decimal"/>
      <w:lvlText w:val="%1)"/>
      <w:lvlJc w:val="left"/>
      <w:pPr>
        <w:tabs>
          <w:tab w:val="left" w:pos="1872"/>
        </w:tabs>
        <w:ind w:left="1872" w:hanging="792"/>
      </w:pPr>
      <w:rPr>
        <w:rFonts w:ascii="Times New Roman" w:eastAsia="华文细黑" w:hAnsi="Times New Roman" w:cs="Times New Roman" w:hint="default"/>
        <w:sz w:val="21"/>
        <w:szCs w:val="21"/>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125">
    <w:nsid w:val="67FE5523"/>
    <w:multiLevelType w:val="multilevel"/>
    <w:tmpl w:val="67FE5523"/>
    <w:lvl w:ilvl="0">
      <w:start w:val="1"/>
      <w:numFmt w:val="decimal"/>
      <w:lvlText w:val="%1)"/>
      <w:lvlJc w:val="left"/>
      <w:pPr>
        <w:tabs>
          <w:tab w:val="left" w:pos="1944"/>
        </w:tabs>
        <w:ind w:left="1944" w:hanging="936"/>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6">
    <w:nsid w:val="6A3EEC7A"/>
    <w:multiLevelType w:val="singleLevel"/>
    <w:tmpl w:val="6A3EEC7A"/>
    <w:lvl w:ilvl="0">
      <w:start w:val="1"/>
      <w:numFmt w:val="decimal"/>
      <w:lvlText w:val="%1)"/>
      <w:lvlJc w:val="left"/>
      <w:pPr>
        <w:ind w:left="1497" w:hanging="420"/>
      </w:pPr>
      <w:rPr>
        <w:rFonts w:hint="default"/>
      </w:rPr>
    </w:lvl>
  </w:abstractNum>
  <w:abstractNum w:abstractNumId="127">
    <w:nsid w:val="6BD9221B"/>
    <w:multiLevelType w:val="multilevel"/>
    <w:tmpl w:val="6BD9221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8">
    <w:nsid w:val="6C39083C"/>
    <w:multiLevelType w:val="multilevel"/>
    <w:tmpl w:val="6C39083C"/>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29">
    <w:nsid w:val="6C507F97"/>
    <w:multiLevelType w:val="multilevel"/>
    <w:tmpl w:val="6C507F97"/>
    <w:lvl w:ilvl="0">
      <w:start w:val="1"/>
      <w:numFmt w:val="lowerLetter"/>
      <w:lvlText w:val="%1)"/>
      <w:lvlJc w:val="left"/>
      <w:pPr>
        <w:tabs>
          <w:tab w:val="left" w:pos="2520"/>
        </w:tabs>
        <w:ind w:left="2160" w:firstLine="0"/>
      </w:pPr>
      <w:rPr>
        <w:rFonts w:asciiTheme="minorEastAsia" w:eastAsiaTheme="minorEastAsia" w:hAnsiTheme="minorEastAsia"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0">
    <w:nsid w:val="6DA531FD"/>
    <w:multiLevelType w:val="multilevel"/>
    <w:tmpl w:val="6DA531FD"/>
    <w:lvl w:ilvl="0">
      <w:start w:val="1"/>
      <w:numFmt w:val="decimal"/>
      <w:lvlText w:val="%1)"/>
      <w:lvlJc w:val="left"/>
      <w:pPr>
        <w:ind w:left="1497" w:hanging="420"/>
      </w:pPr>
    </w:lvl>
    <w:lvl w:ilvl="1">
      <w:start w:val="1"/>
      <w:numFmt w:val="lowerLetter"/>
      <w:lvlText w:val="%2)"/>
      <w:lvlJc w:val="left"/>
      <w:pPr>
        <w:ind w:left="1492" w:hanging="420"/>
      </w:pPr>
    </w:lvl>
    <w:lvl w:ilvl="2">
      <w:start w:val="1"/>
      <w:numFmt w:val="lowerRoman"/>
      <w:lvlText w:val="%3."/>
      <w:lvlJc w:val="right"/>
      <w:pPr>
        <w:ind w:left="1912" w:hanging="420"/>
      </w:pPr>
    </w:lvl>
    <w:lvl w:ilvl="3">
      <w:start w:val="1"/>
      <w:numFmt w:val="decimal"/>
      <w:lvlText w:val="%4."/>
      <w:lvlJc w:val="left"/>
      <w:pPr>
        <w:ind w:left="2332" w:hanging="420"/>
      </w:pPr>
    </w:lvl>
    <w:lvl w:ilvl="4">
      <w:start w:val="1"/>
      <w:numFmt w:val="lowerLetter"/>
      <w:lvlText w:val="%5)"/>
      <w:lvlJc w:val="left"/>
      <w:pPr>
        <w:ind w:left="2752" w:hanging="420"/>
      </w:pPr>
    </w:lvl>
    <w:lvl w:ilvl="5">
      <w:start w:val="1"/>
      <w:numFmt w:val="lowerRoman"/>
      <w:lvlText w:val="%6."/>
      <w:lvlJc w:val="right"/>
      <w:pPr>
        <w:ind w:left="3172" w:hanging="420"/>
      </w:pPr>
    </w:lvl>
    <w:lvl w:ilvl="6">
      <w:start w:val="1"/>
      <w:numFmt w:val="decimal"/>
      <w:lvlText w:val="%7."/>
      <w:lvlJc w:val="left"/>
      <w:pPr>
        <w:ind w:left="3592" w:hanging="420"/>
      </w:pPr>
    </w:lvl>
    <w:lvl w:ilvl="7">
      <w:start w:val="1"/>
      <w:numFmt w:val="lowerLetter"/>
      <w:lvlText w:val="%8)"/>
      <w:lvlJc w:val="left"/>
      <w:pPr>
        <w:ind w:left="4012" w:hanging="420"/>
      </w:pPr>
    </w:lvl>
    <w:lvl w:ilvl="8">
      <w:start w:val="1"/>
      <w:numFmt w:val="lowerRoman"/>
      <w:lvlText w:val="%9."/>
      <w:lvlJc w:val="right"/>
      <w:pPr>
        <w:ind w:left="4432" w:hanging="420"/>
      </w:pPr>
    </w:lvl>
  </w:abstractNum>
  <w:abstractNum w:abstractNumId="131">
    <w:nsid w:val="6EED0E51"/>
    <w:multiLevelType w:val="multilevel"/>
    <w:tmpl w:val="6C39083C"/>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32">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3">
    <w:nsid w:val="71DF3C24"/>
    <w:multiLevelType w:val="multilevel"/>
    <w:tmpl w:val="71DF3C24"/>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134">
    <w:nsid w:val="735250F4"/>
    <w:multiLevelType w:val="multilevel"/>
    <w:tmpl w:val="735250F4"/>
    <w:lvl w:ilvl="0">
      <w:start w:val="1"/>
      <w:numFmt w:val="decimal"/>
      <w:lvlText w:val="%1)"/>
      <w:lvlJc w:val="left"/>
      <w:pPr>
        <w:tabs>
          <w:tab w:val="left" w:pos="3816"/>
        </w:tabs>
        <w:ind w:left="3744" w:hanging="288"/>
      </w:pPr>
      <w:rPr>
        <w:rFonts w:hint="eastAsia"/>
      </w:rPr>
    </w:lvl>
    <w:lvl w:ilvl="1">
      <w:start w:val="1"/>
      <w:numFmt w:val="decimal"/>
      <w:lvlText w:val="%2)"/>
      <w:lvlJc w:val="left"/>
      <w:pPr>
        <w:tabs>
          <w:tab w:val="left" w:pos="2736"/>
        </w:tabs>
        <w:ind w:left="2736" w:hanging="1728"/>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135">
    <w:nsid w:val="7444273D"/>
    <w:multiLevelType w:val="singleLevel"/>
    <w:tmpl w:val="7444273D"/>
    <w:lvl w:ilvl="0">
      <w:start w:val="1"/>
      <w:numFmt w:val="decimal"/>
      <w:lvlText w:val="%1)"/>
      <w:lvlJc w:val="left"/>
      <w:pPr>
        <w:ind w:left="1497" w:hanging="420"/>
      </w:pPr>
      <w:rPr>
        <w:rFonts w:hint="default"/>
      </w:rPr>
    </w:lvl>
  </w:abstractNum>
  <w:abstractNum w:abstractNumId="136">
    <w:nsid w:val="74775BFD"/>
    <w:multiLevelType w:val="multilevel"/>
    <w:tmpl w:val="74775BFD"/>
    <w:lvl w:ilvl="0">
      <w:start w:val="1"/>
      <w:numFmt w:val="lowerLetter"/>
      <w:lvlText w:val="%1)"/>
      <w:lvlJc w:val="left"/>
      <w:pPr>
        <w:tabs>
          <w:tab w:val="left" w:pos="2268"/>
        </w:tabs>
        <w:ind w:left="2268" w:hanging="567"/>
      </w:pPr>
      <w:rPr>
        <w:rFonts w:hint="default"/>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137">
    <w:nsid w:val="76F56978"/>
    <w:multiLevelType w:val="multilevel"/>
    <w:tmpl w:val="76F56978"/>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8">
    <w:nsid w:val="77063F5E"/>
    <w:multiLevelType w:val="multilevel"/>
    <w:tmpl w:val="77063F5E"/>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39">
    <w:nsid w:val="777C22E7"/>
    <w:multiLevelType w:val="multilevel"/>
    <w:tmpl w:val="777C22E7"/>
    <w:lvl w:ilvl="0">
      <w:start w:val="1"/>
      <w:numFmt w:val="decimal"/>
      <w:lvlText w:val="%1)"/>
      <w:lvlJc w:val="left"/>
      <w:pPr>
        <w:tabs>
          <w:tab w:val="left" w:pos="1440"/>
        </w:tabs>
        <w:ind w:left="1440" w:hanging="360"/>
      </w:pPr>
      <w:rPr>
        <w:rFonts w:ascii="Times New Roman" w:hAnsi="Times New Roman" w:hint="default"/>
        <w:b w:val="0"/>
        <w:i w:val="0"/>
        <w:sz w:val="21"/>
        <w:szCs w:val="21"/>
      </w:rPr>
    </w:lvl>
    <w:lvl w:ilvl="1">
      <w:start w:val="1"/>
      <w:numFmt w:val="lowerLetter"/>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0">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141">
    <w:nsid w:val="7A4D23E1"/>
    <w:multiLevelType w:val="multilevel"/>
    <w:tmpl w:val="7A4D23E1"/>
    <w:lvl w:ilvl="0">
      <w:start w:val="1"/>
      <w:numFmt w:val="decimal"/>
      <w:lvlText w:val="%1)"/>
      <w:lvlJc w:val="left"/>
      <w:pPr>
        <w:ind w:left="2000" w:hanging="420"/>
      </w:pPr>
      <w:rPr>
        <w:rFonts w:ascii="Times New Roman" w:hAnsi="Times New Roman" w:cs="Times New Roman" w:hint="default"/>
        <w:w w:val="100"/>
        <w:sz w:val="21"/>
        <w:szCs w:val="21"/>
      </w:rPr>
    </w:lvl>
    <w:lvl w:ilvl="1">
      <w:start w:val="0"/>
      <w:numFmt w:val="bullet"/>
      <w:lvlText w:val="•"/>
      <w:lvlJc w:val="left"/>
      <w:pPr>
        <w:ind w:left="2730" w:hanging="420"/>
      </w:pPr>
      <w:rPr>
        <w:rFonts w:hint="default"/>
      </w:rPr>
    </w:lvl>
    <w:lvl w:ilvl="2">
      <w:start w:val="0"/>
      <w:numFmt w:val="bullet"/>
      <w:lvlText w:val="•"/>
      <w:lvlJc w:val="left"/>
      <w:pPr>
        <w:ind w:left="3461" w:hanging="420"/>
      </w:pPr>
      <w:rPr>
        <w:rFonts w:hint="default"/>
      </w:rPr>
    </w:lvl>
    <w:lvl w:ilvl="3">
      <w:start w:val="0"/>
      <w:numFmt w:val="bullet"/>
      <w:lvlText w:val="•"/>
      <w:lvlJc w:val="left"/>
      <w:pPr>
        <w:ind w:left="4192" w:hanging="420"/>
      </w:pPr>
      <w:rPr>
        <w:rFonts w:hint="default"/>
      </w:rPr>
    </w:lvl>
    <w:lvl w:ilvl="4">
      <w:start w:val="0"/>
      <w:numFmt w:val="bullet"/>
      <w:lvlText w:val="•"/>
      <w:lvlJc w:val="left"/>
      <w:pPr>
        <w:ind w:left="4923" w:hanging="420"/>
      </w:pPr>
      <w:rPr>
        <w:rFonts w:hint="default"/>
      </w:rPr>
    </w:lvl>
    <w:lvl w:ilvl="5">
      <w:start w:val="0"/>
      <w:numFmt w:val="bullet"/>
      <w:lvlText w:val="•"/>
      <w:lvlJc w:val="left"/>
      <w:pPr>
        <w:ind w:left="5654" w:hanging="420"/>
      </w:pPr>
      <w:rPr>
        <w:rFonts w:hint="default"/>
      </w:rPr>
    </w:lvl>
    <w:lvl w:ilvl="6">
      <w:start w:val="0"/>
      <w:numFmt w:val="bullet"/>
      <w:lvlText w:val="•"/>
      <w:lvlJc w:val="left"/>
      <w:pPr>
        <w:ind w:left="6385" w:hanging="420"/>
      </w:pPr>
      <w:rPr>
        <w:rFonts w:hint="default"/>
      </w:rPr>
    </w:lvl>
    <w:lvl w:ilvl="7">
      <w:start w:val="0"/>
      <w:numFmt w:val="bullet"/>
      <w:lvlText w:val="•"/>
      <w:lvlJc w:val="left"/>
      <w:pPr>
        <w:ind w:left="7116" w:hanging="420"/>
      </w:pPr>
      <w:rPr>
        <w:rFonts w:hint="default"/>
      </w:rPr>
    </w:lvl>
    <w:lvl w:ilvl="8">
      <w:start w:val="0"/>
      <w:numFmt w:val="bullet"/>
      <w:lvlText w:val="•"/>
      <w:lvlJc w:val="left"/>
      <w:pPr>
        <w:ind w:left="7847" w:hanging="420"/>
      </w:pPr>
      <w:rPr>
        <w:rFonts w:hint="default"/>
      </w:rPr>
    </w:lvl>
  </w:abstractNum>
  <w:abstractNum w:abstractNumId="142">
    <w:nsid w:val="7B803EBC"/>
    <w:multiLevelType w:val="singleLevel"/>
    <w:tmpl w:val="7B803EBC"/>
    <w:lvl w:ilvl="0">
      <w:start w:val="1"/>
      <w:numFmt w:val="upperLetter"/>
      <w:pStyle w:val="ListAlpha"/>
      <w:lvlText w:val="%1."/>
      <w:lvlJc w:val="left"/>
      <w:pPr>
        <w:tabs>
          <w:tab w:val="left" w:pos="1701"/>
        </w:tabs>
        <w:ind w:left="1701" w:hanging="567"/>
      </w:pPr>
      <w:rPr>
        <w:rFonts w:ascii="Frutiger 45 Light" w:hAnsi="Frutiger 45 Light" w:hint="default"/>
        <w:b w:val="0"/>
        <w:i w:val="0"/>
        <w:sz w:val="22"/>
      </w:rPr>
    </w:lvl>
  </w:abstractNum>
  <w:abstractNum w:abstractNumId="143">
    <w:nsid w:val="7C8FC60E"/>
    <w:multiLevelType w:val="multilevel"/>
    <w:tmpl w:val="05D27F70"/>
    <w:lvl w:ilvl="0">
      <w:start w:val="1"/>
      <w:numFmt w:val="decimal"/>
      <w:lvlText w:val="%1)"/>
      <w:lvlJc w:val="left"/>
      <w:pPr>
        <w:tabs>
          <w:tab w:val="left" w:pos="2880"/>
        </w:tabs>
        <w:ind w:left="2880" w:hanging="360"/>
      </w:pPr>
      <w:rPr>
        <w:rFonts w:ascii="Times New Roman" w:hAnsi="Times New Roman" w:hint="default"/>
        <w:b w:val="0"/>
        <w:i w:val="0"/>
        <w:sz w:val="21"/>
        <w:szCs w:val="21"/>
      </w:rPr>
    </w:lvl>
    <w:lvl w:ilvl="1">
      <w:start w:val="1"/>
      <w:numFmt w:val="lowerLetter"/>
      <w:lvlText w:val="%2."/>
      <w:lvlJc w:val="left"/>
      <w:pPr>
        <w:tabs>
          <w:tab w:val="left" w:pos="2880"/>
        </w:tabs>
        <w:ind w:left="2880" w:hanging="360"/>
      </w:pPr>
    </w:lvl>
    <w:lvl w:ilvl="2">
      <w:start w:val="1"/>
      <w:numFmt w:val="lowerRoman"/>
      <w:lvlText w:val="%3."/>
      <w:lvlJc w:val="right"/>
      <w:pPr>
        <w:tabs>
          <w:tab w:val="left" w:pos="3600"/>
        </w:tabs>
        <w:ind w:left="3600" w:hanging="180"/>
      </w:pPr>
    </w:lvl>
    <w:lvl w:ilvl="3">
      <w:start w:val="1"/>
      <w:numFmt w:val="decimal"/>
      <w:lvlText w:val="%4."/>
      <w:lvlJc w:val="left"/>
      <w:pPr>
        <w:tabs>
          <w:tab w:val="left" w:pos="4320"/>
        </w:tabs>
        <w:ind w:left="4320" w:hanging="360"/>
      </w:pPr>
    </w:lvl>
    <w:lvl w:ilvl="4">
      <w:start w:val="1"/>
      <w:numFmt w:val="lowerLetter"/>
      <w:lvlText w:val="%5."/>
      <w:lvlJc w:val="left"/>
      <w:pPr>
        <w:tabs>
          <w:tab w:val="left" w:pos="5040"/>
        </w:tabs>
        <w:ind w:left="5040" w:hanging="360"/>
      </w:pPr>
    </w:lvl>
    <w:lvl w:ilvl="5">
      <w:start w:val="1"/>
      <w:numFmt w:val="lowerRoman"/>
      <w:lvlText w:val="%6."/>
      <w:lvlJc w:val="right"/>
      <w:pPr>
        <w:tabs>
          <w:tab w:val="left" w:pos="5760"/>
        </w:tabs>
        <w:ind w:left="5760" w:hanging="180"/>
      </w:pPr>
    </w:lvl>
    <w:lvl w:ilvl="6">
      <w:start w:val="1"/>
      <w:numFmt w:val="decimal"/>
      <w:lvlText w:val="%7."/>
      <w:lvlJc w:val="left"/>
      <w:pPr>
        <w:tabs>
          <w:tab w:val="left" w:pos="6480"/>
        </w:tabs>
        <w:ind w:left="6480" w:hanging="360"/>
      </w:pPr>
    </w:lvl>
    <w:lvl w:ilvl="7">
      <w:start w:val="1"/>
      <w:numFmt w:val="lowerLetter"/>
      <w:lvlText w:val="%8."/>
      <w:lvlJc w:val="left"/>
      <w:pPr>
        <w:tabs>
          <w:tab w:val="left" w:pos="7200"/>
        </w:tabs>
        <w:ind w:left="7200" w:hanging="360"/>
      </w:pPr>
    </w:lvl>
    <w:lvl w:ilvl="8">
      <w:start w:val="1"/>
      <w:numFmt w:val="lowerRoman"/>
      <w:lvlText w:val="%9."/>
      <w:lvlJc w:val="right"/>
      <w:pPr>
        <w:tabs>
          <w:tab w:val="left" w:pos="7920"/>
        </w:tabs>
        <w:ind w:left="7920" w:hanging="180"/>
      </w:pPr>
    </w:lvl>
  </w:abstractNum>
  <w:abstractNum w:abstractNumId="144">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abstractNum w:abstractNumId="145">
    <w:nsid w:val="7F2D2E01"/>
    <w:multiLevelType w:val="multilevel"/>
    <w:tmpl w:val="7F2D2E01"/>
    <w:lvl w:ilvl="0">
      <w:start w:val="1"/>
      <w:numFmt w:val="lowerLetter"/>
      <w:lvlText w:val="%1)"/>
      <w:lvlJc w:val="left"/>
      <w:pPr>
        <w:tabs>
          <w:tab w:val="left" w:pos="2808"/>
        </w:tabs>
        <w:ind w:left="2808" w:hanging="756"/>
      </w:pPr>
      <w:rPr>
        <w:rFonts w:hint="default"/>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num w:numId="1">
    <w:abstractNumId w:val="109"/>
  </w:num>
  <w:num w:numId="2">
    <w:abstractNumId w:val="14"/>
  </w:num>
  <w:num w:numId="3">
    <w:abstractNumId w:val="16"/>
  </w:num>
  <w:num w:numId="4">
    <w:abstractNumId w:val="19"/>
  </w:num>
  <w:num w:numId="5">
    <w:abstractNumId w:val="20"/>
  </w:num>
  <w:num w:numId="6">
    <w:abstractNumId w:val="17"/>
  </w:num>
  <w:num w:numId="7">
    <w:abstractNumId w:val="13"/>
  </w:num>
  <w:num w:numId="8">
    <w:abstractNumId w:val="18"/>
  </w:num>
  <w:num w:numId="9">
    <w:abstractNumId w:val="15"/>
  </w:num>
  <w:num w:numId="10">
    <w:abstractNumId w:val="12"/>
  </w:num>
  <w:num w:numId="11">
    <w:abstractNumId w:val="11"/>
  </w:num>
  <w:num w:numId="12">
    <w:abstractNumId w:val="43"/>
  </w:num>
  <w:num w:numId="13">
    <w:abstractNumId w:val="92"/>
  </w:num>
  <w:num w:numId="14">
    <w:abstractNumId w:val="44"/>
  </w:num>
  <w:num w:numId="15">
    <w:abstractNumId w:val="132"/>
  </w:num>
  <w:num w:numId="16">
    <w:abstractNumId w:val="76"/>
  </w:num>
  <w:num w:numId="17">
    <w:abstractNumId w:val="140"/>
  </w:num>
  <w:num w:numId="18">
    <w:abstractNumId w:val="51"/>
  </w:num>
  <w:num w:numId="19">
    <w:abstractNumId w:val="90"/>
  </w:num>
  <w:num w:numId="20">
    <w:abstractNumId w:val="83"/>
  </w:num>
  <w:num w:numId="21">
    <w:abstractNumId w:val="38"/>
  </w:num>
  <w:num w:numId="22">
    <w:abstractNumId w:val="144"/>
  </w:num>
  <w:num w:numId="23">
    <w:abstractNumId w:val="142"/>
  </w:num>
  <w:num w:numId="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113"/>
  </w:num>
  <w:num w:numId="27">
    <w:abstractNumId w:val="1"/>
  </w:num>
  <w:num w:numId="28">
    <w:abstractNumId w:val="141"/>
  </w:num>
  <w:num w:numId="29">
    <w:abstractNumId w:val="3"/>
  </w:num>
  <w:num w:numId="30">
    <w:abstractNumId w:val="86"/>
  </w:num>
  <w:num w:numId="31">
    <w:abstractNumId w:val="0"/>
  </w:num>
  <w:num w:numId="32">
    <w:abstractNumId w:val="138"/>
  </w:num>
  <w:num w:numId="33">
    <w:abstractNumId w:val="7"/>
  </w:num>
  <w:num w:numId="34">
    <w:abstractNumId w:val="96"/>
  </w:num>
  <w:num w:numId="35">
    <w:abstractNumId w:val="9"/>
  </w:num>
  <w:num w:numId="36">
    <w:abstractNumId w:val="4"/>
  </w:num>
  <w:num w:numId="37">
    <w:abstractNumId w:val="87"/>
  </w:num>
  <w:num w:numId="38">
    <w:abstractNumId w:val="126"/>
  </w:num>
  <w:num w:numId="39">
    <w:abstractNumId w:val="5"/>
  </w:num>
  <w:num w:numId="40">
    <w:abstractNumId w:val="135"/>
  </w:num>
  <w:num w:numId="41">
    <w:abstractNumId w:val="121"/>
  </w:num>
  <w:num w:numId="42">
    <w:abstractNumId w:val="104"/>
  </w:num>
  <w:num w:numId="43">
    <w:abstractNumId w:val="145"/>
  </w:num>
  <w:num w:numId="44">
    <w:abstractNumId w:val="63"/>
  </w:num>
  <w:num w:numId="45">
    <w:abstractNumId w:val="49"/>
  </w:num>
  <w:num w:numId="46">
    <w:abstractNumId w:val="117"/>
  </w:num>
  <w:num w:numId="47">
    <w:abstractNumId w:val="139"/>
  </w:num>
  <w:num w:numId="48">
    <w:abstractNumId w:val="134"/>
  </w:num>
  <w:num w:numId="49">
    <w:abstractNumId w:val="62"/>
  </w:num>
  <w:num w:numId="50">
    <w:abstractNumId w:val="71"/>
  </w:num>
  <w:num w:numId="51">
    <w:abstractNumId w:val="100"/>
  </w:num>
  <w:num w:numId="52">
    <w:abstractNumId w:val="125"/>
  </w:num>
  <w:num w:numId="53">
    <w:abstractNumId w:val="78"/>
  </w:num>
  <w:num w:numId="54">
    <w:abstractNumId w:val="48"/>
  </w:num>
  <w:num w:numId="55">
    <w:abstractNumId w:val="33"/>
  </w:num>
  <w:num w:numId="56">
    <w:abstractNumId w:val="128"/>
  </w:num>
  <w:num w:numId="57">
    <w:abstractNumId w:val="25"/>
  </w:num>
  <w:num w:numId="58">
    <w:abstractNumId w:val="82"/>
  </w:num>
  <w:num w:numId="59">
    <w:abstractNumId w:val="124"/>
  </w:num>
  <w:num w:numId="60">
    <w:abstractNumId w:val="105"/>
  </w:num>
  <w:num w:numId="61">
    <w:abstractNumId w:val="24"/>
  </w:num>
  <w:num w:numId="62">
    <w:abstractNumId w:val="111"/>
  </w:num>
  <w:num w:numId="63">
    <w:abstractNumId w:val="59"/>
  </w:num>
  <w:num w:numId="64">
    <w:abstractNumId w:val="58"/>
  </w:num>
  <w:num w:numId="65">
    <w:abstractNumId w:val="37"/>
  </w:num>
  <w:num w:numId="66">
    <w:abstractNumId w:val="79"/>
  </w:num>
  <w:num w:numId="67">
    <w:abstractNumId w:val="103"/>
  </w:num>
  <w:num w:numId="68">
    <w:abstractNumId w:val="107"/>
  </w:num>
  <w:num w:numId="69">
    <w:abstractNumId w:val="23"/>
  </w:num>
  <w:num w:numId="70">
    <w:abstractNumId w:val="67"/>
  </w:num>
  <w:num w:numId="71">
    <w:abstractNumId w:val="47"/>
  </w:num>
  <w:num w:numId="72">
    <w:abstractNumId w:val="72"/>
  </w:num>
  <w:num w:numId="73">
    <w:abstractNumId w:val="81"/>
  </w:num>
  <w:num w:numId="74">
    <w:abstractNumId w:val="2"/>
  </w:num>
  <w:num w:numId="75">
    <w:abstractNumId w:val="123"/>
  </w:num>
  <w:num w:numId="76">
    <w:abstractNumId w:val="22"/>
  </w:num>
  <w:num w:numId="77">
    <w:abstractNumId w:val="118"/>
  </w:num>
  <w:num w:numId="78">
    <w:abstractNumId w:val="99"/>
  </w:num>
  <w:num w:numId="79">
    <w:abstractNumId w:val="85"/>
  </w:num>
  <w:num w:numId="80">
    <w:abstractNumId w:val="54"/>
  </w:num>
  <w:num w:numId="81">
    <w:abstractNumId w:val="120"/>
  </w:num>
  <w:num w:numId="82">
    <w:abstractNumId w:val="89"/>
  </w:num>
  <w:num w:numId="83">
    <w:abstractNumId w:val="66"/>
  </w:num>
  <w:num w:numId="84">
    <w:abstractNumId w:val="69"/>
  </w:num>
  <w:num w:numId="85">
    <w:abstractNumId w:val="137"/>
  </w:num>
  <w:num w:numId="86">
    <w:abstractNumId w:val="29"/>
  </w:num>
  <w:num w:numId="87">
    <w:abstractNumId w:val="88"/>
  </w:num>
  <w:num w:numId="88">
    <w:abstractNumId w:val="80"/>
  </w:num>
  <w:num w:numId="89">
    <w:abstractNumId w:val="45"/>
  </w:num>
  <w:num w:numId="90">
    <w:abstractNumId w:val="93"/>
  </w:num>
  <w:num w:numId="91">
    <w:abstractNumId w:val="8"/>
  </w:num>
  <w:num w:numId="92">
    <w:abstractNumId w:val="6"/>
  </w:num>
  <w:num w:numId="93">
    <w:abstractNumId w:val="102"/>
  </w:num>
  <w:num w:numId="94">
    <w:abstractNumId w:val="61"/>
  </w:num>
  <w:num w:numId="95">
    <w:abstractNumId w:val="60"/>
  </w:num>
  <w:num w:numId="96">
    <w:abstractNumId w:val="77"/>
  </w:num>
  <w:num w:numId="97">
    <w:abstractNumId w:val="52"/>
  </w:num>
  <w:num w:numId="98">
    <w:abstractNumId w:val="98"/>
  </w:num>
  <w:num w:numId="99">
    <w:abstractNumId w:val="133"/>
  </w:num>
  <w:num w:numId="100">
    <w:abstractNumId w:val="106"/>
  </w:num>
  <w:num w:numId="101">
    <w:abstractNumId w:val="91"/>
  </w:num>
  <w:num w:numId="102">
    <w:abstractNumId w:val="42"/>
  </w:num>
  <w:num w:numId="103">
    <w:abstractNumId w:val="53"/>
  </w:num>
  <w:num w:numId="104">
    <w:abstractNumId w:val="110"/>
  </w:num>
  <w:num w:numId="105">
    <w:abstractNumId w:val="56"/>
  </w:num>
  <w:num w:numId="106">
    <w:abstractNumId w:val="31"/>
  </w:num>
  <w:num w:numId="107">
    <w:abstractNumId w:val="84"/>
  </w:num>
  <w:num w:numId="108">
    <w:abstractNumId w:val="74"/>
  </w:num>
  <w:num w:numId="109">
    <w:abstractNumId w:val="101"/>
  </w:num>
  <w:num w:numId="110">
    <w:abstractNumId w:val="55"/>
  </w:num>
  <w:num w:numId="111">
    <w:abstractNumId w:val="130"/>
  </w:num>
  <w:num w:numId="112">
    <w:abstractNumId w:val="21"/>
  </w:num>
  <w:num w:numId="113">
    <w:abstractNumId w:val="27"/>
  </w:num>
  <w:num w:numId="114">
    <w:abstractNumId w:val="41"/>
  </w:num>
  <w:num w:numId="115">
    <w:abstractNumId w:val="35"/>
  </w:num>
  <w:num w:numId="116">
    <w:abstractNumId w:val="114"/>
  </w:num>
  <w:num w:numId="117">
    <w:abstractNumId w:val="68"/>
  </w:num>
  <w:num w:numId="118">
    <w:abstractNumId w:val="95"/>
  </w:num>
  <w:num w:numId="119">
    <w:abstractNumId w:val="119"/>
  </w:num>
  <w:num w:numId="120">
    <w:abstractNumId w:val="75"/>
  </w:num>
  <w:num w:numId="121">
    <w:abstractNumId w:val="116"/>
  </w:num>
  <w:num w:numId="122">
    <w:abstractNumId w:val="73"/>
  </w:num>
  <w:num w:numId="123">
    <w:abstractNumId w:val="129"/>
  </w:num>
  <w:num w:numId="124">
    <w:abstractNumId w:val="64"/>
  </w:num>
  <w:num w:numId="125">
    <w:abstractNumId w:val="26"/>
  </w:num>
  <w:num w:numId="126">
    <w:abstractNumId w:val="112"/>
  </w:num>
  <w:num w:numId="127">
    <w:abstractNumId w:val="39"/>
  </w:num>
  <w:num w:numId="128">
    <w:abstractNumId w:val="57"/>
  </w:num>
  <w:num w:numId="129">
    <w:abstractNumId w:val="108"/>
  </w:num>
  <w:num w:numId="130">
    <w:abstractNumId w:val="70"/>
  </w:num>
  <w:num w:numId="131">
    <w:abstractNumId w:val="94"/>
  </w:num>
  <w:num w:numId="132">
    <w:abstractNumId w:val="32"/>
  </w:num>
  <w:num w:numId="133">
    <w:abstractNumId w:val="136"/>
  </w:num>
  <w:num w:numId="134">
    <w:abstractNumId w:val="36"/>
  </w:num>
  <w:num w:numId="135">
    <w:abstractNumId w:val="34"/>
  </w:num>
  <w:num w:numId="136">
    <w:abstractNumId w:val="97"/>
  </w:num>
  <w:num w:numId="137">
    <w:abstractNumId w:val="30"/>
  </w:num>
  <w:num w:numId="138">
    <w:abstractNumId w:val="127"/>
  </w:num>
  <w:num w:numId="139">
    <w:abstractNumId w:val="122"/>
  </w:num>
  <w:num w:numId="140">
    <w:abstractNumId w:val="46"/>
  </w:num>
  <w:num w:numId="141">
    <w:abstractNumId w:val="115"/>
  </w:num>
  <w:num w:numId="142">
    <w:abstractNumId w:val="50"/>
  </w:num>
  <w:num w:numId="143">
    <w:abstractNumId w:val="40"/>
  </w:num>
  <w:num w:numId="144">
    <w:abstractNumId w:val="131"/>
  </w:num>
  <w:num w:numId="145">
    <w:abstractNumId w:val="143"/>
  </w:num>
  <w:num w:numId="146">
    <w:abstractNumId w:val="65"/>
  </w:num>
  <w:num w:numId="147">
    <w:abstractNumId w:val="28"/>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40"/>
  <w:bordersDoNotSurroundHeader/>
  <w:bordersDoNotSurroundFooter/>
  <w:defaultTabStop w:val="66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0316"/>
    <w:rsid w:val="000029BC"/>
    <w:rsid w:val="00007D74"/>
    <w:rsid w:val="00010148"/>
    <w:rsid w:val="00011047"/>
    <w:rsid w:val="00011B6F"/>
    <w:rsid w:val="00011C1B"/>
    <w:rsid w:val="00011E28"/>
    <w:rsid w:val="00012C93"/>
    <w:rsid w:val="00014AA7"/>
    <w:rsid w:val="000152C4"/>
    <w:rsid w:val="000153CA"/>
    <w:rsid w:val="00016403"/>
    <w:rsid w:val="0001650F"/>
    <w:rsid w:val="00016796"/>
    <w:rsid w:val="0001747F"/>
    <w:rsid w:val="00017F03"/>
    <w:rsid w:val="000207CA"/>
    <w:rsid w:val="00021DAA"/>
    <w:rsid w:val="00022069"/>
    <w:rsid w:val="00025F09"/>
    <w:rsid w:val="0002682F"/>
    <w:rsid w:val="00030BE3"/>
    <w:rsid w:val="00031C13"/>
    <w:rsid w:val="000326BE"/>
    <w:rsid w:val="00032B74"/>
    <w:rsid w:val="00034BDE"/>
    <w:rsid w:val="00035C07"/>
    <w:rsid w:val="00036607"/>
    <w:rsid w:val="00036B99"/>
    <w:rsid w:val="00041145"/>
    <w:rsid w:val="00041649"/>
    <w:rsid w:val="00042918"/>
    <w:rsid w:val="00043211"/>
    <w:rsid w:val="00044121"/>
    <w:rsid w:val="00045B0D"/>
    <w:rsid w:val="000461F4"/>
    <w:rsid w:val="00046550"/>
    <w:rsid w:val="0004798D"/>
    <w:rsid w:val="0005018B"/>
    <w:rsid w:val="000513DE"/>
    <w:rsid w:val="000534FE"/>
    <w:rsid w:val="00054170"/>
    <w:rsid w:val="000546E5"/>
    <w:rsid w:val="00056D57"/>
    <w:rsid w:val="00060F50"/>
    <w:rsid w:val="00064734"/>
    <w:rsid w:val="00064A9F"/>
    <w:rsid w:val="000655F5"/>
    <w:rsid w:val="00065DAF"/>
    <w:rsid w:val="00067AD6"/>
    <w:rsid w:val="00071BBE"/>
    <w:rsid w:val="000722E1"/>
    <w:rsid w:val="00072E64"/>
    <w:rsid w:val="00073AAC"/>
    <w:rsid w:val="00082E9F"/>
    <w:rsid w:val="00086001"/>
    <w:rsid w:val="00086758"/>
    <w:rsid w:val="00087C69"/>
    <w:rsid w:val="00090570"/>
    <w:rsid w:val="0009367B"/>
    <w:rsid w:val="0009609F"/>
    <w:rsid w:val="00096689"/>
    <w:rsid w:val="00096969"/>
    <w:rsid w:val="00096BFF"/>
    <w:rsid w:val="000A1058"/>
    <w:rsid w:val="000A1F9D"/>
    <w:rsid w:val="000A3FF8"/>
    <w:rsid w:val="000A591F"/>
    <w:rsid w:val="000A65F1"/>
    <w:rsid w:val="000B094A"/>
    <w:rsid w:val="000B0963"/>
    <w:rsid w:val="000B27E9"/>
    <w:rsid w:val="000B3EDA"/>
    <w:rsid w:val="000B4AD4"/>
    <w:rsid w:val="000B549A"/>
    <w:rsid w:val="000B72D8"/>
    <w:rsid w:val="000C0D0F"/>
    <w:rsid w:val="000C2C88"/>
    <w:rsid w:val="000C3ED0"/>
    <w:rsid w:val="000C40A8"/>
    <w:rsid w:val="000D09E9"/>
    <w:rsid w:val="000D114A"/>
    <w:rsid w:val="000D27D0"/>
    <w:rsid w:val="000D36F7"/>
    <w:rsid w:val="000D3BDA"/>
    <w:rsid w:val="000D50A7"/>
    <w:rsid w:val="000D6440"/>
    <w:rsid w:val="000D6D7A"/>
    <w:rsid w:val="000E09C9"/>
    <w:rsid w:val="000E2827"/>
    <w:rsid w:val="000E35B5"/>
    <w:rsid w:val="000E6B4E"/>
    <w:rsid w:val="000F045A"/>
    <w:rsid w:val="000F4834"/>
    <w:rsid w:val="000F6E77"/>
    <w:rsid w:val="000F7521"/>
    <w:rsid w:val="001049C6"/>
    <w:rsid w:val="00105AFF"/>
    <w:rsid w:val="00105E05"/>
    <w:rsid w:val="00105F23"/>
    <w:rsid w:val="00107815"/>
    <w:rsid w:val="00110ABC"/>
    <w:rsid w:val="00111CD1"/>
    <w:rsid w:val="001126EB"/>
    <w:rsid w:val="00112C1E"/>
    <w:rsid w:val="00112C40"/>
    <w:rsid w:val="001154E9"/>
    <w:rsid w:val="0011576A"/>
    <w:rsid w:val="00115DBF"/>
    <w:rsid w:val="00116A41"/>
    <w:rsid w:val="0011718B"/>
    <w:rsid w:val="00122BE3"/>
    <w:rsid w:val="0012318C"/>
    <w:rsid w:val="001239C4"/>
    <w:rsid w:val="00124D1B"/>
    <w:rsid w:val="00125972"/>
    <w:rsid w:val="00130EA0"/>
    <w:rsid w:val="00133535"/>
    <w:rsid w:val="001340FF"/>
    <w:rsid w:val="0013546F"/>
    <w:rsid w:val="00136400"/>
    <w:rsid w:val="001366A8"/>
    <w:rsid w:val="0014084E"/>
    <w:rsid w:val="001417EB"/>
    <w:rsid w:val="00142DD8"/>
    <w:rsid w:val="0014414B"/>
    <w:rsid w:val="00144C86"/>
    <w:rsid w:val="00144F38"/>
    <w:rsid w:val="001461B5"/>
    <w:rsid w:val="001468FC"/>
    <w:rsid w:val="00146A96"/>
    <w:rsid w:val="00147BC1"/>
    <w:rsid w:val="00147CA6"/>
    <w:rsid w:val="00151498"/>
    <w:rsid w:val="00151B99"/>
    <w:rsid w:val="00154060"/>
    <w:rsid w:val="001544F9"/>
    <w:rsid w:val="001549BD"/>
    <w:rsid w:val="00155175"/>
    <w:rsid w:val="001562F9"/>
    <w:rsid w:val="00157901"/>
    <w:rsid w:val="0016025E"/>
    <w:rsid w:val="001602DA"/>
    <w:rsid w:val="00160BC1"/>
    <w:rsid w:val="0016143F"/>
    <w:rsid w:val="00163654"/>
    <w:rsid w:val="00164B82"/>
    <w:rsid w:val="0016584C"/>
    <w:rsid w:val="00166BAA"/>
    <w:rsid w:val="0017060B"/>
    <w:rsid w:val="00171C8E"/>
    <w:rsid w:val="00172628"/>
    <w:rsid w:val="00172C85"/>
    <w:rsid w:val="00172F45"/>
    <w:rsid w:val="00173A63"/>
    <w:rsid w:val="00180729"/>
    <w:rsid w:val="00181218"/>
    <w:rsid w:val="00183D02"/>
    <w:rsid w:val="001845D3"/>
    <w:rsid w:val="00185556"/>
    <w:rsid w:val="00185CD0"/>
    <w:rsid w:val="001900C9"/>
    <w:rsid w:val="00194BEF"/>
    <w:rsid w:val="001963B7"/>
    <w:rsid w:val="00196864"/>
    <w:rsid w:val="001979E5"/>
    <w:rsid w:val="001A2D0D"/>
    <w:rsid w:val="001A484D"/>
    <w:rsid w:val="001A5055"/>
    <w:rsid w:val="001A57BE"/>
    <w:rsid w:val="001A6CFD"/>
    <w:rsid w:val="001B12B1"/>
    <w:rsid w:val="001B3718"/>
    <w:rsid w:val="001B51E7"/>
    <w:rsid w:val="001B5967"/>
    <w:rsid w:val="001B732C"/>
    <w:rsid w:val="001C69CC"/>
    <w:rsid w:val="001D1128"/>
    <w:rsid w:val="001D1C9B"/>
    <w:rsid w:val="001D2476"/>
    <w:rsid w:val="001D27E7"/>
    <w:rsid w:val="001D3CB3"/>
    <w:rsid w:val="001D40D8"/>
    <w:rsid w:val="001D4F14"/>
    <w:rsid w:val="001D51A7"/>
    <w:rsid w:val="001D67CC"/>
    <w:rsid w:val="001D6949"/>
    <w:rsid w:val="001D6958"/>
    <w:rsid w:val="001D7D14"/>
    <w:rsid w:val="001E03A2"/>
    <w:rsid w:val="001E0FD9"/>
    <w:rsid w:val="001E1AFD"/>
    <w:rsid w:val="001E1B46"/>
    <w:rsid w:val="001E3F02"/>
    <w:rsid w:val="001E4099"/>
    <w:rsid w:val="001E44F7"/>
    <w:rsid w:val="001E6131"/>
    <w:rsid w:val="001F1401"/>
    <w:rsid w:val="001F396E"/>
    <w:rsid w:val="001F7442"/>
    <w:rsid w:val="0020070E"/>
    <w:rsid w:val="0020078B"/>
    <w:rsid w:val="00201285"/>
    <w:rsid w:val="00201962"/>
    <w:rsid w:val="002040F4"/>
    <w:rsid w:val="00205819"/>
    <w:rsid w:val="00210D09"/>
    <w:rsid w:val="00210D90"/>
    <w:rsid w:val="002115A4"/>
    <w:rsid w:val="00212962"/>
    <w:rsid w:val="002137E5"/>
    <w:rsid w:val="00213FEF"/>
    <w:rsid w:val="00214132"/>
    <w:rsid w:val="00214135"/>
    <w:rsid w:val="002141A7"/>
    <w:rsid w:val="0021791F"/>
    <w:rsid w:val="0022108F"/>
    <w:rsid w:val="002213BE"/>
    <w:rsid w:val="00221550"/>
    <w:rsid w:val="00221988"/>
    <w:rsid w:val="00222C4D"/>
    <w:rsid w:val="00223384"/>
    <w:rsid w:val="00224538"/>
    <w:rsid w:val="00226281"/>
    <w:rsid w:val="00226547"/>
    <w:rsid w:val="00226ED8"/>
    <w:rsid w:val="002274AC"/>
    <w:rsid w:val="00231532"/>
    <w:rsid w:val="00231973"/>
    <w:rsid w:val="002321B2"/>
    <w:rsid w:val="00232334"/>
    <w:rsid w:val="002324AF"/>
    <w:rsid w:val="00232810"/>
    <w:rsid w:val="00235A6B"/>
    <w:rsid w:val="00237086"/>
    <w:rsid w:val="00237BA4"/>
    <w:rsid w:val="00240041"/>
    <w:rsid w:val="002411B3"/>
    <w:rsid w:val="00243215"/>
    <w:rsid w:val="00244A83"/>
    <w:rsid w:val="00245418"/>
    <w:rsid w:val="00246060"/>
    <w:rsid w:val="00250240"/>
    <w:rsid w:val="00250F2D"/>
    <w:rsid w:val="00251652"/>
    <w:rsid w:val="002518E0"/>
    <w:rsid w:val="002556AE"/>
    <w:rsid w:val="002601AB"/>
    <w:rsid w:val="00261032"/>
    <w:rsid w:val="00264059"/>
    <w:rsid w:val="0026456D"/>
    <w:rsid w:val="00265F40"/>
    <w:rsid w:val="0026723C"/>
    <w:rsid w:val="002672FB"/>
    <w:rsid w:val="00272CC7"/>
    <w:rsid w:val="00274DB5"/>
    <w:rsid w:val="0027552C"/>
    <w:rsid w:val="00280842"/>
    <w:rsid w:val="0028460B"/>
    <w:rsid w:val="00290DE1"/>
    <w:rsid w:val="0029130D"/>
    <w:rsid w:val="00292FB6"/>
    <w:rsid w:val="00294699"/>
    <w:rsid w:val="00295D75"/>
    <w:rsid w:val="002961E9"/>
    <w:rsid w:val="002A120F"/>
    <w:rsid w:val="002A1C51"/>
    <w:rsid w:val="002A53EB"/>
    <w:rsid w:val="002A5445"/>
    <w:rsid w:val="002A565C"/>
    <w:rsid w:val="002B07C9"/>
    <w:rsid w:val="002B0BEF"/>
    <w:rsid w:val="002B441B"/>
    <w:rsid w:val="002B466B"/>
    <w:rsid w:val="002B4B31"/>
    <w:rsid w:val="002B6EEF"/>
    <w:rsid w:val="002B7510"/>
    <w:rsid w:val="002C043E"/>
    <w:rsid w:val="002C0862"/>
    <w:rsid w:val="002C0BE8"/>
    <w:rsid w:val="002C0CEB"/>
    <w:rsid w:val="002C0F05"/>
    <w:rsid w:val="002C4D68"/>
    <w:rsid w:val="002C5525"/>
    <w:rsid w:val="002C673E"/>
    <w:rsid w:val="002C6E7B"/>
    <w:rsid w:val="002C763A"/>
    <w:rsid w:val="002C7A80"/>
    <w:rsid w:val="002D34FC"/>
    <w:rsid w:val="002D42F2"/>
    <w:rsid w:val="002D56E6"/>
    <w:rsid w:val="002D7EAB"/>
    <w:rsid w:val="002E07C7"/>
    <w:rsid w:val="002E11C1"/>
    <w:rsid w:val="002E12BC"/>
    <w:rsid w:val="002E13C8"/>
    <w:rsid w:val="002E389D"/>
    <w:rsid w:val="002E4B05"/>
    <w:rsid w:val="002E5D6B"/>
    <w:rsid w:val="002F13C0"/>
    <w:rsid w:val="002F46ED"/>
    <w:rsid w:val="002F5196"/>
    <w:rsid w:val="002F7147"/>
    <w:rsid w:val="002F7188"/>
    <w:rsid w:val="002F7233"/>
    <w:rsid w:val="00300AB0"/>
    <w:rsid w:val="00304A97"/>
    <w:rsid w:val="00304E01"/>
    <w:rsid w:val="00310E54"/>
    <w:rsid w:val="003119E5"/>
    <w:rsid w:val="00313423"/>
    <w:rsid w:val="00314164"/>
    <w:rsid w:val="003144D1"/>
    <w:rsid w:val="00317150"/>
    <w:rsid w:val="00320A31"/>
    <w:rsid w:val="00323C09"/>
    <w:rsid w:val="00324C67"/>
    <w:rsid w:val="0032718E"/>
    <w:rsid w:val="00327829"/>
    <w:rsid w:val="00327A7E"/>
    <w:rsid w:val="003308F3"/>
    <w:rsid w:val="003360E9"/>
    <w:rsid w:val="0033722A"/>
    <w:rsid w:val="00337C0C"/>
    <w:rsid w:val="003404CC"/>
    <w:rsid w:val="00342EA7"/>
    <w:rsid w:val="00345643"/>
    <w:rsid w:val="003468FB"/>
    <w:rsid w:val="003473FC"/>
    <w:rsid w:val="00347CD1"/>
    <w:rsid w:val="0035245E"/>
    <w:rsid w:val="00353FA8"/>
    <w:rsid w:val="00356208"/>
    <w:rsid w:val="00357E19"/>
    <w:rsid w:val="0036152E"/>
    <w:rsid w:val="003626C2"/>
    <w:rsid w:val="00363401"/>
    <w:rsid w:val="00364527"/>
    <w:rsid w:val="00364CDA"/>
    <w:rsid w:val="00365578"/>
    <w:rsid w:val="003665BE"/>
    <w:rsid w:val="00367C55"/>
    <w:rsid w:val="00372F49"/>
    <w:rsid w:val="0037658A"/>
    <w:rsid w:val="00376859"/>
    <w:rsid w:val="00377183"/>
    <w:rsid w:val="00380D03"/>
    <w:rsid w:val="00381B3B"/>
    <w:rsid w:val="00383016"/>
    <w:rsid w:val="00383104"/>
    <w:rsid w:val="003842CD"/>
    <w:rsid w:val="00386119"/>
    <w:rsid w:val="00387E00"/>
    <w:rsid w:val="00391C65"/>
    <w:rsid w:val="00391CAB"/>
    <w:rsid w:val="00393033"/>
    <w:rsid w:val="00396827"/>
    <w:rsid w:val="003A0D60"/>
    <w:rsid w:val="003A1011"/>
    <w:rsid w:val="003A1090"/>
    <w:rsid w:val="003A2772"/>
    <w:rsid w:val="003A3DA8"/>
    <w:rsid w:val="003A407E"/>
    <w:rsid w:val="003A4957"/>
    <w:rsid w:val="003A4A89"/>
    <w:rsid w:val="003A68BC"/>
    <w:rsid w:val="003A7B12"/>
    <w:rsid w:val="003A7E80"/>
    <w:rsid w:val="003B0107"/>
    <w:rsid w:val="003B04D5"/>
    <w:rsid w:val="003B0615"/>
    <w:rsid w:val="003B2414"/>
    <w:rsid w:val="003B26D0"/>
    <w:rsid w:val="003B2DB7"/>
    <w:rsid w:val="003B4A18"/>
    <w:rsid w:val="003B4B51"/>
    <w:rsid w:val="003B5105"/>
    <w:rsid w:val="003B512F"/>
    <w:rsid w:val="003B5351"/>
    <w:rsid w:val="003B677E"/>
    <w:rsid w:val="003C01E0"/>
    <w:rsid w:val="003C218F"/>
    <w:rsid w:val="003C393E"/>
    <w:rsid w:val="003C3A13"/>
    <w:rsid w:val="003C4496"/>
    <w:rsid w:val="003C5E76"/>
    <w:rsid w:val="003C6E98"/>
    <w:rsid w:val="003C7691"/>
    <w:rsid w:val="003C77B6"/>
    <w:rsid w:val="003D113B"/>
    <w:rsid w:val="003D1DC4"/>
    <w:rsid w:val="003D5500"/>
    <w:rsid w:val="003D79FF"/>
    <w:rsid w:val="003D7A72"/>
    <w:rsid w:val="003D7FD1"/>
    <w:rsid w:val="003E1395"/>
    <w:rsid w:val="003E1BEE"/>
    <w:rsid w:val="003E2BB1"/>
    <w:rsid w:val="003E3540"/>
    <w:rsid w:val="003E3EDF"/>
    <w:rsid w:val="003E4D56"/>
    <w:rsid w:val="003E4F07"/>
    <w:rsid w:val="003F097B"/>
    <w:rsid w:val="003F0C10"/>
    <w:rsid w:val="003F28EA"/>
    <w:rsid w:val="003F28ED"/>
    <w:rsid w:val="003F34AB"/>
    <w:rsid w:val="003F454A"/>
    <w:rsid w:val="003F5513"/>
    <w:rsid w:val="004011DA"/>
    <w:rsid w:val="0040308C"/>
    <w:rsid w:val="0040418E"/>
    <w:rsid w:val="004075A0"/>
    <w:rsid w:val="00407AD5"/>
    <w:rsid w:val="00410393"/>
    <w:rsid w:val="00410BBC"/>
    <w:rsid w:val="00411518"/>
    <w:rsid w:val="004120EC"/>
    <w:rsid w:val="0041213F"/>
    <w:rsid w:val="00412CC2"/>
    <w:rsid w:val="00413C76"/>
    <w:rsid w:val="00414540"/>
    <w:rsid w:val="004152FF"/>
    <w:rsid w:val="00415406"/>
    <w:rsid w:val="00415825"/>
    <w:rsid w:val="00415B17"/>
    <w:rsid w:val="004201BA"/>
    <w:rsid w:val="00420BE7"/>
    <w:rsid w:val="00421CD5"/>
    <w:rsid w:val="00422380"/>
    <w:rsid w:val="004257AA"/>
    <w:rsid w:val="004310B3"/>
    <w:rsid w:val="00432B08"/>
    <w:rsid w:val="0043486A"/>
    <w:rsid w:val="0043539B"/>
    <w:rsid w:val="004402C1"/>
    <w:rsid w:val="004408C7"/>
    <w:rsid w:val="0044143C"/>
    <w:rsid w:val="00441E1A"/>
    <w:rsid w:val="0044286D"/>
    <w:rsid w:val="0044357F"/>
    <w:rsid w:val="00445C59"/>
    <w:rsid w:val="00445C75"/>
    <w:rsid w:val="00447792"/>
    <w:rsid w:val="004503B3"/>
    <w:rsid w:val="004514F8"/>
    <w:rsid w:val="00452AD9"/>
    <w:rsid w:val="00453CFB"/>
    <w:rsid w:val="0045479F"/>
    <w:rsid w:val="00455889"/>
    <w:rsid w:val="00461B2D"/>
    <w:rsid w:val="00462585"/>
    <w:rsid w:val="00462B9C"/>
    <w:rsid w:val="004660A9"/>
    <w:rsid w:val="0046638F"/>
    <w:rsid w:val="00466FAE"/>
    <w:rsid w:val="00467CE4"/>
    <w:rsid w:val="00472501"/>
    <w:rsid w:val="00473A02"/>
    <w:rsid w:val="00473B5B"/>
    <w:rsid w:val="00474F39"/>
    <w:rsid w:val="00475A32"/>
    <w:rsid w:val="0047653E"/>
    <w:rsid w:val="00481FF2"/>
    <w:rsid w:val="00483E36"/>
    <w:rsid w:val="00483E8A"/>
    <w:rsid w:val="00483F1A"/>
    <w:rsid w:val="004853EE"/>
    <w:rsid w:val="004914F4"/>
    <w:rsid w:val="00492EC7"/>
    <w:rsid w:val="004933B1"/>
    <w:rsid w:val="00494927"/>
    <w:rsid w:val="00497350"/>
    <w:rsid w:val="00497DD9"/>
    <w:rsid w:val="004A1038"/>
    <w:rsid w:val="004A3531"/>
    <w:rsid w:val="004A3C2E"/>
    <w:rsid w:val="004A4694"/>
    <w:rsid w:val="004A4CA6"/>
    <w:rsid w:val="004A65A7"/>
    <w:rsid w:val="004A6CAD"/>
    <w:rsid w:val="004B1AEE"/>
    <w:rsid w:val="004B2F9F"/>
    <w:rsid w:val="004B3C26"/>
    <w:rsid w:val="004B49A5"/>
    <w:rsid w:val="004B4AFF"/>
    <w:rsid w:val="004B59C1"/>
    <w:rsid w:val="004B73C0"/>
    <w:rsid w:val="004B7F69"/>
    <w:rsid w:val="004C146C"/>
    <w:rsid w:val="004C230E"/>
    <w:rsid w:val="004C2B83"/>
    <w:rsid w:val="004C572D"/>
    <w:rsid w:val="004C57F5"/>
    <w:rsid w:val="004C5E52"/>
    <w:rsid w:val="004C6781"/>
    <w:rsid w:val="004C69F4"/>
    <w:rsid w:val="004D1BBA"/>
    <w:rsid w:val="004D1DBC"/>
    <w:rsid w:val="004D402C"/>
    <w:rsid w:val="004D518F"/>
    <w:rsid w:val="004D5450"/>
    <w:rsid w:val="004D5465"/>
    <w:rsid w:val="004D5DA1"/>
    <w:rsid w:val="004D642F"/>
    <w:rsid w:val="004D7494"/>
    <w:rsid w:val="004D7D89"/>
    <w:rsid w:val="004E0610"/>
    <w:rsid w:val="004E2077"/>
    <w:rsid w:val="004E613B"/>
    <w:rsid w:val="004E6665"/>
    <w:rsid w:val="004F0A65"/>
    <w:rsid w:val="004F0ABA"/>
    <w:rsid w:val="004F23C2"/>
    <w:rsid w:val="004F3140"/>
    <w:rsid w:val="004F3285"/>
    <w:rsid w:val="004F34B2"/>
    <w:rsid w:val="004F4C58"/>
    <w:rsid w:val="004F5ACD"/>
    <w:rsid w:val="004F7CD0"/>
    <w:rsid w:val="0050206A"/>
    <w:rsid w:val="00503298"/>
    <w:rsid w:val="005068D6"/>
    <w:rsid w:val="00507A71"/>
    <w:rsid w:val="00511898"/>
    <w:rsid w:val="0051248C"/>
    <w:rsid w:val="00514C6E"/>
    <w:rsid w:val="00515980"/>
    <w:rsid w:val="00515CDB"/>
    <w:rsid w:val="00520952"/>
    <w:rsid w:val="00522A8B"/>
    <w:rsid w:val="0052305B"/>
    <w:rsid w:val="00523A21"/>
    <w:rsid w:val="00530330"/>
    <w:rsid w:val="00530917"/>
    <w:rsid w:val="0053140C"/>
    <w:rsid w:val="0053152E"/>
    <w:rsid w:val="00531EBC"/>
    <w:rsid w:val="00533590"/>
    <w:rsid w:val="00533F63"/>
    <w:rsid w:val="005344F7"/>
    <w:rsid w:val="00534CBB"/>
    <w:rsid w:val="0053688B"/>
    <w:rsid w:val="005426DA"/>
    <w:rsid w:val="00542B45"/>
    <w:rsid w:val="00543D2B"/>
    <w:rsid w:val="0054498C"/>
    <w:rsid w:val="00546592"/>
    <w:rsid w:val="00547408"/>
    <w:rsid w:val="00551488"/>
    <w:rsid w:val="00553B36"/>
    <w:rsid w:val="005540E8"/>
    <w:rsid w:val="00554988"/>
    <w:rsid w:val="00555976"/>
    <w:rsid w:val="00560364"/>
    <w:rsid w:val="00561C4E"/>
    <w:rsid w:val="005620B3"/>
    <w:rsid w:val="00562B7E"/>
    <w:rsid w:val="005636FF"/>
    <w:rsid w:val="00563CC1"/>
    <w:rsid w:val="005653ED"/>
    <w:rsid w:val="00566E91"/>
    <w:rsid w:val="00566FAC"/>
    <w:rsid w:val="005703B3"/>
    <w:rsid w:val="00571610"/>
    <w:rsid w:val="00571A74"/>
    <w:rsid w:val="005727AC"/>
    <w:rsid w:val="00572900"/>
    <w:rsid w:val="00572B13"/>
    <w:rsid w:val="00573FAD"/>
    <w:rsid w:val="00575905"/>
    <w:rsid w:val="0057617E"/>
    <w:rsid w:val="00581284"/>
    <w:rsid w:val="00582194"/>
    <w:rsid w:val="0058696A"/>
    <w:rsid w:val="005870E1"/>
    <w:rsid w:val="0058755E"/>
    <w:rsid w:val="00587A3B"/>
    <w:rsid w:val="00587EDC"/>
    <w:rsid w:val="0059340A"/>
    <w:rsid w:val="00593530"/>
    <w:rsid w:val="005951B8"/>
    <w:rsid w:val="0059620C"/>
    <w:rsid w:val="00596AAF"/>
    <w:rsid w:val="00597112"/>
    <w:rsid w:val="00597B83"/>
    <w:rsid w:val="005A0F70"/>
    <w:rsid w:val="005A1AE9"/>
    <w:rsid w:val="005A2AA1"/>
    <w:rsid w:val="005A46E6"/>
    <w:rsid w:val="005A4BD5"/>
    <w:rsid w:val="005A7F2E"/>
    <w:rsid w:val="005B340C"/>
    <w:rsid w:val="005B5753"/>
    <w:rsid w:val="005B691D"/>
    <w:rsid w:val="005B7D1A"/>
    <w:rsid w:val="005C057B"/>
    <w:rsid w:val="005C06C1"/>
    <w:rsid w:val="005C117F"/>
    <w:rsid w:val="005C2B7B"/>
    <w:rsid w:val="005C2F77"/>
    <w:rsid w:val="005C3BEC"/>
    <w:rsid w:val="005C7BCA"/>
    <w:rsid w:val="005D1D0D"/>
    <w:rsid w:val="005D1E33"/>
    <w:rsid w:val="005D2934"/>
    <w:rsid w:val="005D3069"/>
    <w:rsid w:val="005D31C7"/>
    <w:rsid w:val="005D68AA"/>
    <w:rsid w:val="005D6B2F"/>
    <w:rsid w:val="005E0B39"/>
    <w:rsid w:val="005E1DC2"/>
    <w:rsid w:val="005E3816"/>
    <w:rsid w:val="005E5AE8"/>
    <w:rsid w:val="005E62C9"/>
    <w:rsid w:val="005E6786"/>
    <w:rsid w:val="005F0D2C"/>
    <w:rsid w:val="005F0FF8"/>
    <w:rsid w:val="005F163F"/>
    <w:rsid w:val="005F201F"/>
    <w:rsid w:val="005F3F1D"/>
    <w:rsid w:val="005F71AF"/>
    <w:rsid w:val="00601780"/>
    <w:rsid w:val="00603EE7"/>
    <w:rsid w:val="006047CB"/>
    <w:rsid w:val="0060486D"/>
    <w:rsid w:val="00604AFF"/>
    <w:rsid w:val="006054F4"/>
    <w:rsid w:val="006056A3"/>
    <w:rsid w:val="00606154"/>
    <w:rsid w:val="006068BD"/>
    <w:rsid w:val="006075A5"/>
    <w:rsid w:val="00607804"/>
    <w:rsid w:val="00610AD2"/>
    <w:rsid w:val="00610DD5"/>
    <w:rsid w:val="0061121D"/>
    <w:rsid w:val="00611B8D"/>
    <w:rsid w:val="00612BE9"/>
    <w:rsid w:val="00615E7F"/>
    <w:rsid w:val="0062161D"/>
    <w:rsid w:val="00621781"/>
    <w:rsid w:val="006222EA"/>
    <w:rsid w:val="00622626"/>
    <w:rsid w:val="0062265D"/>
    <w:rsid w:val="006231D3"/>
    <w:rsid w:val="0062541D"/>
    <w:rsid w:val="00625F18"/>
    <w:rsid w:val="00627BC3"/>
    <w:rsid w:val="00627CD1"/>
    <w:rsid w:val="00630B85"/>
    <w:rsid w:val="00631EF4"/>
    <w:rsid w:val="0063233A"/>
    <w:rsid w:val="0063381A"/>
    <w:rsid w:val="00636702"/>
    <w:rsid w:val="0064196F"/>
    <w:rsid w:val="0064231B"/>
    <w:rsid w:val="00650BD5"/>
    <w:rsid w:val="006511C8"/>
    <w:rsid w:val="00654555"/>
    <w:rsid w:val="006550DF"/>
    <w:rsid w:val="00655B9C"/>
    <w:rsid w:val="00657A01"/>
    <w:rsid w:val="00657A4F"/>
    <w:rsid w:val="00661C4E"/>
    <w:rsid w:val="006621CF"/>
    <w:rsid w:val="006624F5"/>
    <w:rsid w:val="006628B8"/>
    <w:rsid w:val="00663BDA"/>
    <w:rsid w:val="00663C2A"/>
    <w:rsid w:val="00663D8F"/>
    <w:rsid w:val="00664015"/>
    <w:rsid w:val="00670878"/>
    <w:rsid w:val="006732F1"/>
    <w:rsid w:val="006754E2"/>
    <w:rsid w:val="00675CCF"/>
    <w:rsid w:val="0067612B"/>
    <w:rsid w:val="006771DA"/>
    <w:rsid w:val="0068047C"/>
    <w:rsid w:val="006828DD"/>
    <w:rsid w:val="0068353C"/>
    <w:rsid w:val="00683660"/>
    <w:rsid w:val="006836B1"/>
    <w:rsid w:val="00684CBB"/>
    <w:rsid w:val="00691A40"/>
    <w:rsid w:val="006932E3"/>
    <w:rsid w:val="00694F55"/>
    <w:rsid w:val="0069561B"/>
    <w:rsid w:val="00697709"/>
    <w:rsid w:val="006A0BE2"/>
    <w:rsid w:val="006A2700"/>
    <w:rsid w:val="006A30A2"/>
    <w:rsid w:val="006A4B74"/>
    <w:rsid w:val="006A5FD4"/>
    <w:rsid w:val="006A672E"/>
    <w:rsid w:val="006A6F4C"/>
    <w:rsid w:val="006B3D58"/>
    <w:rsid w:val="006B4106"/>
    <w:rsid w:val="006B41F7"/>
    <w:rsid w:val="006B51A2"/>
    <w:rsid w:val="006B5FF0"/>
    <w:rsid w:val="006B613A"/>
    <w:rsid w:val="006C14C4"/>
    <w:rsid w:val="006C224B"/>
    <w:rsid w:val="006C3362"/>
    <w:rsid w:val="006C4696"/>
    <w:rsid w:val="006C49BD"/>
    <w:rsid w:val="006C5194"/>
    <w:rsid w:val="006C78EB"/>
    <w:rsid w:val="006D1C54"/>
    <w:rsid w:val="006D28E7"/>
    <w:rsid w:val="006D2E76"/>
    <w:rsid w:val="006D3E50"/>
    <w:rsid w:val="006D4002"/>
    <w:rsid w:val="006D47BB"/>
    <w:rsid w:val="006D5BBB"/>
    <w:rsid w:val="006D7339"/>
    <w:rsid w:val="006D77F5"/>
    <w:rsid w:val="006E0ACF"/>
    <w:rsid w:val="006E0CF4"/>
    <w:rsid w:val="006E2C28"/>
    <w:rsid w:val="006E3023"/>
    <w:rsid w:val="006E3363"/>
    <w:rsid w:val="006E3E19"/>
    <w:rsid w:val="006E44F5"/>
    <w:rsid w:val="006E6956"/>
    <w:rsid w:val="006E7375"/>
    <w:rsid w:val="006F1E60"/>
    <w:rsid w:val="006F1EA1"/>
    <w:rsid w:val="006F2833"/>
    <w:rsid w:val="006F4B42"/>
    <w:rsid w:val="006F5857"/>
    <w:rsid w:val="006F6487"/>
    <w:rsid w:val="00702A3E"/>
    <w:rsid w:val="007049D1"/>
    <w:rsid w:val="00704BB4"/>
    <w:rsid w:val="00706F64"/>
    <w:rsid w:val="00707021"/>
    <w:rsid w:val="0070744C"/>
    <w:rsid w:val="00710B86"/>
    <w:rsid w:val="00712693"/>
    <w:rsid w:val="00712828"/>
    <w:rsid w:val="00712F19"/>
    <w:rsid w:val="0071382F"/>
    <w:rsid w:val="007146D9"/>
    <w:rsid w:val="0071569B"/>
    <w:rsid w:val="007169D7"/>
    <w:rsid w:val="00717642"/>
    <w:rsid w:val="00717D74"/>
    <w:rsid w:val="00720EE7"/>
    <w:rsid w:val="00724C6A"/>
    <w:rsid w:val="00725FCC"/>
    <w:rsid w:val="007265D2"/>
    <w:rsid w:val="00726769"/>
    <w:rsid w:val="007303EC"/>
    <w:rsid w:val="00733BD6"/>
    <w:rsid w:val="00734075"/>
    <w:rsid w:val="00741E05"/>
    <w:rsid w:val="0074336B"/>
    <w:rsid w:val="007445CE"/>
    <w:rsid w:val="00746866"/>
    <w:rsid w:val="00751293"/>
    <w:rsid w:val="007517A1"/>
    <w:rsid w:val="0075373C"/>
    <w:rsid w:val="007561E2"/>
    <w:rsid w:val="0075730D"/>
    <w:rsid w:val="007616BA"/>
    <w:rsid w:val="00761BEB"/>
    <w:rsid w:val="00763597"/>
    <w:rsid w:val="007636A0"/>
    <w:rsid w:val="00763753"/>
    <w:rsid w:val="00765938"/>
    <w:rsid w:val="00765A52"/>
    <w:rsid w:val="007660B2"/>
    <w:rsid w:val="00770477"/>
    <w:rsid w:val="0077107E"/>
    <w:rsid w:val="007714A8"/>
    <w:rsid w:val="007726CB"/>
    <w:rsid w:val="007734C0"/>
    <w:rsid w:val="00773669"/>
    <w:rsid w:val="0077564B"/>
    <w:rsid w:val="007758F3"/>
    <w:rsid w:val="00776478"/>
    <w:rsid w:val="00782588"/>
    <w:rsid w:val="0078430A"/>
    <w:rsid w:val="00786687"/>
    <w:rsid w:val="00790B3A"/>
    <w:rsid w:val="007916F5"/>
    <w:rsid w:val="00791BFF"/>
    <w:rsid w:val="00792020"/>
    <w:rsid w:val="00792BB0"/>
    <w:rsid w:val="00794C94"/>
    <w:rsid w:val="00794D25"/>
    <w:rsid w:val="00795BDA"/>
    <w:rsid w:val="0079667E"/>
    <w:rsid w:val="0079683D"/>
    <w:rsid w:val="00797294"/>
    <w:rsid w:val="007974A5"/>
    <w:rsid w:val="007A1CE1"/>
    <w:rsid w:val="007A2BA0"/>
    <w:rsid w:val="007A3AA5"/>
    <w:rsid w:val="007A474C"/>
    <w:rsid w:val="007A4E73"/>
    <w:rsid w:val="007A518D"/>
    <w:rsid w:val="007A527F"/>
    <w:rsid w:val="007A5867"/>
    <w:rsid w:val="007A653C"/>
    <w:rsid w:val="007A680A"/>
    <w:rsid w:val="007A7293"/>
    <w:rsid w:val="007B44ED"/>
    <w:rsid w:val="007B614F"/>
    <w:rsid w:val="007B719F"/>
    <w:rsid w:val="007B739D"/>
    <w:rsid w:val="007B7E16"/>
    <w:rsid w:val="007C0223"/>
    <w:rsid w:val="007C0381"/>
    <w:rsid w:val="007C0DBE"/>
    <w:rsid w:val="007C23FC"/>
    <w:rsid w:val="007C3925"/>
    <w:rsid w:val="007C5493"/>
    <w:rsid w:val="007C6D3C"/>
    <w:rsid w:val="007D14B6"/>
    <w:rsid w:val="007D1F38"/>
    <w:rsid w:val="007D2469"/>
    <w:rsid w:val="007D3AB0"/>
    <w:rsid w:val="007D6260"/>
    <w:rsid w:val="007D7608"/>
    <w:rsid w:val="007E2218"/>
    <w:rsid w:val="007E3687"/>
    <w:rsid w:val="007E4109"/>
    <w:rsid w:val="007E41A4"/>
    <w:rsid w:val="007E44F4"/>
    <w:rsid w:val="007F031D"/>
    <w:rsid w:val="007F3760"/>
    <w:rsid w:val="007F4968"/>
    <w:rsid w:val="007F5928"/>
    <w:rsid w:val="007F6439"/>
    <w:rsid w:val="007F7AFB"/>
    <w:rsid w:val="008006E7"/>
    <w:rsid w:val="0080176E"/>
    <w:rsid w:val="00802E54"/>
    <w:rsid w:val="00803C67"/>
    <w:rsid w:val="00804B76"/>
    <w:rsid w:val="0080792A"/>
    <w:rsid w:val="0080797E"/>
    <w:rsid w:val="00810B70"/>
    <w:rsid w:val="008123C6"/>
    <w:rsid w:val="00814A82"/>
    <w:rsid w:val="008153FE"/>
    <w:rsid w:val="008156E4"/>
    <w:rsid w:val="00816AEF"/>
    <w:rsid w:val="008174ED"/>
    <w:rsid w:val="008225EC"/>
    <w:rsid w:val="00824410"/>
    <w:rsid w:val="0082470D"/>
    <w:rsid w:val="00827498"/>
    <w:rsid w:val="00827888"/>
    <w:rsid w:val="00832F84"/>
    <w:rsid w:val="0083438C"/>
    <w:rsid w:val="00841D4D"/>
    <w:rsid w:val="0084769C"/>
    <w:rsid w:val="00847D57"/>
    <w:rsid w:val="008502FA"/>
    <w:rsid w:val="00850B58"/>
    <w:rsid w:val="00852105"/>
    <w:rsid w:val="00852E5B"/>
    <w:rsid w:val="0085424C"/>
    <w:rsid w:val="008545F1"/>
    <w:rsid w:val="00854CAE"/>
    <w:rsid w:val="00855454"/>
    <w:rsid w:val="0085598E"/>
    <w:rsid w:val="008578BB"/>
    <w:rsid w:val="00862D9C"/>
    <w:rsid w:val="00864893"/>
    <w:rsid w:val="00865A84"/>
    <w:rsid w:val="00866B79"/>
    <w:rsid w:val="00870507"/>
    <w:rsid w:val="0087208F"/>
    <w:rsid w:val="008776F1"/>
    <w:rsid w:val="00877F1D"/>
    <w:rsid w:val="008804E7"/>
    <w:rsid w:val="00882953"/>
    <w:rsid w:val="00882DC5"/>
    <w:rsid w:val="00882F0C"/>
    <w:rsid w:val="0088315A"/>
    <w:rsid w:val="008841A9"/>
    <w:rsid w:val="00885DE1"/>
    <w:rsid w:val="0089191F"/>
    <w:rsid w:val="00891C32"/>
    <w:rsid w:val="008928AE"/>
    <w:rsid w:val="008950CF"/>
    <w:rsid w:val="00896F9E"/>
    <w:rsid w:val="0089745B"/>
    <w:rsid w:val="008A0246"/>
    <w:rsid w:val="008A4974"/>
    <w:rsid w:val="008A5023"/>
    <w:rsid w:val="008A56C1"/>
    <w:rsid w:val="008A7AC7"/>
    <w:rsid w:val="008B1830"/>
    <w:rsid w:val="008B1CF1"/>
    <w:rsid w:val="008B285E"/>
    <w:rsid w:val="008B30DD"/>
    <w:rsid w:val="008B38DE"/>
    <w:rsid w:val="008B45FC"/>
    <w:rsid w:val="008B5681"/>
    <w:rsid w:val="008B5A3D"/>
    <w:rsid w:val="008B6962"/>
    <w:rsid w:val="008B738F"/>
    <w:rsid w:val="008B7AF4"/>
    <w:rsid w:val="008C09D9"/>
    <w:rsid w:val="008C2A7E"/>
    <w:rsid w:val="008C2D62"/>
    <w:rsid w:val="008C36A8"/>
    <w:rsid w:val="008C3BF2"/>
    <w:rsid w:val="008C4C3D"/>
    <w:rsid w:val="008C6EC8"/>
    <w:rsid w:val="008D24EC"/>
    <w:rsid w:val="008D268A"/>
    <w:rsid w:val="008D42C8"/>
    <w:rsid w:val="008D5864"/>
    <w:rsid w:val="008D6167"/>
    <w:rsid w:val="008D6245"/>
    <w:rsid w:val="008D63E2"/>
    <w:rsid w:val="008D6695"/>
    <w:rsid w:val="008E0659"/>
    <w:rsid w:val="008E0B45"/>
    <w:rsid w:val="008E10BB"/>
    <w:rsid w:val="008E560B"/>
    <w:rsid w:val="008E5962"/>
    <w:rsid w:val="008E7D97"/>
    <w:rsid w:val="008F1EFC"/>
    <w:rsid w:val="00900F2D"/>
    <w:rsid w:val="00901A27"/>
    <w:rsid w:val="00902692"/>
    <w:rsid w:val="00903493"/>
    <w:rsid w:val="00905ECD"/>
    <w:rsid w:val="00910F19"/>
    <w:rsid w:val="0091176A"/>
    <w:rsid w:val="0091402E"/>
    <w:rsid w:val="00914C87"/>
    <w:rsid w:val="0091781D"/>
    <w:rsid w:val="0091782F"/>
    <w:rsid w:val="0092096D"/>
    <w:rsid w:val="00921412"/>
    <w:rsid w:val="00926465"/>
    <w:rsid w:val="00926FD1"/>
    <w:rsid w:val="00930AAB"/>
    <w:rsid w:val="00930F14"/>
    <w:rsid w:val="00931B21"/>
    <w:rsid w:val="009327F9"/>
    <w:rsid w:val="0093298D"/>
    <w:rsid w:val="009336D0"/>
    <w:rsid w:val="009346AE"/>
    <w:rsid w:val="009360B0"/>
    <w:rsid w:val="0093638D"/>
    <w:rsid w:val="009363CC"/>
    <w:rsid w:val="00937FC4"/>
    <w:rsid w:val="009424A8"/>
    <w:rsid w:val="00942C2B"/>
    <w:rsid w:val="009440BA"/>
    <w:rsid w:val="00945951"/>
    <w:rsid w:val="00945F48"/>
    <w:rsid w:val="00946F18"/>
    <w:rsid w:val="009478C3"/>
    <w:rsid w:val="009508EF"/>
    <w:rsid w:val="00951840"/>
    <w:rsid w:val="00953027"/>
    <w:rsid w:val="009530CF"/>
    <w:rsid w:val="00954803"/>
    <w:rsid w:val="009565AA"/>
    <w:rsid w:val="00957B65"/>
    <w:rsid w:val="00960062"/>
    <w:rsid w:val="009605CA"/>
    <w:rsid w:val="00960995"/>
    <w:rsid w:val="00960D7E"/>
    <w:rsid w:val="00963204"/>
    <w:rsid w:val="00963713"/>
    <w:rsid w:val="00963F44"/>
    <w:rsid w:val="009659BB"/>
    <w:rsid w:val="00967921"/>
    <w:rsid w:val="00967DA5"/>
    <w:rsid w:val="009713F5"/>
    <w:rsid w:val="00971B2E"/>
    <w:rsid w:val="00971D28"/>
    <w:rsid w:val="00971E44"/>
    <w:rsid w:val="0097209D"/>
    <w:rsid w:val="00976159"/>
    <w:rsid w:val="0097661E"/>
    <w:rsid w:val="00976833"/>
    <w:rsid w:val="00976934"/>
    <w:rsid w:val="009800D7"/>
    <w:rsid w:val="00985BAC"/>
    <w:rsid w:val="009900E4"/>
    <w:rsid w:val="00990444"/>
    <w:rsid w:val="00990DF4"/>
    <w:rsid w:val="00991221"/>
    <w:rsid w:val="0099161A"/>
    <w:rsid w:val="00991A07"/>
    <w:rsid w:val="00992DA9"/>
    <w:rsid w:val="00992E3F"/>
    <w:rsid w:val="00995789"/>
    <w:rsid w:val="00995FD0"/>
    <w:rsid w:val="009967E5"/>
    <w:rsid w:val="009968F3"/>
    <w:rsid w:val="00996DA3"/>
    <w:rsid w:val="009A001B"/>
    <w:rsid w:val="009A04CD"/>
    <w:rsid w:val="009A4D39"/>
    <w:rsid w:val="009A59FB"/>
    <w:rsid w:val="009B153B"/>
    <w:rsid w:val="009B2F87"/>
    <w:rsid w:val="009B3FE9"/>
    <w:rsid w:val="009B4B6C"/>
    <w:rsid w:val="009B5BF7"/>
    <w:rsid w:val="009B6599"/>
    <w:rsid w:val="009B7C05"/>
    <w:rsid w:val="009B7F1A"/>
    <w:rsid w:val="009C08C7"/>
    <w:rsid w:val="009C0F92"/>
    <w:rsid w:val="009C3F3B"/>
    <w:rsid w:val="009C42CD"/>
    <w:rsid w:val="009C5D90"/>
    <w:rsid w:val="009C6713"/>
    <w:rsid w:val="009D214B"/>
    <w:rsid w:val="009D4294"/>
    <w:rsid w:val="009E0674"/>
    <w:rsid w:val="009E0A67"/>
    <w:rsid w:val="009E3CDD"/>
    <w:rsid w:val="009E5B83"/>
    <w:rsid w:val="009E6BB7"/>
    <w:rsid w:val="009E6DDB"/>
    <w:rsid w:val="009E6FD9"/>
    <w:rsid w:val="009F0093"/>
    <w:rsid w:val="009F10D8"/>
    <w:rsid w:val="009F1CCC"/>
    <w:rsid w:val="009F4CC5"/>
    <w:rsid w:val="00A00F97"/>
    <w:rsid w:val="00A0362A"/>
    <w:rsid w:val="00A040FC"/>
    <w:rsid w:val="00A04F16"/>
    <w:rsid w:val="00A05D70"/>
    <w:rsid w:val="00A061DB"/>
    <w:rsid w:val="00A06882"/>
    <w:rsid w:val="00A06B9C"/>
    <w:rsid w:val="00A109FF"/>
    <w:rsid w:val="00A16450"/>
    <w:rsid w:val="00A1669C"/>
    <w:rsid w:val="00A16D5D"/>
    <w:rsid w:val="00A20428"/>
    <w:rsid w:val="00A2101A"/>
    <w:rsid w:val="00A224B6"/>
    <w:rsid w:val="00A23E0C"/>
    <w:rsid w:val="00A261C7"/>
    <w:rsid w:val="00A31D09"/>
    <w:rsid w:val="00A320CB"/>
    <w:rsid w:val="00A3220B"/>
    <w:rsid w:val="00A34180"/>
    <w:rsid w:val="00A34236"/>
    <w:rsid w:val="00A35AA5"/>
    <w:rsid w:val="00A377D4"/>
    <w:rsid w:val="00A37FE0"/>
    <w:rsid w:val="00A408B7"/>
    <w:rsid w:val="00A40CDC"/>
    <w:rsid w:val="00A413DD"/>
    <w:rsid w:val="00A4251F"/>
    <w:rsid w:val="00A42633"/>
    <w:rsid w:val="00A4399E"/>
    <w:rsid w:val="00A44E1D"/>
    <w:rsid w:val="00A44EB2"/>
    <w:rsid w:val="00A45A9B"/>
    <w:rsid w:val="00A462A3"/>
    <w:rsid w:val="00A46A63"/>
    <w:rsid w:val="00A52199"/>
    <w:rsid w:val="00A5254D"/>
    <w:rsid w:val="00A52C48"/>
    <w:rsid w:val="00A52EA3"/>
    <w:rsid w:val="00A547AE"/>
    <w:rsid w:val="00A6285B"/>
    <w:rsid w:val="00A646C3"/>
    <w:rsid w:val="00A64DD4"/>
    <w:rsid w:val="00A65719"/>
    <w:rsid w:val="00A71447"/>
    <w:rsid w:val="00A7249D"/>
    <w:rsid w:val="00A7269E"/>
    <w:rsid w:val="00A732C8"/>
    <w:rsid w:val="00A75A28"/>
    <w:rsid w:val="00A75A6B"/>
    <w:rsid w:val="00A8090E"/>
    <w:rsid w:val="00A8107C"/>
    <w:rsid w:val="00A81A91"/>
    <w:rsid w:val="00A81E87"/>
    <w:rsid w:val="00A82104"/>
    <w:rsid w:val="00A83305"/>
    <w:rsid w:val="00A83543"/>
    <w:rsid w:val="00A838EA"/>
    <w:rsid w:val="00A860ED"/>
    <w:rsid w:val="00A870AB"/>
    <w:rsid w:val="00A87345"/>
    <w:rsid w:val="00A875C0"/>
    <w:rsid w:val="00A877AE"/>
    <w:rsid w:val="00A87DDB"/>
    <w:rsid w:val="00A903A1"/>
    <w:rsid w:val="00A90CB9"/>
    <w:rsid w:val="00A92A1F"/>
    <w:rsid w:val="00A92A63"/>
    <w:rsid w:val="00A94207"/>
    <w:rsid w:val="00A945B2"/>
    <w:rsid w:val="00A94A20"/>
    <w:rsid w:val="00A95D1A"/>
    <w:rsid w:val="00A9609F"/>
    <w:rsid w:val="00A961BB"/>
    <w:rsid w:val="00A964B1"/>
    <w:rsid w:val="00A966C7"/>
    <w:rsid w:val="00A975B0"/>
    <w:rsid w:val="00AA0C58"/>
    <w:rsid w:val="00AA1475"/>
    <w:rsid w:val="00AA23A0"/>
    <w:rsid w:val="00AA3901"/>
    <w:rsid w:val="00AA45D6"/>
    <w:rsid w:val="00AA5205"/>
    <w:rsid w:val="00AA556A"/>
    <w:rsid w:val="00AA634E"/>
    <w:rsid w:val="00AA7AC8"/>
    <w:rsid w:val="00AB0D9D"/>
    <w:rsid w:val="00AB2926"/>
    <w:rsid w:val="00AB42A8"/>
    <w:rsid w:val="00AB478E"/>
    <w:rsid w:val="00AB598B"/>
    <w:rsid w:val="00AC11B5"/>
    <w:rsid w:val="00AC1478"/>
    <w:rsid w:val="00AC1A4B"/>
    <w:rsid w:val="00AC2249"/>
    <w:rsid w:val="00AC2794"/>
    <w:rsid w:val="00AC5D7E"/>
    <w:rsid w:val="00AD00EB"/>
    <w:rsid w:val="00AD0483"/>
    <w:rsid w:val="00AD04D1"/>
    <w:rsid w:val="00AD13ED"/>
    <w:rsid w:val="00AD2B87"/>
    <w:rsid w:val="00AD2E2D"/>
    <w:rsid w:val="00AD2E59"/>
    <w:rsid w:val="00AD2E6D"/>
    <w:rsid w:val="00AD525A"/>
    <w:rsid w:val="00AD7CD8"/>
    <w:rsid w:val="00AE1E42"/>
    <w:rsid w:val="00AE2879"/>
    <w:rsid w:val="00AE2EB9"/>
    <w:rsid w:val="00AE3288"/>
    <w:rsid w:val="00AE6AD9"/>
    <w:rsid w:val="00AF0FA8"/>
    <w:rsid w:val="00AF1474"/>
    <w:rsid w:val="00AF184A"/>
    <w:rsid w:val="00AF18F8"/>
    <w:rsid w:val="00AF21B2"/>
    <w:rsid w:val="00AF26FB"/>
    <w:rsid w:val="00AF52E6"/>
    <w:rsid w:val="00AF5855"/>
    <w:rsid w:val="00AF5E55"/>
    <w:rsid w:val="00AF5F13"/>
    <w:rsid w:val="00AF658E"/>
    <w:rsid w:val="00AF6BBE"/>
    <w:rsid w:val="00B04580"/>
    <w:rsid w:val="00B0492A"/>
    <w:rsid w:val="00B05D56"/>
    <w:rsid w:val="00B05EB4"/>
    <w:rsid w:val="00B06EDD"/>
    <w:rsid w:val="00B1256E"/>
    <w:rsid w:val="00B13834"/>
    <w:rsid w:val="00B149A8"/>
    <w:rsid w:val="00B212E7"/>
    <w:rsid w:val="00B2342F"/>
    <w:rsid w:val="00B24357"/>
    <w:rsid w:val="00B247A0"/>
    <w:rsid w:val="00B24ABB"/>
    <w:rsid w:val="00B25DAD"/>
    <w:rsid w:val="00B2606D"/>
    <w:rsid w:val="00B3061D"/>
    <w:rsid w:val="00B353D5"/>
    <w:rsid w:val="00B36F17"/>
    <w:rsid w:val="00B41892"/>
    <w:rsid w:val="00B43E2D"/>
    <w:rsid w:val="00B525B1"/>
    <w:rsid w:val="00B52B43"/>
    <w:rsid w:val="00B53CAF"/>
    <w:rsid w:val="00B545C2"/>
    <w:rsid w:val="00B57433"/>
    <w:rsid w:val="00B57729"/>
    <w:rsid w:val="00B5791F"/>
    <w:rsid w:val="00B605AC"/>
    <w:rsid w:val="00B65DDD"/>
    <w:rsid w:val="00B671F8"/>
    <w:rsid w:val="00B672C6"/>
    <w:rsid w:val="00B71025"/>
    <w:rsid w:val="00B7394A"/>
    <w:rsid w:val="00B76123"/>
    <w:rsid w:val="00B765F1"/>
    <w:rsid w:val="00B77249"/>
    <w:rsid w:val="00B77EB3"/>
    <w:rsid w:val="00B816A9"/>
    <w:rsid w:val="00B82EFA"/>
    <w:rsid w:val="00B8732E"/>
    <w:rsid w:val="00B87DB5"/>
    <w:rsid w:val="00B906D1"/>
    <w:rsid w:val="00B9117E"/>
    <w:rsid w:val="00B96DE2"/>
    <w:rsid w:val="00B971F2"/>
    <w:rsid w:val="00B97737"/>
    <w:rsid w:val="00BA159D"/>
    <w:rsid w:val="00BA23E1"/>
    <w:rsid w:val="00BA2719"/>
    <w:rsid w:val="00BA657A"/>
    <w:rsid w:val="00BA7C4F"/>
    <w:rsid w:val="00BA7FCE"/>
    <w:rsid w:val="00BB0DD1"/>
    <w:rsid w:val="00BB0E58"/>
    <w:rsid w:val="00BB2E3B"/>
    <w:rsid w:val="00BB3A82"/>
    <w:rsid w:val="00BB3C4E"/>
    <w:rsid w:val="00BB47AE"/>
    <w:rsid w:val="00BB5CE3"/>
    <w:rsid w:val="00BB5F48"/>
    <w:rsid w:val="00BB7BEE"/>
    <w:rsid w:val="00BB7CE9"/>
    <w:rsid w:val="00BC07FC"/>
    <w:rsid w:val="00BC4D3C"/>
    <w:rsid w:val="00BC5CF4"/>
    <w:rsid w:val="00BD0C2D"/>
    <w:rsid w:val="00BD0C67"/>
    <w:rsid w:val="00BD13D8"/>
    <w:rsid w:val="00BD18D7"/>
    <w:rsid w:val="00BD1ED8"/>
    <w:rsid w:val="00BD1EEA"/>
    <w:rsid w:val="00BD3E69"/>
    <w:rsid w:val="00BD41A2"/>
    <w:rsid w:val="00BD672C"/>
    <w:rsid w:val="00BD673D"/>
    <w:rsid w:val="00BE0C2E"/>
    <w:rsid w:val="00BE15F6"/>
    <w:rsid w:val="00BE2A71"/>
    <w:rsid w:val="00BE4476"/>
    <w:rsid w:val="00BE698D"/>
    <w:rsid w:val="00BF35CC"/>
    <w:rsid w:val="00BF3689"/>
    <w:rsid w:val="00BF48E7"/>
    <w:rsid w:val="00BF4C11"/>
    <w:rsid w:val="00BF628D"/>
    <w:rsid w:val="00BF6666"/>
    <w:rsid w:val="00BF6725"/>
    <w:rsid w:val="00BF6E50"/>
    <w:rsid w:val="00C02B75"/>
    <w:rsid w:val="00C03E7F"/>
    <w:rsid w:val="00C042D7"/>
    <w:rsid w:val="00C05725"/>
    <w:rsid w:val="00C05868"/>
    <w:rsid w:val="00C059C8"/>
    <w:rsid w:val="00C13D80"/>
    <w:rsid w:val="00C17D6C"/>
    <w:rsid w:val="00C2004E"/>
    <w:rsid w:val="00C20F00"/>
    <w:rsid w:val="00C22B8E"/>
    <w:rsid w:val="00C248C1"/>
    <w:rsid w:val="00C25433"/>
    <w:rsid w:val="00C25AAC"/>
    <w:rsid w:val="00C25C1E"/>
    <w:rsid w:val="00C26BA8"/>
    <w:rsid w:val="00C26D0C"/>
    <w:rsid w:val="00C317AE"/>
    <w:rsid w:val="00C33344"/>
    <w:rsid w:val="00C35281"/>
    <w:rsid w:val="00C361D8"/>
    <w:rsid w:val="00C36556"/>
    <w:rsid w:val="00C37FAD"/>
    <w:rsid w:val="00C404DA"/>
    <w:rsid w:val="00C41043"/>
    <w:rsid w:val="00C42553"/>
    <w:rsid w:val="00C42CDA"/>
    <w:rsid w:val="00C430AA"/>
    <w:rsid w:val="00C4359B"/>
    <w:rsid w:val="00C4455C"/>
    <w:rsid w:val="00C46151"/>
    <w:rsid w:val="00C47FD0"/>
    <w:rsid w:val="00C51970"/>
    <w:rsid w:val="00C52962"/>
    <w:rsid w:val="00C53F87"/>
    <w:rsid w:val="00C55736"/>
    <w:rsid w:val="00C5581C"/>
    <w:rsid w:val="00C60C71"/>
    <w:rsid w:val="00C614DA"/>
    <w:rsid w:val="00C62507"/>
    <w:rsid w:val="00C65713"/>
    <w:rsid w:val="00C7035F"/>
    <w:rsid w:val="00C728B9"/>
    <w:rsid w:val="00C73AA9"/>
    <w:rsid w:val="00C754D7"/>
    <w:rsid w:val="00C7640E"/>
    <w:rsid w:val="00C76811"/>
    <w:rsid w:val="00C774E2"/>
    <w:rsid w:val="00C804F8"/>
    <w:rsid w:val="00C80B0D"/>
    <w:rsid w:val="00C82E11"/>
    <w:rsid w:val="00C852B3"/>
    <w:rsid w:val="00C8639E"/>
    <w:rsid w:val="00C92B5F"/>
    <w:rsid w:val="00C92BF1"/>
    <w:rsid w:val="00C946D0"/>
    <w:rsid w:val="00C94863"/>
    <w:rsid w:val="00C95589"/>
    <w:rsid w:val="00C963BE"/>
    <w:rsid w:val="00C976FE"/>
    <w:rsid w:val="00CA00EA"/>
    <w:rsid w:val="00CA2783"/>
    <w:rsid w:val="00CA3B69"/>
    <w:rsid w:val="00CA6751"/>
    <w:rsid w:val="00CA684C"/>
    <w:rsid w:val="00CA6A48"/>
    <w:rsid w:val="00CB2790"/>
    <w:rsid w:val="00CC0502"/>
    <w:rsid w:val="00CC337F"/>
    <w:rsid w:val="00CC3E5F"/>
    <w:rsid w:val="00CC49A3"/>
    <w:rsid w:val="00CC59AC"/>
    <w:rsid w:val="00CC5CCE"/>
    <w:rsid w:val="00CC6D3F"/>
    <w:rsid w:val="00CC7BD4"/>
    <w:rsid w:val="00CD0856"/>
    <w:rsid w:val="00CD20BA"/>
    <w:rsid w:val="00CD3104"/>
    <w:rsid w:val="00CD321E"/>
    <w:rsid w:val="00CD4B61"/>
    <w:rsid w:val="00CD5B32"/>
    <w:rsid w:val="00CD710D"/>
    <w:rsid w:val="00CD76D9"/>
    <w:rsid w:val="00CE05B3"/>
    <w:rsid w:val="00CE596B"/>
    <w:rsid w:val="00CE5EEA"/>
    <w:rsid w:val="00CE63E5"/>
    <w:rsid w:val="00CE7EDB"/>
    <w:rsid w:val="00CF0A99"/>
    <w:rsid w:val="00CF17E8"/>
    <w:rsid w:val="00CF1BB2"/>
    <w:rsid w:val="00CF3B06"/>
    <w:rsid w:val="00CF700D"/>
    <w:rsid w:val="00CF7E3E"/>
    <w:rsid w:val="00D00469"/>
    <w:rsid w:val="00D00ABA"/>
    <w:rsid w:val="00D029A8"/>
    <w:rsid w:val="00D02C28"/>
    <w:rsid w:val="00D02C47"/>
    <w:rsid w:val="00D073A8"/>
    <w:rsid w:val="00D0745F"/>
    <w:rsid w:val="00D07EC7"/>
    <w:rsid w:val="00D111FE"/>
    <w:rsid w:val="00D11506"/>
    <w:rsid w:val="00D12D0D"/>
    <w:rsid w:val="00D15344"/>
    <w:rsid w:val="00D15E2F"/>
    <w:rsid w:val="00D168B8"/>
    <w:rsid w:val="00D1797D"/>
    <w:rsid w:val="00D2144E"/>
    <w:rsid w:val="00D24F0E"/>
    <w:rsid w:val="00D26041"/>
    <w:rsid w:val="00D26796"/>
    <w:rsid w:val="00D26D9F"/>
    <w:rsid w:val="00D3041C"/>
    <w:rsid w:val="00D32881"/>
    <w:rsid w:val="00D33AC9"/>
    <w:rsid w:val="00D37D54"/>
    <w:rsid w:val="00D41B40"/>
    <w:rsid w:val="00D41FD5"/>
    <w:rsid w:val="00D4269A"/>
    <w:rsid w:val="00D454BC"/>
    <w:rsid w:val="00D46164"/>
    <w:rsid w:val="00D463DA"/>
    <w:rsid w:val="00D505A3"/>
    <w:rsid w:val="00D509B2"/>
    <w:rsid w:val="00D52D4E"/>
    <w:rsid w:val="00D56989"/>
    <w:rsid w:val="00D63374"/>
    <w:rsid w:val="00D64331"/>
    <w:rsid w:val="00D70AA6"/>
    <w:rsid w:val="00D71B23"/>
    <w:rsid w:val="00D72A6E"/>
    <w:rsid w:val="00D74274"/>
    <w:rsid w:val="00D75458"/>
    <w:rsid w:val="00D77E95"/>
    <w:rsid w:val="00D81109"/>
    <w:rsid w:val="00D82BE7"/>
    <w:rsid w:val="00D82F4F"/>
    <w:rsid w:val="00D82FB2"/>
    <w:rsid w:val="00D860EB"/>
    <w:rsid w:val="00D871DF"/>
    <w:rsid w:val="00D90E1E"/>
    <w:rsid w:val="00D910B0"/>
    <w:rsid w:val="00D92D1B"/>
    <w:rsid w:val="00D92F12"/>
    <w:rsid w:val="00D9579D"/>
    <w:rsid w:val="00D9753F"/>
    <w:rsid w:val="00DA1E8B"/>
    <w:rsid w:val="00DA1EB3"/>
    <w:rsid w:val="00DA2C6D"/>
    <w:rsid w:val="00DA3A01"/>
    <w:rsid w:val="00DA7CE4"/>
    <w:rsid w:val="00DB036A"/>
    <w:rsid w:val="00DB1F24"/>
    <w:rsid w:val="00DB269E"/>
    <w:rsid w:val="00DB3455"/>
    <w:rsid w:val="00DB34C4"/>
    <w:rsid w:val="00DB4961"/>
    <w:rsid w:val="00DB7D3E"/>
    <w:rsid w:val="00DB7FD2"/>
    <w:rsid w:val="00DC1C87"/>
    <w:rsid w:val="00DC23FE"/>
    <w:rsid w:val="00DC46E0"/>
    <w:rsid w:val="00DC51B4"/>
    <w:rsid w:val="00DC66F7"/>
    <w:rsid w:val="00DC6C7D"/>
    <w:rsid w:val="00DC7C58"/>
    <w:rsid w:val="00DD05D3"/>
    <w:rsid w:val="00DD368C"/>
    <w:rsid w:val="00DD3C02"/>
    <w:rsid w:val="00DD7071"/>
    <w:rsid w:val="00DE07A1"/>
    <w:rsid w:val="00DE1419"/>
    <w:rsid w:val="00DE35CF"/>
    <w:rsid w:val="00DE40BA"/>
    <w:rsid w:val="00DE4B70"/>
    <w:rsid w:val="00DE64C8"/>
    <w:rsid w:val="00DE68DC"/>
    <w:rsid w:val="00DF0288"/>
    <w:rsid w:val="00DF2FFD"/>
    <w:rsid w:val="00DF4237"/>
    <w:rsid w:val="00DF4698"/>
    <w:rsid w:val="00DF5E91"/>
    <w:rsid w:val="00DF677A"/>
    <w:rsid w:val="00E0044F"/>
    <w:rsid w:val="00E05114"/>
    <w:rsid w:val="00E058EF"/>
    <w:rsid w:val="00E05F89"/>
    <w:rsid w:val="00E070CC"/>
    <w:rsid w:val="00E10A78"/>
    <w:rsid w:val="00E10B07"/>
    <w:rsid w:val="00E1537A"/>
    <w:rsid w:val="00E159A5"/>
    <w:rsid w:val="00E1645A"/>
    <w:rsid w:val="00E16566"/>
    <w:rsid w:val="00E20DE3"/>
    <w:rsid w:val="00E22AF6"/>
    <w:rsid w:val="00E22D28"/>
    <w:rsid w:val="00E23E70"/>
    <w:rsid w:val="00E257A7"/>
    <w:rsid w:val="00E26F47"/>
    <w:rsid w:val="00E2732B"/>
    <w:rsid w:val="00E32C89"/>
    <w:rsid w:val="00E35966"/>
    <w:rsid w:val="00E37C7C"/>
    <w:rsid w:val="00E40675"/>
    <w:rsid w:val="00E40715"/>
    <w:rsid w:val="00E40E26"/>
    <w:rsid w:val="00E452A9"/>
    <w:rsid w:val="00E45FE3"/>
    <w:rsid w:val="00E52FE2"/>
    <w:rsid w:val="00E55A3D"/>
    <w:rsid w:val="00E60F47"/>
    <w:rsid w:val="00E61967"/>
    <w:rsid w:val="00E61C4F"/>
    <w:rsid w:val="00E627CD"/>
    <w:rsid w:val="00E63CA1"/>
    <w:rsid w:val="00E64E98"/>
    <w:rsid w:val="00E66474"/>
    <w:rsid w:val="00E66C26"/>
    <w:rsid w:val="00E70F33"/>
    <w:rsid w:val="00E73433"/>
    <w:rsid w:val="00E737BE"/>
    <w:rsid w:val="00E75AFA"/>
    <w:rsid w:val="00E76460"/>
    <w:rsid w:val="00E82167"/>
    <w:rsid w:val="00E8492C"/>
    <w:rsid w:val="00E85089"/>
    <w:rsid w:val="00E85382"/>
    <w:rsid w:val="00E85416"/>
    <w:rsid w:val="00E91F74"/>
    <w:rsid w:val="00E92398"/>
    <w:rsid w:val="00E924D7"/>
    <w:rsid w:val="00E927F8"/>
    <w:rsid w:val="00E92A8E"/>
    <w:rsid w:val="00E92F15"/>
    <w:rsid w:val="00E93809"/>
    <w:rsid w:val="00E95D46"/>
    <w:rsid w:val="00E96025"/>
    <w:rsid w:val="00E96C75"/>
    <w:rsid w:val="00E96E23"/>
    <w:rsid w:val="00EA1394"/>
    <w:rsid w:val="00EA2B1D"/>
    <w:rsid w:val="00EA2B93"/>
    <w:rsid w:val="00EA6D87"/>
    <w:rsid w:val="00EB0186"/>
    <w:rsid w:val="00EB1433"/>
    <w:rsid w:val="00EB161E"/>
    <w:rsid w:val="00EB1C34"/>
    <w:rsid w:val="00EB4E5C"/>
    <w:rsid w:val="00EB5196"/>
    <w:rsid w:val="00EB5770"/>
    <w:rsid w:val="00EB6461"/>
    <w:rsid w:val="00EB6829"/>
    <w:rsid w:val="00EB6B5E"/>
    <w:rsid w:val="00EB733A"/>
    <w:rsid w:val="00EC17B0"/>
    <w:rsid w:val="00EC4744"/>
    <w:rsid w:val="00EC541E"/>
    <w:rsid w:val="00EC5889"/>
    <w:rsid w:val="00ED144D"/>
    <w:rsid w:val="00ED1B71"/>
    <w:rsid w:val="00ED2ED3"/>
    <w:rsid w:val="00ED3911"/>
    <w:rsid w:val="00ED5B26"/>
    <w:rsid w:val="00ED5BDA"/>
    <w:rsid w:val="00ED5F39"/>
    <w:rsid w:val="00ED7690"/>
    <w:rsid w:val="00ED77C5"/>
    <w:rsid w:val="00ED7CFD"/>
    <w:rsid w:val="00EE0121"/>
    <w:rsid w:val="00EE0800"/>
    <w:rsid w:val="00EE61C4"/>
    <w:rsid w:val="00EE6BB5"/>
    <w:rsid w:val="00EE72DD"/>
    <w:rsid w:val="00EE7C95"/>
    <w:rsid w:val="00EF07CE"/>
    <w:rsid w:val="00EF1118"/>
    <w:rsid w:val="00EF1366"/>
    <w:rsid w:val="00EF1BDE"/>
    <w:rsid w:val="00EF58CD"/>
    <w:rsid w:val="00EF5B1A"/>
    <w:rsid w:val="00F00CA0"/>
    <w:rsid w:val="00F00E93"/>
    <w:rsid w:val="00F01DEE"/>
    <w:rsid w:val="00F02B69"/>
    <w:rsid w:val="00F110DA"/>
    <w:rsid w:val="00F1198C"/>
    <w:rsid w:val="00F1264D"/>
    <w:rsid w:val="00F156A9"/>
    <w:rsid w:val="00F17DA5"/>
    <w:rsid w:val="00F20052"/>
    <w:rsid w:val="00F203CA"/>
    <w:rsid w:val="00F2109E"/>
    <w:rsid w:val="00F21E49"/>
    <w:rsid w:val="00F22349"/>
    <w:rsid w:val="00F23803"/>
    <w:rsid w:val="00F239EC"/>
    <w:rsid w:val="00F256EC"/>
    <w:rsid w:val="00F25B7A"/>
    <w:rsid w:val="00F26B1D"/>
    <w:rsid w:val="00F27EA9"/>
    <w:rsid w:val="00F30756"/>
    <w:rsid w:val="00F3203B"/>
    <w:rsid w:val="00F3284E"/>
    <w:rsid w:val="00F34BD9"/>
    <w:rsid w:val="00F370F7"/>
    <w:rsid w:val="00F40EDC"/>
    <w:rsid w:val="00F41B03"/>
    <w:rsid w:val="00F428FE"/>
    <w:rsid w:val="00F42F71"/>
    <w:rsid w:val="00F43708"/>
    <w:rsid w:val="00F43FA5"/>
    <w:rsid w:val="00F443BF"/>
    <w:rsid w:val="00F44C8D"/>
    <w:rsid w:val="00F45C89"/>
    <w:rsid w:val="00F4617A"/>
    <w:rsid w:val="00F47444"/>
    <w:rsid w:val="00F50941"/>
    <w:rsid w:val="00F52A6B"/>
    <w:rsid w:val="00F52F16"/>
    <w:rsid w:val="00F53839"/>
    <w:rsid w:val="00F53B52"/>
    <w:rsid w:val="00F53CD4"/>
    <w:rsid w:val="00F55293"/>
    <w:rsid w:val="00F608EA"/>
    <w:rsid w:val="00F60A24"/>
    <w:rsid w:val="00F61806"/>
    <w:rsid w:val="00F61931"/>
    <w:rsid w:val="00F630D3"/>
    <w:rsid w:val="00F63F5F"/>
    <w:rsid w:val="00F6460F"/>
    <w:rsid w:val="00F67714"/>
    <w:rsid w:val="00F7135C"/>
    <w:rsid w:val="00F71C0E"/>
    <w:rsid w:val="00F731A1"/>
    <w:rsid w:val="00F74379"/>
    <w:rsid w:val="00F74A0A"/>
    <w:rsid w:val="00F75D97"/>
    <w:rsid w:val="00F76BF5"/>
    <w:rsid w:val="00F813AB"/>
    <w:rsid w:val="00F823D2"/>
    <w:rsid w:val="00F844DC"/>
    <w:rsid w:val="00F863F8"/>
    <w:rsid w:val="00F90DB2"/>
    <w:rsid w:val="00F910BD"/>
    <w:rsid w:val="00F91F41"/>
    <w:rsid w:val="00F9233D"/>
    <w:rsid w:val="00F94F14"/>
    <w:rsid w:val="00F963A0"/>
    <w:rsid w:val="00FA1E07"/>
    <w:rsid w:val="00FA4A97"/>
    <w:rsid w:val="00FA4B38"/>
    <w:rsid w:val="00FA678C"/>
    <w:rsid w:val="00FB01EF"/>
    <w:rsid w:val="00FB10D1"/>
    <w:rsid w:val="00FB1246"/>
    <w:rsid w:val="00FB2B4C"/>
    <w:rsid w:val="00FB2FAF"/>
    <w:rsid w:val="00FB31EF"/>
    <w:rsid w:val="00FB413C"/>
    <w:rsid w:val="00FB5AB2"/>
    <w:rsid w:val="00FB6328"/>
    <w:rsid w:val="00FC1D1E"/>
    <w:rsid w:val="00FC1DDF"/>
    <w:rsid w:val="00FC2919"/>
    <w:rsid w:val="00FC2FAE"/>
    <w:rsid w:val="00FC5B2F"/>
    <w:rsid w:val="00FD0FA4"/>
    <w:rsid w:val="00FD1825"/>
    <w:rsid w:val="00FE02A3"/>
    <w:rsid w:val="00FE08DF"/>
    <w:rsid w:val="00FE2F79"/>
    <w:rsid w:val="00FE3342"/>
    <w:rsid w:val="00FE3691"/>
    <w:rsid w:val="00FE3AFB"/>
    <w:rsid w:val="00FE4997"/>
    <w:rsid w:val="00FE57AD"/>
    <w:rsid w:val="00FF1E0A"/>
    <w:rsid w:val="00FF29E0"/>
    <w:rsid w:val="00FF32D9"/>
    <w:rsid w:val="00FF52F1"/>
    <w:rsid w:val="00FF5DDE"/>
    <w:rsid w:val="00FF7946"/>
    <w:rsid w:val="019B68CA"/>
    <w:rsid w:val="01D80468"/>
    <w:rsid w:val="02235227"/>
    <w:rsid w:val="024D2F02"/>
    <w:rsid w:val="02661E94"/>
    <w:rsid w:val="02BE4CC1"/>
    <w:rsid w:val="03B90FF0"/>
    <w:rsid w:val="03C04B62"/>
    <w:rsid w:val="03DA2635"/>
    <w:rsid w:val="03E00F4D"/>
    <w:rsid w:val="04AF62B0"/>
    <w:rsid w:val="05D67331"/>
    <w:rsid w:val="06B012D0"/>
    <w:rsid w:val="072016D7"/>
    <w:rsid w:val="075D7DCE"/>
    <w:rsid w:val="07811A02"/>
    <w:rsid w:val="07840C17"/>
    <w:rsid w:val="07CB1CCC"/>
    <w:rsid w:val="080D16F6"/>
    <w:rsid w:val="08DB4C70"/>
    <w:rsid w:val="09095327"/>
    <w:rsid w:val="091E5DC9"/>
    <w:rsid w:val="0954328A"/>
    <w:rsid w:val="09622C8A"/>
    <w:rsid w:val="09732A37"/>
    <w:rsid w:val="0A01663D"/>
    <w:rsid w:val="0A491AE9"/>
    <w:rsid w:val="0AA51533"/>
    <w:rsid w:val="0AAB7B41"/>
    <w:rsid w:val="0AD41965"/>
    <w:rsid w:val="0AD7655D"/>
    <w:rsid w:val="0B77002E"/>
    <w:rsid w:val="0BD842C7"/>
    <w:rsid w:val="0C77560B"/>
    <w:rsid w:val="0D1D6967"/>
    <w:rsid w:val="0D90569B"/>
    <w:rsid w:val="0DB37F58"/>
    <w:rsid w:val="0DBA6E83"/>
    <w:rsid w:val="0DBB7335"/>
    <w:rsid w:val="0EF26431"/>
    <w:rsid w:val="0F0319D9"/>
    <w:rsid w:val="0F604DCC"/>
    <w:rsid w:val="10380F03"/>
    <w:rsid w:val="11F21C6B"/>
    <w:rsid w:val="123263B6"/>
    <w:rsid w:val="12416D31"/>
    <w:rsid w:val="1286226F"/>
    <w:rsid w:val="12E638F8"/>
    <w:rsid w:val="143E0584"/>
    <w:rsid w:val="147F3AF9"/>
    <w:rsid w:val="158A4532"/>
    <w:rsid w:val="15BE1409"/>
    <w:rsid w:val="15FB282C"/>
    <w:rsid w:val="16C2474D"/>
    <w:rsid w:val="17177878"/>
    <w:rsid w:val="173564B3"/>
    <w:rsid w:val="17747789"/>
    <w:rsid w:val="1825648E"/>
    <w:rsid w:val="184929E4"/>
    <w:rsid w:val="187601AA"/>
    <w:rsid w:val="18950720"/>
    <w:rsid w:val="1916058C"/>
    <w:rsid w:val="198A5F03"/>
    <w:rsid w:val="1A0A0EFF"/>
    <w:rsid w:val="1AD962FA"/>
    <w:rsid w:val="1B3F1F04"/>
    <w:rsid w:val="1B47340B"/>
    <w:rsid w:val="1B4A624E"/>
    <w:rsid w:val="1B851E38"/>
    <w:rsid w:val="1C4101F3"/>
    <w:rsid w:val="1C682D8F"/>
    <w:rsid w:val="1C8A2D3A"/>
    <w:rsid w:val="1CA06DAD"/>
    <w:rsid w:val="1CD337D0"/>
    <w:rsid w:val="1CF1492B"/>
    <w:rsid w:val="1CFF0C41"/>
    <w:rsid w:val="1DB95116"/>
    <w:rsid w:val="1FF2792F"/>
    <w:rsid w:val="20050766"/>
    <w:rsid w:val="202D61AD"/>
    <w:rsid w:val="203547D4"/>
    <w:rsid w:val="20A15D31"/>
    <w:rsid w:val="210A4B8D"/>
    <w:rsid w:val="214B42D7"/>
    <w:rsid w:val="21A61044"/>
    <w:rsid w:val="21C77D00"/>
    <w:rsid w:val="21EA0602"/>
    <w:rsid w:val="22DB6EFF"/>
    <w:rsid w:val="23357183"/>
    <w:rsid w:val="235B5D48"/>
    <w:rsid w:val="23EC05EC"/>
    <w:rsid w:val="24AE2869"/>
    <w:rsid w:val="24BF38BF"/>
    <w:rsid w:val="25CE197B"/>
    <w:rsid w:val="26086C3B"/>
    <w:rsid w:val="2670658E"/>
    <w:rsid w:val="277B3D62"/>
    <w:rsid w:val="27827383"/>
    <w:rsid w:val="285C501C"/>
    <w:rsid w:val="289B16E8"/>
    <w:rsid w:val="28B7526C"/>
    <w:rsid w:val="290E6F23"/>
    <w:rsid w:val="2A6210C8"/>
    <w:rsid w:val="2A6A1E4E"/>
    <w:rsid w:val="2AA7341F"/>
    <w:rsid w:val="2AAE15DA"/>
    <w:rsid w:val="2B2679ED"/>
    <w:rsid w:val="2BA56A96"/>
    <w:rsid w:val="2C145244"/>
    <w:rsid w:val="2C9D30B4"/>
    <w:rsid w:val="2D1C285E"/>
    <w:rsid w:val="2D4E7DBF"/>
    <w:rsid w:val="2DCE66C5"/>
    <w:rsid w:val="2DDE007F"/>
    <w:rsid w:val="2E34416C"/>
    <w:rsid w:val="2E554015"/>
    <w:rsid w:val="2E7B4385"/>
    <w:rsid w:val="2EB86B51"/>
    <w:rsid w:val="2F241608"/>
    <w:rsid w:val="2F951887"/>
    <w:rsid w:val="30737AC2"/>
    <w:rsid w:val="30DD1E85"/>
    <w:rsid w:val="30E22CB1"/>
    <w:rsid w:val="31A31F0E"/>
    <w:rsid w:val="31C361F6"/>
    <w:rsid w:val="32A9646C"/>
    <w:rsid w:val="33117C61"/>
    <w:rsid w:val="3391654A"/>
    <w:rsid w:val="33D42DA3"/>
    <w:rsid w:val="33E24AC0"/>
    <w:rsid w:val="34B56D1B"/>
    <w:rsid w:val="353B411E"/>
    <w:rsid w:val="360D335B"/>
    <w:rsid w:val="369A606B"/>
    <w:rsid w:val="37134324"/>
    <w:rsid w:val="38D46734"/>
    <w:rsid w:val="39C94538"/>
    <w:rsid w:val="39D75291"/>
    <w:rsid w:val="39EE5083"/>
    <w:rsid w:val="39FD435E"/>
    <w:rsid w:val="3A726B15"/>
    <w:rsid w:val="3B180BC6"/>
    <w:rsid w:val="3B506C62"/>
    <w:rsid w:val="3B840B96"/>
    <w:rsid w:val="3BA7084C"/>
    <w:rsid w:val="3C2E5AAF"/>
    <w:rsid w:val="3C432323"/>
    <w:rsid w:val="3C4D44F2"/>
    <w:rsid w:val="3C88669B"/>
    <w:rsid w:val="3C8A77B4"/>
    <w:rsid w:val="3CA1135D"/>
    <w:rsid w:val="3CA96D34"/>
    <w:rsid w:val="3CAC773E"/>
    <w:rsid w:val="3CC25F9E"/>
    <w:rsid w:val="3D674B9C"/>
    <w:rsid w:val="3D8F64F0"/>
    <w:rsid w:val="3DF47BC8"/>
    <w:rsid w:val="3DFB7C56"/>
    <w:rsid w:val="3E2278A3"/>
    <w:rsid w:val="3E4D1237"/>
    <w:rsid w:val="3E6A3B12"/>
    <w:rsid w:val="3E6D4BFF"/>
    <w:rsid w:val="3ED5170F"/>
    <w:rsid w:val="3EDF3E59"/>
    <w:rsid w:val="3F664E56"/>
    <w:rsid w:val="3FA81091"/>
    <w:rsid w:val="3FC7103D"/>
    <w:rsid w:val="401A2B25"/>
    <w:rsid w:val="40A2602B"/>
    <w:rsid w:val="40D2620C"/>
    <w:rsid w:val="4118667F"/>
    <w:rsid w:val="413A50CF"/>
    <w:rsid w:val="415948B3"/>
    <w:rsid w:val="416B3E0D"/>
    <w:rsid w:val="41C22CFC"/>
    <w:rsid w:val="42C61BB1"/>
    <w:rsid w:val="42CA554C"/>
    <w:rsid w:val="43053E8D"/>
    <w:rsid w:val="436945ED"/>
    <w:rsid w:val="44291212"/>
    <w:rsid w:val="44835964"/>
    <w:rsid w:val="4485603E"/>
    <w:rsid w:val="44B9528F"/>
    <w:rsid w:val="451A06ED"/>
    <w:rsid w:val="45956F51"/>
    <w:rsid w:val="4607784D"/>
    <w:rsid w:val="46650D21"/>
    <w:rsid w:val="466A08FE"/>
    <w:rsid w:val="471E326F"/>
    <w:rsid w:val="479E3355"/>
    <w:rsid w:val="47ED75E7"/>
    <w:rsid w:val="488A7469"/>
    <w:rsid w:val="490A6BEB"/>
    <w:rsid w:val="49AB3522"/>
    <w:rsid w:val="49CE201A"/>
    <w:rsid w:val="4A141425"/>
    <w:rsid w:val="4B892C6D"/>
    <w:rsid w:val="4BEF09A9"/>
    <w:rsid w:val="4C2E32B2"/>
    <w:rsid w:val="4C455EFE"/>
    <w:rsid w:val="4C5F43CD"/>
    <w:rsid w:val="4DB921CC"/>
    <w:rsid w:val="4E1F7501"/>
    <w:rsid w:val="4F24071F"/>
    <w:rsid w:val="4FA63026"/>
    <w:rsid w:val="500320EF"/>
    <w:rsid w:val="50A069DB"/>
    <w:rsid w:val="51190CCC"/>
    <w:rsid w:val="51311302"/>
    <w:rsid w:val="51AA1595"/>
    <w:rsid w:val="51C8534D"/>
    <w:rsid w:val="5252591C"/>
    <w:rsid w:val="52691F60"/>
    <w:rsid w:val="53046D76"/>
    <w:rsid w:val="530B0C97"/>
    <w:rsid w:val="53146778"/>
    <w:rsid w:val="53915072"/>
    <w:rsid w:val="53D0673A"/>
    <w:rsid w:val="53DC50DF"/>
    <w:rsid w:val="545E1D02"/>
    <w:rsid w:val="54626B44"/>
    <w:rsid w:val="54AD25D8"/>
    <w:rsid w:val="55665D0A"/>
    <w:rsid w:val="558C48E3"/>
    <w:rsid w:val="55B75358"/>
    <w:rsid w:val="55F304BE"/>
    <w:rsid w:val="560919CF"/>
    <w:rsid w:val="560D71DD"/>
    <w:rsid w:val="56A6399E"/>
    <w:rsid w:val="570F6872"/>
    <w:rsid w:val="57983794"/>
    <w:rsid w:val="57C71E42"/>
    <w:rsid w:val="58500B7C"/>
    <w:rsid w:val="59364FE5"/>
    <w:rsid w:val="5989213E"/>
    <w:rsid w:val="5A286C77"/>
    <w:rsid w:val="5A7871E4"/>
    <w:rsid w:val="5AEA672C"/>
    <w:rsid w:val="5AF53D18"/>
    <w:rsid w:val="5AF815DC"/>
    <w:rsid w:val="5B1644BA"/>
    <w:rsid w:val="5B97535E"/>
    <w:rsid w:val="5BAB6084"/>
    <w:rsid w:val="5DEB1835"/>
    <w:rsid w:val="5E0A7B0C"/>
    <w:rsid w:val="5E132E30"/>
    <w:rsid w:val="5EA66841"/>
    <w:rsid w:val="5F2320FF"/>
    <w:rsid w:val="5F9405C3"/>
    <w:rsid w:val="5FAB005C"/>
    <w:rsid w:val="60AB04A6"/>
    <w:rsid w:val="60EB4228"/>
    <w:rsid w:val="61AB5D3F"/>
    <w:rsid w:val="61B0453B"/>
    <w:rsid w:val="61D27B22"/>
    <w:rsid w:val="62D87AB0"/>
    <w:rsid w:val="65BE011A"/>
    <w:rsid w:val="66287D10"/>
    <w:rsid w:val="66611474"/>
    <w:rsid w:val="666F5A4C"/>
    <w:rsid w:val="66962AB2"/>
    <w:rsid w:val="66E77B9E"/>
    <w:rsid w:val="681C5390"/>
    <w:rsid w:val="683073A9"/>
    <w:rsid w:val="68C7443D"/>
    <w:rsid w:val="69025050"/>
    <w:rsid w:val="69064A54"/>
    <w:rsid w:val="6929530F"/>
    <w:rsid w:val="69345377"/>
    <w:rsid w:val="693F0CA6"/>
    <w:rsid w:val="699E37A5"/>
    <w:rsid w:val="69FD6826"/>
    <w:rsid w:val="6A80552A"/>
    <w:rsid w:val="6AAA6D7B"/>
    <w:rsid w:val="6AAF065C"/>
    <w:rsid w:val="6AC5413D"/>
    <w:rsid w:val="6ADA5D29"/>
    <w:rsid w:val="6B0661EB"/>
    <w:rsid w:val="6B1577DA"/>
    <w:rsid w:val="6BEB18D0"/>
    <w:rsid w:val="6C166C53"/>
    <w:rsid w:val="6C933BB9"/>
    <w:rsid w:val="6CEA7CFE"/>
    <w:rsid w:val="6CFD37BD"/>
    <w:rsid w:val="6D253D6B"/>
    <w:rsid w:val="6E205418"/>
    <w:rsid w:val="6E321ACF"/>
    <w:rsid w:val="6E900B48"/>
    <w:rsid w:val="6F0E7A8A"/>
    <w:rsid w:val="6F38476F"/>
    <w:rsid w:val="6F851DA6"/>
    <w:rsid w:val="6FBE656C"/>
    <w:rsid w:val="70345485"/>
    <w:rsid w:val="709E7367"/>
    <w:rsid w:val="70E74E3F"/>
    <w:rsid w:val="711041C2"/>
    <w:rsid w:val="71590102"/>
    <w:rsid w:val="71FE2A62"/>
    <w:rsid w:val="72747090"/>
    <w:rsid w:val="7286647A"/>
    <w:rsid w:val="72FD7FCD"/>
    <w:rsid w:val="73145973"/>
    <w:rsid w:val="73605B3B"/>
    <w:rsid w:val="74820F33"/>
    <w:rsid w:val="74BA5B74"/>
    <w:rsid w:val="74D83DAE"/>
    <w:rsid w:val="74DD4729"/>
    <w:rsid w:val="75115EDA"/>
    <w:rsid w:val="75492412"/>
    <w:rsid w:val="75C47A14"/>
    <w:rsid w:val="768F4A11"/>
    <w:rsid w:val="769C50F4"/>
    <w:rsid w:val="776F0404"/>
    <w:rsid w:val="78281118"/>
    <w:rsid w:val="782865AE"/>
    <w:rsid w:val="78C659C1"/>
    <w:rsid w:val="78CF112E"/>
    <w:rsid w:val="7946077D"/>
    <w:rsid w:val="7AA14ED6"/>
    <w:rsid w:val="7CB55CB8"/>
    <w:rsid w:val="7E731AAF"/>
    <w:rsid w:val="7EA26357"/>
    <w:rsid w:val="7EEC198C"/>
  </w:rsids>
  <w:docVars>
    <w:docVar w:name="commondata" w:val="eyJoZGlkIjoiYTc3NjZhNzUyNDNjOWU4NzE2NDAwOGU1NzRmZTJlN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B8C364"/>
  <w15:docId w15:val="{5FA47C8E-135C-4C94-BAE6-98DDBA27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semiHidden="1" w:qFormat="1"/>
    <w:lsdException w:name="header" w:qFormat="1"/>
    <w:lsdException w:name="footer" w:uiPriority="99"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uiPriority="1"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PMingLiU"/>
      <w:sz w:val="22"/>
      <w:lang w:val="en-GB" w:eastAsia="en-US"/>
    </w:rPr>
  </w:style>
  <w:style w:type="paragraph" w:styleId="Heading1">
    <w:name w:val="heading 1"/>
    <w:basedOn w:val="ReportLevel1"/>
    <w:next w:val="Normal"/>
    <w:link w:val="1"/>
    <w:qFormat/>
    <w:pPr>
      <w:keepNext w:val="0"/>
      <w:numPr>
        <w:numId w:val="1"/>
      </w:numPr>
      <w:tabs>
        <w:tab w:val="left" w:pos="1080"/>
      </w:tabs>
      <w:outlineLvl w:val="0"/>
    </w:pPr>
    <w:rPr>
      <w:rFonts w:cs="Arial"/>
    </w:rPr>
  </w:style>
  <w:style w:type="paragraph" w:styleId="Heading2">
    <w:name w:val="heading 2"/>
    <w:basedOn w:val="Heading1"/>
    <w:next w:val="Normal"/>
    <w:link w:val="2"/>
    <w:uiPriority w:val="9"/>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uiPriority w:val="9"/>
    <w:qFormat/>
    <w:pPr>
      <w:outlineLvl w:val="3"/>
    </w:pPr>
  </w:style>
  <w:style w:type="paragraph" w:styleId="Heading5">
    <w:name w:val="heading 5"/>
    <w:basedOn w:val="Normal"/>
    <w:next w:val="Normal"/>
    <w:link w:val="5"/>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link w:val="ReportLevel1Char0"/>
    <w:qFormat/>
    <w:pPr>
      <w:keepNext/>
      <w:tabs>
        <w:tab w:val="left" w:pos="1077"/>
      </w:tabs>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2"/>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3"/>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4"/>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5"/>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semiHidden/>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6"/>
      </w:numPr>
    </w:pPr>
  </w:style>
  <w:style w:type="paragraph" w:styleId="BodyText">
    <w:name w:val="Body Text"/>
    <w:basedOn w:val="Normal"/>
    <w:link w:val="a2"/>
    <w:uiPriority w:val="1"/>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7"/>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8"/>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9"/>
      </w:numPr>
    </w:pPr>
  </w:style>
  <w:style w:type="paragraph" w:styleId="ListNumber4">
    <w:name w:val="List Number 4"/>
    <w:basedOn w:val="Normal"/>
    <w:qFormat/>
    <w:pPr>
      <w:numPr>
        <w:numId w:val="10"/>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qFormat/>
    <w:rPr>
      <w:rFonts w:ascii="宋体" w:eastAsia="宋体"/>
      <w:sz w:val="18"/>
      <w:szCs w:val="18"/>
    </w:rPr>
  </w:style>
  <w:style w:type="paragraph" w:styleId="Footer">
    <w:name w:val="footer"/>
    <w:basedOn w:val="Normal"/>
    <w:link w:val="a"/>
    <w:uiPriority w:val="99"/>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1"/>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uiPriority w:val="99"/>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uiPriority w:val="59"/>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qFormat/>
    <w:rPr>
      <w:rFonts w:cs="Arial"/>
      <w:b/>
      <w:caps/>
      <w:sz w:val="24"/>
      <w:lang w:val="en-GB" w:eastAsia="en-US"/>
    </w:rPr>
  </w:style>
  <w:style w:type="character" w:customStyle="1" w:styleId="2">
    <w:name w:val="标题 2 字符"/>
    <w:basedOn w:val="DefaultParagraphFont"/>
    <w:link w:val="Heading2"/>
    <w:uiPriority w:val="9"/>
    <w:qFormat/>
    <w:rPr>
      <w:rFonts w:cs="Arial"/>
      <w:b/>
      <w:sz w:val="24"/>
      <w:lang w:val="en-GB" w:eastAsia="en-US"/>
    </w:rPr>
  </w:style>
  <w:style w:type="character" w:customStyle="1" w:styleId="3">
    <w:name w:val="标题 3 字符"/>
    <w:basedOn w:val="DefaultParagraphFont"/>
    <w:link w:val="Heading3"/>
    <w:qFormat/>
    <w:rPr>
      <w:rFonts w:cs="Arial"/>
      <w:b/>
      <w:lang w:val="en-GB" w:eastAsia="en-US"/>
    </w:rPr>
  </w:style>
  <w:style w:type="character" w:customStyle="1" w:styleId="4">
    <w:name w:val="标题 4 字符"/>
    <w:basedOn w:val="DefaultParagraphFont"/>
    <w:link w:val="Heading4"/>
    <w:uiPriority w:val="9"/>
    <w:qFormat/>
    <w:rPr>
      <w:rFonts w:cs="Arial"/>
      <w:b/>
      <w:lang w:val="en-GB" w:eastAsia="en-US"/>
    </w:rPr>
  </w:style>
  <w:style w:type="character" w:customStyle="1" w:styleId="5">
    <w:name w:val="标题 5 字符"/>
    <w:basedOn w:val="DefaultParagraphFont"/>
    <w:link w:val="Heading5"/>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uiPriority w:val="99"/>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semiHidden/>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Id w:val="12"/>
      </w:numPr>
      <w:outlineLvl w:val="1"/>
    </w:pPr>
    <w:rPr>
      <w:b w:val="0"/>
      <w:caps w:val="0"/>
    </w:rPr>
  </w:style>
  <w:style w:type="character" w:customStyle="1" w:styleId="ReportLevel2Char1">
    <w:name w:val="Report Level 2 Char1"/>
    <w:link w:val="ReportLevel2"/>
    <w:qFormat/>
    <w:rPr>
      <w:sz w:val="24"/>
      <w:lang w:val="en-GB" w:eastAsia="en-US"/>
    </w:rPr>
  </w:style>
  <w:style w:type="paragraph" w:customStyle="1" w:styleId="ReportLevel3">
    <w:name w:val="Report Level 3"/>
    <w:basedOn w:val="ReportLevel1"/>
    <w:next w:val="Normal"/>
    <w:link w:val="ReportLevel3Char"/>
    <w:qFormat/>
    <w:pPr>
      <w:numPr>
        <w:ilvl w:val="2"/>
        <w:numId w:val="12"/>
      </w:numPr>
      <w:jc w:val="both"/>
      <w:outlineLvl w:val="2"/>
    </w:pPr>
    <w:rPr>
      <w:rFonts w:eastAsia="PMingLiU"/>
      <w:b w:val="0"/>
      <w:caps w:val="0"/>
    </w:rPr>
  </w:style>
  <w:style w:type="character" w:customStyle="1" w:styleId="ReportLevel3Char">
    <w:name w:val="Report Level 3 Char"/>
    <w:link w:val="ReportLevel3"/>
    <w:qFormat/>
    <w:rPr>
      <w:rFonts w:eastAsia="PMingLiU"/>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uiPriority w:val="99"/>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tabs>
        <w:tab w:val="clear" w:pos="1440"/>
      </w:tabs>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uiPriority w:val="34"/>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eastAsia="全真中明體"/>
      <w:spacing w:val="30"/>
      <w:sz w:val="24"/>
      <w:lang w:val="en-GB" w:eastAsia="zh-TW"/>
    </w:rPr>
  </w:style>
  <w:style w:type="character" w:customStyle="1" w:styleId="a19">
    <w:name w:val="批注框文本 字符"/>
    <w:basedOn w:val="DefaultParagraphFont"/>
    <w:link w:val="BalloonText"/>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eastAsia="全真中明體"/>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eastAsia="全真中明體"/>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eastAsia="全真中明體"/>
      <w:spacing w:val="30"/>
      <w:sz w:val="24"/>
      <w:lang w:val="en-GB" w:eastAsia="zh-TW"/>
    </w:rPr>
  </w:style>
  <w:style w:type="paragraph" w:customStyle="1" w:styleId="P2">
    <w:name w:val="P2"/>
    <w:qFormat/>
    <w:pPr>
      <w:widowControl w:val="0"/>
      <w:adjustRightInd w:val="0"/>
      <w:spacing w:after="240"/>
      <w:ind w:left="1728"/>
      <w:jc w:val="both"/>
      <w:textAlignment w:val="baseline"/>
    </w:pPr>
    <w:rPr>
      <w:rFonts w:eastAsia="全真中明體"/>
      <w:spacing w:val="30"/>
      <w:sz w:val="24"/>
      <w:lang w:val="en-GB" w:eastAsia="zh-TW"/>
    </w:rPr>
  </w:style>
  <w:style w:type="paragraph" w:customStyle="1" w:styleId="10">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1">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14:shadow w14:blurRad="50800" w14:dist="38100" w14:dir="2700000" w14:sx="100000" w14:sy="100000" w14:kx="0" w14:ky="0" w14:algn="tl">
        <w14:srgbClr w14:val="000000">
          <w14:alpha w14:val="60000"/>
        </w14:srgbClr>
      </w14:shado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link w:val="DefaultChar"/>
    <w:qFormat/>
    <w:pPr>
      <w:widowControl w:val="0"/>
      <w:autoSpaceDE w:val="0"/>
      <w:autoSpaceDN w:val="0"/>
      <w:adjustRightInd w:val="0"/>
    </w:pPr>
    <w:rPr>
      <w:rFonts w:ascii="华文楷体" w:eastAsia="华文楷体"/>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semiHidden/>
    <w:qFormat/>
    <w:rPr>
      <w:rFonts w:ascii="Times New Roman" w:eastAsia="PMingLiU" w:hAnsi="Times New Roman" w:cs="Times New Roman"/>
      <w:b/>
      <w:bCs/>
      <w:kern w:val="0"/>
      <w:sz w:val="20"/>
      <w:szCs w:val="20"/>
      <w:lang w:val="en-GB" w:eastAsia="en-US"/>
    </w:rPr>
  </w:style>
  <w:style w:type="character" w:customStyle="1" w:styleId="Char10">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1">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77"/>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paragraph" w:customStyle="1" w:styleId="12">
    <w:name w:val="修订1"/>
    <w:hidden/>
    <w:uiPriority w:val="99"/>
    <w:semiHidden/>
    <w:qFormat/>
    <w:rPr>
      <w:rFonts w:eastAsia="PMingLiU"/>
      <w:sz w:val="22"/>
      <w:lang w:val="en-GB" w:eastAsia="en-US"/>
    </w:rPr>
  </w:style>
  <w:style w:type="paragraph" w:customStyle="1" w:styleId="1ReportLevel1">
    <w:name w:val="1.Report Level 1"/>
    <w:basedOn w:val="Normal"/>
    <w:next w:val="ReportText"/>
    <w:qFormat/>
    <w:pPr>
      <w:keepNext/>
      <w:outlineLvl w:val="0"/>
    </w:pPr>
    <w:rPr>
      <w:rFonts w:eastAsia="宋体"/>
      <w:b/>
      <w:caps/>
      <w:sz w:val="24"/>
    </w:rPr>
  </w:style>
  <w:style w:type="paragraph" w:customStyle="1" w:styleId="Reportlevel10">
    <w:name w:val="Report level1"/>
    <w:basedOn w:val="Heading1"/>
    <w:next w:val="1ReportLevel1"/>
    <w:link w:val="Reportlevel1Char"/>
    <w:qFormat/>
    <w:pPr>
      <w:keepNext/>
      <w:tabs>
        <w:tab w:val="clear" w:pos="720"/>
        <w:tab w:val="clear" w:pos="1077"/>
        <w:tab w:val="clear" w:pos="1080"/>
      </w:tabs>
      <w:spacing w:line="360" w:lineRule="auto"/>
      <w:ind w:left="425" w:hanging="425"/>
    </w:pPr>
    <w:rPr>
      <w:rFonts w:ascii="宋体" w:hAnsi="宋体" w:cs="Times New Roman"/>
      <w:szCs w:val="24"/>
    </w:rPr>
  </w:style>
  <w:style w:type="character" w:customStyle="1" w:styleId="Reportlevel1Char">
    <w:name w:val="Report level1 Char"/>
    <w:basedOn w:val="1"/>
    <w:link w:val="Reportlevel10"/>
    <w:qFormat/>
    <w:rPr>
      <w:rFonts w:ascii="宋体" w:hAnsi="宋体" w:cs="Arial"/>
      <w:b/>
      <w:caps/>
      <w:sz w:val="24"/>
      <w:szCs w:val="24"/>
      <w:lang w:val="en-GB" w:eastAsia="en-US"/>
    </w:rPr>
  </w:style>
  <w:style w:type="paragraph" w:customStyle="1" w:styleId="ListAlpha">
    <w:name w:val="List Alpha"/>
    <w:basedOn w:val="Normal"/>
    <w:qFormat/>
    <w:pPr>
      <w:numPr>
        <w:numId w:val="23"/>
      </w:numPr>
      <w:spacing w:after="120"/>
      <w:jc w:val="both"/>
    </w:pPr>
    <w:rPr>
      <w:rFonts w:ascii="Frutiger 45 Light" w:eastAsia="宋体" w:hAnsi="Frutiger 45 Light"/>
      <w:lang w:eastAsia="zh-CN"/>
    </w:rPr>
  </w:style>
  <w:style w:type="paragraph" w:styleId="NoSpacing">
    <w:name w:val="No Spacing"/>
    <w:basedOn w:val="Heading1"/>
    <w:link w:val="a24"/>
    <w:uiPriority w:val="1"/>
    <w:qFormat/>
    <w:pPr>
      <w:widowControl w:val="0"/>
      <w:numPr>
        <w:numId w:val="0"/>
      </w:numPr>
      <w:tabs>
        <w:tab w:val="clear" w:pos="1077"/>
        <w:tab w:val="clear" w:pos="1080"/>
      </w:tabs>
      <w:ind w:left="567" w:hanging="567"/>
    </w:pPr>
    <w:rPr>
      <w:rFonts w:asciiTheme="minorHAnsi" w:eastAsiaTheme="minorEastAsia" w:hAnsiTheme="minorHAnsi" w:cstheme="minorBidi"/>
      <w:b w:val="0"/>
      <w:caps w:val="0"/>
      <w:szCs w:val="24"/>
      <w:lang w:val="en-US"/>
    </w:rPr>
  </w:style>
  <w:style w:type="character" w:customStyle="1" w:styleId="DefaultChar">
    <w:name w:val="Default Char"/>
    <w:link w:val="Default"/>
    <w:qFormat/>
    <w:rPr>
      <w:rFonts w:ascii="华文楷体" w:eastAsia="华文楷体" w:hAnsi="Times New Roman" w:cs="Times New Roman"/>
      <w:color w:val="000000"/>
      <w:kern w:val="0"/>
      <w:sz w:val="24"/>
      <w:szCs w:val="24"/>
      <w:lang w:eastAsia="en-US"/>
    </w:rPr>
  </w:style>
  <w:style w:type="character" w:customStyle="1" w:styleId="ReportLevel2Char">
    <w:name w:val="Report Level 2 Char"/>
    <w:qFormat/>
    <w:rPr>
      <w:rFonts w:ascii="Calibri" w:eastAsia="宋体" w:hAnsi="Calibri"/>
      <w:sz w:val="24"/>
      <w:szCs w:val="24"/>
      <w:lang w:val="zh-CN" w:eastAsia="zh-CN"/>
    </w:rPr>
  </w:style>
  <w:style w:type="character" w:customStyle="1" w:styleId="ReportLevel1Char0">
    <w:name w:val="Report Level 1 Char"/>
    <w:link w:val="ReportLevel1"/>
    <w:qFormat/>
    <w:rPr>
      <w:b/>
      <w:caps/>
      <w:sz w:val="24"/>
      <w:lang w:val="en-GB" w:eastAsia="en-US"/>
    </w:rPr>
  </w:style>
  <w:style w:type="character" w:customStyle="1" w:styleId="a24">
    <w:name w:val="无间隔 字符"/>
    <w:basedOn w:val="DefaultParagraphFont"/>
    <w:link w:val="NoSpacing"/>
    <w:uiPriority w:val="1"/>
    <w:qFormat/>
    <w:rPr>
      <w:sz w:val="24"/>
      <w:szCs w:val="24"/>
      <w:lang w:eastAsia="en-US"/>
    </w:rPr>
  </w:style>
  <w:style w:type="paragraph" w:customStyle="1" w:styleId="H2">
    <w:name w:val="H2"/>
    <w:qFormat/>
    <w:pPr>
      <w:widowControl w:val="0"/>
      <w:adjustRightInd w:val="0"/>
      <w:spacing w:after="240" w:line="0" w:lineRule="atLeast"/>
      <w:textAlignment w:val="baseline"/>
    </w:pPr>
    <w:rPr>
      <w:rFonts w:eastAsia="全真中明體"/>
      <w:b/>
      <w:spacing w:val="20"/>
      <w:sz w:val="24"/>
      <w:lang w:val="en-GB" w:eastAsia="zh-TW"/>
    </w:rPr>
  </w:style>
  <w:style w:type="paragraph" w:customStyle="1" w:styleId="P7">
    <w:name w:val="P7"/>
    <w:qFormat/>
    <w:pPr>
      <w:widowControl w:val="0"/>
      <w:tabs>
        <w:tab w:val="left" w:pos="576"/>
      </w:tabs>
      <w:adjustRightInd w:val="0"/>
      <w:spacing w:after="240" w:line="0" w:lineRule="atLeast"/>
      <w:ind w:left="1728" w:hanging="1728"/>
      <w:jc w:val="both"/>
      <w:textAlignment w:val="baseline"/>
    </w:pPr>
    <w:rPr>
      <w:rFonts w:eastAsia="全真中明體"/>
      <w:spacing w:val="20"/>
      <w:sz w:val="24"/>
      <w:lang w:val="en-GB" w:eastAsia="zh-TW"/>
    </w:rPr>
  </w:style>
  <w:style w:type="paragraph" w:customStyle="1" w:styleId="Role">
    <w:name w:val="Role"/>
    <w:qFormat/>
    <w:pPr>
      <w:spacing w:before="160" w:after="120"/>
    </w:pPr>
    <w:rPr>
      <w:rFonts w:ascii="Arial" w:hAnsi="Arial" w:cstheme="minorBidi"/>
      <w:b/>
      <w:color w:val="44546A" w:themeColor="text2"/>
      <w:sz w:val="26"/>
      <w:szCs w:val="22"/>
      <w:lang w:val="en-GB" w:eastAsia="en-US"/>
    </w:rPr>
  </w:style>
  <w:style w:type="paragraph" w:customStyle="1" w:styleId="Cover-1">
    <w:name w:val="Cover-1"/>
    <w:basedOn w:val="Normal"/>
    <w:qFormat/>
    <w:pPr>
      <w:tabs>
        <w:tab w:val="left" w:pos="-1440"/>
        <w:tab w:val="left" w:pos="-720"/>
      </w:tabs>
      <w:suppressAutoHyphens/>
      <w:spacing w:after="43"/>
      <w:jc w:val="center"/>
    </w:pPr>
    <w:rPr>
      <w:rFonts w:eastAsia="宋体" w:hAnsi="Arial"/>
      <w:spacing w:val="-2"/>
      <w:sz w:val="20"/>
      <w:lang w:val="en-US" w:eastAsia="zh-TW"/>
    </w:rPr>
  </w:style>
  <w:style w:type="paragraph" w:customStyle="1" w:styleId="Normal1">
    <w:name w:val="Normal1"/>
    <w:basedOn w:val="H1"/>
    <w:qFormat/>
    <w:pPr>
      <w:spacing w:line="0" w:lineRule="atLeast"/>
    </w:pPr>
  </w:style>
  <w:style w:type="paragraph" w:customStyle="1" w:styleId="P8">
    <w:name w:val="P8"/>
    <w:basedOn w:val="P6"/>
    <w:qFormat/>
    <w:pPr>
      <w:spacing w:line="0" w:lineRule="atLeast"/>
      <w:ind w:left="4052"/>
    </w:pPr>
  </w:style>
  <w:style w:type="paragraph" w:customStyle="1" w:styleId="P">
    <w:name w:val="P"/>
    <w:basedOn w:val="P6"/>
    <w:qFormat/>
    <w:pPr>
      <w:spacing w:line="0" w:lineRule="atLeast"/>
      <w:ind w:left="4052"/>
    </w:pPr>
  </w:style>
  <w:style w:type="paragraph" w:customStyle="1" w:styleId="1stindent">
    <w:name w:val="1st indent"/>
    <w:basedOn w:val="Normal"/>
    <w:qFormat/>
    <w:pPr>
      <w:jc w:val="center"/>
    </w:pPr>
    <w:rPr>
      <w:rFonts w:eastAsia="黑体" w:hAnsi="Arial" w:cs="Arial"/>
      <w:b/>
      <w:bCs/>
      <w:sz w:val="32"/>
      <w:lang w:eastAsia="zh-TW"/>
    </w:rPr>
  </w:style>
  <w:style w:type="paragraph" w:customStyle="1" w:styleId="P4">
    <w:name w:val="P4"/>
    <w:qFormat/>
    <w:pPr>
      <w:widowControl w:val="0"/>
      <w:adjustRightInd w:val="0"/>
      <w:spacing w:after="240" w:line="0" w:lineRule="atLeast"/>
      <w:ind w:left="2880"/>
      <w:jc w:val="both"/>
      <w:textAlignment w:val="baseline"/>
    </w:pPr>
    <w:rPr>
      <w:rFonts w:eastAsia="全真中明體"/>
      <w:spacing w:val="30"/>
      <w:sz w:val="24"/>
      <w:lang w:val="en-GB" w:eastAsia="zh-TW"/>
    </w:rPr>
  </w:style>
  <w:style w:type="character" w:customStyle="1" w:styleId="12Char">
    <w:name w:val="（1）（2） Char"/>
    <w:basedOn w:val="DefaultParagraphFont"/>
    <w:link w:val="120"/>
    <w:qFormat/>
    <w:rPr>
      <w:rFonts w:ascii="宋体" w:hAnsi="宋体"/>
    </w:rPr>
  </w:style>
  <w:style w:type="paragraph" w:customStyle="1" w:styleId="120">
    <w:name w:val="（1）（2）"/>
    <w:basedOn w:val="Normal"/>
    <w:link w:val="12Char"/>
    <w:qFormat/>
    <w:pPr>
      <w:ind w:left="846" w:right="210" w:hanging="420"/>
      <w:jc w:val="both"/>
    </w:pPr>
    <w:rPr>
      <w:rFonts w:ascii="宋体" w:eastAsia="宋体" w:hAnsi="宋体"/>
      <w:sz w:val="20"/>
      <w:lang w:val="en-US" w:eastAsia="zh-CN"/>
    </w:rPr>
  </w:style>
  <w:style w:type="paragraph" w:customStyle="1" w:styleId="cc">
    <w:name w:val="cc正文"/>
    <w:basedOn w:val="Normal"/>
    <w:link w:val="ccChar"/>
    <w:qFormat/>
    <w:pPr>
      <w:ind w:firstLine="420"/>
      <w:jc w:val="both"/>
    </w:pPr>
    <w:rPr>
      <w:rFonts w:ascii="宋体" w:eastAsia="宋体" w:hAnsi="宋体"/>
      <w:sz w:val="20"/>
      <w:lang w:val="en-US" w:eastAsia="zh-CN"/>
    </w:rPr>
  </w:style>
  <w:style w:type="character" w:customStyle="1" w:styleId="ccChar">
    <w:name w:val="cc正文 Char"/>
    <w:basedOn w:val="DefaultParagraphFont"/>
    <w:link w:val="cc"/>
    <w:qFormat/>
    <w:rPr>
      <w:rFonts w:ascii="宋体" w:hAnsi="宋体"/>
    </w:rPr>
  </w:style>
  <w:style w:type="paragraph" w:customStyle="1" w:styleId="TableParagraph">
    <w:name w:val="Table Paragraph"/>
    <w:basedOn w:val="Normal"/>
    <w:uiPriority w:val="1"/>
    <w:qFormat/>
    <w:pPr>
      <w:widowControl w:val="0"/>
      <w:autoSpaceDE w:val="0"/>
      <w:autoSpaceDN w:val="0"/>
      <w:adjustRightInd w:val="0"/>
    </w:pPr>
    <w:rPr>
      <w:rFonts w:eastAsiaTheme="minorEastAsia"/>
      <w:sz w:val="24"/>
      <w:szCs w:val="24"/>
      <w:lang w:val="en-US" w:eastAsia="zh-CN"/>
    </w:rPr>
  </w:style>
  <w:style w:type="paragraph" w:customStyle="1" w:styleId="Style13">
    <w:name w:val="Style13"/>
    <w:basedOn w:val="Normal"/>
    <w:link w:val="Style13Char"/>
    <w:qFormat/>
    <w:pPr>
      <w:widowControl w:val="0"/>
      <w:spacing w:before="120" w:after="120" w:line="360" w:lineRule="auto"/>
      <w:ind w:left="565" w:leftChars="269"/>
      <w:jc w:val="both"/>
    </w:pPr>
    <w:rPr>
      <w:rFonts w:ascii="华文细黑" w:eastAsia="华文细黑" w:hAnsi="华文细黑"/>
      <w:color w:val="000000"/>
      <w:kern w:val="2"/>
      <w:sz w:val="21"/>
      <w:szCs w:val="21"/>
      <w:lang w:val="zh-CN" w:eastAsia="zh-CN"/>
    </w:rPr>
  </w:style>
  <w:style w:type="character" w:customStyle="1" w:styleId="Style13Char">
    <w:name w:val="Style13 Char"/>
    <w:link w:val="Style13"/>
    <w:qFormat/>
    <w:rPr>
      <w:rFonts w:ascii="华文细黑" w:eastAsia="华文细黑" w:hAnsi="华文细黑"/>
      <w:color w:val="000000"/>
      <w:kern w:val="2"/>
      <w:sz w:val="21"/>
      <w:szCs w:val="21"/>
      <w:lang w:val="zh-CN" w:eastAsia="zh-CN"/>
    </w:rPr>
  </w:style>
  <w:style w:type="paragraph" w:customStyle="1" w:styleId="Style14">
    <w:name w:val="Style14"/>
    <w:basedOn w:val="Normal"/>
    <w:link w:val="Style14Char"/>
    <w:qFormat/>
    <w:pPr>
      <w:widowControl w:val="0"/>
      <w:spacing w:line="360" w:lineRule="auto"/>
      <w:ind w:left="567"/>
      <w:jc w:val="both"/>
    </w:pPr>
    <w:rPr>
      <w:rFonts w:ascii="华文细黑" w:eastAsia="华文细黑" w:hAnsi="华文细黑"/>
      <w:kern w:val="2"/>
      <w:sz w:val="21"/>
      <w:szCs w:val="21"/>
      <w:lang w:val="zh-CN" w:eastAsia="zh-CN"/>
    </w:rPr>
  </w:style>
  <w:style w:type="character" w:customStyle="1" w:styleId="Style14Char">
    <w:name w:val="Style14 Char"/>
    <w:link w:val="Style14"/>
    <w:qFormat/>
    <w:rPr>
      <w:rFonts w:ascii="华文细黑" w:eastAsia="华文细黑" w:hAnsi="华文细黑"/>
      <w:kern w:val="2"/>
      <w:sz w:val="21"/>
      <w:szCs w:val="21"/>
      <w:lang w:val="zh-CN" w:eastAsia="zh-CN"/>
    </w:rPr>
  </w:style>
  <w:style w:type="paragraph" w:customStyle="1" w:styleId="23">
    <w:name w:val="修订2"/>
    <w:hidden/>
    <w:uiPriority w:val="99"/>
    <w:semiHidden/>
    <w:qFormat/>
    <w:rPr>
      <w:rFonts w:eastAsia="PMingLiU"/>
      <w:sz w:val="22"/>
      <w:lang w:val="en-GB" w:eastAsia="en-US"/>
    </w:rPr>
  </w:style>
  <w:style w:type="paragraph" w:customStyle="1" w:styleId="32">
    <w:name w:val="修订3"/>
    <w:hidden/>
    <w:uiPriority w:val="99"/>
    <w:semiHidden/>
    <w:qFormat/>
    <w:rPr>
      <w:rFonts w:eastAsia="PMingLiU"/>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hyperlink" Target="https://d.book118.com/378032141002006043" TargetMode="External" /><Relationship Id="rId39" Type="http://schemas.openxmlformats.org/officeDocument/2006/relationships/footer" Target="footer33.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hyperlink" Target="http://openstd.samr.gov.cn/bzgk/gb/newGbInfo?hcno=B4E75F2578A2D58E1D96B14F0FE015CA" TargetMode="Externa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F0508-D1A3-43F6-9E1A-670536919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40</Pages>
  <Words>9313</Words>
  <Characters>53085</Characters>
  <Application>Microsoft Office Word</Application>
  <DocSecurity>0</DocSecurity>
  <Lines>442</Lines>
  <Paragraphs>124</Paragraphs>
  <ScaleCrop>false</ScaleCrop>
  <Company/>
  <LinksUpToDate>false</LinksUpToDate>
  <CharactersWithSpaces>62274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12</cp:revision>
  <cp:lastPrinted>2022-11-17T07:03:00Z</cp:lastPrinted>
  <dcterms:created xsi:type="dcterms:W3CDTF">2022-10-10T06:42:00Z</dcterms:created>
  <dcterms:modified xsi:type="dcterms:W3CDTF">2024-03-06T07:51:00Z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A86B58D333D84B708A0E47B3C9B9DB83</vt:lpwstr>
  </property>
  <property fmtid="{D5CDD505-2E9C-101B-9397-08002B2CF9AE}" pid="3" name="KSOProductBuildVer">
    <vt:lpwstr>2052-11.1.0.12763</vt:lpwstr>
  </property>
</Properties>
</file>