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航空煤油项目可行性研究分析报告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4" w:history="1">
        <w:r>
          <w:rPr>
            <w:rFonts w:ascii="仿宋" w:eastAsia="仿宋" w:hAnsi="仿宋" w:cs="仿宋" w:hint="eastAsia"/>
            <w:lang w:eastAsia="zh-CN"/>
          </w:rPr>
          <w:t>绪论</w:t>
        </w:r>
        <w:r>
          <w:tab/>
        </w:r>
        <w:r>
          <w:fldChar w:fldCharType="begin"/>
        </w:r>
        <w:r>
          <w:instrText xml:space="preserve"> PAGEREF _Toc2004 \h </w:instrText>
        </w:r>
        <w:r>
          <w:fldChar w:fldCharType="separate"/>
        </w:r>
        <w:r>
          <w:t>3</w:t>
        </w:r>
        <w:r>
          <w:fldChar w:fldCharType="end"/>
        </w:r>
      </w:hyperlink>
    </w:p>
    <w:p>
      <w:pPr>
        <w:pStyle w:val="TOC1"/>
        <w:tabs>
          <w:tab w:val="right" w:leader="dot" w:pos="8306"/>
        </w:tabs>
      </w:pPr>
      <w:hyperlink w:anchor="_Toc22964" w:history="1">
        <w:r>
          <w:rPr>
            <w:rFonts w:ascii="仿宋" w:eastAsia="仿宋" w:hAnsi="仿宋" w:cs="仿宋" w:hint="eastAsia"/>
            <w:lang w:eastAsia="zh-CN"/>
          </w:rPr>
          <w:t>一、航空煤油项目选址科学性分析</w:t>
        </w:r>
        <w:r>
          <w:tab/>
        </w:r>
        <w:r>
          <w:fldChar w:fldCharType="begin"/>
        </w:r>
        <w:r>
          <w:instrText xml:space="preserve"> PAGEREF _Toc22964 \h </w:instrText>
        </w:r>
        <w:r>
          <w:fldChar w:fldCharType="separate"/>
        </w:r>
        <w:r>
          <w:t>3</w:t>
        </w:r>
        <w:r>
          <w:fldChar w:fldCharType="end"/>
        </w:r>
      </w:hyperlink>
    </w:p>
    <w:p>
      <w:pPr>
        <w:pStyle w:val="TOC2"/>
        <w:tabs>
          <w:tab w:val="right" w:leader="dot" w:pos="8306"/>
        </w:tabs>
      </w:pPr>
      <w:hyperlink w:anchor="_Toc27565" w:history="1">
        <w:r>
          <w:rPr>
            <w:rFonts w:ascii="仿宋" w:eastAsia="仿宋" w:hAnsi="仿宋" w:cs="仿宋" w:hint="eastAsia"/>
            <w:lang w:eastAsia="zh-CN"/>
          </w:rPr>
          <w:t>(一)、航空煤油项目厂址的选择原则</w:t>
        </w:r>
        <w:r>
          <w:tab/>
        </w:r>
        <w:r>
          <w:fldChar w:fldCharType="begin"/>
        </w:r>
        <w:r>
          <w:instrText xml:space="preserve"> PAGEREF _Toc27565 \h </w:instrText>
        </w:r>
        <w:r>
          <w:fldChar w:fldCharType="separate"/>
        </w:r>
        <w:r>
          <w:t>3</w:t>
        </w:r>
        <w:r>
          <w:fldChar w:fldCharType="end"/>
        </w:r>
      </w:hyperlink>
    </w:p>
    <w:p>
      <w:pPr>
        <w:pStyle w:val="TOC2"/>
        <w:tabs>
          <w:tab w:val="right" w:leader="dot" w:pos="8306"/>
        </w:tabs>
      </w:pPr>
      <w:hyperlink w:anchor="_Toc5095" w:history="1">
        <w:r>
          <w:rPr>
            <w:rFonts w:ascii="仿宋" w:eastAsia="仿宋" w:hAnsi="仿宋" w:cs="仿宋" w:hint="eastAsia"/>
            <w:lang w:eastAsia="zh-CN"/>
          </w:rPr>
          <w:t>(二)、航空煤油项目区概况</w:t>
        </w:r>
        <w:r>
          <w:tab/>
        </w:r>
        <w:r>
          <w:fldChar w:fldCharType="begin"/>
        </w:r>
        <w:r>
          <w:instrText xml:space="preserve"> PAGEREF _Toc5095 \h </w:instrText>
        </w:r>
        <w:r>
          <w:fldChar w:fldCharType="separate"/>
        </w:r>
        <w:r>
          <w:t>4</w:t>
        </w:r>
        <w:r>
          <w:fldChar w:fldCharType="end"/>
        </w:r>
      </w:hyperlink>
    </w:p>
    <w:p>
      <w:pPr>
        <w:pStyle w:val="TOC2"/>
        <w:tabs>
          <w:tab w:val="right" w:leader="dot" w:pos="8306"/>
        </w:tabs>
      </w:pPr>
      <w:hyperlink w:anchor="_Toc25077" w:history="1">
        <w:r>
          <w:rPr>
            <w:rFonts w:ascii="仿宋" w:eastAsia="仿宋" w:hAnsi="仿宋" w:cs="仿宋" w:hint="eastAsia"/>
            <w:lang w:eastAsia="zh-CN"/>
          </w:rPr>
          <w:t>(三)、航空煤油厂址选择方案</w:t>
        </w:r>
        <w:r>
          <w:tab/>
        </w:r>
        <w:r>
          <w:fldChar w:fldCharType="begin"/>
        </w:r>
        <w:r>
          <w:instrText xml:space="preserve"> PAGEREF _Toc25077 \h </w:instrText>
        </w:r>
        <w:r>
          <w:fldChar w:fldCharType="separate"/>
        </w:r>
        <w:r>
          <w:t>4</w:t>
        </w:r>
        <w:r>
          <w:fldChar w:fldCharType="end"/>
        </w:r>
      </w:hyperlink>
    </w:p>
    <w:p>
      <w:pPr>
        <w:pStyle w:val="TOC2"/>
        <w:tabs>
          <w:tab w:val="right" w:leader="dot" w:pos="8306"/>
        </w:tabs>
      </w:pPr>
      <w:hyperlink w:anchor="_Toc16392" w:history="1">
        <w:r>
          <w:rPr>
            <w:rFonts w:ascii="仿宋" w:eastAsia="仿宋" w:hAnsi="仿宋" w:cs="仿宋" w:hint="eastAsia"/>
            <w:lang w:eastAsia="zh-CN"/>
          </w:rPr>
          <w:t>(四)、航空煤油项目选址用地权属性质类别及占地面积</w:t>
        </w:r>
        <w:r>
          <w:tab/>
        </w:r>
        <w:r>
          <w:fldChar w:fldCharType="begin"/>
        </w:r>
        <w:r>
          <w:instrText xml:space="preserve"> PAGEREF _Toc16392 \h </w:instrText>
        </w:r>
        <w:r>
          <w:fldChar w:fldCharType="separate"/>
        </w:r>
        <w:r>
          <w:t>5</w:t>
        </w:r>
        <w:r>
          <w:fldChar w:fldCharType="end"/>
        </w:r>
      </w:hyperlink>
    </w:p>
    <w:p>
      <w:pPr>
        <w:pStyle w:val="TOC2"/>
        <w:tabs>
          <w:tab w:val="right" w:leader="dot" w:pos="8306"/>
        </w:tabs>
      </w:pPr>
      <w:hyperlink w:anchor="_Toc14285" w:history="1">
        <w:r>
          <w:rPr>
            <w:rFonts w:ascii="仿宋" w:eastAsia="仿宋" w:hAnsi="仿宋" w:cs="仿宋" w:hint="eastAsia"/>
            <w:lang w:eastAsia="zh-CN"/>
          </w:rPr>
          <w:t>(五)、航空煤油项目用地利用指标</w:t>
        </w:r>
        <w:r>
          <w:tab/>
        </w:r>
        <w:r>
          <w:fldChar w:fldCharType="begin"/>
        </w:r>
        <w:r>
          <w:instrText xml:space="preserve"> PAGEREF _Toc14285 \h </w:instrText>
        </w:r>
        <w:r>
          <w:fldChar w:fldCharType="separate"/>
        </w:r>
        <w:r>
          <w:t>5</w:t>
        </w:r>
        <w:r>
          <w:fldChar w:fldCharType="end"/>
        </w:r>
      </w:hyperlink>
    </w:p>
    <w:p>
      <w:pPr>
        <w:pStyle w:val="TOC1"/>
        <w:tabs>
          <w:tab w:val="right" w:leader="dot" w:pos="8306"/>
        </w:tabs>
      </w:pPr>
      <w:hyperlink w:anchor="_Toc6770" w:history="1">
        <w:r>
          <w:rPr>
            <w:rFonts w:ascii="仿宋" w:eastAsia="仿宋" w:hAnsi="仿宋" w:cs="仿宋" w:hint="eastAsia"/>
            <w:lang w:eastAsia="zh-CN"/>
          </w:rPr>
          <w:t>二、未来市场预测和产品升级</w:t>
        </w:r>
        <w:r>
          <w:tab/>
        </w:r>
        <w:r>
          <w:fldChar w:fldCharType="begin"/>
        </w:r>
        <w:r>
          <w:instrText xml:space="preserve"> PAGEREF _Toc6770 \h </w:instrText>
        </w:r>
        <w:r>
          <w:fldChar w:fldCharType="separate"/>
        </w:r>
        <w:r>
          <w:t>5</w:t>
        </w:r>
        <w:r>
          <w:fldChar w:fldCharType="end"/>
        </w:r>
      </w:hyperlink>
    </w:p>
    <w:p>
      <w:pPr>
        <w:pStyle w:val="TOC2"/>
        <w:tabs>
          <w:tab w:val="right" w:leader="dot" w:pos="8306"/>
        </w:tabs>
      </w:pPr>
      <w:hyperlink w:anchor="_Toc21723" w:history="1">
        <w:r>
          <w:rPr>
            <w:rFonts w:ascii="仿宋" w:eastAsia="仿宋" w:hAnsi="仿宋" w:cs="仿宋" w:hint="eastAsia"/>
            <w:lang w:eastAsia="zh-CN"/>
          </w:rPr>
          <w:t>(一)、未来市场发展趋势和预测</w:t>
        </w:r>
        <w:r>
          <w:tab/>
        </w:r>
        <w:r>
          <w:fldChar w:fldCharType="begin"/>
        </w:r>
        <w:r>
          <w:instrText xml:space="preserve"> PAGEREF _Toc21723 \h </w:instrText>
        </w:r>
        <w:r>
          <w:fldChar w:fldCharType="separate"/>
        </w:r>
        <w:r>
          <w:t>5</w:t>
        </w:r>
        <w:r>
          <w:fldChar w:fldCharType="end"/>
        </w:r>
      </w:hyperlink>
    </w:p>
    <w:p>
      <w:pPr>
        <w:pStyle w:val="TOC2"/>
        <w:tabs>
          <w:tab w:val="right" w:leader="dot" w:pos="8306"/>
        </w:tabs>
      </w:pPr>
      <w:hyperlink w:anchor="_Toc32259" w:history="1">
        <w:r>
          <w:rPr>
            <w:rFonts w:ascii="仿宋" w:eastAsia="仿宋" w:hAnsi="仿宋" w:cs="仿宋" w:hint="eastAsia"/>
            <w:lang w:eastAsia="zh-CN"/>
          </w:rPr>
          <w:t>(二)、产品升级换代和创新的必要性</w:t>
        </w:r>
        <w:r>
          <w:tab/>
        </w:r>
        <w:r>
          <w:fldChar w:fldCharType="begin"/>
        </w:r>
        <w:r>
          <w:instrText xml:space="preserve"> PAGEREF _Toc32259 \h </w:instrText>
        </w:r>
        <w:r>
          <w:fldChar w:fldCharType="separate"/>
        </w:r>
        <w:r>
          <w:t>6</w:t>
        </w:r>
        <w:r>
          <w:fldChar w:fldCharType="end"/>
        </w:r>
      </w:hyperlink>
    </w:p>
    <w:p>
      <w:pPr>
        <w:pStyle w:val="TOC2"/>
        <w:tabs>
          <w:tab w:val="right" w:leader="dot" w:pos="8306"/>
        </w:tabs>
      </w:pPr>
      <w:hyperlink w:anchor="_Toc15118" w:history="1">
        <w:r>
          <w:rPr>
            <w:rFonts w:ascii="仿宋" w:eastAsia="仿宋" w:hAnsi="仿宋" w:cs="仿宋" w:hint="eastAsia"/>
            <w:lang w:eastAsia="zh-CN"/>
          </w:rPr>
          <w:t>(三)、产品升级换代和创新的实施方案</w:t>
        </w:r>
        <w:r>
          <w:tab/>
        </w:r>
        <w:r>
          <w:fldChar w:fldCharType="begin"/>
        </w:r>
        <w:r>
          <w:instrText xml:space="preserve"> PAGEREF _Toc15118 \h </w:instrText>
        </w:r>
        <w:r>
          <w:fldChar w:fldCharType="separate"/>
        </w:r>
        <w:r>
          <w:t>7</w:t>
        </w:r>
        <w:r>
          <w:fldChar w:fldCharType="end"/>
        </w:r>
      </w:hyperlink>
    </w:p>
    <w:p>
      <w:pPr>
        <w:pStyle w:val="TOC1"/>
        <w:tabs>
          <w:tab w:val="right" w:leader="dot" w:pos="8306"/>
        </w:tabs>
      </w:pPr>
      <w:hyperlink w:anchor="_Toc21849" w:history="1">
        <w:r>
          <w:rPr>
            <w:rFonts w:ascii="仿宋" w:eastAsia="仿宋" w:hAnsi="仿宋" w:cs="仿宋" w:hint="eastAsia"/>
            <w:lang w:eastAsia="zh-CN"/>
          </w:rPr>
          <w:t>三、产品定价和销售策略</w:t>
        </w:r>
        <w:r>
          <w:tab/>
        </w:r>
        <w:r>
          <w:fldChar w:fldCharType="begin"/>
        </w:r>
        <w:r>
          <w:instrText xml:space="preserve"> PAGEREF _Toc21849 \h </w:instrText>
        </w:r>
        <w:r>
          <w:fldChar w:fldCharType="separate"/>
        </w:r>
        <w:r>
          <w:t>8</w:t>
        </w:r>
        <w:r>
          <w:fldChar w:fldCharType="end"/>
        </w:r>
      </w:hyperlink>
    </w:p>
    <w:p>
      <w:pPr>
        <w:pStyle w:val="TOC2"/>
        <w:tabs>
          <w:tab w:val="right" w:leader="dot" w:pos="8306"/>
        </w:tabs>
      </w:pPr>
      <w:hyperlink w:anchor="_Toc24937" w:history="1">
        <w:r>
          <w:rPr>
            <w:rFonts w:ascii="仿宋" w:eastAsia="仿宋" w:hAnsi="仿宋" w:cs="仿宋" w:hint="eastAsia"/>
            <w:lang w:eastAsia="zh-CN"/>
          </w:rPr>
          <w:t>(一)、产品定价的原则和策略</w:t>
        </w:r>
        <w:r>
          <w:tab/>
        </w:r>
        <w:r>
          <w:fldChar w:fldCharType="begin"/>
        </w:r>
        <w:r>
          <w:instrText xml:space="preserve"> PAGEREF _Toc24937 \h </w:instrText>
        </w:r>
        <w:r>
          <w:fldChar w:fldCharType="separate"/>
        </w:r>
        <w:r>
          <w:t>8</w:t>
        </w:r>
        <w:r>
          <w:fldChar w:fldCharType="end"/>
        </w:r>
      </w:hyperlink>
    </w:p>
    <w:p>
      <w:pPr>
        <w:pStyle w:val="TOC2"/>
        <w:tabs>
          <w:tab w:val="right" w:leader="dot" w:pos="8306"/>
        </w:tabs>
      </w:pPr>
      <w:hyperlink w:anchor="_Toc32465" w:history="1">
        <w:r>
          <w:rPr>
            <w:rFonts w:ascii="仿宋" w:eastAsia="仿宋" w:hAnsi="仿宋" w:cs="仿宋" w:hint="eastAsia"/>
            <w:lang w:eastAsia="zh-CN"/>
          </w:rPr>
          <w:t>(二)、销售渠道的选择和拓展</w:t>
        </w:r>
        <w:r>
          <w:tab/>
        </w:r>
        <w:r>
          <w:fldChar w:fldCharType="begin"/>
        </w:r>
        <w:r>
          <w:instrText xml:space="preserve"> PAGEREF _Toc32465 \h </w:instrText>
        </w:r>
        <w:r>
          <w:fldChar w:fldCharType="separate"/>
        </w:r>
        <w:r>
          <w:t>9</w:t>
        </w:r>
        <w:r>
          <w:fldChar w:fldCharType="end"/>
        </w:r>
      </w:hyperlink>
    </w:p>
    <w:p>
      <w:pPr>
        <w:pStyle w:val="TOC2"/>
        <w:tabs>
          <w:tab w:val="right" w:leader="dot" w:pos="8306"/>
        </w:tabs>
      </w:pPr>
      <w:hyperlink w:anchor="_Toc10875" w:history="1">
        <w:r>
          <w:rPr>
            <w:rFonts w:ascii="仿宋" w:eastAsia="仿宋" w:hAnsi="仿宋" w:cs="仿宋" w:hint="eastAsia"/>
            <w:lang w:eastAsia="zh-CN"/>
          </w:rPr>
          <w:t>(三)、销售促进和营销活动的策划和实施</w:t>
        </w:r>
        <w:r>
          <w:tab/>
        </w:r>
        <w:r>
          <w:fldChar w:fldCharType="begin"/>
        </w:r>
        <w:r>
          <w:instrText xml:space="preserve"> PAGEREF _Toc10875 \h </w:instrText>
        </w:r>
        <w:r>
          <w:fldChar w:fldCharType="separate"/>
        </w:r>
        <w:r>
          <w:t>11</w:t>
        </w:r>
        <w:r>
          <w:fldChar w:fldCharType="end"/>
        </w:r>
      </w:hyperlink>
    </w:p>
    <w:p>
      <w:pPr>
        <w:pStyle w:val="TOC1"/>
        <w:tabs>
          <w:tab w:val="right" w:leader="dot" w:pos="8306"/>
        </w:tabs>
      </w:pPr>
      <w:hyperlink w:anchor="_Toc459" w:history="1">
        <w:r>
          <w:rPr>
            <w:rFonts w:ascii="仿宋" w:eastAsia="仿宋" w:hAnsi="仿宋" w:cs="仿宋" w:hint="eastAsia"/>
            <w:lang w:eastAsia="zh-CN"/>
          </w:rPr>
          <w:t>四、客户服务和消费者权益保护</w:t>
        </w:r>
        <w:r>
          <w:tab/>
        </w:r>
        <w:r>
          <w:fldChar w:fldCharType="begin"/>
        </w:r>
        <w:r>
          <w:instrText xml:space="preserve"> PAGEREF _Toc459 \h </w:instrText>
        </w:r>
        <w:r>
          <w:fldChar w:fldCharType="separate"/>
        </w:r>
        <w:r>
          <w:t>13</w:t>
        </w:r>
        <w:r>
          <w:fldChar w:fldCharType="end"/>
        </w:r>
      </w:hyperlink>
    </w:p>
    <w:p>
      <w:pPr>
        <w:pStyle w:val="TOC2"/>
        <w:tabs>
          <w:tab w:val="right" w:leader="dot" w:pos="8306"/>
        </w:tabs>
      </w:pPr>
      <w:hyperlink w:anchor="_Toc31520" w:history="1">
        <w:r>
          <w:rPr>
            <w:rFonts w:ascii="仿宋" w:eastAsia="仿宋" w:hAnsi="仿宋" w:cs="仿宋" w:hint="eastAsia"/>
            <w:lang w:eastAsia="zh-CN"/>
          </w:rPr>
          <w:t>(一)、客户服务的标准和流程</w:t>
        </w:r>
        <w:r>
          <w:tab/>
        </w:r>
        <w:r>
          <w:fldChar w:fldCharType="begin"/>
        </w:r>
        <w:r>
          <w:instrText xml:space="preserve"> PAGEREF _Toc31520 \h </w:instrText>
        </w:r>
        <w:r>
          <w:fldChar w:fldCharType="separate"/>
        </w:r>
        <w:r>
          <w:t>13</w:t>
        </w:r>
        <w:r>
          <w:fldChar w:fldCharType="end"/>
        </w:r>
      </w:hyperlink>
    </w:p>
    <w:p>
      <w:pPr>
        <w:pStyle w:val="TOC2"/>
        <w:tabs>
          <w:tab w:val="right" w:leader="dot" w:pos="8306"/>
        </w:tabs>
      </w:pPr>
      <w:hyperlink w:anchor="_Toc9918" w:history="1">
        <w:r>
          <w:rPr>
            <w:rFonts w:ascii="仿宋" w:eastAsia="仿宋" w:hAnsi="仿宋" w:cs="仿宋" w:hint="eastAsia"/>
            <w:lang w:eastAsia="zh-CN"/>
          </w:rPr>
          <w:t>(二)、消费者权益保护的措施和办法</w:t>
        </w:r>
        <w:r>
          <w:tab/>
        </w:r>
        <w:r>
          <w:fldChar w:fldCharType="begin"/>
        </w:r>
        <w:r>
          <w:instrText xml:space="preserve"> PAGEREF _Toc9918 \h </w:instrText>
        </w:r>
        <w:r>
          <w:fldChar w:fldCharType="separate"/>
        </w:r>
        <w:r>
          <w:t>14</w:t>
        </w:r>
        <w:r>
          <w:fldChar w:fldCharType="end"/>
        </w:r>
      </w:hyperlink>
    </w:p>
    <w:p>
      <w:pPr>
        <w:pStyle w:val="TOC2"/>
        <w:tabs>
          <w:tab w:val="right" w:leader="dot" w:pos="8306"/>
        </w:tabs>
      </w:pPr>
      <w:hyperlink w:anchor="_Toc23746" w:history="1">
        <w:r>
          <w:rPr>
            <w:rFonts w:ascii="仿宋" w:eastAsia="仿宋" w:hAnsi="仿宋" w:cs="仿宋" w:hint="eastAsia"/>
            <w:lang w:eastAsia="zh-CN"/>
          </w:rPr>
          <w:t>(三)、客户反馈和投诉处理的机制建设</w:t>
        </w:r>
        <w:r>
          <w:tab/>
        </w:r>
        <w:r>
          <w:fldChar w:fldCharType="begin"/>
        </w:r>
        <w:r>
          <w:instrText xml:space="preserve"> PAGEREF _Toc23746 \h </w:instrText>
        </w:r>
        <w:r>
          <w:fldChar w:fldCharType="separate"/>
        </w:r>
        <w:r>
          <w:t>16</w:t>
        </w:r>
        <w:r>
          <w:fldChar w:fldCharType="end"/>
        </w:r>
      </w:hyperlink>
    </w:p>
    <w:p>
      <w:pPr>
        <w:pStyle w:val="TOC1"/>
        <w:tabs>
          <w:tab w:val="right" w:leader="dot" w:pos="8306"/>
        </w:tabs>
      </w:pPr>
      <w:hyperlink w:anchor="_Toc20755" w:history="1">
        <w:r>
          <w:rPr>
            <w:rFonts w:ascii="仿宋" w:eastAsia="仿宋" w:hAnsi="仿宋" w:cs="仿宋" w:hint="eastAsia"/>
            <w:lang w:eastAsia="zh-CN"/>
          </w:rPr>
          <w:t>五、航空煤油项目节能分析</w:t>
        </w:r>
        <w:r>
          <w:tab/>
        </w:r>
        <w:r>
          <w:fldChar w:fldCharType="begin"/>
        </w:r>
        <w:r>
          <w:instrText xml:space="preserve"> PAGEREF _Toc20755 \h </w:instrText>
        </w:r>
        <w:r>
          <w:fldChar w:fldCharType="separate"/>
        </w:r>
        <w:r>
          <w:t>17</w:t>
        </w:r>
        <w:r>
          <w:fldChar w:fldCharType="end"/>
        </w:r>
      </w:hyperlink>
    </w:p>
    <w:p>
      <w:pPr>
        <w:pStyle w:val="TOC2"/>
        <w:tabs>
          <w:tab w:val="right" w:leader="dot" w:pos="8306"/>
        </w:tabs>
      </w:pPr>
      <w:hyperlink w:anchor="_Toc11830" w:history="1">
        <w:r>
          <w:rPr>
            <w:rFonts w:ascii="仿宋" w:eastAsia="仿宋" w:hAnsi="仿宋" w:cs="仿宋" w:hint="eastAsia"/>
            <w:lang w:eastAsia="zh-CN"/>
          </w:rPr>
          <w:t>(一)、航空煤油项目建设的节能原则</w:t>
        </w:r>
        <w:r>
          <w:tab/>
        </w:r>
        <w:r>
          <w:fldChar w:fldCharType="begin"/>
        </w:r>
        <w:r>
          <w:instrText xml:space="preserve"> PAGEREF _Toc11830 \h </w:instrText>
        </w:r>
        <w:r>
          <w:fldChar w:fldCharType="separate"/>
        </w:r>
        <w:r>
          <w:t>17</w:t>
        </w:r>
        <w:r>
          <w:fldChar w:fldCharType="end"/>
        </w:r>
      </w:hyperlink>
    </w:p>
    <w:p>
      <w:pPr>
        <w:pStyle w:val="TOC2"/>
        <w:tabs>
          <w:tab w:val="right" w:leader="dot" w:pos="8306"/>
        </w:tabs>
      </w:pPr>
      <w:hyperlink w:anchor="_Toc12535" w:history="1">
        <w:r>
          <w:rPr>
            <w:rFonts w:ascii="仿宋" w:eastAsia="仿宋" w:hAnsi="仿宋" w:cs="仿宋" w:hint="eastAsia"/>
            <w:lang w:eastAsia="zh-CN"/>
          </w:rPr>
          <w:t>(二)、设计依据</w:t>
        </w:r>
        <w:r>
          <w:tab/>
        </w:r>
        <w:r>
          <w:fldChar w:fldCharType="begin"/>
        </w:r>
        <w:r>
          <w:instrText xml:space="preserve"> PAGEREF _Toc12535 \h </w:instrText>
        </w:r>
        <w:r>
          <w:fldChar w:fldCharType="separate"/>
        </w:r>
        <w:r>
          <w:t>18</w:t>
        </w:r>
        <w:r>
          <w:fldChar w:fldCharType="end"/>
        </w:r>
      </w:hyperlink>
    </w:p>
    <w:p>
      <w:pPr>
        <w:pStyle w:val="TOC2"/>
        <w:tabs>
          <w:tab w:val="right" w:leader="dot" w:pos="8306"/>
        </w:tabs>
      </w:pPr>
      <w:hyperlink w:anchor="_Toc16613" w:history="1">
        <w:r>
          <w:rPr>
            <w:rFonts w:ascii="仿宋" w:eastAsia="仿宋" w:hAnsi="仿宋" w:cs="仿宋" w:hint="eastAsia"/>
            <w:lang w:eastAsia="zh-CN"/>
          </w:rPr>
          <w:t>(三)、航空煤油项目节能背景分析</w:t>
        </w:r>
        <w:r>
          <w:tab/>
        </w:r>
        <w:r>
          <w:fldChar w:fldCharType="begin"/>
        </w:r>
        <w:r>
          <w:instrText xml:space="preserve"> PAGEREF _Toc16613 \h </w:instrText>
        </w:r>
        <w:r>
          <w:fldChar w:fldCharType="separate"/>
        </w:r>
        <w:r>
          <w:t>18</w:t>
        </w:r>
        <w:r>
          <w:fldChar w:fldCharType="end"/>
        </w:r>
      </w:hyperlink>
    </w:p>
    <w:p>
      <w:pPr>
        <w:pStyle w:val="TOC2"/>
        <w:tabs>
          <w:tab w:val="right" w:leader="dot" w:pos="8306"/>
        </w:tabs>
      </w:pPr>
      <w:hyperlink w:anchor="_Toc21622" w:history="1">
        <w:r>
          <w:rPr>
            <w:rFonts w:ascii="仿宋" w:eastAsia="仿宋" w:hAnsi="仿宋" w:cs="仿宋" w:hint="eastAsia"/>
            <w:lang w:eastAsia="zh-CN"/>
          </w:rPr>
          <w:t>(四)、航空煤油项目能源消耗种类和数量分析</w:t>
        </w:r>
        <w:r>
          <w:tab/>
        </w:r>
        <w:r>
          <w:fldChar w:fldCharType="begin"/>
        </w:r>
        <w:r>
          <w:instrText xml:space="preserve"> PAGEREF _Toc21622 \h </w:instrText>
        </w:r>
        <w:r>
          <w:fldChar w:fldCharType="separate"/>
        </w:r>
        <w:r>
          <w:t>18</w:t>
        </w:r>
        <w:r>
          <w:fldChar w:fldCharType="end"/>
        </w:r>
      </w:hyperlink>
    </w:p>
    <w:p>
      <w:pPr>
        <w:pStyle w:val="TOC2"/>
        <w:tabs>
          <w:tab w:val="right" w:leader="dot" w:pos="8306"/>
        </w:tabs>
      </w:pPr>
      <w:hyperlink w:anchor="_Toc27624" w:history="1">
        <w:r>
          <w:rPr>
            <w:rFonts w:ascii="仿宋" w:eastAsia="仿宋" w:hAnsi="仿宋" w:cs="仿宋" w:hint="eastAsia"/>
            <w:lang w:eastAsia="zh-CN"/>
          </w:rPr>
          <w:t>(五)、航空煤油项目用能品种选择的可靠性分析</w:t>
        </w:r>
        <w:r>
          <w:tab/>
        </w:r>
        <w:r>
          <w:fldChar w:fldCharType="begin"/>
        </w:r>
        <w:r>
          <w:instrText xml:space="preserve"> PAGEREF _Toc27624 \h </w:instrText>
        </w:r>
        <w:r>
          <w:fldChar w:fldCharType="separate"/>
        </w:r>
        <w:r>
          <w:t>19</w:t>
        </w:r>
        <w:r>
          <w:fldChar w:fldCharType="end"/>
        </w:r>
      </w:hyperlink>
    </w:p>
    <w:p>
      <w:pPr>
        <w:pStyle w:val="TOC2"/>
        <w:tabs>
          <w:tab w:val="right" w:leader="dot" w:pos="8306"/>
        </w:tabs>
      </w:pPr>
      <w:hyperlink w:anchor="_Toc6805" w:history="1">
        <w:r>
          <w:rPr>
            <w:rFonts w:ascii="仿宋" w:eastAsia="仿宋" w:hAnsi="仿宋" w:cs="仿宋" w:hint="eastAsia"/>
            <w:lang w:eastAsia="zh-CN"/>
          </w:rPr>
          <w:t>(六)、航空煤油项目建筑结构节能设计</w:t>
        </w:r>
        <w:r>
          <w:tab/>
        </w:r>
        <w:r>
          <w:fldChar w:fldCharType="begin"/>
        </w:r>
        <w:r>
          <w:instrText xml:space="preserve"> PAGEREF _Toc6805 \h </w:instrText>
        </w:r>
        <w:r>
          <w:fldChar w:fldCharType="separate"/>
        </w:r>
        <w:r>
          <w:t>19</w:t>
        </w:r>
        <w:r>
          <w:fldChar w:fldCharType="end"/>
        </w:r>
      </w:hyperlink>
    </w:p>
    <w:p>
      <w:pPr>
        <w:pStyle w:val="TOC2"/>
        <w:tabs>
          <w:tab w:val="right" w:leader="dot" w:pos="8306"/>
        </w:tabs>
      </w:pPr>
      <w:hyperlink w:anchor="_Toc11571" w:history="1">
        <w:r>
          <w:rPr>
            <w:rFonts w:ascii="仿宋" w:eastAsia="仿宋" w:hAnsi="仿宋" w:cs="仿宋" w:hint="eastAsia"/>
            <w:lang w:eastAsia="zh-CN"/>
          </w:rPr>
          <w:t>(七)、航空煤油项目节能效果分析与建议</w:t>
        </w:r>
        <w:r>
          <w:tab/>
        </w:r>
        <w:r>
          <w:fldChar w:fldCharType="begin"/>
        </w:r>
        <w:r>
          <w:instrText xml:space="preserve"> PAGEREF _Toc11571 \h </w:instrText>
        </w:r>
        <w:r>
          <w:fldChar w:fldCharType="separate"/>
        </w:r>
        <w:r>
          <w:t>20</w:t>
        </w:r>
        <w:r>
          <w:fldChar w:fldCharType="end"/>
        </w:r>
      </w:hyperlink>
    </w:p>
    <w:p>
      <w:pPr>
        <w:pStyle w:val="TOC1"/>
        <w:tabs>
          <w:tab w:val="right" w:leader="dot" w:pos="8306"/>
        </w:tabs>
      </w:pPr>
      <w:hyperlink w:anchor="_Toc24666" w:history="1">
        <w:r>
          <w:rPr>
            <w:rFonts w:ascii="仿宋" w:eastAsia="仿宋" w:hAnsi="仿宋" w:cs="仿宋" w:hint="eastAsia"/>
            <w:lang w:eastAsia="zh-CN"/>
          </w:rPr>
          <w:t>六、技术创新和研发成果转化</w:t>
        </w:r>
        <w:r>
          <w:tab/>
        </w:r>
        <w:r>
          <w:fldChar w:fldCharType="begin"/>
        </w:r>
        <w:r>
          <w:instrText xml:space="preserve"> PAGEREF _Toc24666 \h </w:instrText>
        </w:r>
        <w:r>
          <w:fldChar w:fldCharType="separate"/>
        </w:r>
        <w:r>
          <w:t>21</w:t>
        </w:r>
        <w:r>
          <w:fldChar w:fldCharType="end"/>
        </w:r>
      </w:hyperlink>
    </w:p>
    <w:p>
      <w:pPr>
        <w:pStyle w:val="TOC2"/>
        <w:tabs>
          <w:tab w:val="right" w:leader="dot" w:pos="8306"/>
        </w:tabs>
      </w:pPr>
      <w:hyperlink w:anchor="_Toc28945" w:history="1">
        <w:r>
          <w:rPr>
            <w:rFonts w:ascii="仿宋" w:eastAsia="仿宋" w:hAnsi="仿宋" w:cs="仿宋" w:hint="eastAsia"/>
            <w:lang w:eastAsia="zh-CN"/>
          </w:rPr>
          <w:t>(一)、技术创新的目标和途径</w:t>
        </w:r>
        <w:r>
          <w:tab/>
        </w:r>
        <w:r>
          <w:fldChar w:fldCharType="begin"/>
        </w:r>
        <w:r>
          <w:instrText xml:space="preserve"> PAGEREF _Toc28945 \h </w:instrText>
        </w:r>
        <w:r>
          <w:fldChar w:fldCharType="separate"/>
        </w:r>
        <w:r>
          <w:t>21</w:t>
        </w:r>
        <w:r>
          <w:fldChar w:fldCharType="end"/>
        </w:r>
      </w:hyperlink>
    </w:p>
    <w:p>
      <w:pPr>
        <w:pStyle w:val="TOC2"/>
        <w:tabs>
          <w:tab w:val="right" w:leader="dot" w:pos="8306"/>
        </w:tabs>
      </w:pPr>
      <w:hyperlink w:anchor="_Toc16087" w:history="1">
        <w:r>
          <w:rPr>
            <w:rFonts w:ascii="仿宋" w:eastAsia="仿宋" w:hAnsi="仿宋" w:cs="仿宋" w:hint="eastAsia"/>
            <w:lang w:eastAsia="zh-CN"/>
          </w:rPr>
          <w:t>(二)、研发成果转化的流程和机制</w:t>
        </w:r>
        <w:r>
          <w:tab/>
        </w:r>
        <w:r>
          <w:fldChar w:fldCharType="begin"/>
        </w:r>
        <w:r>
          <w:instrText xml:space="preserve"> PAGEREF _Toc16087 \h </w:instrText>
        </w:r>
        <w:r>
          <w:fldChar w:fldCharType="separate"/>
        </w:r>
        <w:r>
          <w:t>22</w:t>
        </w:r>
        <w:r>
          <w:fldChar w:fldCharType="end"/>
        </w:r>
      </w:hyperlink>
    </w:p>
    <w:p>
      <w:pPr>
        <w:pStyle w:val="TOC2"/>
        <w:tabs>
          <w:tab w:val="right" w:leader="dot" w:pos="8306"/>
        </w:tabs>
      </w:pPr>
      <w:hyperlink w:anchor="_Toc6775" w:history="1">
        <w:r>
          <w:rPr>
            <w:rFonts w:ascii="仿宋" w:eastAsia="仿宋" w:hAnsi="仿宋" w:cs="仿宋" w:hint="eastAsia"/>
            <w:lang w:eastAsia="zh-CN"/>
          </w:rPr>
          <w:t>(三)、技术创新和研发成果转化的风险控制</w:t>
        </w:r>
        <w:r>
          <w:tab/>
        </w:r>
        <w:r>
          <w:fldChar w:fldCharType="begin"/>
        </w:r>
        <w:r>
          <w:instrText xml:space="preserve"> PAGEREF _Toc6775 \h </w:instrText>
        </w:r>
        <w:r>
          <w:fldChar w:fldCharType="separate"/>
        </w:r>
        <w:r>
          <w:t>23</w:t>
        </w:r>
        <w:r>
          <w:fldChar w:fldCharType="end"/>
        </w:r>
      </w:hyperlink>
    </w:p>
    <w:p>
      <w:pPr>
        <w:pStyle w:val="TOC1"/>
        <w:tabs>
          <w:tab w:val="right" w:leader="dot" w:pos="8306"/>
        </w:tabs>
      </w:pPr>
      <w:hyperlink w:anchor="_Toc10926" w:history="1">
        <w:r>
          <w:rPr>
            <w:rFonts w:ascii="仿宋" w:eastAsia="仿宋" w:hAnsi="仿宋" w:cs="仿宋" w:hint="eastAsia"/>
            <w:lang w:eastAsia="zh-CN"/>
          </w:rPr>
          <w:t>七、人力资源管理和开发计划</w:t>
        </w:r>
        <w:r>
          <w:tab/>
        </w:r>
        <w:r>
          <w:fldChar w:fldCharType="begin"/>
        </w:r>
        <w:r>
          <w:instrText xml:space="preserve"> PAGEREF _Toc10926 \h </w:instrText>
        </w:r>
        <w:r>
          <w:fldChar w:fldCharType="separate"/>
        </w:r>
        <w:r>
          <w:t>25</w:t>
        </w:r>
        <w:r>
          <w:fldChar w:fldCharType="end"/>
        </w:r>
      </w:hyperlink>
    </w:p>
    <w:p>
      <w:pPr>
        <w:pStyle w:val="TOC2"/>
        <w:tabs>
          <w:tab w:val="right" w:leader="dot" w:pos="8306"/>
        </w:tabs>
      </w:pPr>
      <w:hyperlink w:anchor="_Toc31482" w:history="1">
        <w:r>
          <w:rPr>
            <w:rFonts w:ascii="仿宋" w:eastAsia="仿宋" w:hAnsi="仿宋" w:cs="仿宋" w:hint="eastAsia"/>
            <w:lang w:eastAsia="zh-CN"/>
          </w:rPr>
          <w:t>(一)、人力资源管理的目标和原则</w:t>
        </w:r>
        <w:r>
          <w:tab/>
        </w:r>
        <w:r>
          <w:fldChar w:fldCharType="begin"/>
        </w:r>
        <w:r>
          <w:instrText xml:space="preserve"> PAGEREF _Toc31482 \h </w:instrText>
        </w:r>
        <w:r>
          <w:fldChar w:fldCharType="separate"/>
        </w:r>
        <w:r>
          <w:t>25</w:t>
        </w:r>
        <w:r>
          <w:fldChar w:fldCharType="end"/>
        </w:r>
      </w:hyperlink>
    </w:p>
    <w:p>
      <w:pPr>
        <w:pStyle w:val="TOC2"/>
        <w:tabs>
          <w:tab w:val="right" w:leader="dot" w:pos="8306"/>
        </w:tabs>
      </w:pPr>
      <w:hyperlink w:anchor="_Toc2223" w:history="1">
        <w:r>
          <w:rPr>
            <w:rFonts w:ascii="仿宋" w:eastAsia="仿宋" w:hAnsi="仿宋" w:cs="仿宋" w:hint="eastAsia"/>
            <w:lang w:eastAsia="zh-CN"/>
          </w:rPr>
          <w:t>(二)、人力资源开发的方案和实施</w:t>
        </w:r>
        <w:r>
          <w:tab/>
        </w:r>
        <w:r>
          <w:fldChar w:fldCharType="begin"/>
        </w:r>
        <w:r>
          <w:instrText xml:space="preserve"> PAGEREF _Toc2223 \h </w:instrText>
        </w:r>
        <w:r>
          <w:fldChar w:fldCharType="separate"/>
        </w:r>
        <w:r>
          <w:t>27</w:t>
        </w:r>
        <w:r>
          <w:fldChar w:fldCharType="end"/>
        </w:r>
      </w:hyperlink>
    </w:p>
    <w:p>
      <w:pPr>
        <w:pStyle w:val="TOC2"/>
        <w:tabs>
          <w:tab w:val="right" w:leader="dot" w:pos="8306"/>
        </w:tabs>
      </w:pPr>
      <w:hyperlink w:anchor="_Toc8047" w:history="1">
        <w:r>
          <w:rPr>
            <w:rFonts w:ascii="仿宋" w:eastAsia="仿宋" w:hAnsi="仿宋" w:cs="仿宋" w:hint="eastAsia"/>
            <w:lang w:eastAsia="zh-CN"/>
          </w:rPr>
          <w:t>(三)、人力资源考核和激励机制的建立</w:t>
        </w:r>
        <w:r>
          <w:tab/>
        </w:r>
        <w:r>
          <w:fldChar w:fldCharType="begin"/>
        </w:r>
        <w:r>
          <w:instrText xml:space="preserve"> PAGEREF _Toc8047 \h </w:instrText>
        </w:r>
        <w:r>
          <w:fldChar w:fldCharType="separate"/>
        </w:r>
        <w:r>
          <w:t>28</w:t>
        </w:r>
        <w:r>
          <w:fldChar w:fldCharType="end"/>
        </w:r>
      </w:hyperlink>
    </w:p>
    <w:p>
      <w:pPr>
        <w:pStyle w:val="TOC1"/>
        <w:tabs>
          <w:tab w:val="right" w:leader="dot" w:pos="8306"/>
        </w:tabs>
      </w:pPr>
      <w:hyperlink w:anchor="_Toc10373" w:history="1">
        <w:r>
          <w:rPr>
            <w:rFonts w:ascii="仿宋" w:eastAsia="仿宋" w:hAnsi="仿宋" w:cs="仿宋" w:hint="eastAsia"/>
            <w:lang w:eastAsia="zh-CN"/>
          </w:rPr>
          <w:t>八、未来发展趋势和战略规划</w:t>
        </w:r>
        <w:r>
          <w:tab/>
        </w:r>
        <w:r>
          <w:fldChar w:fldCharType="begin"/>
        </w:r>
        <w:r>
          <w:instrText xml:space="preserve"> PAGEREF _Toc10373 \h </w:instrText>
        </w:r>
        <w:r>
          <w:fldChar w:fldCharType="separate"/>
        </w:r>
        <w:r>
          <w:t>30</w:t>
        </w:r>
        <w:r>
          <w:fldChar w:fldCharType="end"/>
        </w:r>
      </w:hyperlink>
    </w:p>
    <w:p>
      <w:pPr>
        <w:pStyle w:val="TOC2"/>
        <w:tabs>
          <w:tab w:val="right" w:leader="dot" w:pos="8306"/>
        </w:tabs>
      </w:pPr>
      <w:hyperlink w:anchor="_Toc15988" w:history="1">
        <w:r>
          <w:rPr>
            <w:rFonts w:ascii="仿宋" w:eastAsia="仿宋" w:hAnsi="仿宋" w:cs="仿宋" w:hint="eastAsia"/>
            <w:lang w:eastAsia="zh-CN"/>
          </w:rPr>
          <w:t>(一)、航空煤油行业未来发展趋势的预测</w:t>
        </w:r>
        <w:r>
          <w:tab/>
        </w:r>
        <w:r>
          <w:fldChar w:fldCharType="begin"/>
        </w:r>
        <w:r>
          <w:instrText xml:space="preserve"> PAGEREF _Toc15988 \h </w:instrText>
        </w:r>
        <w:r>
          <w:fldChar w:fldCharType="separate"/>
        </w:r>
        <w:r>
          <w:t>30</w:t>
        </w:r>
        <w:r>
          <w:fldChar w:fldCharType="end"/>
        </w:r>
      </w:hyperlink>
    </w:p>
    <w:p>
      <w:pPr>
        <w:pStyle w:val="TOC2"/>
        <w:tabs>
          <w:tab w:val="right" w:leader="dot" w:pos="8306"/>
        </w:tabs>
      </w:pPr>
      <w:hyperlink w:anchor="_Toc23937" w:history="1">
        <w:r>
          <w:rPr>
            <w:rFonts w:ascii="仿宋" w:eastAsia="仿宋" w:hAnsi="仿宋" w:cs="仿宋" w:hint="eastAsia"/>
            <w:lang w:eastAsia="zh-CN"/>
          </w:rPr>
          <w:t>(二)、航空煤油项目产品在未来的发展和规划</w:t>
        </w:r>
        <w:r>
          <w:tab/>
        </w:r>
        <w:r>
          <w:fldChar w:fldCharType="begin"/>
        </w:r>
        <w:r>
          <w:instrText xml:space="preserve"> PAGEREF _Toc23937 \h </w:instrText>
        </w:r>
        <w:r>
          <w:fldChar w:fldCharType="separate"/>
        </w:r>
        <w:r>
          <w:t>31</w:t>
        </w:r>
        <w:r>
          <w:fldChar w:fldCharType="end"/>
        </w:r>
      </w:hyperlink>
    </w:p>
    <w:p>
      <w:pPr>
        <w:pStyle w:val="TOC2"/>
        <w:tabs>
          <w:tab w:val="right" w:leader="dot" w:pos="8306"/>
        </w:tabs>
      </w:pPr>
      <w:hyperlink w:anchor="_Toc16511" w:history="1">
        <w:r>
          <w:rPr>
            <w:rFonts w:ascii="仿宋" w:eastAsia="仿宋" w:hAnsi="仿宋" w:cs="仿宋" w:hint="eastAsia"/>
            <w:lang w:eastAsia="zh-CN"/>
          </w:rPr>
          <w:t>(三)、航空煤油项目的战略规划和实施方案</w:t>
        </w:r>
        <w:r>
          <w:tab/>
        </w:r>
        <w:r>
          <w:fldChar w:fldCharType="begin"/>
        </w:r>
        <w:r>
          <w:instrText xml:space="preserve"> PAGEREF _Toc16511 \h </w:instrText>
        </w:r>
        <w:r>
          <w:fldChar w:fldCharType="separate"/>
        </w:r>
        <w:r>
          <w:t>33</w:t>
        </w:r>
        <w:r>
          <w:fldChar w:fldCharType="end"/>
        </w:r>
      </w:hyperlink>
    </w:p>
    <w:p>
      <w:pPr>
        <w:pStyle w:val="TOC1"/>
        <w:tabs>
          <w:tab w:val="right" w:leader="dot" w:pos="8306"/>
        </w:tabs>
      </w:pPr>
      <w:hyperlink w:anchor="_Toc28420" w:history="1">
        <w:r>
          <w:rPr>
            <w:rFonts w:ascii="仿宋" w:eastAsia="仿宋" w:hAnsi="仿宋" w:cs="仿宋" w:hint="eastAsia"/>
            <w:lang w:eastAsia="zh-CN"/>
          </w:rPr>
          <w:t>九、企业文化和员工培训</w:t>
        </w:r>
        <w:r>
          <w:tab/>
        </w:r>
        <w:r>
          <w:fldChar w:fldCharType="begin"/>
        </w:r>
        <w:r>
          <w:instrText xml:space="preserve"> PAGEREF _Toc28420 \h </w:instrText>
        </w:r>
        <w:r>
          <w:fldChar w:fldCharType="separate"/>
        </w:r>
        <w:r>
          <w:t>34</w:t>
        </w:r>
        <w:r>
          <w:fldChar w:fldCharType="end"/>
        </w:r>
      </w:hyperlink>
    </w:p>
    <w:p>
      <w:pPr>
        <w:pStyle w:val="TOC2"/>
        <w:tabs>
          <w:tab w:val="right" w:leader="dot" w:pos="8306"/>
        </w:tabs>
      </w:pPr>
      <w:hyperlink w:anchor="_Toc21796" w:history="1">
        <w:r>
          <w:rPr>
            <w:rFonts w:ascii="仿宋" w:eastAsia="仿宋" w:hAnsi="仿宋" w:cs="仿宋" w:hint="eastAsia"/>
            <w:lang w:eastAsia="zh-CN"/>
          </w:rPr>
          <w:t>(一)、企业文化的建设和传承</w:t>
        </w:r>
        <w:r>
          <w:tab/>
        </w:r>
        <w:r>
          <w:fldChar w:fldCharType="begin"/>
        </w:r>
        <w:r>
          <w:instrText xml:space="preserve"> PAGEREF _Toc21796 \h </w:instrText>
        </w:r>
        <w:r>
          <w:fldChar w:fldCharType="separate"/>
        </w:r>
        <w:r>
          <w:t>34</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9511" w:history="1">
        <w:r>
          <w:rPr>
            <w:rFonts w:ascii="仿宋" w:eastAsia="仿宋" w:hAnsi="仿宋" w:cs="仿宋" w:hint="eastAsia"/>
            <w:lang w:eastAsia="zh-CN"/>
          </w:rPr>
          <w:t>(二)、员工培训的方案和实施</w:t>
        </w:r>
        <w:r>
          <w:tab/>
        </w:r>
        <w:r>
          <w:fldChar w:fldCharType="begin"/>
        </w:r>
        <w:r>
          <w:instrText xml:space="preserve"> PAGEREF _Toc9511 \h </w:instrText>
        </w:r>
        <w:r>
          <w:fldChar w:fldCharType="separate"/>
        </w:r>
        <w:r>
          <w:t>35</w:t>
        </w:r>
        <w:r>
          <w:fldChar w:fldCharType="end"/>
        </w:r>
      </w:hyperlink>
    </w:p>
    <w:p>
      <w:pPr>
        <w:pStyle w:val="TOC2"/>
        <w:tabs>
          <w:tab w:val="right" w:leader="dot" w:pos="8306"/>
        </w:tabs>
      </w:pPr>
      <w:hyperlink w:anchor="_Toc26535" w:history="1">
        <w:r>
          <w:rPr>
            <w:rFonts w:ascii="仿宋" w:eastAsia="仿宋" w:hAnsi="仿宋" w:cs="仿宋" w:hint="eastAsia"/>
            <w:lang w:eastAsia="zh-CN"/>
          </w:rPr>
          <w:t>(三)、企业文化和员工培训的互动和融合</w:t>
        </w:r>
        <w:r>
          <w:tab/>
        </w:r>
        <w:r>
          <w:fldChar w:fldCharType="begin"/>
        </w:r>
        <w:r>
          <w:instrText xml:space="preserve"> PAGEREF _Toc26535 \h </w:instrText>
        </w:r>
        <w:r>
          <w:fldChar w:fldCharType="separate"/>
        </w:r>
        <w:r>
          <w:t>37</w:t>
        </w:r>
        <w:r>
          <w:fldChar w:fldCharType="end"/>
        </w:r>
      </w:hyperlink>
    </w:p>
    <w:p>
      <w:pPr>
        <w:pStyle w:val="TOC1"/>
        <w:tabs>
          <w:tab w:val="right" w:leader="dot" w:pos="8306"/>
        </w:tabs>
      </w:pPr>
      <w:hyperlink w:anchor="_Toc7039" w:history="1">
        <w:r>
          <w:rPr>
            <w:rFonts w:ascii="仿宋" w:eastAsia="仿宋" w:hAnsi="仿宋" w:cs="仿宋" w:hint="eastAsia"/>
            <w:lang w:eastAsia="zh-CN"/>
          </w:rPr>
          <w:t>十、社会投资和慈善计划</w:t>
        </w:r>
        <w:r>
          <w:tab/>
        </w:r>
        <w:r>
          <w:fldChar w:fldCharType="begin"/>
        </w:r>
        <w:r>
          <w:instrText xml:space="preserve"> PAGEREF _Toc7039 \h </w:instrText>
        </w:r>
        <w:r>
          <w:fldChar w:fldCharType="separate"/>
        </w:r>
        <w:r>
          <w:t>38</w:t>
        </w:r>
        <w:r>
          <w:fldChar w:fldCharType="end"/>
        </w:r>
      </w:hyperlink>
    </w:p>
    <w:p>
      <w:pPr>
        <w:pStyle w:val="TOC2"/>
        <w:tabs>
          <w:tab w:val="right" w:leader="dot" w:pos="8306"/>
        </w:tabs>
      </w:pPr>
      <w:hyperlink w:anchor="_Toc5407" w:history="1">
        <w:r>
          <w:rPr>
            <w:rFonts w:ascii="仿宋" w:eastAsia="仿宋" w:hAnsi="仿宋" w:cs="仿宋" w:hint="eastAsia"/>
            <w:lang w:eastAsia="zh-CN"/>
          </w:rPr>
          <w:t>(一)、社会责任投资和捐赠计划</w:t>
        </w:r>
        <w:r>
          <w:tab/>
        </w:r>
        <w:r>
          <w:fldChar w:fldCharType="begin"/>
        </w:r>
        <w:r>
          <w:instrText xml:space="preserve"> PAGEREF _Toc5407 \h </w:instrText>
        </w:r>
        <w:r>
          <w:fldChar w:fldCharType="separate"/>
        </w:r>
        <w:r>
          <w:t>38</w:t>
        </w:r>
        <w:r>
          <w:fldChar w:fldCharType="end"/>
        </w:r>
      </w:hyperlink>
    </w:p>
    <w:p>
      <w:pPr>
        <w:pStyle w:val="TOC2"/>
        <w:tabs>
          <w:tab w:val="right" w:leader="dot" w:pos="8306"/>
        </w:tabs>
      </w:pPr>
      <w:hyperlink w:anchor="_Toc4920" w:history="1">
        <w:r>
          <w:rPr>
            <w:rFonts w:ascii="仿宋" w:eastAsia="仿宋" w:hAnsi="仿宋" w:cs="仿宋" w:hint="eastAsia"/>
            <w:lang w:eastAsia="zh-CN"/>
          </w:rPr>
          <w:t>(二)、社会慈善航空煤油项目的可行性</w:t>
        </w:r>
        <w:r>
          <w:tab/>
        </w:r>
        <w:r>
          <w:fldChar w:fldCharType="begin"/>
        </w:r>
        <w:r>
          <w:instrText xml:space="preserve"> PAGEREF _Toc4920 \h </w:instrText>
        </w:r>
        <w:r>
          <w:fldChar w:fldCharType="separate"/>
        </w:r>
        <w:r>
          <w:t>39</w:t>
        </w:r>
        <w:r>
          <w:fldChar w:fldCharType="end"/>
        </w:r>
      </w:hyperlink>
    </w:p>
    <w:p>
      <w:pPr>
        <w:pStyle w:val="TOC2"/>
        <w:tabs>
          <w:tab w:val="right" w:leader="dot" w:pos="8306"/>
        </w:tabs>
      </w:pPr>
      <w:hyperlink w:anchor="_Toc6323" w:history="1">
        <w:r>
          <w:rPr>
            <w:rFonts w:ascii="仿宋" w:eastAsia="仿宋" w:hAnsi="仿宋" w:cs="仿宋" w:hint="eastAsia"/>
            <w:lang w:eastAsia="zh-CN"/>
          </w:rPr>
          <w:t>(三)、社会影响投资的测量和报告</w:t>
        </w:r>
        <w:r>
          <w:tab/>
        </w:r>
        <w:r>
          <w:fldChar w:fldCharType="begin"/>
        </w:r>
        <w:r>
          <w:instrText xml:space="preserve"> PAGEREF _Toc6323 \h </w:instrText>
        </w:r>
        <w:r>
          <w:fldChar w:fldCharType="separate"/>
        </w:r>
        <w:r>
          <w:t>40</w:t>
        </w:r>
        <w:r>
          <w:fldChar w:fldCharType="end"/>
        </w:r>
      </w:hyperlink>
    </w:p>
    <w:p>
      <w:pPr>
        <w:pStyle w:val="TOC1"/>
        <w:tabs>
          <w:tab w:val="right" w:leader="dot" w:pos="8306"/>
        </w:tabs>
      </w:pPr>
      <w:hyperlink w:anchor="_Toc1759" w:history="1">
        <w:r>
          <w:rPr>
            <w:rFonts w:ascii="仿宋" w:eastAsia="仿宋" w:hAnsi="仿宋" w:cs="仿宋" w:hint="eastAsia"/>
            <w:lang w:eastAsia="zh-CN"/>
          </w:rPr>
          <w:t>十一、航空煤油项目管理和协调机制</w:t>
        </w:r>
        <w:r>
          <w:tab/>
        </w:r>
        <w:r>
          <w:fldChar w:fldCharType="begin"/>
        </w:r>
        <w:r>
          <w:instrText xml:space="preserve"> PAGEREF _Toc1759 \h </w:instrText>
        </w:r>
        <w:r>
          <w:fldChar w:fldCharType="separate"/>
        </w:r>
        <w:r>
          <w:t>42</w:t>
        </w:r>
        <w:r>
          <w:fldChar w:fldCharType="end"/>
        </w:r>
      </w:hyperlink>
    </w:p>
    <w:p>
      <w:pPr>
        <w:pStyle w:val="TOC2"/>
        <w:tabs>
          <w:tab w:val="right" w:leader="dot" w:pos="8306"/>
        </w:tabs>
      </w:pPr>
      <w:hyperlink w:anchor="_Toc1719" w:history="1">
        <w:r>
          <w:rPr>
            <w:rFonts w:ascii="仿宋" w:eastAsia="仿宋" w:hAnsi="仿宋" w:cs="仿宋" w:hint="eastAsia"/>
            <w:lang w:eastAsia="zh-CN"/>
          </w:rPr>
          <w:t>(一)、航空煤油项目管理和协调的方法和工具</w:t>
        </w:r>
        <w:r>
          <w:tab/>
        </w:r>
        <w:r>
          <w:fldChar w:fldCharType="begin"/>
        </w:r>
        <w:r>
          <w:instrText xml:space="preserve"> PAGEREF _Toc1719 \h </w:instrText>
        </w:r>
        <w:r>
          <w:fldChar w:fldCharType="separate"/>
        </w:r>
        <w:r>
          <w:t>42</w:t>
        </w:r>
        <w:r>
          <w:fldChar w:fldCharType="end"/>
        </w:r>
      </w:hyperlink>
    </w:p>
    <w:p>
      <w:pPr>
        <w:pStyle w:val="TOC2"/>
        <w:tabs>
          <w:tab w:val="right" w:leader="dot" w:pos="8306"/>
        </w:tabs>
      </w:pPr>
      <w:hyperlink w:anchor="_Toc5514" w:history="1">
        <w:r>
          <w:rPr>
            <w:rFonts w:ascii="仿宋" w:eastAsia="仿宋" w:hAnsi="仿宋" w:cs="仿宋" w:hint="eastAsia"/>
            <w:lang w:eastAsia="zh-CN"/>
          </w:rPr>
          <w:t>(二)、航空煤油项目团队成员之间的协调和沟通</w:t>
        </w:r>
        <w:r>
          <w:tab/>
        </w:r>
        <w:r>
          <w:fldChar w:fldCharType="begin"/>
        </w:r>
        <w:r>
          <w:instrText xml:space="preserve"> PAGEREF _Toc5514 \h </w:instrText>
        </w:r>
        <w:r>
          <w:fldChar w:fldCharType="separate"/>
        </w:r>
        <w:r>
          <w:t>43</w:t>
        </w:r>
        <w:r>
          <w:fldChar w:fldCharType="end"/>
        </w:r>
      </w:hyperlink>
    </w:p>
    <w:p>
      <w:pPr>
        <w:pStyle w:val="TOC2"/>
        <w:tabs>
          <w:tab w:val="right" w:leader="dot" w:pos="8306"/>
        </w:tabs>
      </w:pPr>
      <w:hyperlink w:anchor="_Toc13745" w:history="1">
        <w:r>
          <w:rPr>
            <w:rFonts w:ascii="仿宋" w:eastAsia="仿宋" w:hAnsi="仿宋" w:cs="仿宋" w:hint="eastAsia"/>
            <w:lang w:eastAsia="zh-CN"/>
          </w:rPr>
          <w:t>(三)、航空煤油项目进度和质量控制的管理和监督</w:t>
        </w:r>
        <w:r>
          <w:tab/>
        </w:r>
        <w:r>
          <w:fldChar w:fldCharType="begin"/>
        </w:r>
        <w:r>
          <w:instrText xml:space="preserve"> PAGEREF _Toc13745 \h </w:instrText>
        </w:r>
        <w:r>
          <w:fldChar w:fldCharType="separate"/>
        </w:r>
        <w:r>
          <w:t>43</w:t>
        </w:r>
        <w:r>
          <w:fldChar w:fldCharType="end"/>
        </w:r>
      </w:hyperlink>
    </w:p>
    <w:p>
      <w:pPr>
        <w:pStyle w:val="TOC1"/>
        <w:tabs>
          <w:tab w:val="right" w:leader="dot" w:pos="8306"/>
        </w:tabs>
      </w:pPr>
      <w:hyperlink w:anchor="_Toc18503" w:history="1">
        <w:r>
          <w:rPr>
            <w:rFonts w:ascii="仿宋" w:eastAsia="仿宋" w:hAnsi="仿宋" w:cs="仿宋" w:hint="eastAsia"/>
            <w:lang w:eastAsia="zh-CN"/>
          </w:rPr>
          <w:t>十二、供应链管理和合作伙伴选择</w:t>
        </w:r>
        <w:r>
          <w:tab/>
        </w:r>
        <w:r>
          <w:fldChar w:fldCharType="begin"/>
        </w:r>
        <w:r>
          <w:instrText xml:space="preserve"> PAGEREF _Toc18503 \h </w:instrText>
        </w:r>
        <w:r>
          <w:fldChar w:fldCharType="separate"/>
        </w:r>
        <w:r>
          <w:t>44</w:t>
        </w:r>
        <w:r>
          <w:fldChar w:fldCharType="end"/>
        </w:r>
      </w:hyperlink>
    </w:p>
    <w:p>
      <w:pPr>
        <w:pStyle w:val="TOC2"/>
        <w:tabs>
          <w:tab w:val="right" w:leader="dot" w:pos="8306"/>
        </w:tabs>
      </w:pPr>
      <w:hyperlink w:anchor="_Toc27796" w:history="1">
        <w:r>
          <w:rPr>
            <w:rFonts w:ascii="仿宋" w:eastAsia="仿宋" w:hAnsi="仿宋" w:cs="仿宋" w:hint="eastAsia"/>
            <w:lang w:eastAsia="zh-CN"/>
          </w:rPr>
          <w:t>(一)、供应链管理和合作伙伴关系概述</w:t>
        </w:r>
        <w:r>
          <w:tab/>
        </w:r>
        <w:r>
          <w:fldChar w:fldCharType="begin"/>
        </w:r>
        <w:r>
          <w:instrText xml:space="preserve"> PAGEREF _Toc27796 \h </w:instrText>
        </w:r>
        <w:r>
          <w:fldChar w:fldCharType="separate"/>
        </w:r>
        <w:r>
          <w:t>44</w:t>
        </w:r>
        <w:r>
          <w:fldChar w:fldCharType="end"/>
        </w:r>
      </w:hyperlink>
    </w:p>
    <w:p>
      <w:pPr>
        <w:pStyle w:val="TOC2"/>
        <w:tabs>
          <w:tab w:val="right" w:leader="dot" w:pos="8306"/>
        </w:tabs>
      </w:pPr>
      <w:hyperlink w:anchor="_Toc3061" w:history="1">
        <w:r>
          <w:rPr>
            <w:rFonts w:ascii="仿宋" w:eastAsia="仿宋" w:hAnsi="仿宋" w:cs="仿宋" w:hint="eastAsia"/>
            <w:lang w:eastAsia="zh-CN"/>
          </w:rPr>
          <w:t>(二)、供应商选择和评估标准</w:t>
        </w:r>
        <w:r>
          <w:tab/>
        </w:r>
        <w:r>
          <w:fldChar w:fldCharType="begin"/>
        </w:r>
        <w:r>
          <w:instrText xml:space="preserve"> PAGEREF _Toc3061 \h </w:instrText>
        </w:r>
        <w:r>
          <w:fldChar w:fldCharType="separate"/>
        </w:r>
        <w:r>
          <w:t>45</w:t>
        </w:r>
        <w:r>
          <w:fldChar w:fldCharType="end"/>
        </w:r>
      </w:hyperlink>
    </w:p>
    <w:p>
      <w:pPr>
        <w:pStyle w:val="TOC2"/>
        <w:tabs>
          <w:tab w:val="right" w:leader="dot" w:pos="8306"/>
        </w:tabs>
      </w:pPr>
      <w:hyperlink w:anchor="_Toc26536" w:history="1">
        <w:r>
          <w:rPr>
            <w:rFonts w:ascii="仿宋" w:eastAsia="仿宋" w:hAnsi="仿宋" w:cs="仿宋" w:hint="eastAsia"/>
            <w:lang w:eastAsia="zh-CN"/>
          </w:rPr>
          <w:t>(三)、物流和运输方案</w:t>
        </w:r>
        <w:r>
          <w:tab/>
        </w:r>
        <w:r>
          <w:fldChar w:fldCharType="begin"/>
        </w:r>
        <w:r>
          <w:instrText xml:space="preserve"> PAGEREF _Toc26536 \h </w:instrText>
        </w:r>
        <w:r>
          <w:fldChar w:fldCharType="separate"/>
        </w:r>
        <w:r>
          <w:t>46</w:t>
        </w:r>
        <w:r>
          <w:fldChar w:fldCharType="end"/>
        </w:r>
      </w:hyperlink>
    </w:p>
    <w:p>
      <w:pPr>
        <w:pStyle w:val="TOC1"/>
        <w:tabs>
          <w:tab w:val="right" w:leader="dot" w:pos="8306"/>
        </w:tabs>
      </w:pPr>
      <w:hyperlink w:anchor="_Toc19191" w:history="1">
        <w:r>
          <w:rPr>
            <w:rFonts w:ascii="仿宋" w:eastAsia="仿宋" w:hAnsi="仿宋" w:cs="仿宋" w:hint="eastAsia"/>
            <w:lang w:eastAsia="zh-CN"/>
          </w:rPr>
          <w:t>十三、安全卫生和职业健康</w:t>
        </w:r>
        <w:r>
          <w:tab/>
        </w:r>
        <w:r>
          <w:fldChar w:fldCharType="begin"/>
        </w:r>
        <w:r>
          <w:instrText xml:space="preserve"> PAGEREF _Toc19191 \h </w:instrText>
        </w:r>
        <w:r>
          <w:fldChar w:fldCharType="separate"/>
        </w:r>
        <w:r>
          <w:t>47</w:t>
        </w:r>
        <w:r>
          <w:fldChar w:fldCharType="end"/>
        </w:r>
      </w:hyperlink>
    </w:p>
    <w:p>
      <w:pPr>
        <w:pStyle w:val="TOC2"/>
        <w:tabs>
          <w:tab w:val="right" w:leader="dot" w:pos="8306"/>
        </w:tabs>
      </w:pPr>
      <w:hyperlink w:anchor="_Toc4614" w:history="1">
        <w:r>
          <w:rPr>
            <w:rFonts w:ascii="仿宋" w:eastAsia="仿宋" w:hAnsi="仿宋" w:cs="仿宋" w:hint="eastAsia"/>
            <w:lang w:eastAsia="zh-CN"/>
          </w:rPr>
          <w:t>(一)、安全卫生和职业健康的管理体系</w:t>
        </w:r>
        <w:r>
          <w:tab/>
        </w:r>
        <w:r>
          <w:fldChar w:fldCharType="begin"/>
        </w:r>
        <w:r>
          <w:instrText xml:space="preserve"> PAGEREF _Toc4614 \h </w:instrText>
        </w:r>
        <w:r>
          <w:fldChar w:fldCharType="separate"/>
        </w:r>
        <w:r>
          <w:t>47</w:t>
        </w:r>
        <w:r>
          <w:fldChar w:fldCharType="end"/>
        </w:r>
      </w:hyperlink>
    </w:p>
    <w:p>
      <w:pPr>
        <w:pStyle w:val="TOC2"/>
        <w:tabs>
          <w:tab w:val="right" w:leader="dot" w:pos="8306"/>
        </w:tabs>
      </w:pPr>
      <w:hyperlink w:anchor="_Toc11610" w:history="1">
        <w:r>
          <w:rPr>
            <w:rFonts w:ascii="仿宋" w:eastAsia="仿宋" w:hAnsi="仿宋" w:cs="仿宋" w:hint="eastAsia"/>
            <w:lang w:eastAsia="zh-CN"/>
          </w:rPr>
          <w:t>(二)、安全卫生和职业健康的风险评估</w:t>
        </w:r>
        <w:r>
          <w:tab/>
        </w:r>
        <w:r>
          <w:fldChar w:fldCharType="begin"/>
        </w:r>
        <w:r>
          <w:instrText xml:space="preserve"> PAGEREF _Toc11610 \h </w:instrText>
        </w:r>
        <w:r>
          <w:fldChar w:fldCharType="separate"/>
        </w:r>
        <w:r>
          <w:t>49</w:t>
        </w:r>
        <w:r>
          <w:fldChar w:fldCharType="end"/>
        </w:r>
      </w:hyperlink>
    </w:p>
    <w:p>
      <w:pPr>
        <w:pStyle w:val="TOC2"/>
        <w:tabs>
          <w:tab w:val="right" w:leader="dot" w:pos="8306"/>
        </w:tabs>
      </w:pPr>
      <w:hyperlink w:anchor="_Toc32647" w:history="1">
        <w:r>
          <w:rPr>
            <w:rFonts w:ascii="仿宋" w:eastAsia="仿宋" w:hAnsi="仿宋" w:cs="仿宋" w:hint="eastAsia"/>
            <w:lang w:eastAsia="zh-CN"/>
          </w:rPr>
          <w:t>(三)、安全卫生和职业健康的防范措施</w:t>
        </w:r>
        <w:r>
          <w:tab/>
        </w:r>
        <w:r>
          <w:fldChar w:fldCharType="begin"/>
        </w:r>
        <w:r>
          <w:instrText xml:space="preserve"> PAGEREF _Toc32647 \h </w:instrText>
        </w:r>
        <w:r>
          <w:fldChar w:fldCharType="separate"/>
        </w:r>
        <w:r>
          <w:t>50</w:t>
        </w:r>
        <w:r>
          <w:fldChar w:fldCharType="end"/>
        </w:r>
      </w:hyperlink>
    </w:p>
    <w:p>
      <w:pPr>
        <w:pStyle w:val="TOC1"/>
        <w:tabs>
          <w:tab w:val="right" w:leader="dot" w:pos="8306"/>
        </w:tabs>
      </w:pPr>
      <w:hyperlink w:anchor="_Toc31600" w:history="1">
        <w:r>
          <w:rPr>
            <w:rFonts w:ascii="仿宋" w:eastAsia="仿宋" w:hAnsi="仿宋" w:cs="仿宋" w:hint="eastAsia"/>
            <w:lang w:eastAsia="zh-CN"/>
          </w:rPr>
          <w:t>十四、执行计划和风险监控</w:t>
        </w:r>
        <w:r>
          <w:tab/>
        </w:r>
        <w:r>
          <w:fldChar w:fldCharType="begin"/>
        </w:r>
        <w:r>
          <w:instrText xml:space="preserve"> PAGEREF _Toc31600 \h </w:instrText>
        </w:r>
        <w:r>
          <w:fldChar w:fldCharType="separate"/>
        </w:r>
        <w:r>
          <w:t>51</w:t>
        </w:r>
        <w:r>
          <w:fldChar w:fldCharType="end"/>
        </w:r>
      </w:hyperlink>
    </w:p>
    <w:p>
      <w:pPr>
        <w:pStyle w:val="TOC2"/>
        <w:tabs>
          <w:tab w:val="right" w:leader="dot" w:pos="8306"/>
        </w:tabs>
      </w:pPr>
      <w:hyperlink w:anchor="_Toc21401" w:history="1">
        <w:r>
          <w:rPr>
            <w:rFonts w:ascii="仿宋" w:eastAsia="仿宋" w:hAnsi="仿宋" w:cs="仿宋" w:hint="eastAsia"/>
            <w:lang w:eastAsia="zh-CN"/>
          </w:rPr>
          <w:t>(一)、航空煤油项目执行策略</w:t>
        </w:r>
        <w:r>
          <w:tab/>
        </w:r>
        <w:r>
          <w:fldChar w:fldCharType="begin"/>
        </w:r>
        <w:r>
          <w:instrText xml:space="preserve"> PAGEREF _Toc21401 \h </w:instrText>
        </w:r>
        <w:r>
          <w:fldChar w:fldCharType="separate"/>
        </w:r>
        <w:r>
          <w:t>51</w:t>
        </w:r>
        <w:r>
          <w:fldChar w:fldCharType="end"/>
        </w:r>
      </w:hyperlink>
    </w:p>
    <w:p>
      <w:pPr>
        <w:pStyle w:val="TOC2"/>
        <w:tabs>
          <w:tab w:val="right" w:leader="dot" w:pos="8306"/>
        </w:tabs>
      </w:pPr>
      <w:hyperlink w:anchor="_Toc15844" w:history="1">
        <w:r>
          <w:rPr>
            <w:rFonts w:ascii="仿宋" w:eastAsia="仿宋" w:hAnsi="仿宋" w:cs="仿宋" w:hint="eastAsia"/>
            <w:lang w:eastAsia="zh-CN"/>
          </w:rPr>
          <w:t>(二)、风险监控和管理计划</w:t>
        </w:r>
        <w:r>
          <w:tab/>
        </w:r>
        <w:r>
          <w:fldChar w:fldCharType="begin"/>
        </w:r>
        <w:r>
          <w:instrText xml:space="preserve"> PAGEREF _Toc15844 \h </w:instrText>
        </w:r>
        <w:r>
          <w:fldChar w:fldCharType="separate"/>
        </w:r>
        <w:r>
          <w:t>53</w:t>
        </w:r>
        <w:r>
          <w:fldChar w:fldCharType="end"/>
        </w:r>
      </w:hyperlink>
    </w:p>
    <w:p>
      <w:pPr>
        <w:pStyle w:val="TOC2"/>
        <w:tabs>
          <w:tab w:val="right" w:leader="dot" w:pos="8306"/>
        </w:tabs>
      </w:pPr>
      <w:hyperlink w:anchor="_Toc25436" w:history="1">
        <w:r>
          <w:rPr>
            <w:rFonts w:ascii="仿宋" w:eastAsia="仿宋" w:hAnsi="仿宋" w:cs="仿宋" w:hint="eastAsia"/>
            <w:lang w:eastAsia="zh-CN"/>
          </w:rPr>
          <w:t>(三)、变更管理和应急响应策略</w:t>
        </w:r>
        <w:r>
          <w:tab/>
        </w:r>
        <w:r>
          <w:fldChar w:fldCharType="begin"/>
        </w:r>
        <w:r>
          <w:instrText xml:space="preserve"> PAGEREF _Toc25436 \h </w:instrText>
        </w:r>
        <w:r>
          <w:fldChar w:fldCharType="separate"/>
        </w:r>
        <w:r>
          <w:t>54</w:t>
        </w:r>
        <w:r>
          <w:fldChar w:fldCharType="end"/>
        </w:r>
      </w:hyperlink>
    </w:p>
    <w:p>
      <w:pPr>
        <w:pStyle w:val="TOC1"/>
        <w:tabs>
          <w:tab w:val="right" w:leader="dot" w:pos="8306"/>
        </w:tabs>
      </w:pPr>
      <w:hyperlink w:anchor="_Toc20440" w:history="1">
        <w:r>
          <w:rPr>
            <w:rFonts w:ascii="仿宋" w:eastAsia="仿宋" w:hAnsi="仿宋" w:cs="仿宋" w:hint="eastAsia"/>
            <w:lang w:eastAsia="zh-CN"/>
          </w:rPr>
          <w:t>十五、社会创新和影响</w:t>
        </w:r>
        <w:r>
          <w:tab/>
        </w:r>
        <w:r>
          <w:fldChar w:fldCharType="begin"/>
        </w:r>
        <w:r>
          <w:instrText xml:space="preserve"> PAGEREF _Toc20440 \h </w:instrText>
        </w:r>
        <w:r>
          <w:fldChar w:fldCharType="separate"/>
        </w:r>
        <w:r>
          <w:t>55</w:t>
        </w:r>
        <w:r>
          <w:fldChar w:fldCharType="end"/>
        </w:r>
      </w:hyperlink>
    </w:p>
    <w:p>
      <w:pPr>
        <w:pStyle w:val="TOC2"/>
        <w:tabs>
          <w:tab w:val="right" w:leader="dot" w:pos="8306"/>
        </w:tabs>
      </w:pPr>
      <w:hyperlink w:anchor="_Toc5610" w:history="1">
        <w:r>
          <w:rPr>
            <w:rFonts w:ascii="仿宋" w:eastAsia="仿宋" w:hAnsi="仿宋" w:cs="仿宋" w:hint="eastAsia"/>
            <w:lang w:eastAsia="zh-CN"/>
          </w:rPr>
          <w:t>(一)、利用航空煤油创新推动社会变革</w:t>
        </w:r>
        <w:r>
          <w:tab/>
        </w:r>
        <w:r>
          <w:fldChar w:fldCharType="begin"/>
        </w:r>
        <w:r>
          <w:instrText xml:space="preserve"> PAGEREF _Toc5610 \h </w:instrText>
        </w:r>
        <w:r>
          <w:fldChar w:fldCharType="separate"/>
        </w:r>
        <w:r>
          <w:t>55</w:t>
        </w:r>
        <w:r>
          <w:fldChar w:fldCharType="end"/>
        </w:r>
      </w:hyperlink>
    </w:p>
    <w:p>
      <w:pPr>
        <w:pStyle w:val="TOC2"/>
        <w:tabs>
          <w:tab w:val="right" w:leader="dot" w:pos="8306"/>
        </w:tabs>
      </w:pPr>
      <w:hyperlink w:anchor="_Toc31374" w:history="1">
        <w:r>
          <w:rPr>
            <w:rFonts w:ascii="仿宋" w:eastAsia="仿宋" w:hAnsi="仿宋" w:cs="仿宋" w:hint="eastAsia"/>
            <w:lang w:eastAsia="zh-CN"/>
          </w:rPr>
          <w:t>(二)、文化和艺术领域的影响</w:t>
        </w:r>
        <w:r>
          <w:tab/>
        </w:r>
        <w:r>
          <w:fldChar w:fldCharType="begin"/>
        </w:r>
        <w:r>
          <w:instrText xml:space="preserve"> PAGEREF _Toc31374 \h </w:instrText>
        </w:r>
        <w:r>
          <w:fldChar w:fldCharType="separate"/>
        </w:r>
        <w:r>
          <w:t>56</w:t>
        </w:r>
        <w:r>
          <w:fldChar w:fldCharType="end"/>
        </w:r>
      </w:hyperlink>
    </w:p>
    <w:p>
      <w:pPr>
        <w:pStyle w:val="TOC2"/>
        <w:tabs>
          <w:tab w:val="right" w:leader="dot" w:pos="8306"/>
        </w:tabs>
      </w:pPr>
      <w:hyperlink w:anchor="_Toc23494" w:history="1">
        <w:r>
          <w:rPr>
            <w:rFonts w:ascii="仿宋" w:eastAsia="仿宋" w:hAnsi="仿宋" w:cs="仿宋" w:hint="eastAsia"/>
            <w:lang w:eastAsia="zh-CN"/>
          </w:rPr>
          <w:t>(三)、社会航空煤油项目和合作伙伴关系</w:t>
        </w:r>
        <w:r>
          <w:tab/>
        </w:r>
        <w:r>
          <w:fldChar w:fldCharType="begin"/>
        </w:r>
        <w:r>
          <w:instrText xml:space="preserve"> PAGEREF _Toc23494 \h </w:instrText>
        </w:r>
        <w:r>
          <w:fldChar w:fldCharType="separate"/>
        </w:r>
        <w:r>
          <w:t>57</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4"/>
      <w:r>
        <w:rPr>
          <w:rFonts w:ascii="仿宋" w:eastAsia="仿宋" w:hAnsi="仿宋" w:cs="仿宋" w:hint="eastAsia"/>
          <w:lang w:eastAsia="zh-CN"/>
        </w:rPr>
        <w:t>绪论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pPr>
        <w:pStyle w:val="Heading1"/>
        <w:ind w:firstLine="560" w:firstLineChars="200"/>
        <w:rPr>
          <w:rFonts w:ascii="仿宋" w:eastAsia="仿宋" w:hAnsi="仿宋" w:cs="仿宋" w:hint="eastAsia"/>
          <w:sz w:val="28"/>
          <w:lang w:eastAsia="zh-CN"/>
        </w:rPr>
      </w:pPr>
      <w:bookmarkStart w:id="2" w:name="_Toc22964"/>
      <w:r>
        <w:rPr>
          <w:rFonts w:ascii="仿宋" w:eastAsia="仿宋" w:hAnsi="仿宋" w:cs="仿宋" w:hint="eastAsia"/>
          <w:sz w:val="28"/>
          <w:lang w:eastAsia="zh-CN"/>
        </w:rPr>
        <w:t>一、航空煤油项目选址科学性分析</w:t>
      </w:r>
      <w:bookmarkEnd w:id="2"/>
    </w:p>
    <w:p>
      <w:pPr>
        <w:pStyle w:val="Heading2"/>
        <w:rPr>
          <w:rFonts w:ascii="仿宋" w:eastAsia="仿宋" w:hAnsi="仿宋" w:cs="仿宋" w:hint="eastAsia"/>
          <w:lang w:eastAsia="zh-CN"/>
        </w:rPr>
      </w:pPr>
      <w:bookmarkStart w:id="3" w:name="_Toc27565"/>
      <w:r>
        <w:rPr>
          <w:rFonts w:ascii="仿宋" w:eastAsia="仿宋" w:hAnsi="仿宋" w:cs="仿宋" w:hint="eastAsia"/>
          <w:lang w:eastAsia="zh-CN"/>
        </w:rPr>
        <w:t>(一)、航空煤油项目厂址的选择原则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我们的航空煤油生产项目定位于航空煤油行业，在保证工艺流程和工程设施达到严格标准的前提下，航空煤油项目厂址的选择将严格遵循以下原则：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规划协调：航空煤油项目厂址的选择将严格符合城乡建设总体规划，同时满足(建设地)工业航空煤油项目占地使用规划的要求。我们将确保航空煤油项目布局与大气污染防治、水资源管理以及自然生态保护等方面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敏感区避让：我们将避开自然保护区、风景名胜区、生活饮用水源地等特别需要保护的区域作为航空煤油项目厂址。这一决策有助于减少对这些重要资源的影响，保护生态环境的可持续性。</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资源合理利用：在选择厂址时，我们将充分利用空闲地、非耕地或荒地等资源，以实现对土地资源的有效节约。同时，我们会尽可能减少对良田的占用，以维护农田的生产功能。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居民和环境安全：在选择航空煤油项目厂址时，我们会确保厂区与居民区及环境污染敏感点之间保持足够的防护距离。这有助于减少环境风险，确保航空煤油项目实施对当地居民生活的最小化干扰。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通过遵循上述原则，我们将在选择航空煤油项目厂址时保持高度的责任感，既确保航空煤油项目的可行性和效益，又充分尊重环境和社会的可持续发展。</w:t>
      </w:r>
    </w:p>
    <w:p>
      <w:pPr>
        <w:pStyle w:val="Heading2"/>
        <w:ind w:firstLine="560" w:firstLineChars="200"/>
        <w:rPr>
          <w:rFonts w:ascii="仿宋" w:eastAsia="仿宋" w:hAnsi="仿宋" w:cs="仿宋" w:hint="eastAsia"/>
          <w:sz w:val="28"/>
          <w:lang w:eastAsia="zh-CN"/>
        </w:rPr>
      </w:pPr>
      <w:bookmarkStart w:id="4" w:name="_Toc5095"/>
      <w:r>
        <w:rPr>
          <w:rFonts w:ascii="仿宋" w:eastAsia="仿宋" w:hAnsi="仿宋" w:cs="仿宋" w:hint="eastAsia"/>
          <w:sz w:val="28"/>
          <w:lang w:eastAsia="zh-CN"/>
        </w:rPr>
        <w:t>(二)、航空煤油项目区概况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实际情况介绍，航空煤油项目选址位于周边拥有重要基础设施的区域，如高速公路、铁路和机场，交通非常便利。此外，航空煤油项目区还拥有丰富的自然资源，如水资源和森林资源，为航空煤油项目的建设和运营提供了必要的支持。</w:t>
      </w:r>
    </w:p>
    <w:p>
      <w:pPr>
        <w:pStyle w:val="Heading2"/>
        <w:ind w:firstLine="560" w:firstLineChars="200"/>
        <w:rPr>
          <w:rFonts w:ascii="仿宋" w:eastAsia="仿宋" w:hAnsi="仿宋" w:cs="仿宋" w:hint="eastAsia"/>
          <w:sz w:val="28"/>
          <w:lang w:eastAsia="zh-CN"/>
        </w:rPr>
      </w:pPr>
      <w:bookmarkStart w:id="5" w:name="_Toc25077"/>
      <w:r>
        <w:rPr>
          <w:rFonts w:ascii="仿宋" w:eastAsia="仿宋" w:hAnsi="仿宋" w:cs="仿宋" w:hint="eastAsia"/>
          <w:sz w:val="28"/>
          <w:lang w:eastAsia="zh-CN"/>
        </w:rPr>
        <w:t>(三)、航空煤油厂址选择方案</w:t>
      </w:r>
      <w:bookmarkEnd w:id="5"/>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由XXX有限公司承办的新建航空煤油项目，拟选址在XXXX开发区，属于工业航空煤油项目建设占地规划区。航空煤油项目选址符合《(建设地)土地总体利用规划》要求，所选区域土地资源充裕，地理位置优越，交通条件便利。本航空煤油项目建设遵循“合理和集约用地”的原则，符合国家供地政策。航空煤油项目按照航空煤油行业生产规范和要求进行科学设计、合理布局，符合生产、经营的需要。航空煤油项目选址具体位置详见附图所示。</w:t>
      </w:r>
    </w:p>
    <w:p>
      <w:pPr>
        <w:pStyle w:val="Heading2"/>
        <w:ind w:firstLine="560" w:firstLineChars="200"/>
        <w:rPr>
          <w:rFonts w:ascii="仿宋" w:eastAsia="仿宋" w:hAnsi="仿宋" w:cs="仿宋" w:hint="eastAsia"/>
          <w:sz w:val="28"/>
          <w:lang w:eastAsia="zh-CN"/>
        </w:rPr>
      </w:pPr>
      <w:bookmarkStart w:id="6" w:name="_Toc16392"/>
      <w:r>
        <w:rPr>
          <w:rFonts w:ascii="仿宋" w:eastAsia="仿宋" w:hAnsi="仿宋" w:cs="仿宋" w:hint="eastAsia"/>
          <w:sz w:val="28"/>
          <w:lang w:eastAsia="zh-CN"/>
        </w:rPr>
        <w:t>(四)、航空煤油项目选址用地权属性质类别及占地面积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航空煤油项目的选址用地权属类别为XXXX开发区。总占地面积为XXX平方米（约合XXXX亩），实际利用面积为XXX平方米（约合XXXX亩）。</w:t>
      </w:r>
    </w:p>
    <w:p>
      <w:pPr>
        <w:pStyle w:val="Heading2"/>
        <w:ind w:firstLine="560" w:firstLineChars="200"/>
        <w:rPr>
          <w:rFonts w:ascii="仿宋" w:eastAsia="仿宋" w:hAnsi="仿宋" w:cs="仿宋" w:hint="eastAsia"/>
          <w:sz w:val="28"/>
          <w:lang w:eastAsia="zh-CN"/>
        </w:rPr>
      </w:pPr>
      <w:bookmarkStart w:id="7" w:name="_Toc14285"/>
      <w:r>
        <w:rPr>
          <w:rFonts w:ascii="仿宋" w:eastAsia="仿宋" w:hAnsi="仿宋" w:cs="仿宋" w:hint="eastAsia"/>
          <w:sz w:val="28"/>
          <w:lang w:eastAsia="zh-CN"/>
        </w:rPr>
        <w:t>(五)、航空煤油项目用地利用指标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拟定建设区域的总占地面积为XXXX平方米（约合XXX亩），实际利用面积为XXXX平方米（约合XXX亩）。航空煤油项目的总建筑面积为XXXX平方米（约合XXX亩），其中建筑物的基底占地面积为XXXX平方米（约合XXX亩）。</w:t>
      </w:r>
    </w:p>
    <w:p>
      <w:pPr>
        <w:pStyle w:val="Heading1"/>
        <w:ind w:firstLine="560" w:firstLineChars="200"/>
        <w:rPr>
          <w:rFonts w:ascii="仿宋" w:eastAsia="仿宋" w:hAnsi="仿宋" w:cs="仿宋" w:hint="eastAsia"/>
          <w:sz w:val="28"/>
          <w:lang w:eastAsia="zh-CN"/>
        </w:rPr>
      </w:pPr>
      <w:bookmarkStart w:id="8" w:name="_Toc6770"/>
      <w:r>
        <w:rPr>
          <w:rFonts w:ascii="仿宋" w:eastAsia="仿宋" w:hAnsi="仿宋" w:cs="仿宋" w:hint="eastAsia"/>
          <w:sz w:val="28"/>
          <w:lang w:eastAsia="zh-CN"/>
        </w:rPr>
        <w:t>二、未来市场预测和产品升级</w:t>
      </w:r>
      <w:bookmarkEnd w:id="8"/>
    </w:p>
    <w:p>
      <w:pPr>
        <w:pStyle w:val="Heading2"/>
        <w:rPr>
          <w:rFonts w:ascii="仿宋" w:eastAsia="仿宋" w:hAnsi="仿宋" w:cs="仿宋" w:hint="eastAsia"/>
          <w:lang w:eastAsia="zh-CN"/>
        </w:rPr>
      </w:pPr>
      <w:bookmarkStart w:id="9" w:name="_Toc21723"/>
      <w:r>
        <w:rPr>
          <w:rFonts w:ascii="仿宋" w:eastAsia="仿宋" w:hAnsi="仿宋" w:cs="仿宋" w:hint="eastAsia"/>
          <w:lang w:eastAsia="zh-CN"/>
        </w:rPr>
        <w:t>(一)、未来市场发展趋势和预测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pPr>
        <w:pStyle w:val="Heading2"/>
        <w:ind w:firstLine="560" w:firstLineChars="200"/>
        <w:rPr>
          <w:rFonts w:ascii="仿宋" w:eastAsia="仿宋" w:hAnsi="仿宋" w:cs="仿宋" w:hint="eastAsia"/>
          <w:sz w:val="28"/>
          <w:lang w:eastAsia="zh-CN"/>
        </w:rPr>
      </w:pPr>
      <w:bookmarkStart w:id="10" w:name="_Toc32259"/>
      <w:r>
        <w:rPr>
          <w:rFonts w:ascii="仿宋" w:eastAsia="仿宋" w:hAnsi="仿宋" w:cs="仿宋" w:hint="eastAsia"/>
          <w:sz w:val="28"/>
          <w:lang w:eastAsia="zh-CN"/>
        </w:rPr>
        <w:t>(二)、产品升级换代和创新的必要性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pPr>
        <w:pStyle w:val="Heading2"/>
        <w:ind w:firstLine="560" w:firstLineChars="200"/>
        <w:rPr>
          <w:rFonts w:ascii="仿宋" w:eastAsia="仿宋" w:hAnsi="仿宋" w:cs="仿宋" w:hint="eastAsia"/>
          <w:sz w:val="28"/>
          <w:lang w:eastAsia="zh-CN"/>
        </w:rPr>
      </w:pPr>
      <w:bookmarkStart w:id="11" w:name="_Toc15118"/>
      <w:r>
        <w:rPr>
          <w:rFonts w:ascii="仿宋" w:eastAsia="仿宋" w:hAnsi="仿宋" w:cs="仿宋" w:hint="eastAsia"/>
          <w:sz w:val="28"/>
          <w:lang w:eastAsia="zh-CN"/>
        </w:rPr>
        <w:t>(三)、产品升级换代和创新的实施方案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提供资源支持：为产品升级换代和创新提供必要的资源支持。资源支持可以包括资金投入、技术支持、人力资源等。同时，还应建立激励机制，激励团队成员积极参与创新活动，并给予他们适当的奖励和认可。</w:t>
      </w:r>
    </w:p>
    <w:p>
      <w:pPr>
        <w:pStyle w:val="Heading1"/>
        <w:ind w:firstLine="560" w:firstLineChars="200"/>
        <w:rPr>
          <w:rFonts w:ascii="仿宋" w:eastAsia="仿宋" w:hAnsi="仿宋" w:cs="仿宋" w:hint="eastAsia"/>
          <w:sz w:val="28"/>
          <w:lang w:eastAsia="zh-CN"/>
        </w:rPr>
      </w:pPr>
      <w:bookmarkStart w:id="12" w:name="_Toc21849"/>
      <w:r>
        <w:rPr>
          <w:rFonts w:ascii="仿宋" w:eastAsia="仿宋" w:hAnsi="仿宋" w:cs="仿宋" w:hint="eastAsia"/>
          <w:sz w:val="28"/>
          <w:lang w:eastAsia="zh-CN"/>
        </w:rPr>
        <w:t>三、产品定价和销售策略</w:t>
      </w:r>
      <w:bookmarkEnd w:id="12"/>
    </w:p>
    <w:p>
      <w:pPr>
        <w:pStyle w:val="Heading2"/>
        <w:rPr>
          <w:rFonts w:ascii="仿宋" w:eastAsia="仿宋" w:hAnsi="仿宋" w:cs="仿宋" w:hint="eastAsia"/>
          <w:lang w:eastAsia="zh-CN"/>
        </w:rPr>
      </w:pPr>
      <w:bookmarkStart w:id="13" w:name="_Toc24937"/>
      <w:r>
        <w:rPr>
          <w:rFonts w:ascii="仿宋" w:eastAsia="仿宋" w:hAnsi="仿宋" w:cs="仿宋" w:hint="eastAsia"/>
          <w:lang w:eastAsia="zh-CN"/>
        </w:rPr>
        <w:t>(一)、产品定价的原则和策略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定价原则：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成本导向：考虑产品的生产成本、运营成本以及相关费用，确保定价能够覆盖成本并获得合理的利润。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市场导向：研究目标市场的需求和竞争情况，确定定价策略以满足市场需求并保持竞争力。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价值导向：基于产品的独特价值和优势，确定合理的定价水平，使顾客认可产品的价值并愿意支付相应价格。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市场定价：根据市场需求和竞争情况，采用市场定价策略，即根据市场价格水平来定价，以保持竞争力。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差异化定价：根据产品的独特特性和附加价值，采用差异化定价策略，即根据不同产品版本或包装形式设定不同价格。</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价值定价：基于产品的独特价值和顾客的感知，采用价值定价策略，即根据产品所提供的价值设定相应的价格。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市场份额定价：如果目标是快速扩大市场份额，可以采用市场份额定价策略，即通过低价定价来吸引更多的顾客。</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目标市场：了解目标市场的消费者行为、购买力和价格敏感度，以确定适合的定价策略。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竞争情况：研究竞争对手的定价策略和价格水平，制定相应的定价战略以保持竞争力。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产品定位：根据产品的定位策略（高端、中端、低端），确定相应的定价策略以与产品定位相匹配。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市场前景：考虑市场发展趋势、预期需求变化和竞争态势，制定长期可持续的定价策略。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定价策略的调整和优化：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定价弹性分析：评估产品的价格弹性，根据需求变化和市场反馈，灵活调整定价策略以实现最佳定价。</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定价实验：通过定价实验和市场反馈，测试不同定价策略的效果，优化定价策略并提升市场竞争力。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定价与价值匹配：持续关注产品的市场表现和顾客反馈，确保产品的定价与所提供的价值相匹配。</w:t>
      </w:r>
    </w:p>
    <w:p>
      <w:pPr>
        <w:pStyle w:val="Heading2"/>
        <w:ind w:firstLine="560" w:firstLineChars="200"/>
        <w:rPr>
          <w:rFonts w:ascii="仿宋" w:eastAsia="仿宋" w:hAnsi="仿宋" w:cs="仿宋" w:hint="eastAsia"/>
          <w:sz w:val="28"/>
          <w:lang w:eastAsia="zh-CN"/>
        </w:rPr>
      </w:pPr>
      <w:bookmarkStart w:id="14" w:name="_Toc32465"/>
      <w:r>
        <w:rPr>
          <w:rFonts w:ascii="仿宋" w:eastAsia="仿宋" w:hAnsi="仿宋" w:cs="仿宋" w:hint="eastAsia"/>
          <w:sz w:val="28"/>
          <w:lang w:eastAsia="zh-CN"/>
        </w:rPr>
        <w:t>(二)、销售渠道的选择和拓展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渠道选择原则：</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目标市场：了解目标市场的特点、消费者行为和购买偏好，选择适合的销售渠道以覆盖目标市场。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产品属性：考虑产品的性质、复杂度和售后服务需求，选择适合产品特点的销售渠道。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成本效益：评估不同销售渠道的成本和效益，选择能够提供良好回报的销售渠道。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竞争环境：研究竞争对手的销售渠道策略和市场份额，选择能够与竞争对手竞争的销售渠道。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销售渠道策略：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直销：通过自有销售团队或在线平台直接向客户销售产品，具有更高的控制权和利润潜力。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经销商：与经销商建立合作关系，将产品批发给经销商，由其负责渠道拓展和销售，适用于大规模市场覆盖。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零售商：与零售商合作，在其门店销售产品，可以提高产品的可见性和销售渠道的广度。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在线销售：通过电子商务平台、社交媒体等在线渠道销售产品，能够迅速触达全球市场并降低销售成本。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合作伙伴关系：与相关行业的合作伙伴建立合作关系，共同推广和销售产品，实现互利共赢。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渠道拓展策略：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地理拓展：根据目标市场的地理分布，选择合适的销售渠道进行地理拓展，覆盖更广泛的区域。</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多渠道策略：结合不同销售渠道的优势，采用多渠道销售策略，提供更多选择和便利性给消费者。</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合作伙伴拓展：与其他企业建立合作伙伴关系，共同拓展销售渠道，利用其现有的客户资源和渠道网络。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线上线下结合：将线上和线下销售渠道结合起来，通过线上引流和线下体验，提供全方位的购物体验。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渠道管理和优化：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渠道合作：与销售渠道的合作伙伴建立良好的合作关系，共同制定销售目标、协调市场推广和售后服务等。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渠道培训：为销售渠道的销售人员提供培训和支持，提高其产品知识和销售能力，增强渠道合作效果。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渠道绩效评估：建立监测和评估机制，定期评估销售渠道的绩效和市场反馈，及时调整和优化渠道策略。</w:t>
      </w:r>
    </w:p>
    <w:p>
      <w:pPr>
        <w:pStyle w:val="Heading2"/>
        <w:ind w:firstLine="560" w:firstLineChars="200"/>
        <w:rPr>
          <w:rFonts w:ascii="仿宋" w:eastAsia="仿宋" w:hAnsi="仿宋" w:cs="仿宋" w:hint="eastAsia"/>
          <w:sz w:val="28"/>
          <w:lang w:eastAsia="zh-CN"/>
        </w:rPr>
      </w:pPr>
      <w:bookmarkStart w:id="15" w:name="_Toc10875"/>
      <w:r>
        <w:rPr>
          <w:rFonts w:ascii="仿宋" w:eastAsia="仿宋" w:hAnsi="仿宋" w:cs="仿宋" w:hint="eastAsia"/>
          <w:sz w:val="28"/>
          <w:lang w:eastAsia="zh-CN"/>
        </w:rPr>
        <w:t>(三)、销售促进和营销活动的策划和实施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增加销售量：通过促销和营销活动，吸引更多的顾客购买产品，提高销售量。</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增强品牌形象：通过营销活动，提升品牌知名度和形象，增强消费者对产品的信任和忠诚度。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建立客户关系：通过促销和营销活动，建立与顾客的良好关系，提供更好的售后服务和支持，增强客户满意度和忠诚度。</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销售促进和营销活动的策划：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目标市场：确定目标市场和目标消费者，了解其需求和偏好，制定相应的促销和营销策略。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促销方式：选择适合产品特点和目标市场的促销方式，包括打折、满减、赠品等。</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营销活动：制定具有吸引力和创新性的营销活动，包括线上线下活动、社交媒体推广、赛事赞助等。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预算和时间：根据销售目标和市场需求，制定合理的促销预算和时间安排。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推广渠道：选择适合产品和目标市场的推广渠道，包括线上和线下渠道，通过多种方式扩大产品的曝光度。</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营销内容：制定优质的营销内容，包括宣传文案、广告视频、海报等，提高产品的吸引力和竞争力。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活动执行：确保活动执行的顺利进行，包括活动策划、执行、监测和评估，及时调整和优化活动效果。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客户服务：提供优质的客户服务和售后支持，建立良好的客户关系，增强客户满意度和忠诚度。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销售促进和营销活动的效果评估：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销售数据分析：通过销售数据分析，评估促销和营销活动的效果和销售贡献，及时调整和优化活动策略。</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消费者反馈：关注消费者的反馈和评价，了解其满意度和需求变化，及时调整和优化产品和营销策略。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市场竞争：研究市场竞争情况和竞争对手的营销策略，提高产品的竞争力和市场份额。</w:t>
      </w:r>
    </w:p>
    <w:p>
      <w:pPr>
        <w:pStyle w:val="Heading1"/>
        <w:ind w:firstLine="560" w:firstLineChars="200"/>
        <w:rPr>
          <w:rFonts w:ascii="仿宋" w:eastAsia="仿宋" w:hAnsi="仿宋" w:cs="仿宋" w:hint="eastAsia"/>
          <w:sz w:val="28"/>
          <w:lang w:eastAsia="zh-CN"/>
        </w:rPr>
      </w:pPr>
      <w:bookmarkStart w:id="16" w:name="_Toc459"/>
      <w:r>
        <w:rPr>
          <w:rFonts w:ascii="仿宋" w:eastAsia="仿宋" w:hAnsi="仿宋" w:cs="仿宋" w:hint="eastAsia"/>
          <w:sz w:val="28"/>
          <w:lang w:eastAsia="zh-CN"/>
        </w:rPr>
        <w:t>四、客户服务和消费者权益保护</w:t>
      </w:r>
      <w:bookmarkEnd w:id="16"/>
    </w:p>
    <w:p>
      <w:pPr>
        <w:pStyle w:val="Heading2"/>
        <w:rPr>
          <w:rFonts w:ascii="仿宋" w:eastAsia="仿宋" w:hAnsi="仿宋" w:cs="仿宋" w:hint="eastAsia"/>
          <w:lang w:eastAsia="zh-CN"/>
        </w:rPr>
      </w:pPr>
      <w:bookmarkStart w:id="17" w:name="_Toc31520"/>
      <w:r>
        <w:rPr>
          <w:rFonts w:ascii="仿宋" w:eastAsia="仿宋" w:hAnsi="仿宋" w:cs="仿宋" w:hint="eastAsia"/>
          <w:lang w:eastAsia="zh-CN"/>
        </w:rPr>
        <w:t>(一)、客户服务的标准和流程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客户服务标准的制定：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服务定位：明确航空煤油项目产品的服务定位和目标客户群体，确定服务的核心价值和差异化特点。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服务质量标准：制定客户服务的质量标准，包括响应时间、问题解决率、客户满意度等指标，以确保服务质量的稳定和提升。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沟通和礼仪准则：制定客户沟通和互动的准则，包括礼貌待客、积极倾听、专业回应等，以提升客户体验和建立良好的客户关系。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售后支持：确定售后支持的范围和方式，包括技术支持、维修保养、产品更新等，以满足客户的售后需求。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客户服务流程的建立：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客户接触点识别：识别航空煤油项目产品与客户接触的各个环节和渠道，包括电话、邮件、在线聊天、社交媒体等，以确保全面的客户服务覆盖。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服务请求管理：建立客户服务请求的管理流程，包括服务请求的接收、记录、分配和跟踪，以确保及时响应和问题解决。</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技术支持和培训：建立技术支持和培训的流程，包括技术人员的安排和培训计划，以提供专业的技术支持和培训服务。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投诉处理和反馈机制：建立客户投诉处理和反馈机制，包括投诉接收、调查、解决和反馈，以及持续改进的措施，以提高客户满意度和忠诚度。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数据分析和改进：建立客户服务数据的收集和分析机制，评估客户服务的绩效和问题点，及时调整和改进客户服务流程和标准。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培训和人员管理：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培训计划：制定客户服务人员的培训计划，包括产品知识、沟通技巧、问题解决能力等方面的培训，以提升客户服务的专业水平。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人员配置：合理配置客户服务人员的数量和结构，确保客户服务团队的有效运作和资源利用。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绩效评估和激励：建立客户服务人员的绩效评估机制，设定相关指标和激励措施，激发客户服务团队的积极性和动力。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技术支持系统：建立技术支持系统，包括知识库、故障排除工具、远程支持等，以提供高效的技术支持服务。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CRM系统：使用客户关系管理系统，记录客户信息、服务记录和反馈，以实现客户信息的集中管理和个性化服务的提供。</w:t>
      </w:r>
    </w:p>
    <w:p>
      <w:pPr>
        <w:pStyle w:val="Heading2"/>
        <w:ind w:firstLine="560" w:firstLineChars="200"/>
        <w:rPr>
          <w:rFonts w:ascii="仿宋" w:eastAsia="仿宋" w:hAnsi="仿宋" w:cs="仿宋" w:hint="eastAsia"/>
          <w:sz w:val="28"/>
          <w:lang w:eastAsia="zh-CN"/>
        </w:rPr>
      </w:pPr>
      <w:bookmarkStart w:id="18" w:name="_Toc9918"/>
      <w:r>
        <w:rPr>
          <w:rFonts w:ascii="仿宋" w:eastAsia="仿宋" w:hAnsi="仿宋" w:cs="仿宋" w:hint="eastAsia"/>
          <w:sz w:val="28"/>
          <w:lang w:eastAsia="zh-CN"/>
        </w:rPr>
        <w:t>(二)、消费者权益保护的措施和办法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法律法规遵守：</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了解相关法律法规：研究航空煤油项目产品所涉及的消费者权益保护相关法律法规，如消费者权益保护法、产品质量法等，确保航空煤油项目产品的合规性。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严格遵守法律法规：确保航空煤油项目产品在生产、销售和售后服务过程中严格遵守相关法律法规，包括产品质量、产品安全、产品标识等方面的要求。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产品质量保证：</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质量控制体系：建立完善的质量控制体系，包括原材料采购、生产工艺、产品检验等环节，确保产品质量符合标准和规定。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售后服务保障：建立健全的售后服务体系，包括产品质量问题的投诉处理、退换货政策、维修保养等，确保消费者在购买后能够得到及时的支持和解决方案。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信息透明和宣传：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产品信息披露：提供准确、清晰、完整的产品信息，包括产品特性、使用说明、质量标准等，确保消费者能够全面了解产品。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宣传真实性：确保产品宣传和广告内容真实、准确，不夸大产品的性能和效果，避免误导消费者。</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投诉处理和争议解决：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投诉渠道设立：建立便捷的投诉渠道，包括客服热线、在线投诉平台等，方便消费者提出投诉和意见反馈。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投诉处理流程：建立投诉处理流程，包括投诉受理、调查核实、问题解决和反馈等环节，确保及时、公正地处理消费者投诉。</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争议解决机制：提供争议解决的途径，如调解、仲裁、法律诉讼等，为消费者提供公正、有效的解决途径。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消费者权益宣传：开展消费者权益保护的宣传活动，提高消费者对权益保护的认知和意识，增强消费者的知识和能力。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消费者教育：开展消费者教育活动，提供消费指导、产品知识等培训，帮助消费者做出明智的购买决策。</w:t>
      </w:r>
    </w:p>
    <w:p>
      <w:pPr>
        <w:pStyle w:val="Heading2"/>
        <w:ind w:firstLine="560" w:firstLineChars="200"/>
        <w:rPr>
          <w:rFonts w:ascii="仿宋" w:eastAsia="仿宋" w:hAnsi="仿宋" w:cs="仿宋" w:hint="eastAsia"/>
          <w:sz w:val="28"/>
          <w:lang w:eastAsia="zh-CN"/>
        </w:rPr>
      </w:pPr>
      <w:bookmarkStart w:id="19" w:name="_Toc23746"/>
      <w:r>
        <w:rPr>
          <w:rFonts w:ascii="仿宋" w:eastAsia="仿宋" w:hAnsi="仿宋" w:cs="仿宋" w:hint="eastAsia"/>
          <w:sz w:val="28"/>
          <w:lang w:eastAsia="zh-CN"/>
        </w:rPr>
        <w:t>(三)、客户反馈和投诉处理的机制建设</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多样化的反馈渠道：建立多种途径供客户提供反馈，包括在线反馈表单、客服热线、电子邮件、社交媒体等，以方便客户随时表达意见和反馈。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反馈渠道的宣传：积极宣传反馈渠道，提高客户对反馈渠道的知晓度和使用率。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反馈收集和整理：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反馈信息的记录和分类：建立反馈信息的记录系统，对收集到的反馈进行分类和整理，以便后续的分析和处理。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数据分析和洞察：对反馈信息进行数据分析，挖掘客户需求和问题的共性和趋势，为后续的改进措施提供依据。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投诉处理流程的建立：</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投诉受理和登记：建立投诉受理的流程和机制，确保投诉信息的准确记录和登记，包括投诉内容、投诉人信息、投诉时间等。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调查和核实：对投诉进行调查和核实，了解问题的具体情况和原因，确保投诉处理的公正性和客观性。</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问题解决和反馈：制定问题解决的方案，并及时与客户沟通和解释，解决客户的问题，并向客户反馈处理结果。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投诉处理人员的培训和能力提升：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培训计划和培训内容：制定投诉处理人员的培训计划，包括投诉处理流程、沟通技巧、问题解决能力等方面的培训，提升投诉处理人员的专业水平。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持续学习和知识更新：建立持续学习和知识更新的机制，使投诉处理人员能够及时了解最新的产品信息、服务标准和投诉处理技巧。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投诉处理结果的监测和改进：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监测指标的设定：建立投诉处理结果的监测指标，包括投诉处理时效、问题解决率、客户满意度等，评估投诉处理的效果。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持续改进措施：根据投诉处理结果和客户反馈，及时调整和改进投诉处理流程和标准，提高投诉处理的效率和质量。</w:t>
      </w:r>
    </w:p>
    <w:p>
      <w:pPr>
        <w:pStyle w:val="Heading1"/>
        <w:ind w:firstLine="560" w:firstLineChars="200"/>
        <w:rPr>
          <w:rFonts w:ascii="仿宋" w:eastAsia="仿宋" w:hAnsi="仿宋" w:cs="仿宋" w:hint="eastAsia"/>
          <w:sz w:val="28"/>
          <w:lang w:eastAsia="zh-CN"/>
        </w:rPr>
      </w:pPr>
      <w:bookmarkStart w:id="20" w:name="_Toc20755"/>
      <w:r>
        <w:rPr>
          <w:rFonts w:ascii="仿宋" w:eastAsia="仿宋" w:hAnsi="仿宋" w:cs="仿宋" w:hint="eastAsia"/>
          <w:sz w:val="28"/>
          <w:lang w:eastAsia="zh-CN"/>
        </w:rPr>
        <w:t>五、航空煤油项目节能分析</w:t>
      </w:r>
      <w:bookmarkEnd w:id="20"/>
    </w:p>
    <w:p>
      <w:pPr>
        <w:pStyle w:val="Heading2"/>
        <w:rPr>
          <w:rFonts w:ascii="仿宋" w:eastAsia="仿宋" w:hAnsi="仿宋" w:cs="仿宋" w:hint="eastAsia"/>
          <w:lang w:eastAsia="zh-CN"/>
        </w:rPr>
      </w:pPr>
      <w:bookmarkStart w:id="21" w:name="_Toc11830"/>
      <w:r>
        <w:rPr>
          <w:rFonts w:ascii="仿宋" w:eastAsia="仿宋" w:hAnsi="仿宋" w:cs="仿宋" w:hint="eastAsia"/>
          <w:lang w:eastAsia="zh-CN"/>
        </w:rPr>
        <w:t>(一)、航空煤油项目建设的节能原则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航空煤油项目建设过程不采用高耗能的落后生产工艺、技术和设备。</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推广应用先进的节能新技术、新设备。设备必须符合国家能效标准的节能型产品。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3、 有效回收利用余热、余压。</w:t>
      </w:r>
    </w:p>
    <w:p>
      <w:pPr>
        <w:ind w:firstLine="560" w:firstLineChars="200"/>
        <w:rPr>
          <w:rFonts w:ascii="仿宋" w:eastAsia="仿宋" w:hAnsi="仿宋" w:cs="仿宋" w:hint="eastAsia"/>
          <w:sz w:val="28"/>
        </w:rPr>
      </w:pPr>
      <w:r>
        <w:rPr>
          <w:rFonts w:ascii="仿宋" w:eastAsia="仿宋" w:hAnsi="仿宋" w:cs="仿宋" w:hint="eastAsia"/>
          <w:sz w:val="28"/>
          <w:lang w:eastAsia="zh-CN"/>
        </w:rPr>
        <w:t>4、严格控制非生产用电。加强管理严格计量严格考核，减少厂区辅助、办公、生活等非生产用电。</w:t>
      </w:r>
    </w:p>
    <w:p>
      <w:pPr>
        <w:pStyle w:val="Heading2"/>
        <w:ind w:firstLine="560" w:firstLineChars="200"/>
        <w:rPr>
          <w:rFonts w:ascii="仿宋" w:eastAsia="仿宋" w:hAnsi="仿宋" w:cs="仿宋" w:hint="eastAsia"/>
          <w:sz w:val="28"/>
          <w:lang w:eastAsia="zh-CN"/>
        </w:rPr>
      </w:pPr>
      <w:bookmarkStart w:id="22" w:name="_Toc12535"/>
      <w:r>
        <w:rPr>
          <w:rFonts w:ascii="仿宋" w:eastAsia="仿宋" w:hAnsi="仿宋" w:cs="仿宋" w:hint="eastAsia"/>
          <w:sz w:val="28"/>
          <w:lang w:eastAsia="zh-CN"/>
        </w:rPr>
        <w:t>(二)、设计依据</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借鉴《中华人民共和国节能能源法》的精神，我们将在推动节能减排、资源的合理利用方面，充分发挥企业的积极作用，为实现可持续发展的愿景做出持续不懈的努力。</w:t>
      </w:r>
    </w:p>
    <w:p>
      <w:pPr>
        <w:pStyle w:val="Heading2"/>
        <w:ind w:firstLine="560" w:firstLineChars="200"/>
        <w:rPr>
          <w:rFonts w:ascii="仿宋" w:eastAsia="仿宋" w:hAnsi="仿宋" w:cs="仿宋" w:hint="eastAsia"/>
          <w:sz w:val="28"/>
          <w:lang w:eastAsia="zh-CN"/>
        </w:rPr>
      </w:pPr>
      <w:bookmarkStart w:id="23" w:name="_Toc16613"/>
      <w:r>
        <w:rPr>
          <w:rFonts w:ascii="仿宋" w:eastAsia="仿宋" w:hAnsi="仿宋" w:cs="仿宋" w:hint="eastAsia"/>
          <w:sz w:val="28"/>
          <w:lang w:eastAsia="zh-CN"/>
        </w:rPr>
        <w:t>(三)、航空煤油项目节能背景分析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我们应采取以下措施来加强节能环保法律体系建设：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加快制定节能环保法律，以覆盖该领域的各个方面，同时在法律之间建立联系，形成一个完善的节能环保法律系统。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完善节能环保标准体系，提升标准的规范性和约束力，推动节能环保标准的升级。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加强节能环保执法监督，对节能环保法律法规的执行进行严格的监督，加大对违法行为的处罚力度，维护法律的权威性。</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这些措施的实施将有助于推动生态文明建设的不断进步。</w:t>
      </w:r>
    </w:p>
    <w:p>
      <w:pPr>
        <w:pStyle w:val="Heading2"/>
        <w:ind w:firstLine="560" w:firstLineChars="200"/>
        <w:rPr>
          <w:rFonts w:ascii="仿宋" w:eastAsia="仿宋" w:hAnsi="仿宋" w:cs="仿宋" w:hint="eastAsia"/>
          <w:sz w:val="28"/>
          <w:lang w:eastAsia="zh-CN"/>
        </w:rPr>
      </w:pPr>
      <w:bookmarkStart w:id="24" w:name="_Toc21622"/>
      <w:r>
        <w:rPr>
          <w:rFonts w:ascii="仿宋" w:eastAsia="仿宋" w:hAnsi="仿宋" w:cs="仿宋" w:hint="eastAsia"/>
          <w:sz w:val="28"/>
          <w:lang w:eastAsia="zh-CN"/>
        </w:rPr>
        <w:t>(四)、航空煤油项目能源消耗种类和数量分析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（一）关于主要耗能装置及能耗种类和数量的情况</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主要耗能装置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根据航空煤油项目的具体情况，请填写设备1xxx、设备2xxx、设备3xxx、设备4xxx等主要耗能装置的名称。</w:t>
      </w:r>
    </w:p>
    <w:p>
      <w:pPr>
        <w:pStyle w:val="Heading2"/>
        <w:ind w:firstLine="560" w:firstLineChars="200"/>
        <w:rPr>
          <w:rFonts w:ascii="仿宋" w:eastAsia="仿宋" w:hAnsi="仿宋" w:cs="仿宋" w:hint="eastAsia"/>
          <w:sz w:val="28"/>
          <w:lang w:eastAsia="zh-CN"/>
        </w:rPr>
      </w:pPr>
      <w:bookmarkStart w:id="25" w:name="_Toc27624"/>
      <w:r>
        <w:rPr>
          <w:rFonts w:ascii="仿宋" w:eastAsia="仿宋" w:hAnsi="仿宋" w:cs="仿宋" w:hint="eastAsia"/>
          <w:sz w:val="28"/>
          <w:lang w:eastAsia="zh-CN"/>
        </w:rPr>
        <w:t>(五)、航空煤油项目用能品种选择的可靠性分析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本航空煤油项目的核心能源需求主要集中在电力。无论是设备的正常运转，还是用于照明、空调等基础设施的稳定运行，都紧依赖着稳定的电力供应。然而，在追求满足能源需求的同时，航空煤油项目也积极追求能源的可持续利用。为此，我们将聚焦于采取一系列措施来优化能源的使用效率和节约。通过引入先进工艺技术，优化现有管理模式，我们致力于减少不必要的能源浪费，最大限度地提高每一单位能源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航空煤油项目的实施过程中，我们将寻求创新的途径，以降低能源消耗。这可能包括对生产流程的优化，设备的升级以及能源消耗的监测与管理。我们相信，通过这些举措，不仅可以降低航空煤油项目的环境足迹，还能够在长期内为航空煤油项目带来显著的成本节约。我们将不断努力，确保航空煤油项目在能源使用方面的可持续性，为未来的发展打下坚实的基础。</w:t>
      </w:r>
    </w:p>
    <w:p>
      <w:pPr>
        <w:pStyle w:val="Heading2"/>
        <w:ind w:firstLine="560" w:firstLineChars="200"/>
        <w:rPr>
          <w:rFonts w:ascii="仿宋" w:eastAsia="仿宋" w:hAnsi="仿宋" w:cs="仿宋" w:hint="eastAsia"/>
          <w:sz w:val="28"/>
          <w:lang w:eastAsia="zh-CN"/>
        </w:rPr>
      </w:pPr>
      <w:bookmarkStart w:id="26" w:name="_Toc6805"/>
      <w:r>
        <w:rPr>
          <w:rFonts w:ascii="仿宋" w:eastAsia="仿宋" w:hAnsi="仿宋" w:cs="仿宋" w:hint="eastAsia"/>
          <w:sz w:val="28"/>
          <w:lang w:eastAsia="zh-CN"/>
        </w:rPr>
        <w:t>(六)、航空煤油项目建筑结构节能设计</w:t>
      </w:r>
      <w:bookmarkEnd w:id="26"/>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策略性建筑布局：通过精心规划建筑平面布置，我们致力于优化内部空间的布局，合理划分不同功能区域，实现多功能共享，以减少不必要的空间浪费，从而充分发挥每一寸空间的潜力。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绿色建筑设计：在建筑设计阶段，我们着眼于运用高效节能建筑材料，从外形到内部结构进行综合优化，以增强建筑的保温隔热性能。这种设计理念有助于最大限度地减少能量流失，降低能源消耗。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智能化维护结构：我们精心设计维护结构，充分利用高效保温隔热材料，以减少能量在建筑内部的传递和散失。这一策略不仅提高了能源的利用效率，同时也为建筑的长期可持续性提供了有力支持。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 全方位通风解决方案：我们采取综合性通风设计，将自然通风与机械通风巧妙结合，以实现建筑内部空气的流通。通过减少空调系统的使用，我们有望显著降低整体能源消耗，为环境保护贡献一份力量。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智能能源管理系统：引入智能能源管理系统，我们可以对建筑内的能源流动进行精准控制。这种系统不仅能够优化能源分配，还能根据实际需求进行灵活调整，从而最大程度地提高能源的有效利用率。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综合性节能举措：我们采用多种综合性的节能举措，如充分利用自然光源，引入太阳能利用技术以及推行能源回收机制等。通过这些创新性措施，我们有望降低能源的消耗，为建筑行业的可持续发展树立典范。</w:t>
      </w:r>
    </w:p>
    <w:p>
      <w:pPr>
        <w:pStyle w:val="Heading2"/>
        <w:ind w:firstLine="560" w:firstLineChars="200"/>
        <w:rPr>
          <w:rFonts w:ascii="仿宋" w:eastAsia="仿宋" w:hAnsi="仿宋" w:cs="仿宋" w:hint="eastAsia"/>
          <w:sz w:val="28"/>
          <w:lang w:eastAsia="zh-CN"/>
        </w:rPr>
      </w:pPr>
      <w:bookmarkStart w:id="27" w:name="_Toc11571"/>
      <w:r>
        <w:rPr>
          <w:rFonts w:ascii="仿宋" w:eastAsia="仿宋" w:hAnsi="仿宋" w:cs="仿宋" w:hint="eastAsia"/>
          <w:sz w:val="28"/>
          <w:lang w:eastAsia="zh-CN"/>
        </w:rPr>
        <w:t>(七)、航空煤油项目节能效果分析与建议</w:t>
      </w:r>
      <w:bookmarkEnd w:id="27"/>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对本航空煤油项目进行分析和比较后，我们发现需要企业制定合理的能源利用和节能技术措施，以有效降低各类能源的消耗。考虑到航空煤油项目使用的主要能源种类合理，能源供应有保障，从能源利用和节能的角度考虑，航空煤油项目是可行的。</w:t>
      </w:r>
    </w:p>
    <w:p>
      <w:pPr>
        <w:pStyle w:val="Heading1"/>
        <w:ind w:firstLine="560" w:firstLineChars="200"/>
        <w:rPr>
          <w:rFonts w:ascii="仿宋" w:eastAsia="仿宋" w:hAnsi="仿宋" w:cs="仿宋" w:hint="eastAsia"/>
          <w:sz w:val="28"/>
          <w:lang w:eastAsia="zh-CN"/>
        </w:rPr>
      </w:pPr>
      <w:bookmarkStart w:id="28" w:name="_Toc24666"/>
      <w:r>
        <w:rPr>
          <w:rFonts w:ascii="仿宋" w:eastAsia="仿宋" w:hAnsi="仿宋" w:cs="仿宋" w:hint="eastAsia"/>
          <w:sz w:val="28"/>
          <w:lang w:eastAsia="zh-CN"/>
        </w:rPr>
        <w:t>六、技术创新和研发成果转化</w:t>
      </w:r>
      <w:bookmarkEnd w:id="28"/>
    </w:p>
    <w:p>
      <w:pPr>
        <w:pStyle w:val="Heading2"/>
        <w:rPr>
          <w:rFonts w:ascii="仿宋" w:eastAsia="仿宋" w:hAnsi="仿宋" w:cs="仿宋" w:hint="eastAsia"/>
          <w:lang w:eastAsia="zh-CN"/>
        </w:rPr>
      </w:pPr>
      <w:bookmarkStart w:id="29" w:name="_Toc28945"/>
      <w:r>
        <w:rPr>
          <w:rFonts w:ascii="仿宋" w:eastAsia="仿宋" w:hAnsi="仿宋" w:cs="仿宋" w:hint="eastAsia"/>
          <w:lang w:eastAsia="zh-CN"/>
        </w:rPr>
        <w:t>(一)、技术创新的目标和途径</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技术创新目标的设定：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业务需求分析：对当前业务和市场需求进行深入分析，确定技术创新的目标和方向，以满足市场的需求和提升企业的竞争力。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目标明确化：将技术创新目标具体化和可量化，如提高产品质量、降低成本、提升生产效率、改善用户体验等，确保目标的具体性和可衡量性。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技术创新途径的选择：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内部研发：通过内部研发团队进行技术创新，进行新产品的研发、技术改进和优化，提升企业的核心竞争力。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合作伙伴关系：与外部合作伙伴建立合作关系，共同进行技术创新，如与高校、研究机构、行业协会等合作，共享资源和知识，实现技术的跨界融合。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收购和并购：通过收购或并购具有相关技术能力和创新实力的企业，快速获取技术和人才，加速技术创新的进程。</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开放创新：通过开放创新的方式，与外部创新者、开发者和用户进行合作，共同推动技术的发展和应用，如开放API、创新大赛等。</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技术创新管理和支持：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创新团队建设：建立专门的创新团队或部门，负责技术创新的规划、组织和执行，吸引和培养具有创新能力的人才。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创新文化营造：营造积极的创新文化和氛围，鼓励员工提出新想法和创新方案，建立奖励机制，激励创新行为。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技术支持和资源投入：为技术创新提供必要的资源和支持，包括资金、设备、技术平台等，确保技术创新的顺利进行。</w:t>
      </w:r>
    </w:p>
    <w:p>
      <w:pPr>
        <w:pStyle w:val="Heading2"/>
        <w:ind w:firstLine="560" w:firstLineChars="200"/>
        <w:rPr>
          <w:rFonts w:ascii="仿宋" w:eastAsia="仿宋" w:hAnsi="仿宋" w:cs="仿宋" w:hint="eastAsia"/>
          <w:sz w:val="28"/>
          <w:lang w:eastAsia="zh-CN"/>
        </w:rPr>
      </w:pPr>
      <w:bookmarkStart w:id="30" w:name="_Toc16087"/>
      <w:r>
        <w:rPr>
          <w:rFonts w:ascii="仿宋" w:eastAsia="仿宋" w:hAnsi="仿宋" w:cs="仿宋" w:hint="eastAsia"/>
          <w:sz w:val="28"/>
          <w:lang w:eastAsia="zh-CN"/>
        </w:rPr>
        <w:t>(二)、研发成果转化的流程和机制</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技术评估：对研发成果进行技术评估，评估其可行性和商业化潜力，确定是否具备转化为实际产品或服务的条件。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市场需求分析：分析市场需求和竞争情况，确定研发成果在市场上的定位和竞争优势，为后续转化提供市场定位和营销策略的依据。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商业模式设计：设计合适的商业模式，包括产品定价、销售渠道、合作伙伴关系等，确保研发成果能够在商业上具有可持续的竞争力和盈利能力。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资源整合：整合必要的资源，包括人力、资金、设备等，为研发成果的转化提供支持和保障。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转化机制：</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知识产权保护：确保研发成果的知识产权得到充分保护，包括申请专利、商标注册等，防止知识产权的侵权和滥用。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技术转让与许可：通过技术转让或许可的方式，将研发成果转化为商业化产品或服务，与合作伙伴进行合作，共同推动研发成果的应用和推广。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创业孵化和投资：建立创业孵化机制，为有创新潜力的研发成果提供创业支持和投资，帮助其快速转化为商业化航空煤油项目。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政策支持和资金扶持：利用政府的创新政策和资金扶持措施，提供资金支持和政策支持，推动研发成果的转化和推广。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成果监测：建立成果监测机制，对研发成果的转化过程进行监测和跟踪，了解转化的进展和效果，及时发现问题和改进机会。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效果评估：对转化后的产品或服务进行效果评估，包括市场反馈、用户满意度、经济效益等，评估转化的成功度和可持续性。</w:t>
      </w:r>
    </w:p>
    <w:p>
      <w:pPr>
        <w:pStyle w:val="Heading2"/>
        <w:ind w:firstLine="560" w:firstLineChars="200"/>
        <w:rPr>
          <w:rFonts w:ascii="仿宋" w:eastAsia="仿宋" w:hAnsi="仿宋" w:cs="仿宋" w:hint="eastAsia"/>
          <w:sz w:val="28"/>
          <w:lang w:eastAsia="zh-CN"/>
        </w:rPr>
      </w:pPr>
      <w:bookmarkStart w:id="31" w:name="_Toc6775"/>
      <w:r>
        <w:rPr>
          <w:rFonts w:ascii="仿宋" w:eastAsia="仿宋" w:hAnsi="仿宋" w:cs="仿宋" w:hint="eastAsia"/>
          <w:sz w:val="28"/>
          <w:lang w:eastAsia="zh-CN"/>
        </w:rPr>
        <w:t>(三)、技术创新和研发成果转化的风险控制</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技术评估和市场分析：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研发成果转化的初期阶段，进行技术评估和市场分析是至关重要的。技术评估目的是评估研发成果的技术可行性和商业化潜力，确定其成熟度和可转化性。市场分析则旨在了解目标市场的需求、竞争情况和商业机会，为后续转化提供市场定位和营销策略的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1.2 商业模式设计：</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商业模式是研发成果转化的关键要素之一。它涵盖了产品定位、目标用户群体、销售渠道、收入模式等方面。通过设计合适的商业模式，可以确保研发成果在商业上具有可持续的竞争力和盈利能力。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1.3 资源整合：</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研发成果转化需要充分整合各种资源，包括人力、资金、设备和技术支持等。确保所需资源的有效配置和协调，以支持研发成果的转化过程。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转化机制：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2.1 知识产权保护：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在研发成果转化过程中，保护知识产权是至关重要的。通过申请专利、商标注册等方式，确保研发成果的知识产权得到充分保护，防止知识产权的侵权和滥用。</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技术转让与许可：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技术转让和许可是一种常见的转化机制。通过与合作伙伴进行技术转让或许可协议，将研发成果转化为商业化产品或服务。这种方式可以借助合作伙伴的资源和渠道，加速研发成果的推广和应用。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2.3 创业孵化和投资：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对于有创新潜力的研发成果，创业孵化和投资是一种有效的转化机制。通过创业孵化机构的支持和投资，帮助研发成果快速转化为商业化航空煤油项目，并提供必要的资金、导师指导和市场资源。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2.4 政策支持和资金扶持：</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政府和相关机构提供的创新政策和资金扶持措施是推动研发成果转化的重要支持。通过利用政策支持和资金扶持，为研发成果的转化和推广提供资金支持和政策支持，降低转化风险和成本。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3.1 成果监测：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建立成果监测机制，对研发成果的转化过程进行监测和跟踪，了解转化的进展和效果。通过监测，可以及时发现问题和改进机会，确保转化过程的顺利进行。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3.2 效果评估：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对转化后的产品或服务进行效果评估，包括市场反馈、用户满意度、经济效益等方面。通过评估转化的成功度和可持续性，为进一步的改进和优化提供依据。</w:t>
      </w:r>
    </w:p>
    <w:p>
      <w:pPr>
        <w:pStyle w:val="Heading1"/>
        <w:ind w:firstLine="560" w:firstLineChars="200"/>
        <w:rPr>
          <w:rFonts w:ascii="仿宋" w:eastAsia="仿宋" w:hAnsi="仿宋" w:cs="仿宋" w:hint="eastAsia"/>
          <w:sz w:val="28"/>
          <w:lang w:eastAsia="zh-CN"/>
        </w:rPr>
      </w:pPr>
      <w:bookmarkStart w:id="32" w:name="_Toc10926"/>
      <w:r>
        <w:rPr>
          <w:rFonts w:ascii="仿宋" w:eastAsia="仿宋" w:hAnsi="仿宋" w:cs="仿宋" w:hint="eastAsia"/>
          <w:sz w:val="28"/>
          <w:lang w:eastAsia="zh-CN"/>
        </w:rPr>
        <w:t>七、人力资源管理和开发计划</w:t>
      </w:r>
      <w:bookmarkEnd w:id="32"/>
    </w:p>
    <w:p>
      <w:pPr>
        <w:pStyle w:val="Heading2"/>
        <w:rPr>
          <w:rFonts w:ascii="仿宋" w:eastAsia="仿宋" w:hAnsi="仿宋" w:cs="仿宋" w:hint="eastAsia"/>
          <w:lang w:eastAsia="zh-CN"/>
        </w:rPr>
      </w:pPr>
      <w:bookmarkStart w:id="33" w:name="_Toc31482"/>
      <w:r>
        <w:rPr>
          <w:rFonts w:ascii="仿宋" w:eastAsia="仿宋" w:hAnsi="仿宋" w:cs="仿宋" w:hint="eastAsia"/>
          <w:lang w:eastAsia="zh-CN"/>
        </w:rPr>
        <w:t>(一)、人力资源管理的目标和原则</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人力资源管理的目标：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人力资源供需平衡：确保企业的人力资源供需平衡，根据业务需求合理配置和管理人力资源，避免人力资源过剩或短缺的情况。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人才招聘和留任：吸引、招聘和留住优秀人才，建立人才储备和绩效管理机制，提高企业的人才竞争力和创新能力。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员工发展和培训：提供员工发展和培训机会，提高员工的专业素养和技能水平，激发员工的工作动力和创造力。</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绩效管理和激励机制：建立有效的绩效管理和激励机制，根据员工的工作表现和贡献进行评估和奖励，激发员工的积极性和工作热情。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员工关系和福利保障：维护良好的员工关系，提供适当的福利保障，关注员工的权益和福利，提高员工的满意度和忠诚度。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人力资源管理的原则：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公平与公正：建立公平和公正的人力资源管理机制，确保员工在招聘、晋升、薪酬等方面的机会和待遇公平公正。</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透明与沟通：建立透明和开放的沟通机制，与员工保持良好的沟通和互动，及时传递信息和反馈，增强员工的参与感和归属感。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激励与奖励：采用激励和奖励措施，鼓励员工积极工作和创新，提高员工的工作动力和满意度。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发展与培训：提供员工发展和培训的机会，支持员工的职业发展，提高员工的专业素养和技能水平。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多元与包容：倡导多元化和包容性，尊重员工的差异和多样性，创造一个公平、开放、包容的工作环境。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人力资源管理的注意事项和建议：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招聘和选拔：进行有效的招聘和选拔，确保招聘的人员符合岗位要求和企业文化，提高招聘的准确性和成功率。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培训和发展：制定全面的培训和发展计划，根据员工的需求和岗位要求，提供相应的培训和发展机会，提高员工的专业素养和职业能力。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绩效管理：建立有效的绩效管理体系，明确目标和指标，定期评估和反馈员工的绩效，提供相应的奖励和激励措施。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https://d.book118.com/378046113003006023</w:t>
        </w:r>
      </w:hyperlink>
    </w:p>
    <w:p>
      <w:pPr>
        <w:ind w:firstLine="560" w:firstLineChars="200"/>
        <w:rPr>
          <w:rFonts w:ascii="仿宋" w:eastAsia="仿宋" w:hAnsi="仿宋" w:cs="仿宋" w:hint="eastAsia"/>
          <w:sz w:val="28"/>
        </w:rPr>
      </w:pPr>
    </w:p>
    <w:sectPr>
      <w:headerReference w:type="default" r:id="rId58"/>
      <w:footerReference w:type="default" r:id="rId59"/>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航空煤油可行性报告/专业报告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1D5B21"/>
    <w:rsid w:val="301D5B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yperlink" Target="https://d.book118.com/378046113003006023" TargetMode="Externa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2023-12-15T19:26:00Z</dcterms:created>
  <dcterms:modified xsi:type="dcterms:W3CDTF">2023-12-15T19:26:12Z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