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17BF" w:rsidRPr="00F94D4E" w:rsidP="009417BF">
      <w:pPr>
        <w:pStyle w:val="NoSpacing"/>
        <w:spacing w:before="936" w:beforeLines="300" w:after="624" w:afterLines="200"/>
        <w:ind w:firstLine="0" w:firstLineChars="0"/>
        <w:jc w:val="center"/>
        <w:rPr>
          <w:rFonts w:ascii="华文中宋" w:eastAsia="华文中宋" w:hAnsi="华文中宋"/>
          <w:b/>
          <w:sz w:val="44"/>
          <w:szCs w:val="44"/>
        </w:rPr>
      </w:pPr>
      <w:r w:rsidRPr="00F94D4E">
        <w:rPr>
          <w:rFonts w:ascii="华文中宋" w:eastAsia="华文中宋" w:hAnsi="华文中宋" w:hint="eastAsia"/>
          <w:b/>
          <w:sz w:val="44"/>
          <w:szCs w:val="44"/>
        </w:rPr>
        <w:t>摘 要</w:t>
      </w:r>
    </w:p>
    <w:p w:rsidR="009417BF" w:rsidRPr="00EE28EF" w:rsidP="009417BF">
      <w:pPr>
        <w:widowControl/>
        <w:spacing w:line="360" w:lineRule="auto"/>
        <w:ind w:firstLine="480" w:firstLineChars="200"/>
        <w:rPr>
          <w:rFonts w:asciiTheme="minorEastAsia" w:eastAsiaTheme="minorEastAsia" w:hAnsiTheme="minorEastAsia" w:cs="黑体"/>
          <w:b/>
          <w:sz w:val="24"/>
          <w:szCs w:val="24"/>
        </w:rPr>
      </w:pPr>
      <w:r w:rsidRPr="00EE28EF">
        <w:rPr>
          <w:rFonts w:asciiTheme="minorEastAsia" w:eastAsiaTheme="minorEastAsia" w:hAnsiTheme="minorEastAsia" w:cs="黑体"/>
          <w:b/>
          <w:sz w:val="24"/>
          <w:szCs w:val="24"/>
        </w:rPr>
        <w:t>我国的</w:t>
      </w:r>
      <w:r w:rsidRPr="00EE28EF">
        <w:rPr>
          <w:rFonts w:asciiTheme="minorEastAsia" w:eastAsiaTheme="minorEastAsia" w:hAnsiTheme="minorEastAsia" w:cs="黑体" w:hint="eastAsia"/>
          <w:b/>
          <w:sz w:val="24"/>
          <w:szCs w:val="24"/>
        </w:rPr>
        <w:t>债券市场</w:t>
      </w:r>
      <w:r>
        <w:rPr>
          <w:rFonts w:asciiTheme="minorEastAsia" w:eastAsiaTheme="minorEastAsia" w:hAnsiTheme="minorEastAsia" w:cs="黑体" w:hint="eastAsia"/>
          <w:b/>
          <w:sz w:val="24"/>
          <w:szCs w:val="24"/>
        </w:rPr>
        <w:t>虽然在</w:t>
      </w:r>
      <w:r>
        <w:rPr>
          <w:rFonts w:asciiTheme="minorEastAsia" w:eastAsiaTheme="minorEastAsia" w:hAnsiTheme="minorEastAsia" w:cs="黑体"/>
          <w:b/>
          <w:sz w:val="24"/>
          <w:szCs w:val="24"/>
        </w:rPr>
        <w:t>近些年</w:t>
      </w:r>
      <w:r>
        <w:rPr>
          <w:rFonts w:asciiTheme="minorEastAsia" w:eastAsiaTheme="minorEastAsia" w:hAnsiTheme="minorEastAsia" w:cs="黑体" w:hint="eastAsia"/>
          <w:b/>
          <w:sz w:val="24"/>
          <w:szCs w:val="24"/>
        </w:rPr>
        <w:t>取得了一定</w:t>
      </w:r>
      <w:r>
        <w:rPr>
          <w:rFonts w:asciiTheme="minorEastAsia" w:eastAsiaTheme="minorEastAsia" w:hAnsiTheme="minorEastAsia" w:cs="黑体"/>
          <w:b/>
          <w:sz w:val="24"/>
          <w:szCs w:val="24"/>
        </w:rPr>
        <w:t>的</w:t>
      </w:r>
      <w:r w:rsidRPr="00EE28EF">
        <w:rPr>
          <w:rFonts w:asciiTheme="minorEastAsia" w:eastAsiaTheme="minorEastAsia" w:hAnsiTheme="minorEastAsia" w:cs="黑体" w:hint="eastAsia"/>
          <w:b/>
          <w:sz w:val="24"/>
          <w:szCs w:val="24"/>
        </w:rPr>
        <w:t>发展</w:t>
      </w:r>
      <w:r w:rsidRPr="00EE28EF">
        <w:rPr>
          <w:rFonts w:asciiTheme="minorEastAsia" w:eastAsiaTheme="minorEastAsia" w:hAnsiTheme="minorEastAsia" w:cs="黑体"/>
          <w:b/>
          <w:sz w:val="24"/>
          <w:szCs w:val="24"/>
        </w:rPr>
        <w:t>，但</w:t>
      </w:r>
      <w:r w:rsidRPr="00EE28EF">
        <w:rPr>
          <w:rFonts w:asciiTheme="minorEastAsia" w:eastAsiaTheme="minorEastAsia" w:hAnsiTheme="minorEastAsia" w:cs="黑体" w:hint="eastAsia"/>
          <w:b/>
          <w:sz w:val="24"/>
          <w:szCs w:val="24"/>
        </w:rPr>
        <w:t>相较于</w:t>
      </w:r>
      <w:r w:rsidRPr="00EE28EF">
        <w:rPr>
          <w:rFonts w:asciiTheme="minorEastAsia" w:eastAsiaTheme="minorEastAsia" w:hAnsiTheme="minorEastAsia" w:cs="黑体"/>
          <w:b/>
          <w:sz w:val="24"/>
          <w:szCs w:val="24"/>
        </w:rPr>
        <w:t>西方发达国家，我国债券市场仍存在流动性不足的</w:t>
      </w:r>
      <w:r w:rsidRPr="00EE28EF">
        <w:rPr>
          <w:rFonts w:asciiTheme="minorEastAsia" w:eastAsiaTheme="minorEastAsia" w:hAnsiTheme="minorEastAsia" w:cs="黑体" w:hint="eastAsia"/>
          <w:b/>
          <w:sz w:val="24"/>
          <w:szCs w:val="24"/>
        </w:rPr>
        <w:t>问题</w:t>
      </w:r>
      <w:r w:rsidRPr="00EE28EF">
        <w:rPr>
          <w:rFonts w:asciiTheme="minorEastAsia" w:eastAsiaTheme="minorEastAsia" w:hAnsiTheme="minorEastAsia" w:cs="黑体"/>
          <w:b/>
          <w:sz w:val="24"/>
          <w:szCs w:val="24"/>
        </w:rPr>
        <w:t>。</w:t>
      </w:r>
      <w:r w:rsidRPr="00EE28EF">
        <w:rPr>
          <w:rFonts w:asciiTheme="minorEastAsia" w:eastAsiaTheme="minorEastAsia" w:hAnsiTheme="minorEastAsia" w:cs="黑体" w:hint="eastAsia"/>
          <w:b/>
          <w:sz w:val="24"/>
          <w:szCs w:val="24"/>
        </w:rPr>
        <w:t>除此之外</w:t>
      </w:r>
      <w:r w:rsidRPr="00EE28EF">
        <w:rPr>
          <w:rFonts w:asciiTheme="minorEastAsia" w:eastAsiaTheme="minorEastAsia" w:hAnsiTheme="minorEastAsia" w:cs="黑体"/>
          <w:b/>
          <w:sz w:val="24"/>
          <w:szCs w:val="24"/>
        </w:rPr>
        <w:t>，国内</w:t>
      </w:r>
      <w:r w:rsidRPr="00EE28EF">
        <w:rPr>
          <w:rFonts w:asciiTheme="minorEastAsia" w:eastAsiaTheme="minorEastAsia" w:hAnsiTheme="minorEastAsia" w:cs="黑体" w:hint="eastAsia"/>
          <w:b/>
          <w:sz w:val="24"/>
          <w:szCs w:val="24"/>
        </w:rPr>
        <w:t>对于</w:t>
      </w:r>
      <w:r w:rsidRPr="00EE28EF">
        <w:rPr>
          <w:rFonts w:asciiTheme="minorEastAsia" w:eastAsiaTheme="minorEastAsia" w:hAnsiTheme="minorEastAsia" w:cs="黑体"/>
          <w:b/>
          <w:sz w:val="24"/>
          <w:szCs w:val="24"/>
        </w:rPr>
        <w:t>债券流动性溢价的研究</w:t>
      </w:r>
      <w:r w:rsidRPr="00EE28EF">
        <w:rPr>
          <w:rFonts w:asciiTheme="minorEastAsia" w:eastAsiaTheme="minorEastAsia" w:hAnsiTheme="minorEastAsia" w:cs="黑体" w:hint="eastAsia"/>
          <w:b/>
          <w:sz w:val="24"/>
          <w:szCs w:val="24"/>
        </w:rPr>
        <w:t>同样</w:t>
      </w:r>
      <w:r w:rsidRPr="00EE28EF">
        <w:rPr>
          <w:rFonts w:asciiTheme="minorEastAsia" w:eastAsiaTheme="minorEastAsia" w:hAnsiTheme="minorEastAsia" w:cs="黑体"/>
          <w:b/>
          <w:sz w:val="24"/>
          <w:szCs w:val="24"/>
        </w:rPr>
        <w:t>较</w:t>
      </w:r>
      <w:r w:rsidRPr="00EE28EF">
        <w:rPr>
          <w:rFonts w:asciiTheme="minorEastAsia" w:eastAsiaTheme="minorEastAsia" w:hAnsiTheme="minorEastAsia" w:cs="黑体" w:hint="eastAsia"/>
          <w:b/>
          <w:sz w:val="24"/>
          <w:szCs w:val="24"/>
        </w:rPr>
        <w:t>少</w:t>
      </w:r>
      <w:r w:rsidRPr="00EE28EF">
        <w:rPr>
          <w:rFonts w:asciiTheme="minorEastAsia" w:eastAsiaTheme="minorEastAsia" w:hAnsiTheme="minorEastAsia" w:cs="黑体"/>
          <w:b/>
          <w:sz w:val="24"/>
          <w:szCs w:val="24"/>
        </w:rPr>
        <w:t>，</w:t>
      </w:r>
      <w:r w:rsidRPr="00EE28EF">
        <w:rPr>
          <w:rFonts w:asciiTheme="minorEastAsia" w:eastAsiaTheme="minorEastAsia" w:hAnsiTheme="minorEastAsia" w:cs="黑体" w:hint="eastAsia"/>
          <w:b/>
          <w:sz w:val="24"/>
          <w:szCs w:val="24"/>
        </w:rPr>
        <w:t>具体到</w:t>
      </w:r>
      <w:r w:rsidRPr="00EE28EF">
        <w:rPr>
          <w:rFonts w:asciiTheme="minorEastAsia" w:eastAsiaTheme="minorEastAsia" w:hAnsiTheme="minorEastAsia" w:cs="黑体"/>
          <w:b/>
          <w:sz w:val="24"/>
          <w:szCs w:val="24"/>
        </w:rPr>
        <w:t>结合流动性溢价与信用利差的研究更</w:t>
      </w:r>
      <w:r w:rsidRPr="00EE28EF">
        <w:rPr>
          <w:rFonts w:asciiTheme="minorEastAsia" w:eastAsiaTheme="minorEastAsia" w:hAnsiTheme="minorEastAsia" w:cs="黑体" w:hint="eastAsia"/>
          <w:b/>
          <w:sz w:val="24"/>
          <w:szCs w:val="24"/>
        </w:rPr>
        <w:t>加</w:t>
      </w:r>
      <w:r w:rsidRPr="00EE28EF">
        <w:rPr>
          <w:rFonts w:asciiTheme="minorEastAsia" w:eastAsiaTheme="minorEastAsia" w:hAnsiTheme="minorEastAsia" w:cs="黑体"/>
          <w:b/>
          <w:sz w:val="24"/>
          <w:szCs w:val="24"/>
        </w:rPr>
        <w:t>稀缺。</w:t>
      </w:r>
    </w:p>
    <w:p w:rsidR="009417BF" w:rsidRPr="00EE28EF" w:rsidP="009417BF">
      <w:pPr>
        <w:widowControl/>
        <w:spacing w:line="360" w:lineRule="auto"/>
        <w:ind w:firstLine="480" w:firstLineChars="200"/>
        <w:rPr>
          <w:rFonts w:asciiTheme="minorEastAsia" w:eastAsiaTheme="minorEastAsia" w:hAnsiTheme="minorEastAsia" w:cs="黑体"/>
          <w:b/>
          <w:sz w:val="24"/>
          <w:szCs w:val="24"/>
        </w:rPr>
      </w:pPr>
      <w:r w:rsidRPr="00EE28EF">
        <w:rPr>
          <w:rFonts w:asciiTheme="minorEastAsia" w:eastAsiaTheme="minorEastAsia" w:hAnsiTheme="minorEastAsia" w:cs="黑体"/>
          <w:b/>
          <w:sz w:val="24"/>
          <w:szCs w:val="24"/>
        </w:rPr>
        <w:t>在</w:t>
      </w:r>
      <w:r w:rsidRPr="00EE28EF">
        <w:rPr>
          <w:rFonts w:asciiTheme="minorEastAsia" w:eastAsiaTheme="minorEastAsia" w:hAnsiTheme="minorEastAsia" w:cs="黑体" w:hint="eastAsia"/>
          <w:b/>
          <w:sz w:val="24"/>
          <w:szCs w:val="24"/>
        </w:rPr>
        <w:t>此</w:t>
      </w:r>
      <w:r w:rsidRPr="00EE28EF">
        <w:rPr>
          <w:rFonts w:asciiTheme="minorEastAsia" w:eastAsiaTheme="minorEastAsia" w:hAnsiTheme="minorEastAsia" w:cs="黑体"/>
          <w:b/>
          <w:sz w:val="24"/>
          <w:szCs w:val="24"/>
        </w:rPr>
        <w:t>基础上，本文</w:t>
      </w:r>
      <w:r w:rsidRPr="00EE28EF">
        <w:rPr>
          <w:rFonts w:asciiTheme="minorEastAsia" w:eastAsiaTheme="minorEastAsia" w:hAnsiTheme="minorEastAsia" w:cs="黑体" w:hint="eastAsia"/>
          <w:b/>
          <w:sz w:val="24"/>
          <w:szCs w:val="24"/>
        </w:rPr>
        <w:t>选择结合我国</w:t>
      </w:r>
      <w:r w:rsidRPr="00EE28EF">
        <w:rPr>
          <w:rFonts w:asciiTheme="minorEastAsia" w:eastAsiaTheme="minorEastAsia" w:hAnsiTheme="minorEastAsia" w:cs="黑体"/>
          <w:b/>
          <w:sz w:val="24"/>
          <w:szCs w:val="24"/>
        </w:rPr>
        <w:t>公司债</w:t>
      </w:r>
      <w:r w:rsidRPr="00EE28EF">
        <w:rPr>
          <w:rFonts w:asciiTheme="minorEastAsia" w:eastAsiaTheme="minorEastAsia" w:hAnsiTheme="minorEastAsia" w:cs="黑体" w:hint="eastAsia"/>
          <w:b/>
          <w:sz w:val="24"/>
          <w:szCs w:val="24"/>
        </w:rPr>
        <w:t>的实际状况</w:t>
      </w:r>
      <w:r w:rsidRPr="00EE28EF">
        <w:rPr>
          <w:rFonts w:asciiTheme="minorEastAsia" w:eastAsiaTheme="minorEastAsia" w:hAnsiTheme="minorEastAsia" w:cs="黑体"/>
          <w:b/>
          <w:sz w:val="24"/>
          <w:szCs w:val="24"/>
        </w:rPr>
        <w:t>，</w:t>
      </w:r>
      <w:r>
        <w:rPr>
          <w:rFonts w:asciiTheme="minorEastAsia" w:eastAsiaTheme="minorEastAsia" w:hAnsiTheme="minorEastAsia" w:cs="黑体" w:hint="eastAsia"/>
          <w:b/>
          <w:sz w:val="24"/>
          <w:szCs w:val="24"/>
        </w:rPr>
        <w:t>研究</w:t>
      </w:r>
      <w:r w:rsidRPr="00EE28EF">
        <w:rPr>
          <w:rFonts w:asciiTheme="minorEastAsia" w:eastAsiaTheme="minorEastAsia" w:hAnsiTheme="minorEastAsia" w:cs="黑体" w:hint="eastAsia"/>
          <w:b/>
          <w:sz w:val="24"/>
          <w:szCs w:val="24"/>
        </w:rPr>
        <w:t>公司债</w:t>
      </w:r>
      <w:r w:rsidRPr="00EE28EF">
        <w:rPr>
          <w:rFonts w:asciiTheme="minorEastAsia" w:eastAsiaTheme="minorEastAsia" w:hAnsiTheme="minorEastAsia" w:cs="黑体"/>
          <w:b/>
          <w:sz w:val="24"/>
          <w:szCs w:val="24"/>
        </w:rPr>
        <w:t>的流动性溢价</w:t>
      </w:r>
      <w:r>
        <w:rPr>
          <w:rFonts w:asciiTheme="minorEastAsia" w:eastAsiaTheme="minorEastAsia" w:hAnsiTheme="minorEastAsia" w:cs="黑体" w:hint="eastAsia"/>
          <w:b/>
          <w:sz w:val="24"/>
          <w:szCs w:val="24"/>
        </w:rPr>
        <w:t>是否会对</w:t>
      </w:r>
      <w:r w:rsidRPr="00EE28EF">
        <w:rPr>
          <w:rFonts w:asciiTheme="minorEastAsia" w:eastAsiaTheme="minorEastAsia" w:hAnsiTheme="minorEastAsia" w:cs="黑体" w:hint="eastAsia"/>
          <w:b/>
          <w:sz w:val="24"/>
          <w:szCs w:val="24"/>
        </w:rPr>
        <w:t>对</w:t>
      </w:r>
      <w:r w:rsidRPr="00EE28EF">
        <w:rPr>
          <w:rFonts w:asciiTheme="minorEastAsia" w:eastAsiaTheme="minorEastAsia" w:hAnsiTheme="minorEastAsia" w:cs="黑体"/>
          <w:b/>
          <w:sz w:val="24"/>
          <w:szCs w:val="24"/>
        </w:rPr>
        <w:t>信用利差</w:t>
      </w:r>
      <w:r>
        <w:rPr>
          <w:rFonts w:asciiTheme="minorEastAsia" w:eastAsiaTheme="minorEastAsia" w:hAnsiTheme="minorEastAsia" w:cs="黑体" w:hint="eastAsia"/>
          <w:b/>
          <w:sz w:val="24"/>
          <w:szCs w:val="24"/>
        </w:rPr>
        <w:t>产生影响，且</w:t>
      </w:r>
      <w:r>
        <w:rPr>
          <w:rFonts w:asciiTheme="minorEastAsia" w:eastAsiaTheme="minorEastAsia" w:hAnsiTheme="minorEastAsia" w:cs="黑体"/>
          <w:b/>
          <w:sz w:val="24"/>
          <w:szCs w:val="24"/>
        </w:rPr>
        <w:t>探究</w:t>
      </w:r>
      <w:r>
        <w:rPr>
          <w:rFonts w:asciiTheme="minorEastAsia" w:eastAsiaTheme="minorEastAsia" w:hAnsiTheme="minorEastAsia" w:cs="黑体" w:hint="eastAsia"/>
          <w:b/>
          <w:sz w:val="24"/>
          <w:szCs w:val="24"/>
        </w:rPr>
        <w:t>两者</w:t>
      </w:r>
      <w:r w:rsidRPr="00EE28EF">
        <w:rPr>
          <w:rFonts w:asciiTheme="minorEastAsia" w:eastAsiaTheme="minorEastAsia" w:hAnsiTheme="minorEastAsia" w:cs="黑体" w:hint="eastAsia"/>
          <w:b/>
          <w:sz w:val="24"/>
          <w:szCs w:val="24"/>
        </w:rPr>
        <w:t>之间</w:t>
      </w:r>
      <w:r w:rsidRPr="00EE28EF">
        <w:rPr>
          <w:rFonts w:asciiTheme="minorEastAsia" w:eastAsiaTheme="minorEastAsia" w:hAnsiTheme="minorEastAsia" w:cs="黑体"/>
          <w:b/>
          <w:sz w:val="24"/>
          <w:szCs w:val="24"/>
        </w:rPr>
        <w:t>的关系。</w:t>
      </w:r>
      <w:r>
        <w:rPr>
          <w:rFonts w:asciiTheme="minorEastAsia" w:eastAsiaTheme="minorEastAsia" w:hAnsiTheme="minorEastAsia" w:cs="黑体" w:hint="eastAsia"/>
          <w:b/>
          <w:sz w:val="24"/>
          <w:szCs w:val="24"/>
        </w:rPr>
        <w:t>此外</w:t>
      </w:r>
      <w:r>
        <w:rPr>
          <w:rFonts w:asciiTheme="minorEastAsia" w:eastAsiaTheme="minorEastAsia" w:hAnsiTheme="minorEastAsia" w:cs="黑体"/>
          <w:b/>
          <w:sz w:val="24"/>
          <w:szCs w:val="24"/>
        </w:rPr>
        <w:t>，本文选取了理论分析与</w:t>
      </w:r>
      <w:r>
        <w:rPr>
          <w:rFonts w:asciiTheme="minorEastAsia" w:eastAsiaTheme="minorEastAsia" w:hAnsiTheme="minorEastAsia" w:cs="黑体" w:hint="eastAsia"/>
          <w:b/>
          <w:sz w:val="24"/>
          <w:szCs w:val="24"/>
        </w:rPr>
        <w:t>实证分析</w:t>
      </w:r>
      <w:r>
        <w:rPr>
          <w:rFonts w:asciiTheme="minorEastAsia" w:eastAsiaTheme="minorEastAsia" w:hAnsiTheme="minorEastAsia" w:cs="黑体"/>
          <w:b/>
          <w:sz w:val="24"/>
          <w:szCs w:val="24"/>
        </w:rPr>
        <w:t>相结合的方法来进行研究。</w:t>
      </w:r>
      <w:r w:rsidRPr="00EE28EF">
        <w:rPr>
          <w:rFonts w:asciiTheme="minorEastAsia" w:eastAsiaTheme="minorEastAsia" w:hAnsiTheme="minorEastAsia" w:cs="黑体" w:hint="eastAsia"/>
          <w:b/>
          <w:sz w:val="24"/>
          <w:szCs w:val="24"/>
        </w:rPr>
        <w:t>理论方面</w:t>
      </w:r>
      <w:r w:rsidRPr="00EE28EF">
        <w:rPr>
          <w:rFonts w:asciiTheme="minorEastAsia" w:eastAsiaTheme="minorEastAsia" w:hAnsiTheme="minorEastAsia" w:cs="黑体"/>
          <w:b/>
          <w:sz w:val="24"/>
          <w:szCs w:val="24"/>
        </w:rPr>
        <w:t>为将</w:t>
      </w:r>
      <w:r w:rsidRPr="00EE28EF">
        <w:rPr>
          <w:rFonts w:asciiTheme="minorEastAsia" w:eastAsiaTheme="minorEastAsia" w:hAnsiTheme="minorEastAsia" w:cs="黑体" w:hint="eastAsia"/>
          <w:b/>
          <w:sz w:val="24"/>
          <w:szCs w:val="24"/>
        </w:rPr>
        <w:t>流动性溢价</w:t>
      </w:r>
      <w:r w:rsidRPr="00EE28EF">
        <w:rPr>
          <w:rFonts w:asciiTheme="minorEastAsia" w:eastAsiaTheme="minorEastAsia" w:hAnsiTheme="minorEastAsia" w:cs="黑体"/>
          <w:b/>
          <w:sz w:val="24"/>
          <w:szCs w:val="24"/>
        </w:rPr>
        <w:t>和信用</w:t>
      </w:r>
      <w:r w:rsidRPr="00EE28EF">
        <w:rPr>
          <w:rFonts w:asciiTheme="minorEastAsia" w:eastAsiaTheme="minorEastAsia" w:hAnsiTheme="minorEastAsia" w:cs="黑体" w:hint="eastAsia"/>
          <w:b/>
          <w:sz w:val="24"/>
          <w:szCs w:val="24"/>
        </w:rPr>
        <w:t>利差</w:t>
      </w:r>
      <w:r w:rsidRPr="00EE28EF">
        <w:rPr>
          <w:rFonts w:asciiTheme="minorEastAsia" w:eastAsiaTheme="minorEastAsia" w:hAnsiTheme="minorEastAsia" w:cs="黑体"/>
          <w:b/>
          <w:sz w:val="24"/>
          <w:szCs w:val="24"/>
        </w:rPr>
        <w:t>的相关</w:t>
      </w:r>
      <w:r w:rsidRPr="00EE28EF">
        <w:rPr>
          <w:rFonts w:asciiTheme="minorEastAsia" w:eastAsiaTheme="minorEastAsia" w:hAnsiTheme="minorEastAsia" w:cs="黑体" w:hint="eastAsia"/>
          <w:b/>
          <w:sz w:val="24"/>
          <w:szCs w:val="24"/>
        </w:rPr>
        <w:t>文献</w:t>
      </w:r>
      <w:r w:rsidRPr="00EE28EF">
        <w:rPr>
          <w:rFonts w:asciiTheme="minorEastAsia" w:eastAsiaTheme="minorEastAsia" w:hAnsiTheme="minorEastAsia" w:cs="黑体"/>
          <w:b/>
          <w:sz w:val="24"/>
          <w:szCs w:val="24"/>
        </w:rPr>
        <w:t>进行总结归纳，找准</w:t>
      </w:r>
      <w:r w:rsidRPr="00EE28EF">
        <w:rPr>
          <w:rFonts w:asciiTheme="minorEastAsia" w:eastAsiaTheme="minorEastAsia" w:hAnsiTheme="minorEastAsia" w:cs="黑体" w:hint="eastAsia"/>
          <w:b/>
          <w:sz w:val="24"/>
          <w:szCs w:val="24"/>
        </w:rPr>
        <w:t>文章</w:t>
      </w:r>
      <w:r w:rsidRPr="00EE28EF">
        <w:rPr>
          <w:rFonts w:asciiTheme="minorEastAsia" w:eastAsiaTheme="minorEastAsia" w:hAnsiTheme="minorEastAsia" w:cs="黑体"/>
          <w:b/>
          <w:sz w:val="24"/>
          <w:szCs w:val="24"/>
        </w:rPr>
        <w:t>的研究方向。同时</w:t>
      </w:r>
      <w:r w:rsidRPr="00EE28EF">
        <w:rPr>
          <w:rFonts w:asciiTheme="minorEastAsia" w:eastAsiaTheme="minorEastAsia" w:hAnsiTheme="minorEastAsia" w:cs="黑体" w:hint="eastAsia"/>
          <w:b/>
          <w:sz w:val="24"/>
          <w:szCs w:val="24"/>
        </w:rPr>
        <w:t>对</w:t>
      </w:r>
      <w:r w:rsidRPr="00EE28EF">
        <w:rPr>
          <w:rFonts w:asciiTheme="minorEastAsia" w:eastAsiaTheme="minorEastAsia" w:hAnsiTheme="minorEastAsia" w:cs="黑体"/>
          <w:b/>
          <w:sz w:val="24"/>
          <w:szCs w:val="24"/>
        </w:rPr>
        <w:t>我国公司债的</w:t>
      </w:r>
      <w:r w:rsidRPr="00EE28EF">
        <w:rPr>
          <w:rFonts w:asciiTheme="minorEastAsia" w:eastAsiaTheme="minorEastAsia" w:hAnsiTheme="minorEastAsia" w:cs="黑体" w:hint="eastAsia"/>
          <w:b/>
          <w:sz w:val="24"/>
          <w:szCs w:val="24"/>
        </w:rPr>
        <w:t>流动性现状进行了</w:t>
      </w:r>
      <w:r w:rsidRPr="00EE28EF">
        <w:rPr>
          <w:rFonts w:asciiTheme="minorEastAsia" w:eastAsiaTheme="minorEastAsia" w:hAnsiTheme="minorEastAsia" w:cs="黑体"/>
          <w:b/>
          <w:sz w:val="24"/>
          <w:szCs w:val="24"/>
        </w:rPr>
        <w:t>小</w:t>
      </w:r>
      <w:r w:rsidRPr="00EE28EF">
        <w:rPr>
          <w:rFonts w:asciiTheme="minorEastAsia" w:eastAsiaTheme="minorEastAsia" w:hAnsiTheme="minorEastAsia" w:cs="黑体" w:hint="eastAsia"/>
          <w:b/>
          <w:sz w:val="24"/>
          <w:szCs w:val="24"/>
        </w:rPr>
        <w:t>结</w:t>
      </w:r>
      <w:r w:rsidRPr="00EE28EF">
        <w:rPr>
          <w:rFonts w:asciiTheme="minorEastAsia" w:eastAsiaTheme="minorEastAsia" w:hAnsiTheme="minorEastAsia" w:cs="黑体"/>
          <w:b/>
          <w:sz w:val="24"/>
          <w:szCs w:val="24"/>
        </w:rPr>
        <w:t>。最后</w:t>
      </w:r>
      <w:r w:rsidRPr="00EE28EF">
        <w:rPr>
          <w:rFonts w:asciiTheme="minorEastAsia" w:eastAsiaTheme="minorEastAsia" w:hAnsiTheme="minorEastAsia" w:cs="黑体" w:hint="eastAsia"/>
          <w:b/>
          <w:sz w:val="24"/>
          <w:szCs w:val="24"/>
        </w:rPr>
        <w:t>归纳</w:t>
      </w:r>
      <w:r w:rsidRPr="00EE28EF">
        <w:rPr>
          <w:rFonts w:asciiTheme="minorEastAsia" w:eastAsiaTheme="minorEastAsia" w:hAnsiTheme="minorEastAsia" w:cs="黑体"/>
          <w:b/>
          <w:sz w:val="24"/>
          <w:szCs w:val="24"/>
        </w:rPr>
        <w:t>出信用利差的影响因素</w:t>
      </w:r>
      <w:r w:rsidRPr="00EE28EF">
        <w:rPr>
          <w:rFonts w:asciiTheme="minorEastAsia" w:eastAsiaTheme="minorEastAsia" w:hAnsiTheme="minorEastAsia" w:cs="黑体" w:hint="eastAsia"/>
          <w:b/>
          <w:sz w:val="24"/>
          <w:szCs w:val="24"/>
        </w:rPr>
        <w:t>来</w:t>
      </w:r>
      <w:r w:rsidRPr="00EE28EF">
        <w:rPr>
          <w:rFonts w:asciiTheme="minorEastAsia" w:eastAsiaTheme="minorEastAsia" w:hAnsiTheme="minorEastAsia" w:cs="黑体"/>
          <w:b/>
          <w:sz w:val="24"/>
          <w:szCs w:val="24"/>
        </w:rPr>
        <w:t>进行理论分析。</w:t>
      </w:r>
      <w:r w:rsidRPr="00EE28EF">
        <w:rPr>
          <w:rFonts w:asciiTheme="minorEastAsia" w:eastAsiaTheme="minorEastAsia" w:hAnsiTheme="minorEastAsia" w:cs="黑体" w:hint="eastAsia"/>
          <w:b/>
          <w:sz w:val="24"/>
          <w:szCs w:val="24"/>
        </w:rPr>
        <w:t>实证方面则</w:t>
      </w:r>
      <w:r w:rsidRPr="00EE28EF">
        <w:rPr>
          <w:rFonts w:asciiTheme="minorEastAsia" w:eastAsiaTheme="minorEastAsia" w:hAnsiTheme="minorEastAsia" w:cs="黑体"/>
          <w:b/>
          <w:sz w:val="24"/>
          <w:szCs w:val="24"/>
        </w:rPr>
        <w:t>将</w:t>
      </w:r>
      <w:r w:rsidRPr="00EE28EF">
        <w:rPr>
          <w:rFonts w:asciiTheme="minorEastAsia" w:eastAsiaTheme="minorEastAsia" w:hAnsiTheme="minorEastAsia" w:cs="黑体" w:hint="eastAsia"/>
          <w:b/>
          <w:sz w:val="24"/>
          <w:szCs w:val="24"/>
        </w:rPr>
        <w:t>我国交易</w:t>
      </w:r>
      <w:r w:rsidRPr="00EE28EF">
        <w:rPr>
          <w:rFonts w:asciiTheme="minorEastAsia" w:eastAsiaTheme="minorEastAsia" w:hAnsiTheme="minorEastAsia" w:cs="黑体"/>
          <w:b/>
          <w:sz w:val="24"/>
          <w:szCs w:val="24"/>
        </w:rPr>
        <w:t>较为活跃的</w:t>
      </w:r>
      <w:r w:rsidRPr="00EE28EF">
        <w:rPr>
          <w:rFonts w:asciiTheme="minorEastAsia" w:eastAsiaTheme="minorEastAsia" w:hAnsiTheme="minorEastAsia" w:cs="黑体" w:hint="eastAsia"/>
          <w:b/>
          <w:sz w:val="24"/>
          <w:szCs w:val="24"/>
        </w:rPr>
        <w:t>公司债</w:t>
      </w:r>
      <w:r w:rsidRPr="00EE28EF">
        <w:rPr>
          <w:rFonts w:asciiTheme="minorEastAsia" w:eastAsiaTheme="minorEastAsia" w:hAnsiTheme="minorEastAsia" w:cs="黑体"/>
          <w:b/>
          <w:sz w:val="24"/>
          <w:szCs w:val="24"/>
        </w:rPr>
        <w:t>作为研究对象，</w:t>
      </w:r>
      <w:r w:rsidRPr="00EE28EF">
        <w:rPr>
          <w:rFonts w:asciiTheme="minorEastAsia" w:eastAsiaTheme="minorEastAsia" w:hAnsiTheme="minorEastAsia" w:cs="黑体" w:hint="eastAsia"/>
          <w:b/>
          <w:sz w:val="24"/>
          <w:szCs w:val="24"/>
        </w:rPr>
        <w:t>结合</w:t>
      </w:r>
      <w:r w:rsidRPr="00EE28EF">
        <w:rPr>
          <w:rFonts w:asciiTheme="minorEastAsia" w:eastAsiaTheme="minorEastAsia" w:hAnsiTheme="minorEastAsia" w:cs="黑体"/>
          <w:b/>
          <w:sz w:val="24"/>
          <w:szCs w:val="24"/>
        </w:rPr>
        <w:t>信用利差的影响因素，</w:t>
      </w:r>
      <w:r w:rsidRPr="00EE28EF">
        <w:rPr>
          <w:rFonts w:asciiTheme="minorEastAsia" w:eastAsiaTheme="minorEastAsia" w:hAnsiTheme="minorEastAsia" w:cs="黑体" w:hint="eastAsia"/>
          <w:b/>
          <w:sz w:val="24"/>
          <w:szCs w:val="24"/>
        </w:rPr>
        <w:t>运用多个计量模型来进行实证分析。最后</w:t>
      </w:r>
      <w:r w:rsidRPr="00EE28EF">
        <w:rPr>
          <w:rFonts w:asciiTheme="minorEastAsia" w:eastAsiaTheme="minorEastAsia" w:hAnsiTheme="minorEastAsia" w:cs="黑体"/>
          <w:b/>
          <w:sz w:val="24"/>
          <w:szCs w:val="24"/>
        </w:rPr>
        <w:t>通过实证研究，</w:t>
      </w:r>
      <w:r w:rsidRPr="00EE28EF">
        <w:rPr>
          <w:rFonts w:asciiTheme="minorEastAsia" w:eastAsiaTheme="minorEastAsia" w:hAnsiTheme="minorEastAsia" w:cs="黑体" w:hint="eastAsia"/>
          <w:b/>
          <w:sz w:val="24"/>
          <w:szCs w:val="24"/>
        </w:rPr>
        <w:t>得出了</w:t>
      </w:r>
      <w:r w:rsidRPr="00EE28EF">
        <w:rPr>
          <w:rFonts w:asciiTheme="minorEastAsia" w:eastAsiaTheme="minorEastAsia" w:hAnsiTheme="minorEastAsia" w:cs="黑体"/>
          <w:b/>
          <w:sz w:val="24"/>
          <w:szCs w:val="24"/>
        </w:rPr>
        <w:t>我国公司债</w:t>
      </w:r>
      <w:r w:rsidRPr="00EE28EF">
        <w:rPr>
          <w:rFonts w:asciiTheme="minorEastAsia" w:eastAsiaTheme="minorEastAsia" w:hAnsiTheme="minorEastAsia" w:cs="黑体" w:hint="eastAsia"/>
          <w:b/>
          <w:sz w:val="24"/>
          <w:szCs w:val="24"/>
        </w:rPr>
        <w:t>的流动性溢价</w:t>
      </w:r>
      <w:r w:rsidRPr="00EE28EF">
        <w:rPr>
          <w:rFonts w:asciiTheme="minorEastAsia" w:eastAsiaTheme="minorEastAsia" w:hAnsiTheme="minorEastAsia" w:cs="黑体"/>
          <w:b/>
          <w:sz w:val="24"/>
          <w:szCs w:val="24"/>
        </w:rPr>
        <w:t>和</w:t>
      </w:r>
      <w:r w:rsidRPr="00EE28EF">
        <w:rPr>
          <w:rFonts w:asciiTheme="minorEastAsia" w:eastAsiaTheme="minorEastAsia" w:hAnsiTheme="minorEastAsia" w:cs="黑体" w:hint="eastAsia"/>
          <w:b/>
          <w:sz w:val="24"/>
          <w:szCs w:val="24"/>
        </w:rPr>
        <w:t>信用利差</w:t>
      </w:r>
      <w:r w:rsidRPr="00EE28EF">
        <w:rPr>
          <w:rFonts w:asciiTheme="minorEastAsia" w:eastAsiaTheme="minorEastAsia" w:hAnsiTheme="minorEastAsia" w:cs="黑体"/>
          <w:b/>
          <w:sz w:val="24"/>
          <w:szCs w:val="24"/>
        </w:rPr>
        <w:t>之间存在着相关关系。</w:t>
      </w:r>
    </w:p>
    <w:p w:rsidR="009417BF" w:rsidRPr="00EE28EF" w:rsidP="009417BF">
      <w:pPr>
        <w:widowControl/>
        <w:spacing w:line="360" w:lineRule="auto"/>
        <w:ind w:firstLine="480" w:firstLineChars="200"/>
        <w:rPr>
          <w:rFonts w:asciiTheme="minorEastAsia" w:eastAsiaTheme="minorEastAsia" w:hAnsiTheme="minorEastAsia" w:cs="黑体"/>
          <w:sz w:val="24"/>
          <w:szCs w:val="24"/>
        </w:rPr>
      </w:pPr>
    </w:p>
    <w:p w:rsidR="009417BF" w:rsidRPr="003B47F7" w:rsidP="009417BF">
      <w:pPr>
        <w:widowControl/>
        <w:spacing w:line="360" w:lineRule="auto"/>
        <w:ind w:firstLine="480" w:firstLineChars="200"/>
        <w:rPr>
          <w:rFonts w:asciiTheme="minorEastAsia" w:eastAsiaTheme="minorEastAsia" w:hAnsiTheme="minorEastAsia" w:cs="黑体"/>
          <w:b/>
          <w:sz w:val="24"/>
          <w:szCs w:val="24"/>
        </w:rPr>
      </w:pPr>
      <w:r w:rsidRPr="003B47F7">
        <w:rPr>
          <w:rFonts w:asciiTheme="minorEastAsia" w:eastAsiaTheme="minorEastAsia" w:hAnsiTheme="minorEastAsia" w:cs="黑体" w:hint="eastAsia"/>
          <w:b/>
          <w:sz w:val="24"/>
          <w:szCs w:val="24"/>
        </w:rPr>
        <w:t>关键词</w:t>
      </w:r>
      <w:r>
        <w:rPr>
          <w:rFonts w:asciiTheme="minorEastAsia" w:eastAsiaTheme="minorEastAsia" w:hAnsiTheme="minorEastAsia" w:cs="黑体" w:hint="eastAsia"/>
          <w:b/>
          <w:sz w:val="24"/>
          <w:szCs w:val="24"/>
        </w:rPr>
        <w:t>： 公司债 流动性溢价 信用利差</w:t>
      </w:r>
    </w:p>
    <w:p w:rsidR="009417BF" w:rsidRPr="00835022" w:rsidP="009417BF">
      <w:pPr>
        <w:widowControl/>
        <w:spacing w:line="360" w:lineRule="auto"/>
        <w:ind w:firstLine="880"/>
        <w:rPr>
          <w:rFonts w:asciiTheme="minorEastAsia" w:eastAsiaTheme="minorEastAsia" w:hAnsiTheme="minorEastAsia" w:cs="黑体"/>
          <w:sz w:val="24"/>
          <w:szCs w:val="24"/>
        </w:rPr>
      </w:pPr>
      <w:r>
        <w:rPr>
          <w:rFonts w:ascii="华文中宋" w:eastAsia="华文中宋" w:hAnsi="华文中宋" w:cs="黑体"/>
          <w:sz w:val="44"/>
          <w:szCs w:val="44"/>
        </w:rPr>
        <w:br w:type="page"/>
      </w:r>
    </w:p>
    <w:p w:rsidR="009417BF" w:rsidP="009417BF">
      <w:pPr>
        <w:pStyle w:val="a3"/>
        <w:ind w:firstLine="0" w:firstLineChars="0"/>
        <w:sectPr w:rsidSect="00364348">
          <w:footerReference w:type="default" r:id="rId4"/>
          <w:pgSz w:w="11906" w:h="16838"/>
          <w:pgMar w:top="1701" w:right="1701" w:bottom="1701" w:left="1701" w:header="851" w:footer="992" w:gutter="0"/>
          <w:pgNumType w:start="1"/>
          <w:cols w:space="425"/>
          <w:docGrid w:type="lines" w:linePitch="312"/>
        </w:sectPr>
      </w:pPr>
    </w:p>
    <w:p w:rsidR="009417BF" w:rsidRPr="00F94D4E" w:rsidP="009417BF">
      <w:pPr>
        <w:pStyle w:val="NoSpacing"/>
        <w:spacing w:before="936" w:beforeLines="300" w:after="624" w:afterLines="200"/>
        <w:ind w:firstLine="0" w:firstLineChars="0"/>
        <w:jc w:val="center"/>
        <w:rPr>
          <w:rFonts w:ascii="Times New Roman" w:eastAsia="华文中宋" w:hAnsi="Times New Roman"/>
          <w:b/>
          <w:sz w:val="44"/>
          <w:szCs w:val="44"/>
        </w:rPr>
      </w:pPr>
      <w:r w:rsidRPr="00F94D4E">
        <w:rPr>
          <w:rFonts w:ascii="Times New Roman" w:eastAsia="华文中宋" w:hAnsi="Times New Roman"/>
          <w:b/>
          <w:sz w:val="44"/>
          <w:szCs w:val="44"/>
        </w:rPr>
        <w:t>Abstract</w:t>
      </w:r>
    </w:p>
    <w:p w:rsidR="009417BF" w:rsidRPr="00847237" w:rsidP="009417BF">
      <w:pPr>
        <w:widowControl/>
        <w:spacing w:line="360" w:lineRule="auto"/>
        <w:ind w:firstLine="480" w:firstLineChars="200"/>
        <w:rPr>
          <w:rFonts w:ascii="Times New Roman" w:eastAsia="Times New Roman Uni" w:hAnsi="Times New Roman"/>
          <w:b/>
          <w:sz w:val="24"/>
          <w:szCs w:val="24"/>
        </w:rPr>
      </w:pPr>
      <w:r w:rsidRPr="00847237">
        <w:rPr>
          <w:rFonts w:ascii="Times New Roman" w:eastAsia="Times New Roman Uni" w:hAnsi="Times New Roman"/>
          <w:b/>
          <w:sz w:val="24"/>
          <w:szCs w:val="24"/>
        </w:rPr>
        <w:t>Although China's bond market has achieved some development in recent years, compared with western developed countries, China's bond market still has a problem of insufficient liquidity. In addition, domestic research on bond liquidity premiums is also scarce, and specific research that combines liquidity premiums and credit spreads is scarce.</w:t>
      </w:r>
    </w:p>
    <w:p w:rsidR="009417BF" w:rsidRPr="00847237" w:rsidP="009417BF">
      <w:pPr>
        <w:widowControl/>
        <w:spacing w:line="360" w:lineRule="auto"/>
        <w:ind w:firstLine="480" w:firstLineChars="200"/>
        <w:rPr>
          <w:rFonts w:ascii="Times New Roman" w:eastAsia="Times New Roman Uni" w:hAnsi="Times New Roman"/>
          <w:b/>
          <w:sz w:val="24"/>
          <w:szCs w:val="24"/>
        </w:rPr>
      </w:pPr>
      <w:r w:rsidRPr="00847237">
        <w:rPr>
          <w:rFonts w:ascii="Times New Roman" w:eastAsia="Times New Roman Uni" w:hAnsi="Times New Roman"/>
          <w:b/>
          <w:sz w:val="24"/>
          <w:szCs w:val="24"/>
        </w:rPr>
        <w:t xml:space="preserve">Based on this, this paper chooses to combine the actual situation of China's corporate bonds to study whether the liquidity premium of corporate bonds will affect the credit spread and explore the relationship between the two. In addition, this paper chooses a combination of theoretical analysis and empirical analysis for research. In terms of theory, the related literatures of liquidity premium and credit spread are summarized and the research direction of the article is pinpointed. At the same time, the status quo of the liquidity of corporate bonds in China is summarized. Finally, the influence factors of credit spread are summarized for theoretical analysis. On the empirical side, we take corporate bonds that are relatively active in China as research objects, and use multiple measurement models to conduct empirical analysis in combination with the factors </w:t>
      </w:r>
      <w:r w:rsidRPr="00847237">
        <w:rPr>
          <w:rFonts w:ascii="Times New Roman" w:eastAsia="Times New Roman Uni" w:hAnsi="Times New Roman"/>
          <w:b/>
          <w:sz w:val="24"/>
          <w:szCs w:val="24"/>
        </w:rPr>
        <w:t>affecting</w:t>
      </w:r>
      <w:r w:rsidRPr="00847237">
        <w:rPr>
          <w:rFonts w:ascii="Times New Roman" w:eastAsia="Times New Roman Uni" w:hAnsi="Times New Roman"/>
          <w:b/>
          <w:sz w:val="24"/>
          <w:szCs w:val="24"/>
        </w:rPr>
        <w:t xml:space="preserve"> the credit spread. Finally, through empirical research, it is concluded that there is a correlation between the liquidity premium and credit spread of corporate bonds in China.</w:t>
      </w:r>
    </w:p>
    <w:p w:rsidR="009417BF" w:rsidRPr="00847237" w:rsidP="009417BF">
      <w:pPr>
        <w:widowControl/>
        <w:spacing w:line="360" w:lineRule="auto"/>
        <w:ind w:firstLine="480" w:firstLineChars="200"/>
        <w:rPr>
          <w:rFonts w:ascii="Times New Roman" w:eastAsia="Times New Roman Uni" w:hAnsi="Times New Roman"/>
          <w:b/>
          <w:sz w:val="24"/>
          <w:szCs w:val="24"/>
        </w:rPr>
      </w:pPr>
      <w:r w:rsidRPr="00847237">
        <w:rPr>
          <w:rFonts w:ascii="Times New Roman" w:eastAsia="Times New Roman Uni" w:hAnsi="Times New Roman"/>
          <w:b/>
          <w:sz w:val="24"/>
          <w:szCs w:val="24"/>
        </w:rPr>
        <w:t xml:space="preserve">Keywords </w:t>
      </w:r>
      <w:r w:rsidRPr="00847237">
        <w:rPr>
          <w:rFonts w:ascii="Times New Roman" w:eastAsia="Times New Roman Uni" w:hAnsi="Times New Roman"/>
          <w:b/>
          <w:sz w:val="24"/>
          <w:szCs w:val="24"/>
        </w:rPr>
        <w:t>：</w:t>
      </w:r>
      <w:r w:rsidRPr="00847237">
        <w:rPr>
          <w:rFonts w:ascii="Times New Roman" w:eastAsia="Times New Roman Uni" w:hAnsi="Times New Roman"/>
          <w:b/>
          <w:sz w:val="24"/>
          <w:szCs w:val="24"/>
        </w:rPr>
        <w:t xml:space="preserve"> </w:t>
      </w:r>
      <w:r w:rsidRPr="00847237">
        <w:rPr>
          <w:rFonts w:ascii="Times New Roman" w:eastAsia="Times New Roman Uni" w:hAnsi="Times New Roman"/>
          <w:b/>
          <w:sz w:val="24"/>
          <w:szCs w:val="24"/>
        </w:rPr>
        <w:t>corporate</w:t>
      </w:r>
      <w:r w:rsidRPr="00847237">
        <w:rPr>
          <w:rFonts w:ascii="Times New Roman" w:eastAsia="Times New Roman Uni" w:hAnsi="Times New Roman"/>
          <w:b/>
          <w:sz w:val="24"/>
          <w:szCs w:val="24"/>
        </w:rPr>
        <w:t xml:space="preserve"> bonds ;</w:t>
      </w:r>
      <w:r w:rsidR="00994B9E">
        <w:rPr>
          <w:rFonts w:ascii="Times New Roman" w:eastAsia="Times New Roman Uni" w:hAnsi="Times New Roman"/>
          <w:b/>
          <w:sz w:val="24"/>
          <w:szCs w:val="24"/>
        </w:rPr>
        <w:t xml:space="preserve"> </w:t>
      </w:r>
      <w:r w:rsidRPr="00847237">
        <w:rPr>
          <w:rFonts w:ascii="Times New Roman" w:eastAsia="Times New Roman Uni" w:hAnsi="Times New Roman"/>
          <w:b/>
          <w:sz w:val="24"/>
          <w:szCs w:val="24"/>
        </w:rPr>
        <w:t>liquidity premium ;</w:t>
      </w:r>
      <w:r w:rsidR="00994B9E">
        <w:rPr>
          <w:rFonts w:ascii="Times New Roman" w:eastAsia="Times New Roman Uni" w:hAnsi="Times New Roman"/>
          <w:b/>
          <w:sz w:val="24"/>
          <w:szCs w:val="24"/>
        </w:rPr>
        <w:t xml:space="preserve"> </w:t>
      </w:r>
      <w:r w:rsidRPr="00847237">
        <w:rPr>
          <w:rFonts w:ascii="Times New Roman" w:eastAsia="Times New Roman Uni" w:hAnsi="Times New Roman"/>
          <w:b/>
          <w:sz w:val="24"/>
          <w:szCs w:val="24"/>
        </w:rPr>
        <w:t>credit spread</w:t>
      </w:r>
    </w:p>
    <w:p w:rsidR="009417BF" w:rsidP="009417BF">
      <w:pPr>
        <w:widowControl/>
        <w:ind w:firstLine="881"/>
        <w:jc w:val="left"/>
        <w:rPr>
          <w:rStyle w:val="1"/>
          <w:b w:val="0"/>
          <w:bCs w:val="0"/>
        </w:rPr>
      </w:pPr>
      <w:r>
        <w:rPr>
          <w:rStyle w:val="1"/>
          <w:b w:val="0"/>
          <w:bCs w:val="0"/>
        </w:rPr>
        <w:br/>
      </w:r>
      <w:r>
        <w:rPr>
          <w:rStyle w:val="1"/>
          <w:b w:val="0"/>
          <w:bCs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https://d.book118.com/378047046132006026</w:t>
        </w:r>
      </w:hyperlink>
    </w:p>
    <w:p w:rsidR="009417BF" w:rsidP="009417BF">
      <w:pPr>
        <w:widowControl/>
        <w:ind w:firstLine="881"/>
        <w:jc w:val="left"/>
        <w:rPr>
          <w:rStyle w:val="1"/>
          <w:b w:val="0"/>
          <w:bCs w:val="0"/>
        </w:rPr>
      </w:pPr>
    </w:p>
    <w:sectPr w:rsidSect="008C13C3">
      <w:footerReference w:type="default" r:id="rId6"/>
      <w:pgSz w:w="11906" w:h="16838"/>
      <w:pgMar w:top="1701" w:right="1701" w:bottom="1701" w:left="1701"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Times New Roman Uni">
    <w:panose1 w:val="02020603050405020304"/>
    <w:charset w:val="86"/>
    <w:family w:val="roman"/>
    <w:pitch w:val="variable"/>
    <w:sig w:usb0="B334AAFF" w:usb1="F9DFFFFF" w:usb2="0000003E" w:usb3="00000000" w:csb0="001F01FF" w:csb1="00000000"/>
  </w:font>
  <w:font w:name="Cambria Math">
    <w:panose1 w:val="02040503050406030204"/>
    <w:charset w:val="00"/>
    <w:family w:val="roman"/>
    <w:pitch w:val="variable"/>
    <w:sig w:usb0="E00002FF" w:usb1="42002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8577248"/>
      <w:docPartObj>
        <w:docPartGallery w:val="Page Numbers (Bottom of Page)"/>
        <w:docPartUnique/>
      </w:docPartObj>
    </w:sdtPr>
    <w:sdtContent>
      <w:p w:rsidR="00476F80">
        <w:pPr>
          <w:pStyle w:val="Footer"/>
          <w:jc w:val="center"/>
        </w:pPr>
        <w:r>
          <w:fldChar w:fldCharType="begin"/>
        </w:r>
        <w:r>
          <w:instrText>PAGE   \* MERGEFORMAT</w:instrText>
        </w:r>
        <w:r>
          <w:fldChar w:fldCharType="separate"/>
        </w:r>
        <w:r w:rsidRPr="00D230A5" w:rsidR="00D230A5">
          <w:rPr>
            <w:noProof/>
            <w:lang w:val="zh-CN"/>
          </w:rPr>
          <w:t>1</w:t>
        </w:r>
        <w:r>
          <w:fldChar w:fldCharType="end"/>
        </w:r>
      </w:p>
    </w:sdtContent>
  </w:sdt>
  <w:p w:rsidR="00476F8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7331930"/>
      <w:docPartObj>
        <w:docPartGallery w:val="Page Numbers (Bottom of Page)"/>
        <w:docPartUnique/>
      </w:docPartObj>
    </w:sdtPr>
    <w:sdtContent>
      <w:p w:rsidR="00476F80">
        <w:pPr>
          <w:pStyle w:val="Footer"/>
          <w:jc w:val="center"/>
        </w:pPr>
        <w:r>
          <w:fldChar w:fldCharType="begin"/>
        </w:r>
        <w:r>
          <w:instrText>PAGE   \* MERGEFORMAT</w:instrText>
        </w:r>
        <w:r>
          <w:fldChar w:fldCharType="separate"/>
        </w:r>
        <w:r w:rsidRPr="00D230A5" w:rsidR="00D230A5">
          <w:rPr>
            <w:noProof/>
            <w:lang w:val="zh-CN"/>
          </w:rPr>
          <w:t>1</w:t>
        </w:r>
        <w:r>
          <w:fldChar w:fldCharType="end"/>
        </w:r>
      </w:p>
    </w:sdtContent>
  </w:sdt>
  <w:p w:rsidR="00476F80">
    <w:pPr>
      <w:pStyle w:val="Footer"/>
      <w:ind w:firstLine="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E97DA0"/>
    <w:multiLevelType w:val="multilevel"/>
    <w:tmpl w:val="254AF4F0"/>
    <w:lvl w:ilvl="0">
      <w:start w:val="1"/>
      <w:numFmt w:val="decimal"/>
      <w:lvlText w:val="%1"/>
      <w:lvlJc w:val="left"/>
      <w:pPr>
        <w:ind w:left="495" w:hanging="495"/>
      </w:pPr>
      <w:rPr>
        <w:rFonts w:ascii="黑体" w:eastAsia="黑体" w:hAnsi="黑体" w:hint="default"/>
        <w:sz w:val="30"/>
      </w:rPr>
    </w:lvl>
    <w:lvl w:ilvl="1">
      <w:start w:val="1"/>
      <w:numFmt w:val="decimal"/>
      <w:lvlText w:val="%1.%2"/>
      <w:lvlJc w:val="left"/>
      <w:pPr>
        <w:ind w:left="720" w:hanging="720"/>
      </w:pPr>
      <w:rPr>
        <w:rFonts w:ascii="黑体" w:eastAsia="黑体" w:hAnsi="黑体" w:hint="default"/>
        <w:sz w:val="30"/>
      </w:rPr>
    </w:lvl>
    <w:lvl w:ilvl="2">
      <w:start w:val="1"/>
      <w:numFmt w:val="decimal"/>
      <w:lvlText w:val="%1.%2.%3"/>
      <w:lvlJc w:val="left"/>
      <w:pPr>
        <w:ind w:left="1080" w:hanging="1080"/>
      </w:pPr>
      <w:rPr>
        <w:rFonts w:ascii="黑体" w:eastAsia="黑体" w:hAnsi="黑体" w:hint="default"/>
        <w:sz w:val="24"/>
        <w:szCs w:val="24"/>
      </w:rPr>
    </w:lvl>
    <w:lvl w:ilvl="3">
      <w:start w:val="1"/>
      <w:numFmt w:val="decimal"/>
      <w:lvlText w:val="%1.%2.%3.%4"/>
      <w:lvlJc w:val="left"/>
      <w:pPr>
        <w:ind w:left="1800" w:hanging="1800"/>
      </w:pPr>
      <w:rPr>
        <w:rFonts w:ascii="黑体" w:eastAsia="黑体" w:hAnsi="黑体" w:hint="default"/>
        <w:sz w:val="30"/>
      </w:rPr>
    </w:lvl>
    <w:lvl w:ilvl="4">
      <w:start w:val="1"/>
      <w:numFmt w:val="decimal"/>
      <w:lvlText w:val="%1.%2.%3.%4.%5"/>
      <w:lvlJc w:val="left"/>
      <w:pPr>
        <w:ind w:left="2160" w:hanging="2160"/>
      </w:pPr>
      <w:rPr>
        <w:rFonts w:ascii="黑体" w:eastAsia="黑体" w:hAnsi="黑体" w:hint="default"/>
        <w:sz w:val="30"/>
      </w:rPr>
    </w:lvl>
    <w:lvl w:ilvl="5">
      <w:start w:val="1"/>
      <w:numFmt w:val="decimal"/>
      <w:lvlText w:val="%1.%2.%3.%4.%5.%6"/>
      <w:lvlJc w:val="left"/>
      <w:pPr>
        <w:ind w:left="2520" w:hanging="2520"/>
      </w:pPr>
      <w:rPr>
        <w:rFonts w:ascii="黑体" w:eastAsia="黑体" w:hAnsi="黑体" w:hint="default"/>
        <w:sz w:val="30"/>
      </w:rPr>
    </w:lvl>
    <w:lvl w:ilvl="6">
      <w:start w:val="1"/>
      <w:numFmt w:val="decimal"/>
      <w:lvlText w:val="%1.%2.%3.%4.%5.%6.%7"/>
      <w:lvlJc w:val="left"/>
      <w:pPr>
        <w:ind w:left="2880" w:hanging="2880"/>
      </w:pPr>
      <w:rPr>
        <w:rFonts w:ascii="黑体" w:eastAsia="黑体" w:hAnsi="黑体" w:hint="default"/>
        <w:sz w:val="30"/>
      </w:rPr>
    </w:lvl>
    <w:lvl w:ilvl="7">
      <w:start w:val="1"/>
      <w:numFmt w:val="decimal"/>
      <w:lvlText w:val="%1.%2.%3.%4.%5.%6.%7.%8"/>
      <w:lvlJc w:val="left"/>
      <w:pPr>
        <w:ind w:left="3240" w:hanging="3240"/>
      </w:pPr>
      <w:rPr>
        <w:rFonts w:ascii="黑体" w:eastAsia="黑体" w:hAnsi="黑体" w:hint="default"/>
        <w:sz w:val="30"/>
      </w:rPr>
    </w:lvl>
    <w:lvl w:ilvl="8">
      <w:start w:val="1"/>
      <w:numFmt w:val="decimal"/>
      <w:lvlText w:val="%1.%2.%3.%4.%5.%6.%7.%8.%9"/>
      <w:lvlJc w:val="left"/>
      <w:pPr>
        <w:ind w:left="3600" w:hanging="3600"/>
      </w:pPr>
      <w:rPr>
        <w:rFonts w:ascii="黑体" w:eastAsia="黑体" w:hAnsi="黑体" w:hint="default"/>
        <w:sz w:val="30"/>
      </w:rPr>
    </w:lvl>
  </w:abstractNum>
  <w:abstractNum w:abstractNumId="1">
    <w:nsid w:val="09955859"/>
    <w:multiLevelType w:val="hybridMultilevel"/>
    <w:tmpl w:val="C106878E"/>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122D063A"/>
    <w:multiLevelType w:val="multilevel"/>
    <w:tmpl w:val="40CC3E3C"/>
    <w:lvl w:ilvl="0">
      <w:start w:val="1"/>
      <w:numFmt w:val="decimal"/>
      <w:lvlText w:val="%1."/>
      <w:lvlJc w:val="left"/>
      <w:pPr>
        <w:ind w:left="36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3">
    <w:nsid w:val="511D790E"/>
    <w:multiLevelType w:val="multilevel"/>
    <w:tmpl w:val="E10C209C"/>
    <w:lvl w:ilvl="0">
      <w:start w:val="3"/>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64061709"/>
    <w:multiLevelType w:val="multilevel"/>
    <w:tmpl w:val="48EAC86A"/>
    <w:lvl w:ilvl="0">
      <w:start w:val="1"/>
      <w:numFmt w:val="decimal"/>
      <w:lvlText w:val="%1"/>
      <w:lvlJc w:val="left"/>
      <w:pPr>
        <w:ind w:left="495" w:hanging="495"/>
      </w:pPr>
      <w:rPr>
        <w:rFonts w:ascii="黑体" w:eastAsia="黑体" w:hAnsi="黑体" w:hint="default"/>
        <w:sz w:val="30"/>
      </w:rPr>
    </w:lvl>
    <w:lvl w:ilvl="1">
      <w:start w:val="1"/>
      <w:numFmt w:val="decimal"/>
      <w:lvlText w:val="%1.%2"/>
      <w:lvlJc w:val="left"/>
      <w:pPr>
        <w:ind w:left="720" w:hanging="720"/>
      </w:pPr>
      <w:rPr>
        <w:rFonts w:ascii="黑体" w:eastAsia="黑体" w:hAnsi="黑体" w:hint="default"/>
        <w:sz w:val="30"/>
      </w:rPr>
    </w:lvl>
    <w:lvl w:ilvl="2">
      <w:start w:val="1"/>
      <w:numFmt w:val="decimal"/>
      <w:lvlText w:val="%1.%2.%3"/>
      <w:lvlJc w:val="left"/>
      <w:pPr>
        <w:ind w:left="1080" w:hanging="1080"/>
      </w:pPr>
      <w:rPr>
        <w:rFonts w:ascii="黑体" w:eastAsia="黑体" w:hAnsi="黑体" w:hint="default"/>
        <w:sz w:val="30"/>
      </w:rPr>
    </w:lvl>
    <w:lvl w:ilvl="3">
      <w:start w:val="1"/>
      <w:numFmt w:val="decimal"/>
      <w:lvlText w:val="%1.%2.%3.%4"/>
      <w:lvlJc w:val="left"/>
      <w:pPr>
        <w:ind w:left="1800" w:hanging="1800"/>
      </w:pPr>
      <w:rPr>
        <w:rFonts w:ascii="黑体" w:eastAsia="黑体" w:hAnsi="黑体" w:hint="default"/>
        <w:sz w:val="30"/>
      </w:rPr>
    </w:lvl>
    <w:lvl w:ilvl="4">
      <w:start w:val="1"/>
      <w:numFmt w:val="decimal"/>
      <w:lvlText w:val="%1.%2.%3.%4.%5"/>
      <w:lvlJc w:val="left"/>
      <w:pPr>
        <w:ind w:left="2160" w:hanging="2160"/>
      </w:pPr>
      <w:rPr>
        <w:rFonts w:ascii="黑体" w:eastAsia="黑体" w:hAnsi="黑体" w:hint="default"/>
        <w:sz w:val="30"/>
      </w:rPr>
    </w:lvl>
    <w:lvl w:ilvl="5">
      <w:start w:val="1"/>
      <w:numFmt w:val="decimal"/>
      <w:lvlText w:val="%1.%2.%3.%4.%5.%6"/>
      <w:lvlJc w:val="left"/>
      <w:pPr>
        <w:ind w:left="2520" w:hanging="2520"/>
      </w:pPr>
      <w:rPr>
        <w:rFonts w:ascii="黑体" w:eastAsia="黑体" w:hAnsi="黑体" w:hint="default"/>
        <w:sz w:val="30"/>
      </w:rPr>
    </w:lvl>
    <w:lvl w:ilvl="6">
      <w:start w:val="1"/>
      <w:numFmt w:val="decimal"/>
      <w:lvlText w:val="%1.%2.%3.%4.%5.%6.%7"/>
      <w:lvlJc w:val="left"/>
      <w:pPr>
        <w:ind w:left="2880" w:hanging="2880"/>
      </w:pPr>
      <w:rPr>
        <w:rFonts w:ascii="黑体" w:eastAsia="黑体" w:hAnsi="黑体" w:hint="default"/>
        <w:sz w:val="30"/>
      </w:rPr>
    </w:lvl>
    <w:lvl w:ilvl="7">
      <w:start w:val="1"/>
      <w:numFmt w:val="decimal"/>
      <w:lvlText w:val="%1.%2.%3.%4.%5.%6.%7.%8"/>
      <w:lvlJc w:val="left"/>
      <w:pPr>
        <w:ind w:left="3240" w:hanging="3240"/>
      </w:pPr>
      <w:rPr>
        <w:rFonts w:ascii="黑体" w:eastAsia="黑体" w:hAnsi="黑体" w:hint="default"/>
        <w:sz w:val="30"/>
      </w:rPr>
    </w:lvl>
    <w:lvl w:ilvl="8">
      <w:start w:val="1"/>
      <w:numFmt w:val="decimal"/>
      <w:lvlText w:val="%1.%2.%3.%4.%5.%6.%7.%8.%9"/>
      <w:lvlJc w:val="left"/>
      <w:pPr>
        <w:ind w:left="3600" w:hanging="3600"/>
      </w:pPr>
      <w:rPr>
        <w:rFonts w:ascii="黑体" w:eastAsia="黑体" w:hAnsi="黑体" w:hint="default"/>
        <w:sz w:val="30"/>
      </w:rPr>
    </w:lvl>
  </w:abstractNum>
  <w:abstractNum w:abstractNumId="5">
    <w:nsid w:val="6F5A213A"/>
    <w:multiLevelType w:val="hybridMultilevel"/>
    <w:tmpl w:val="8072FFC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
  </w:num>
  <w:num w:numId="2">
    <w:abstractNumId w:val="5"/>
  </w:num>
  <w:num w:numId="3">
    <w:abstractNumId w:val="0"/>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7BF"/>
    <w:rsid w:val="00031D16"/>
    <w:rsid w:val="00056E38"/>
    <w:rsid w:val="00085DEB"/>
    <w:rsid w:val="00091A50"/>
    <w:rsid w:val="00103D36"/>
    <w:rsid w:val="00125965"/>
    <w:rsid w:val="00162EEF"/>
    <w:rsid w:val="00180CEF"/>
    <w:rsid w:val="001D56D1"/>
    <w:rsid w:val="001E04D4"/>
    <w:rsid w:val="001E0EE3"/>
    <w:rsid w:val="001E6FC4"/>
    <w:rsid w:val="00237F7F"/>
    <w:rsid w:val="00257A76"/>
    <w:rsid w:val="002A147E"/>
    <w:rsid w:val="002A466E"/>
    <w:rsid w:val="002B2D08"/>
    <w:rsid w:val="002F2BD9"/>
    <w:rsid w:val="003135B7"/>
    <w:rsid w:val="003B47F7"/>
    <w:rsid w:val="003D7013"/>
    <w:rsid w:val="003F3450"/>
    <w:rsid w:val="00414E32"/>
    <w:rsid w:val="00434FB4"/>
    <w:rsid w:val="00443B98"/>
    <w:rsid w:val="00452346"/>
    <w:rsid w:val="00476F80"/>
    <w:rsid w:val="004A3162"/>
    <w:rsid w:val="004A3A42"/>
    <w:rsid w:val="004A688D"/>
    <w:rsid w:val="004F1A87"/>
    <w:rsid w:val="004F2655"/>
    <w:rsid w:val="005330EA"/>
    <w:rsid w:val="00544D8E"/>
    <w:rsid w:val="00557805"/>
    <w:rsid w:val="005953B2"/>
    <w:rsid w:val="00601CE4"/>
    <w:rsid w:val="00611597"/>
    <w:rsid w:val="00632AA6"/>
    <w:rsid w:val="00636054"/>
    <w:rsid w:val="00641FA8"/>
    <w:rsid w:val="00656FAC"/>
    <w:rsid w:val="006A22B2"/>
    <w:rsid w:val="006E1ED3"/>
    <w:rsid w:val="006F4EB4"/>
    <w:rsid w:val="00712B86"/>
    <w:rsid w:val="00712BEC"/>
    <w:rsid w:val="00725242"/>
    <w:rsid w:val="00735C78"/>
    <w:rsid w:val="00744201"/>
    <w:rsid w:val="007455AA"/>
    <w:rsid w:val="0078675D"/>
    <w:rsid w:val="0079271F"/>
    <w:rsid w:val="00792F2C"/>
    <w:rsid w:val="00796916"/>
    <w:rsid w:val="00835022"/>
    <w:rsid w:val="00836AA6"/>
    <w:rsid w:val="00847237"/>
    <w:rsid w:val="00873FD5"/>
    <w:rsid w:val="00877AE6"/>
    <w:rsid w:val="00892856"/>
    <w:rsid w:val="008C00CE"/>
    <w:rsid w:val="008F222A"/>
    <w:rsid w:val="008F5FA3"/>
    <w:rsid w:val="009309B1"/>
    <w:rsid w:val="009417BF"/>
    <w:rsid w:val="0097086C"/>
    <w:rsid w:val="009726A9"/>
    <w:rsid w:val="009903B7"/>
    <w:rsid w:val="00994B9E"/>
    <w:rsid w:val="009B70DF"/>
    <w:rsid w:val="009C3374"/>
    <w:rsid w:val="00A55C66"/>
    <w:rsid w:val="00A93547"/>
    <w:rsid w:val="00AC6808"/>
    <w:rsid w:val="00B3534D"/>
    <w:rsid w:val="00B37D39"/>
    <w:rsid w:val="00B61FF8"/>
    <w:rsid w:val="00B640B5"/>
    <w:rsid w:val="00BF1052"/>
    <w:rsid w:val="00C4514F"/>
    <w:rsid w:val="00C9109A"/>
    <w:rsid w:val="00CB0AD3"/>
    <w:rsid w:val="00CB2788"/>
    <w:rsid w:val="00CC046F"/>
    <w:rsid w:val="00CD1509"/>
    <w:rsid w:val="00D230A5"/>
    <w:rsid w:val="00D42AAC"/>
    <w:rsid w:val="00D522C5"/>
    <w:rsid w:val="00D61CAE"/>
    <w:rsid w:val="00D647A3"/>
    <w:rsid w:val="00DC46FB"/>
    <w:rsid w:val="00DD7753"/>
    <w:rsid w:val="00E26888"/>
    <w:rsid w:val="00E414D9"/>
    <w:rsid w:val="00E85AAB"/>
    <w:rsid w:val="00ED58A7"/>
    <w:rsid w:val="00EE28EF"/>
    <w:rsid w:val="00F13028"/>
    <w:rsid w:val="00F734D4"/>
    <w:rsid w:val="00F94D4E"/>
    <w:rsid w:val="00FA3B18"/>
    <w:rsid w:val="00FB6C64"/>
    <w:rsid w:val="00FC0B08"/>
    <w:rsid w:val="00FE2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A62623"/>
  <w15:chartTrackingRefBased/>
  <w15:docId w15:val="{FF3E6B74-5F8D-4934-ADED-C908318CF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7BF"/>
    <w:pPr>
      <w:widowControl w:val="0"/>
      <w:jc w:val="both"/>
    </w:pPr>
    <w:rPr>
      <w:rFonts w:ascii="Calibri" w:eastAsia="宋体" w:hAnsi="Calibri" w:cs="Times New Roman"/>
    </w:rPr>
  </w:style>
  <w:style w:type="paragraph" w:styleId="Heading1">
    <w:name w:val="heading 1"/>
    <w:basedOn w:val="Normal"/>
    <w:next w:val="Normal"/>
    <w:link w:val="1"/>
    <w:uiPriority w:val="9"/>
    <w:qFormat/>
    <w:rsid w:val="009417BF"/>
    <w:pPr>
      <w:keepNext/>
      <w:keepLines/>
      <w:spacing w:before="300" w:beforeLines="300" w:after="200" w:afterLines="200" w:line="360" w:lineRule="auto"/>
      <w:jc w:val="center"/>
      <w:outlineLvl w:val="0"/>
    </w:pPr>
    <w:rPr>
      <w:rFonts w:eastAsia="华文中宋"/>
      <w:b/>
      <w:bCs/>
      <w:kern w:val="44"/>
      <w:sz w:val="44"/>
      <w:szCs w:val="44"/>
    </w:rPr>
  </w:style>
  <w:style w:type="paragraph" w:styleId="Heading2">
    <w:name w:val="heading 2"/>
    <w:basedOn w:val="Normal"/>
    <w:next w:val="Normal"/>
    <w:link w:val="2"/>
    <w:uiPriority w:val="9"/>
    <w:unhideWhenUsed/>
    <w:qFormat/>
    <w:rsid w:val="009417BF"/>
    <w:pPr>
      <w:keepNext/>
      <w:keepLines/>
      <w:spacing w:before="100" w:beforeLines="100" w:after="100" w:afterLines="100" w:line="360" w:lineRule="auto"/>
      <w:outlineLvl w:val="1"/>
    </w:pPr>
    <w:rPr>
      <w:rFonts w:eastAsia="黑体" w:asciiTheme="majorHAnsi" w:hAnsiTheme="majorHAnsi" w:cstheme="majorBidi"/>
      <w:bCs/>
      <w:sz w:val="30"/>
      <w:szCs w:val="32"/>
    </w:rPr>
  </w:style>
  <w:style w:type="paragraph" w:styleId="Heading3">
    <w:name w:val="heading 3"/>
    <w:basedOn w:val="Normal"/>
    <w:next w:val="Normal"/>
    <w:link w:val="3"/>
    <w:uiPriority w:val="9"/>
    <w:unhideWhenUsed/>
    <w:rsid w:val="009417BF"/>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417BF"/>
    <w:rPr>
      <w:rFonts w:ascii="Calibri" w:eastAsia="华文中宋" w:hAnsi="Calibri" w:cs="Times New Roman"/>
      <w:b/>
      <w:bCs/>
      <w:kern w:val="44"/>
      <w:sz w:val="44"/>
      <w:szCs w:val="44"/>
    </w:rPr>
  </w:style>
  <w:style w:type="character" w:customStyle="1" w:styleId="2">
    <w:name w:val="标题 2 字符"/>
    <w:basedOn w:val="DefaultParagraphFont"/>
    <w:link w:val="Heading2"/>
    <w:uiPriority w:val="9"/>
    <w:rsid w:val="009417BF"/>
    <w:rPr>
      <w:rFonts w:eastAsia="黑体" w:asciiTheme="majorHAnsi" w:hAnsiTheme="majorHAnsi" w:cstheme="majorBidi"/>
      <w:bCs/>
      <w:sz w:val="30"/>
      <w:szCs w:val="32"/>
    </w:rPr>
  </w:style>
  <w:style w:type="character" w:customStyle="1" w:styleId="3">
    <w:name w:val="标题 3 字符"/>
    <w:basedOn w:val="DefaultParagraphFont"/>
    <w:link w:val="Heading3"/>
    <w:uiPriority w:val="9"/>
    <w:rsid w:val="009417BF"/>
    <w:rPr>
      <w:rFonts w:ascii="Calibri" w:eastAsia="宋体" w:hAnsi="Calibri" w:cs="Times New Roman"/>
      <w:b/>
      <w:bCs/>
      <w:sz w:val="32"/>
      <w:szCs w:val="32"/>
    </w:rPr>
  </w:style>
  <w:style w:type="paragraph" w:styleId="ListParagraph">
    <w:name w:val="List Paragraph"/>
    <w:basedOn w:val="Normal"/>
    <w:uiPriority w:val="34"/>
    <w:qFormat/>
    <w:rsid w:val="009417BF"/>
    <w:pPr>
      <w:ind w:firstLine="420" w:firstLineChars="200"/>
    </w:pPr>
  </w:style>
  <w:style w:type="paragraph" w:styleId="Date">
    <w:name w:val="Date"/>
    <w:basedOn w:val="Normal"/>
    <w:next w:val="Normal"/>
    <w:link w:val="a"/>
    <w:uiPriority w:val="99"/>
    <w:semiHidden/>
    <w:unhideWhenUsed/>
    <w:rsid w:val="009417BF"/>
    <w:pPr>
      <w:ind w:left="100" w:leftChars="2500"/>
    </w:pPr>
  </w:style>
  <w:style w:type="character" w:customStyle="1" w:styleId="a">
    <w:name w:val="日期 字符"/>
    <w:basedOn w:val="DefaultParagraphFont"/>
    <w:link w:val="Date"/>
    <w:uiPriority w:val="99"/>
    <w:semiHidden/>
    <w:rsid w:val="009417BF"/>
    <w:rPr>
      <w:rFonts w:ascii="Calibri" w:eastAsia="宋体" w:hAnsi="Calibri" w:cs="Times New Roman"/>
    </w:rPr>
  </w:style>
  <w:style w:type="paragraph" w:styleId="Header">
    <w:name w:val="header"/>
    <w:basedOn w:val="Normal"/>
    <w:link w:val="a0"/>
    <w:uiPriority w:val="99"/>
    <w:unhideWhenUsed/>
    <w:rsid w:val="009417BF"/>
    <w:pPr>
      <w:pBdr>
        <w:bottom w:val="single" w:sz="6" w:space="1" w:color="auto"/>
      </w:pBdr>
      <w:tabs>
        <w:tab w:val="center" w:pos="4153"/>
        <w:tab w:val="right" w:pos="8306"/>
      </w:tabs>
      <w:snapToGrid w:val="0"/>
      <w:jc w:val="center"/>
    </w:pPr>
    <w:rPr>
      <w:sz w:val="18"/>
      <w:szCs w:val="18"/>
    </w:rPr>
  </w:style>
  <w:style w:type="character" w:customStyle="1" w:styleId="a0">
    <w:name w:val="页眉 字符"/>
    <w:basedOn w:val="DefaultParagraphFont"/>
    <w:link w:val="Header"/>
    <w:uiPriority w:val="99"/>
    <w:rsid w:val="009417BF"/>
    <w:rPr>
      <w:rFonts w:ascii="Calibri" w:eastAsia="宋体" w:hAnsi="Calibri" w:cs="Times New Roman"/>
      <w:sz w:val="18"/>
      <w:szCs w:val="18"/>
    </w:rPr>
  </w:style>
  <w:style w:type="paragraph" w:styleId="Footer">
    <w:name w:val="footer"/>
    <w:basedOn w:val="Normal"/>
    <w:link w:val="a1"/>
    <w:uiPriority w:val="99"/>
    <w:unhideWhenUsed/>
    <w:rsid w:val="009417BF"/>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rsid w:val="009417BF"/>
    <w:rPr>
      <w:rFonts w:ascii="Calibri" w:eastAsia="宋体" w:hAnsi="Calibri" w:cs="Times New Roman"/>
      <w:sz w:val="18"/>
      <w:szCs w:val="18"/>
    </w:rPr>
  </w:style>
  <w:style w:type="table" w:styleId="TableGrid">
    <w:name w:val="Table Grid"/>
    <w:basedOn w:val="TableNormal"/>
    <w:uiPriority w:val="59"/>
    <w:rsid w:val="009417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417BF"/>
    <w:rPr>
      <w:color w:val="808080"/>
    </w:rPr>
  </w:style>
  <w:style w:type="paragraph" w:styleId="TOCHeading">
    <w:name w:val="TOC Heading"/>
    <w:basedOn w:val="Heading1"/>
    <w:next w:val="Normal"/>
    <w:uiPriority w:val="39"/>
    <w:unhideWhenUsed/>
    <w:qFormat/>
    <w:rsid w:val="009417BF"/>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itle">
    <w:name w:val="Title"/>
    <w:aliases w:val="标题3"/>
    <w:basedOn w:val="Normal"/>
    <w:next w:val="Normal"/>
    <w:link w:val="a2"/>
    <w:uiPriority w:val="10"/>
    <w:qFormat/>
    <w:rsid w:val="009417BF"/>
    <w:pPr>
      <w:spacing w:before="100" w:beforeLines="100" w:after="100" w:afterLines="100" w:line="360" w:lineRule="auto"/>
      <w:outlineLvl w:val="2"/>
    </w:pPr>
    <w:rPr>
      <w:rFonts w:eastAsia="黑体" w:asciiTheme="majorHAnsi" w:hAnsiTheme="majorHAnsi" w:cstheme="majorBidi"/>
      <w:bCs/>
      <w:sz w:val="24"/>
      <w:szCs w:val="32"/>
    </w:rPr>
  </w:style>
  <w:style w:type="character" w:customStyle="1" w:styleId="a2">
    <w:name w:val="标题 字符"/>
    <w:aliases w:val="标题3 字符"/>
    <w:basedOn w:val="DefaultParagraphFont"/>
    <w:link w:val="Title"/>
    <w:uiPriority w:val="10"/>
    <w:rsid w:val="009417BF"/>
    <w:rPr>
      <w:rFonts w:eastAsia="黑体" w:asciiTheme="majorHAnsi" w:hAnsiTheme="majorHAnsi" w:cstheme="majorBidi"/>
      <w:bCs/>
      <w:sz w:val="24"/>
      <w:szCs w:val="32"/>
    </w:rPr>
  </w:style>
  <w:style w:type="paragraph" w:styleId="TOC1">
    <w:name w:val="toc 1"/>
    <w:basedOn w:val="Normal"/>
    <w:next w:val="Normal"/>
    <w:autoRedefine/>
    <w:uiPriority w:val="39"/>
    <w:unhideWhenUsed/>
    <w:rsid w:val="009417BF"/>
    <w:pPr>
      <w:tabs>
        <w:tab w:val="right" w:leader="dot" w:pos="8494"/>
      </w:tabs>
    </w:pPr>
    <w:rPr>
      <w:b/>
      <w:noProof/>
    </w:rPr>
  </w:style>
  <w:style w:type="paragraph" w:styleId="TOC2">
    <w:name w:val="toc 2"/>
    <w:basedOn w:val="Normal"/>
    <w:next w:val="Normal"/>
    <w:autoRedefine/>
    <w:uiPriority w:val="39"/>
    <w:unhideWhenUsed/>
    <w:rsid w:val="009417BF"/>
    <w:pPr>
      <w:tabs>
        <w:tab w:val="left" w:pos="1050"/>
        <w:tab w:val="right" w:leader="dot" w:pos="8494"/>
      </w:tabs>
      <w:ind w:left="420" w:leftChars="200"/>
    </w:pPr>
  </w:style>
  <w:style w:type="paragraph" w:styleId="TOC3">
    <w:name w:val="toc 3"/>
    <w:basedOn w:val="Normal"/>
    <w:next w:val="Normal"/>
    <w:autoRedefine/>
    <w:uiPriority w:val="39"/>
    <w:unhideWhenUsed/>
    <w:rsid w:val="009417BF"/>
    <w:pPr>
      <w:ind w:left="840" w:leftChars="400"/>
    </w:pPr>
  </w:style>
  <w:style w:type="character" w:styleId="Hyperlink">
    <w:name w:val="Hyperlink"/>
    <w:basedOn w:val="DefaultParagraphFont"/>
    <w:uiPriority w:val="99"/>
    <w:unhideWhenUsed/>
    <w:rsid w:val="009417BF"/>
    <w:rPr>
      <w:color w:val="0000FF" w:themeColor="hyperlink"/>
      <w:u w:val="single"/>
    </w:rPr>
  </w:style>
  <w:style w:type="paragraph" w:styleId="NoSpacing">
    <w:name w:val="No Spacing"/>
    <w:link w:val="a8"/>
    <w:uiPriority w:val="1"/>
    <w:qFormat/>
    <w:rsid w:val="009417BF"/>
    <w:pPr>
      <w:widowControl w:val="0"/>
      <w:spacing w:line="360" w:lineRule="auto"/>
      <w:ind w:firstLine="200" w:firstLineChars="200"/>
      <w:jc w:val="both"/>
    </w:pPr>
    <w:rPr>
      <w:rFonts w:ascii="Calibri" w:eastAsia="宋体" w:hAnsi="Calibri" w:cs="Times New Roman"/>
      <w:sz w:val="24"/>
    </w:rPr>
  </w:style>
  <w:style w:type="paragraph" w:customStyle="1" w:styleId="a3">
    <w:name w:val="公式"/>
    <w:qFormat/>
    <w:rsid w:val="009417BF"/>
    <w:pPr>
      <w:spacing w:line="360" w:lineRule="auto"/>
      <w:ind w:firstLine="480" w:firstLineChars="200"/>
    </w:pPr>
    <w:rPr>
      <w:rFonts w:asciiTheme="minorEastAsia" w:hAnsiTheme="minorEastAsia" w:cs="Times New Roman"/>
      <w:sz w:val="24"/>
      <w:szCs w:val="24"/>
    </w:rPr>
  </w:style>
  <w:style w:type="table" w:styleId="PlainTable2">
    <w:name w:val="Plain Table 2"/>
    <w:basedOn w:val="TableNormal"/>
    <w:uiPriority w:val="42"/>
    <w:rsid w:val="009417B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Light">
    <w:name w:val="Grid Table Light"/>
    <w:basedOn w:val="TableNormal"/>
    <w:uiPriority w:val="40"/>
    <w:rsid w:val="009417B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9417BF"/>
    <w:rPr>
      <w:sz w:val="21"/>
      <w:szCs w:val="21"/>
    </w:rPr>
  </w:style>
  <w:style w:type="paragraph" w:styleId="CommentText">
    <w:name w:val="annotation text"/>
    <w:basedOn w:val="Normal"/>
    <w:link w:val="a4"/>
    <w:uiPriority w:val="99"/>
    <w:semiHidden/>
    <w:unhideWhenUsed/>
    <w:rsid w:val="009417BF"/>
    <w:pPr>
      <w:jc w:val="left"/>
    </w:pPr>
  </w:style>
  <w:style w:type="character" w:customStyle="1" w:styleId="a4">
    <w:name w:val="批注文字 字符"/>
    <w:basedOn w:val="DefaultParagraphFont"/>
    <w:link w:val="CommentText"/>
    <w:uiPriority w:val="99"/>
    <w:semiHidden/>
    <w:rsid w:val="009417BF"/>
    <w:rPr>
      <w:rFonts w:ascii="Calibri" w:eastAsia="宋体" w:hAnsi="Calibri" w:cs="Times New Roman"/>
    </w:rPr>
  </w:style>
  <w:style w:type="paragraph" w:styleId="CommentSubject">
    <w:name w:val="annotation subject"/>
    <w:basedOn w:val="CommentText"/>
    <w:next w:val="CommentText"/>
    <w:link w:val="a5"/>
    <w:uiPriority w:val="99"/>
    <w:semiHidden/>
    <w:unhideWhenUsed/>
    <w:rsid w:val="009417BF"/>
    <w:rPr>
      <w:b/>
      <w:bCs/>
    </w:rPr>
  </w:style>
  <w:style w:type="character" w:customStyle="1" w:styleId="a5">
    <w:name w:val="批注主题 字符"/>
    <w:basedOn w:val="a4"/>
    <w:link w:val="CommentSubject"/>
    <w:uiPriority w:val="99"/>
    <w:semiHidden/>
    <w:rsid w:val="009417BF"/>
    <w:rPr>
      <w:rFonts w:ascii="Calibri" w:eastAsia="宋体" w:hAnsi="Calibri" w:cs="Times New Roman"/>
      <w:b/>
      <w:bCs/>
    </w:rPr>
  </w:style>
  <w:style w:type="paragraph" w:styleId="BalloonText">
    <w:name w:val="Balloon Text"/>
    <w:basedOn w:val="Normal"/>
    <w:link w:val="a6"/>
    <w:uiPriority w:val="99"/>
    <w:semiHidden/>
    <w:unhideWhenUsed/>
    <w:rsid w:val="009417BF"/>
    <w:rPr>
      <w:sz w:val="18"/>
      <w:szCs w:val="18"/>
    </w:rPr>
  </w:style>
  <w:style w:type="character" w:customStyle="1" w:styleId="a6">
    <w:name w:val="批注框文本 字符"/>
    <w:basedOn w:val="DefaultParagraphFont"/>
    <w:link w:val="BalloonText"/>
    <w:uiPriority w:val="99"/>
    <w:semiHidden/>
    <w:rsid w:val="009417BF"/>
    <w:rPr>
      <w:rFonts w:ascii="Calibri" w:eastAsia="宋体" w:hAnsi="Calibri" w:cs="Times New Roman"/>
      <w:sz w:val="18"/>
      <w:szCs w:val="18"/>
    </w:rPr>
  </w:style>
  <w:style w:type="paragraph" w:customStyle="1" w:styleId="a7">
    <w:name w:val="表格标题"/>
    <w:basedOn w:val="NoSpacing"/>
    <w:link w:val="a9"/>
    <w:qFormat/>
    <w:rsid w:val="00D230A5"/>
    <w:pPr>
      <w:spacing w:before="50" w:beforeLines="50" w:after="50" w:afterLines="50" w:line="240" w:lineRule="auto"/>
      <w:ind w:firstLine="0" w:firstLineChars="0"/>
      <w:jc w:val="center"/>
    </w:pPr>
    <w:rPr>
      <w:rFonts w:ascii="黑体" w:eastAsia="黑体" w:hAnsi="黑体"/>
      <w:b/>
      <w:sz w:val="21"/>
    </w:rPr>
  </w:style>
  <w:style w:type="character" w:customStyle="1" w:styleId="a8">
    <w:name w:val="无间隔 字符"/>
    <w:basedOn w:val="DefaultParagraphFont"/>
    <w:link w:val="NoSpacing"/>
    <w:uiPriority w:val="1"/>
    <w:rsid w:val="009417BF"/>
    <w:rPr>
      <w:rFonts w:ascii="Calibri" w:eastAsia="宋体" w:hAnsi="Calibri" w:cs="Times New Roman"/>
      <w:sz w:val="24"/>
    </w:rPr>
  </w:style>
  <w:style w:type="character" w:customStyle="1" w:styleId="a9">
    <w:name w:val="表格标题 字符"/>
    <w:basedOn w:val="a8"/>
    <w:link w:val="a7"/>
    <w:rsid w:val="00D230A5"/>
    <w:rPr>
      <w:rFonts w:ascii="黑体" w:eastAsia="黑体" w:hAnsi="黑体" w:cs="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378047046132006026"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2852</Words>
  <Characters>16260</Characters>
  <Application>Microsoft Office Word</Application>
  <DocSecurity>0</DocSecurity>
  <Lines>135</Lines>
  <Paragraphs>38</Paragraphs>
  <ScaleCrop>false</ScaleCrop>
  <Company/>
  <LinksUpToDate>false</LinksUpToDate>
  <CharactersWithSpaces>19074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2020-04-01T14:10:00Z</dcterms:created>
  <dcterms:modified xsi:type="dcterms:W3CDTF">2020-04-01T14:58:00Z</dcterms:modified>
</cp:coreProperties>
</file>