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放射性固体废物处置系列设备项目规划设计蓝图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7" w:history="1">
        <w:r>
          <w:rPr>
            <w:rFonts w:ascii="仿宋" w:eastAsia="仿宋" w:hAnsi="仿宋" w:cs="仿宋" w:hint="eastAsia"/>
            <w:lang w:eastAsia="zh-CN"/>
          </w:rPr>
          <w:t>前言</w:t>
        </w:r>
        <w:r>
          <w:tab/>
        </w:r>
        <w:r>
          <w:fldChar w:fldCharType="begin"/>
        </w:r>
        <w:r>
          <w:instrText xml:space="preserve"> PAGEREF _Toc32647 \h </w:instrText>
        </w:r>
        <w:r>
          <w:fldChar w:fldCharType="separate"/>
        </w:r>
        <w:r>
          <w:t>3</w:t>
        </w:r>
        <w:r>
          <w:fldChar w:fldCharType="end"/>
        </w:r>
      </w:hyperlink>
    </w:p>
    <w:p>
      <w:pPr>
        <w:pStyle w:val="TOC1"/>
        <w:tabs>
          <w:tab w:val="right" w:leader="dot" w:pos="8306"/>
        </w:tabs>
      </w:pPr>
      <w:hyperlink w:anchor="_Toc19272" w:history="1">
        <w:r>
          <w:rPr>
            <w:rFonts w:ascii="仿宋" w:eastAsia="仿宋" w:hAnsi="仿宋" w:cs="仿宋" w:hint="eastAsia"/>
            <w:lang w:eastAsia="zh-CN"/>
          </w:rPr>
          <w:t>一、放射性固体废物处置系列设备项目概论</w:t>
        </w:r>
        <w:r>
          <w:tab/>
        </w:r>
        <w:r>
          <w:fldChar w:fldCharType="begin"/>
        </w:r>
        <w:r>
          <w:instrText xml:space="preserve"> PAGEREF _Toc19272 \h </w:instrText>
        </w:r>
        <w:r>
          <w:fldChar w:fldCharType="separate"/>
        </w:r>
        <w:r>
          <w:t>3</w:t>
        </w:r>
        <w:r>
          <w:fldChar w:fldCharType="end"/>
        </w:r>
      </w:hyperlink>
    </w:p>
    <w:p>
      <w:pPr>
        <w:pStyle w:val="TOC2"/>
        <w:tabs>
          <w:tab w:val="right" w:leader="dot" w:pos="8306"/>
        </w:tabs>
      </w:pPr>
      <w:hyperlink w:anchor="_Toc4905" w:history="1">
        <w:r>
          <w:rPr>
            <w:rFonts w:ascii="仿宋" w:eastAsia="仿宋" w:hAnsi="仿宋" w:cs="仿宋" w:hint="eastAsia"/>
            <w:lang w:eastAsia="zh-CN"/>
          </w:rPr>
          <w:t>(一)、放射性固体废物处置系列设备项目概况</w:t>
        </w:r>
        <w:r>
          <w:tab/>
        </w:r>
        <w:r>
          <w:fldChar w:fldCharType="begin"/>
        </w:r>
        <w:r>
          <w:instrText xml:space="preserve"> PAGEREF _Toc4905 \h </w:instrText>
        </w:r>
        <w:r>
          <w:fldChar w:fldCharType="separate"/>
        </w:r>
        <w:r>
          <w:t>3</w:t>
        </w:r>
        <w:r>
          <w:fldChar w:fldCharType="end"/>
        </w:r>
      </w:hyperlink>
    </w:p>
    <w:p>
      <w:pPr>
        <w:pStyle w:val="TOC2"/>
        <w:tabs>
          <w:tab w:val="right" w:leader="dot" w:pos="8306"/>
        </w:tabs>
      </w:pPr>
      <w:hyperlink w:anchor="_Toc5636" w:history="1">
        <w:r>
          <w:rPr>
            <w:rFonts w:ascii="仿宋" w:eastAsia="仿宋" w:hAnsi="仿宋" w:cs="仿宋" w:hint="eastAsia"/>
            <w:lang w:eastAsia="zh-CN"/>
          </w:rPr>
          <w:t>(二)、放射性固体废物处置系列设备项目目标</w:t>
        </w:r>
        <w:r>
          <w:tab/>
        </w:r>
        <w:r>
          <w:fldChar w:fldCharType="begin"/>
        </w:r>
        <w:r>
          <w:instrText xml:space="preserve"> PAGEREF _Toc5636 \h </w:instrText>
        </w:r>
        <w:r>
          <w:fldChar w:fldCharType="separate"/>
        </w:r>
        <w:r>
          <w:t>6</w:t>
        </w:r>
        <w:r>
          <w:fldChar w:fldCharType="end"/>
        </w:r>
      </w:hyperlink>
    </w:p>
    <w:p>
      <w:pPr>
        <w:pStyle w:val="TOC2"/>
        <w:tabs>
          <w:tab w:val="right" w:leader="dot" w:pos="8306"/>
        </w:tabs>
      </w:pPr>
      <w:hyperlink w:anchor="_Toc10797" w:history="1">
        <w:r>
          <w:rPr>
            <w:rFonts w:ascii="仿宋" w:eastAsia="仿宋" w:hAnsi="仿宋" w:cs="仿宋" w:hint="eastAsia"/>
            <w:lang w:eastAsia="zh-CN"/>
          </w:rPr>
          <w:t>(三)、放射性固体废物处置系列设备项目提出的理由</w:t>
        </w:r>
        <w:r>
          <w:tab/>
        </w:r>
        <w:r>
          <w:fldChar w:fldCharType="begin"/>
        </w:r>
        <w:r>
          <w:instrText xml:space="preserve"> PAGEREF _Toc10797 \h </w:instrText>
        </w:r>
        <w:r>
          <w:fldChar w:fldCharType="separate"/>
        </w:r>
        <w:r>
          <w:t>7</w:t>
        </w:r>
        <w:r>
          <w:fldChar w:fldCharType="end"/>
        </w:r>
      </w:hyperlink>
    </w:p>
    <w:p>
      <w:pPr>
        <w:pStyle w:val="TOC2"/>
        <w:tabs>
          <w:tab w:val="right" w:leader="dot" w:pos="8306"/>
        </w:tabs>
      </w:pPr>
      <w:hyperlink w:anchor="_Toc21240" w:history="1">
        <w:r>
          <w:rPr>
            <w:rFonts w:ascii="仿宋" w:eastAsia="仿宋" w:hAnsi="仿宋" w:cs="仿宋" w:hint="eastAsia"/>
            <w:lang w:eastAsia="zh-CN"/>
          </w:rPr>
          <w:t>(四)、放射性固体废物处置系列设备项目意义</w:t>
        </w:r>
        <w:r>
          <w:tab/>
        </w:r>
        <w:r>
          <w:fldChar w:fldCharType="begin"/>
        </w:r>
        <w:r>
          <w:instrText xml:space="preserve"> PAGEREF _Toc21240 \h </w:instrText>
        </w:r>
        <w:r>
          <w:fldChar w:fldCharType="separate"/>
        </w:r>
        <w:r>
          <w:t>9</w:t>
        </w:r>
        <w:r>
          <w:fldChar w:fldCharType="end"/>
        </w:r>
      </w:hyperlink>
    </w:p>
    <w:p>
      <w:pPr>
        <w:pStyle w:val="TOC2"/>
        <w:tabs>
          <w:tab w:val="right" w:leader="dot" w:pos="8306"/>
        </w:tabs>
      </w:pPr>
      <w:hyperlink w:anchor="_Toc13935" w:history="1">
        <w:r>
          <w:rPr>
            <w:rFonts w:ascii="仿宋" w:eastAsia="仿宋" w:hAnsi="仿宋" w:cs="仿宋" w:hint="eastAsia"/>
            <w:lang w:eastAsia="zh-CN"/>
          </w:rPr>
          <w:t>(五)、放射性固体废物处置系列设备项目背景</w:t>
        </w:r>
        <w:r>
          <w:tab/>
        </w:r>
        <w:r>
          <w:fldChar w:fldCharType="begin"/>
        </w:r>
        <w:r>
          <w:instrText xml:space="preserve"> PAGEREF _Toc13935 \h </w:instrText>
        </w:r>
        <w:r>
          <w:fldChar w:fldCharType="separate"/>
        </w:r>
        <w:r>
          <w:t>10</w:t>
        </w:r>
        <w:r>
          <w:fldChar w:fldCharType="end"/>
        </w:r>
      </w:hyperlink>
    </w:p>
    <w:p>
      <w:pPr>
        <w:pStyle w:val="TOC1"/>
        <w:tabs>
          <w:tab w:val="right" w:leader="dot" w:pos="8306"/>
        </w:tabs>
      </w:pPr>
      <w:hyperlink w:anchor="_Toc2415" w:history="1">
        <w:r>
          <w:rPr>
            <w:rFonts w:ascii="仿宋" w:eastAsia="仿宋" w:hAnsi="仿宋" w:cs="仿宋" w:hint="eastAsia"/>
            <w:lang w:eastAsia="zh-CN"/>
          </w:rPr>
          <w:t>二、市场分析、调研</w:t>
        </w:r>
        <w:r>
          <w:tab/>
        </w:r>
        <w:r>
          <w:fldChar w:fldCharType="begin"/>
        </w:r>
        <w:r>
          <w:instrText xml:space="preserve"> PAGEREF _Toc2415 \h </w:instrText>
        </w:r>
        <w:r>
          <w:fldChar w:fldCharType="separate"/>
        </w:r>
        <w:r>
          <w:t>11</w:t>
        </w:r>
        <w:r>
          <w:fldChar w:fldCharType="end"/>
        </w:r>
      </w:hyperlink>
    </w:p>
    <w:p>
      <w:pPr>
        <w:pStyle w:val="TOC2"/>
        <w:tabs>
          <w:tab w:val="right" w:leader="dot" w:pos="8306"/>
        </w:tabs>
      </w:pPr>
      <w:hyperlink w:anchor="_Toc4977" w:history="1">
        <w:r>
          <w:rPr>
            <w:rFonts w:ascii="仿宋" w:eastAsia="仿宋" w:hAnsi="仿宋" w:cs="仿宋" w:hint="eastAsia"/>
            <w:lang w:eastAsia="zh-CN"/>
          </w:rPr>
          <w:t>(一)、放射性固体废物处置系列设备行业分析</w:t>
        </w:r>
        <w:r>
          <w:tab/>
        </w:r>
        <w:r>
          <w:fldChar w:fldCharType="begin"/>
        </w:r>
        <w:r>
          <w:instrText xml:space="preserve"> PAGEREF _Toc4977 \h </w:instrText>
        </w:r>
        <w:r>
          <w:fldChar w:fldCharType="separate"/>
        </w:r>
        <w:r>
          <w:t>11</w:t>
        </w:r>
        <w:r>
          <w:fldChar w:fldCharType="end"/>
        </w:r>
      </w:hyperlink>
    </w:p>
    <w:p>
      <w:pPr>
        <w:pStyle w:val="TOC2"/>
        <w:tabs>
          <w:tab w:val="right" w:leader="dot" w:pos="8306"/>
        </w:tabs>
      </w:pPr>
      <w:hyperlink w:anchor="_Toc15065" w:history="1">
        <w:r>
          <w:rPr>
            <w:rFonts w:ascii="仿宋" w:eastAsia="仿宋" w:hAnsi="仿宋" w:cs="仿宋" w:hint="eastAsia"/>
            <w:lang w:eastAsia="zh-CN"/>
          </w:rPr>
          <w:t>(二)、放射性固体废物处置系列设备市场分析预测</w:t>
        </w:r>
        <w:r>
          <w:tab/>
        </w:r>
        <w:r>
          <w:fldChar w:fldCharType="begin"/>
        </w:r>
        <w:r>
          <w:instrText xml:space="preserve"> PAGEREF _Toc15065 \h </w:instrText>
        </w:r>
        <w:r>
          <w:fldChar w:fldCharType="separate"/>
        </w:r>
        <w:r>
          <w:t>12</w:t>
        </w:r>
        <w:r>
          <w:fldChar w:fldCharType="end"/>
        </w:r>
      </w:hyperlink>
    </w:p>
    <w:p>
      <w:pPr>
        <w:pStyle w:val="TOC1"/>
        <w:tabs>
          <w:tab w:val="right" w:leader="dot" w:pos="8306"/>
        </w:tabs>
      </w:pPr>
      <w:hyperlink w:anchor="_Toc18696" w:history="1">
        <w:r>
          <w:rPr>
            <w:rFonts w:ascii="仿宋" w:eastAsia="仿宋" w:hAnsi="仿宋" w:cs="仿宋" w:hint="eastAsia"/>
            <w:lang w:eastAsia="zh-CN"/>
          </w:rPr>
          <w:t>三、放射性固体废物处置系列设备项目可持续发展</w:t>
        </w:r>
        <w:r>
          <w:tab/>
        </w:r>
        <w:r>
          <w:fldChar w:fldCharType="begin"/>
        </w:r>
        <w:r>
          <w:instrText xml:space="preserve"> PAGEREF _Toc18696 \h </w:instrText>
        </w:r>
        <w:r>
          <w:fldChar w:fldCharType="separate"/>
        </w:r>
        <w:r>
          <w:t>12</w:t>
        </w:r>
        <w:r>
          <w:fldChar w:fldCharType="end"/>
        </w:r>
      </w:hyperlink>
    </w:p>
    <w:p>
      <w:pPr>
        <w:pStyle w:val="TOC2"/>
        <w:tabs>
          <w:tab w:val="right" w:leader="dot" w:pos="8306"/>
        </w:tabs>
      </w:pPr>
      <w:hyperlink w:anchor="_Toc21299" w:history="1">
        <w:r>
          <w:rPr>
            <w:rFonts w:ascii="仿宋" w:eastAsia="仿宋" w:hAnsi="仿宋" w:cs="仿宋" w:hint="eastAsia"/>
            <w:lang w:eastAsia="zh-CN"/>
          </w:rPr>
          <w:t>(一)、可持续战略与实践</w:t>
        </w:r>
        <w:r>
          <w:tab/>
        </w:r>
        <w:r>
          <w:fldChar w:fldCharType="begin"/>
        </w:r>
        <w:r>
          <w:instrText xml:space="preserve"> PAGEREF _Toc21299 \h </w:instrText>
        </w:r>
        <w:r>
          <w:fldChar w:fldCharType="separate"/>
        </w:r>
        <w:r>
          <w:t>12</w:t>
        </w:r>
        <w:r>
          <w:fldChar w:fldCharType="end"/>
        </w:r>
      </w:hyperlink>
    </w:p>
    <w:p>
      <w:pPr>
        <w:pStyle w:val="TOC2"/>
        <w:tabs>
          <w:tab w:val="right" w:leader="dot" w:pos="8306"/>
        </w:tabs>
      </w:pPr>
      <w:hyperlink w:anchor="_Toc4281" w:history="1">
        <w:r>
          <w:rPr>
            <w:rFonts w:ascii="仿宋" w:eastAsia="仿宋" w:hAnsi="仿宋" w:cs="仿宋" w:hint="eastAsia"/>
            <w:lang w:eastAsia="zh-CN"/>
          </w:rPr>
          <w:t>(二)、环保与社会责任</w:t>
        </w:r>
        <w:r>
          <w:tab/>
        </w:r>
        <w:r>
          <w:fldChar w:fldCharType="begin"/>
        </w:r>
        <w:r>
          <w:instrText xml:space="preserve"> PAGEREF _Toc4281 \h </w:instrText>
        </w:r>
        <w:r>
          <w:fldChar w:fldCharType="separate"/>
        </w:r>
        <w:r>
          <w:t>13</w:t>
        </w:r>
        <w:r>
          <w:fldChar w:fldCharType="end"/>
        </w:r>
      </w:hyperlink>
    </w:p>
    <w:p>
      <w:pPr>
        <w:pStyle w:val="TOC1"/>
        <w:tabs>
          <w:tab w:val="right" w:leader="dot" w:pos="8306"/>
        </w:tabs>
      </w:pPr>
      <w:hyperlink w:anchor="_Toc5511" w:history="1">
        <w:r>
          <w:rPr>
            <w:rFonts w:ascii="仿宋" w:eastAsia="仿宋" w:hAnsi="仿宋" w:cs="仿宋" w:hint="eastAsia"/>
            <w:lang w:eastAsia="zh-CN"/>
          </w:rPr>
          <w:t>四、放射性固体废物处置系列设备项目选址可行性分析</w:t>
        </w:r>
        <w:r>
          <w:tab/>
        </w:r>
        <w:r>
          <w:fldChar w:fldCharType="begin"/>
        </w:r>
        <w:r>
          <w:instrText xml:space="preserve"> PAGEREF _Toc5511 \h </w:instrText>
        </w:r>
        <w:r>
          <w:fldChar w:fldCharType="separate"/>
        </w:r>
        <w:r>
          <w:t>14</w:t>
        </w:r>
        <w:r>
          <w:fldChar w:fldCharType="end"/>
        </w:r>
      </w:hyperlink>
    </w:p>
    <w:p>
      <w:pPr>
        <w:pStyle w:val="TOC2"/>
        <w:tabs>
          <w:tab w:val="right" w:leader="dot" w:pos="8306"/>
        </w:tabs>
      </w:pPr>
      <w:hyperlink w:anchor="_Toc6830" w:history="1">
        <w:r>
          <w:rPr>
            <w:rFonts w:ascii="仿宋" w:eastAsia="仿宋" w:hAnsi="仿宋" w:cs="仿宋" w:hint="eastAsia"/>
            <w:lang w:eastAsia="zh-CN"/>
          </w:rPr>
          <w:t>(一)、放射性固体废物处置系列设备项目选址</w:t>
        </w:r>
        <w:r>
          <w:tab/>
        </w:r>
        <w:r>
          <w:fldChar w:fldCharType="begin"/>
        </w:r>
        <w:r>
          <w:instrText xml:space="preserve"> PAGEREF _Toc6830 \h </w:instrText>
        </w:r>
        <w:r>
          <w:fldChar w:fldCharType="separate"/>
        </w:r>
        <w:r>
          <w:t>14</w:t>
        </w:r>
        <w:r>
          <w:fldChar w:fldCharType="end"/>
        </w:r>
      </w:hyperlink>
    </w:p>
    <w:p>
      <w:pPr>
        <w:pStyle w:val="TOC2"/>
        <w:tabs>
          <w:tab w:val="right" w:leader="dot" w:pos="8306"/>
        </w:tabs>
      </w:pPr>
      <w:hyperlink w:anchor="_Toc11633" w:history="1">
        <w:r>
          <w:rPr>
            <w:rFonts w:ascii="仿宋" w:eastAsia="仿宋" w:hAnsi="仿宋" w:cs="仿宋" w:hint="eastAsia"/>
            <w:lang w:eastAsia="zh-CN"/>
          </w:rPr>
          <w:t>(二)、用地控制指标</w:t>
        </w:r>
        <w:r>
          <w:tab/>
        </w:r>
        <w:r>
          <w:fldChar w:fldCharType="begin"/>
        </w:r>
        <w:r>
          <w:instrText xml:space="preserve"> PAGEREF _Toc11633 \h </w:instrText>
        </w:r>
        <w:r>
          <w:fldChar w:fldCharType="separate"/>
        </w:r>
        <w:r>
          <w:t>15</w:t>
        </w:r>
        <w:r>
          <w:fldChar w:fldCharType="end"/>
        </w:r>
      </w:hyperlink>
    </w:p>
    <w:p>
      <w:pPr>
        <w:pStyle w:val="TOC2"/>
        <w:tabs>
          <w:tab w:val="right" w:leader="dot" w:pos="8306"/>
        </w:tabs>
      </w:pPr>
      <w:hyperlink w:anchor="_Toc14255" w:history="1">
        <w:r>
          <w:rPr>
            <w:rFonts w:ascii="仿宋" w:eastAsia="仿宋" w:hAnsi="仿宋" w:cs="仿宋" w:hint="eastAsia"/>
            <w:lang w:eastAsia="zh-CN"/>
          </w:rPr>
          <w:t>(三)、节约用地措施</w:t>
        </w:r>
        <w:r>
          <w:tab/>
        </w:r>
        <w:r>
          <w:fldChar w:fldCharType="begin"/>
        </w:r>
        <w:r>
          <w:instrText xml:space="preserve"> PAGEREF _Toc14255 \h </w:instrText>
        </w:r>
        <w:r>
          <w:fldChar w:fldCharType="separate"/>
        </w:r>
        <w:r>
          <w:t>17</w:t>
        </w:r>
        <w:r>
          <w:fldChar w:fldCharType="end"/>
        </w:r>
      </w:hyperlink>
    </w:p>
    <w:p>
      <w:pPr>
        <w:pStyle w:val="TOC2"/>
        <w:tabs>
          <w:tab w:val="right" w:leader="dot" w:pos="8306"/>
        </w:tabs>
      </w:pPr>
      <w:hyperlink w:anchor="_Toc5586" w:history="1">
        <w:r>
          <w:rPr>
            <w:rFonts w:ascii="仿宋" w:eastAsia="仿宋" w:hAnsi="仿宋" w:cs="仿宋" w:hint="eastAsia"/>
            <w:lang w:eastAsia="zh-CN"/>
          </w:rPr>
          <w:t>(四)、总图布置方案</w:t>
        </w:r>
        <w:r>
          <w:tab/>
        </w:r>
        <w:r>
          <w:fldChar w:fldCharType="begin"/>
        </w:r>
        <w:r>
          <w:instrText xml:space="preserve"> PAGEREF _Toc5586 \h </w:instrText>
        </w:r>
        <w:r>
          <w:fldChar w:fldCharType="separate"/>
        </w:r>
        <w:r>
          <w:t>18</w:t>
        </w:r>
        <w:r>
          <w:fldChar w:fldCharType="end"/>
        </w:r>
      </w:hyperlink>
    </w:p>
    <w:p>
      <w:pPr>
        <w:pStyle w:val="TOC2"/>
        <w:tabs>
          <w:tab w:val="right" w:leader="dot" w:pos="8306"/>
        </w:tabs>
      </w:pPr>
      <w:hyperlink w:anchor="_Toc30594" w:history="1">
        <w:r>
          <w:rPr>
            <w:rFonts w:ascii="仿宋" w:eastAsia="仿宋" w:hAnsi="仿宋" w:cs="仿宋" w:hint="eastAsia"/>
            <w:lang w:eastAsia="zh-CN"/>
          </w:rPr>
          <w:t>(五)、选址综合评价</w:t>
        </w:r>
        <w:r>
          <w:tab/>
        </w:r>
        <w:r>
          <w:fldChar w:fldCharType="begin"/>
        </w:r>
        <w:r>
          <w:instrText xml:space="preserve"> PAGEREF _Toc30594 \h </w:instrText>
        </w:r>
        <w:r>
          <w:fldChar w:fldCharType="separate"/>
        </w:r>
        <w:r>
          <w:t>19</w:t>
        </w:r>
        <w:r>
          <w:fldChar w:fldCharType="end"/>
        </w:r>
      </w:hyperlink>
    </w:p>
    <w:p>
      <w:pPr>
        <w:pStyle w:val="TOC1"/>
        <w:tabs>
          <w:tab w:val="right" w:leader="dot" w:pos="8306"/>
        </w:tabs>
      </w:pPr>
      <w:hyperlink w:anchor="_Toc17944" w:history="1">
        <w:r>
          <w:rPr>
            <w:rFonts w:ascii="仿宋" w:eastAsia="仿宋" w:hAnsi="仿宋" w:cs="仿宋" w:hint="eastAsia"/>
            <w:lang w:eastAsia="zh-CN"/>
          </w:rPr>
          <w:t>五、放射性固体废物处置系列设备项目危机管理</w:t>
        </w:r>
        <w:r>
          <w:tab/>
        </w:r>
        <w:r>
          <w:fldChar w:fldCharType="begin"/>
        </w:r>
        <w:r>
          <w:instrText xml:space="preserve"> PAGEREF _Toc17944 \h </w:instrText>
        </w:r>
        <w:r>
          <w:fldChar w:fldCharType="separate"/>
        </w:r>
        <w:r>
          <w:t>20</w:t>
        </w:r>
        <w:r>
          <w:fldChar w:fldCharType="end"/>
        </w:r>
      </w:hyperlink>
    </w:p>
    <w:p>
      <w:pPr>
        <w:pStyle w:val="TOC2"/>
        <w:tabs>
          <w:tab w:val="right" w:leader="dot" w:pos="8306"/>
        </w:tabs>
      </w:pPr>
      <w:hyperlink w:anchor="_Toc1943" w:history="1">
        <w:r>
          <w:rPr>
            <w:rFonts w:ascii="仿宋" w:eastAsia="仿宋" w:hAnsi="仿宋" w:cs="仿宋" w:hint="eastAsia"/>
            <w:lang w:eastAsia="zh-CN"/>
          </w:rPr>
          <w:t>(一)、危机预警与识别</w:t>
        </w:r>
        <w:r>
          <w:tab/>
        </w:r>
        <w:r>
          <w:fldChar w:fldCharType="begin"/>
        </w:r>
        <w:r>
          <w:instrText xml:space="preserve"> PAGEREF _Toc1943 \h </w:instrText>
        </w:r>
        <w:r>
          <w:fldChar w:fldCharType="separate"/>
        </w:r>
        <w:r>
          <w:t>20</w:t>
        </w:r>
        <w:r>
          <w:fldChar w:fldCharType="end"/>
        </w:r>
      </w:hyperlink>
    </w:p>
    <w:p>
      <w:pPr>
        <w:pStyle w:val="TOC2"/>
        <w:tabs>
          <w:tab w:val="right" w:leader="dot" w:pos="8306"/>
        </w:tabs>
      </w:pPr>
      <w:hyperlink w:anchor="_Toc25282" w:history="1">
        <w:r>
          <w:rPr>
            <w:rFonts w:ascii="仿宋" w:eastAsia="仿宋" w:hAnsi="仿宋" w:cs="仿宋" w:hint="eastAsia"/>
            <w:lang w:eastAsia="zh-CN"/>
          </w:rPr>
          <w:t>(二)、危机应对与恢复</w:t>
        </w:r>
        <w:r>
          <w:tab/>
        </w:r>
        <w:r>
          <w:fldChar w:fldCharType="begin"/>
        </w:r>
        <w:r>
          <w:instrText xml:space="preserve"> PAGEREF _Toc25282 \h </w:instrText>
        </w:r>
        <w:r>
          <w:fldChar w:fldCharType="separate"/>
        </w:r>
        <w:r>
          <w:t>21</w:t>
        </w:r>
        <w:r>
          <w:fldChar w:fldCharType="end"/>
        </w:r>
      </w:hyperlink>
    </w:p>
    <w:p>
      <w:pPr>
        <w:pStyle w:val="TOC1"/>
        <w:tabs>
          <w:tab w:val="right" w:leader="dot" w:pos="8306"/>
        </w:tabs>
      </w:pPr>
      <w:hyperlink w:anchor="_Toc15357" w:history="1">
        <w:r>
          <w:rPr>
            <w:rFonts w:ascii="仿宋" w:eastAsia="仿宋" w:hAnsi="仿宋" w:cs="仿宋" w:hint="eastAsia"/>
            <w:lang w:eastAsia="zh-CN"/>
          </w:rPr>
          <w:t>六、放射性固体废物处置系列设备项目建设背景及必要性分析</w:t>
        </w:r>
        <w:r>
          <w:tab/>
        </w:r>
        <w:r>
          <w:fldChar w:fldCharType="begin"/>
        </w:r>
        <w:r>
          <w:instrText xml:space="preserve"> PAGEREF _Toc15357 \h </w:instrText>
        </w:r>
        <w:r>
          <w:fldChar w:fldCharType="separate"/>
        </w:r>
        <w:r>
          <w:t>23</w:t>
        </w:r>
        <w:r>
          <w:fldChar w:fldCharType="end"/>
        </w:r>
      </w:hyperlink>
    </w:p>
    <w:p>
      <w:pPr>
        <w:pStyle w:val="TOC2"/>
        <w:tabs>
          <w:tab w:val="right" w:leader="dot" w:pos="8306"/>
        </w:tabs>
      </w:pPr>
      <w:hyperlink w:anchor="_Toc21257" w:history="1">
        <w:r>
          <w:rPr>
            <w:rFonts w:ascii="仿宋" w:eastAsia="仿宋" w:hAnsi="仿宋" w:cs="仿宋" w:hint="eastAsia"/>
            <w:lang w:eastAsia="zh-CN"/>
          </w:rPr>
          <w:t>(一)、放射性固体废物处置系列设备项目背景分析</w:t>
        </w:r>
        <w:r>
          <w:tab/>
        </w:r>
        <w:r>
          <w:fldChar w:fldCharType="begin"/>
        </w:r>
        <w:r>
          <w:instrText xml:space="preserve"> PAGEREF _Toc21257 \h </w:instrText>
        </w:r>
        <w:r>
          <w:fldChar w:fldCharType="separate"/>
        </w:r>
        <w:r>
          <w:t>23</w:t>
        </w:r>
        <w:r>
          <w:fldChar w:fldCharType="end"/>
        </w:r>
      </w:hyperlink>
    </w:p>
    <w:p>
      <w:pPr>
        <w:pStyle w:val="TOC2"/>
        <w:tabs>
          <w:tab w:val="right" w:leader="dot" w:pos="8306"/>
        </w:tabs>
      </w:pPr>
      <w:hyperlink w:anchor="_Toc15584" w:history="1">
        <w:r>
          <w:rPr>
            <w:rFonts w:ascii="仿宋" w:eastAsia="仿宋" w:hAnsi="仿宋" w:cs="仿宋" w:hint="eastAsia"/>
            <w:lang w:eastAsia="zh-CN"/>
          </w:rPr>
          <w:t>(二)、放射性固体废物处置系列设备项目建设必要性分析</w:t>
        </w:r>
        <w:r>
          <w:tab/>
        </w:r>
        <w:r>
          <w:fldChar w:fldCharType="begin"/>
        </w:r>
        <w:r>
          <w:instrText xml:space="preserve"> PAGEREF _Toc15584 \h </w:instrText>
        </w:r>
        <w:r>
          <w:fldChar w:fldCharType="separate"/>
        </w:r>
        <w:r>
          <w:t>25</w:t>
        </w:r>
        <w:r>
          <w:fldChar w:fldCharType="end"/>
        </w:r>
      </w:hyperlink>
    </w:p>
    <w:p>
      <w:pPr>
        <w:pStyle w:val="TOC1"/>
        <w:tabs>
          <w:tab w:val="right" w:leader="dot" w:pos="8306"/>
        </w:tabs>
      </w:pPr>
      <w:hyperlink w:anchor="_Toc27865" w:history="1">
        <w:r>
          <w:rPr>
            <w:rFonts w:ascii="仿宋" w:eastAsia="仿宋" w:hAnsi="仿宋" w:cs="仿宋" w:hint="eastAsia"/>
            <w:lang w:eastAsia="zh-CN"/>
          </w:rPr>
          <w:t>七、放射性固体废物处置系列设备项目人力资源培养与发展</w:t>
        </w:r>
        <w:r>
          <w:tab/>
        </w:r>
        <w:r>
          <w:fldChar w:fldCharType="begin"/>
        </w:r>
        <w:r>
          <w:instrText xml:space="preserve"> PAGEREF _Toc27865 \h </w:instrText>
        </w:r>
        <w:r>
          <w:fldChar w:fldCharType="separate"/>
        </w:r>
        <w:r>
          <w:t>26</w:t>
        </w:r>
        <w:r>
          <w:fldChar w:fldCharType="end"/>
        </w:r>
      </w:hyperlink>
    </w:p>
    <w:p>
      <w:pPr>
        <w:pStyle w:val="TOC2"/>
        <w:tabs>
          <w:tab w:val="right" w:leader="dot" w:pos="8306"/>
        </w:tabs>
      </w:pPr>
      <w:hyperlink w:anchor="_Toc25896" w:history="1">
        <w:r>
          <w:rPr>
            <w:rFonts w:ascii="仿宋" w:eastAsia="仿宋" w:hAnsi="仿宋" w:cs="仿宋" w:hint="eastAsia"/>
            <w:lang w:eastAsia="zh-CN"/>
          </w:rPr>
          <w:t>(一)、人才需求与规划</w:t>
        </w:r>
        <w:r>
          <w:tab/>
        </w:r>
        <w:r>
          <w:fldChar w:fldCharType="begin"/>
        </w:r>
        <w:r>
          <w:instrText xml:space="preserve"> PAGEREF _Toc25896 \h </w:instrText>
        </w:r>
        <w:r>
          <w:fldChar w:fldCharType="separate"/>
        </w:r>
        <w:r>
          <w:t>26</w:t>
        </w:r>
        <w:r>
          <w:fldChar w:fldCharType="end"/>
        </w:r>
      </w:hyperlink>
    </w:p>
    <w:p>
      <w:pPr>
        <w:pStyle w:val="TOC2"/>
        <w:tabs>
          <w:tab w:val="right" w:leader="dot" w:pos="8306"/>
        </w:tabs>
      </w:pPr>
      <w:hyperlink w:anchor="_Toc12665" w:history="1">
        <w:r>
          <w:rPr>
            <w:rFonts w:ascii="仿宋" w:eastAsia="仿宋" w:hAnsi="仿宋" w:cs="仿宋" w:hint="eastAsia"/>
            <w:lang w:eastAsia="zh-CN"/>
          </w:rPr>
          <w:t>(二)、培训与发展计划</w:t>
        </w:r>
        <w:r>
          <w:tab/>
        </w:r>
        <w:r>
          <w:fldChar w:fldCharType="begin"/>
        </w:r>
        <w:r>
          <w:instrText xml:space="preserve"> PAGEREF _Toc12665 \h </w:instrText>
        </w:r>
        <w:r>
          <w:fldChar w:fldCharType="separate"/>
        </w:r>
        <w:r>
          <w:t>27</w:t>
        </w:r>
        <w:r>
          <w:fldChar w:fldCharType="end"/>
        </w:r>
      </w:hyperlink>
    </w:p>
    <w:p>
      <w:pPr>
        <w:pStyle w:val="TOC1"/>
        <w:tabs>
          <w:tab w:val="right" w:leader="dot" w:pos="8306"/>
        </w:tabs>
      </w:pPr>
      <w:hyperlink w:anchor="_Toc760" w:history="1">
        <w:r>
          <w:rPr>
            <w:rFonts w:ascii="仿宋" w:eastAsia="仿宋" w:hAnsi="仿宋" w:cs="仿宋" w:hint="eastAsia"/>
            <w:lang w:eastAsia="zh-CN"/>
          </w:rPr>
          <w:t>八、放射性固体废物处置系列设备项目投资规划</w:t>
        </w:r>
        <w:r>
          <w:tab/>
        </w:r>
        <w:r>
          <w:fldChar w:fldCharType="begin"/>
        </w:r>
        <w:r>
          <w:instrText xml:space="preserve"> PAGEREF _Toc760 \h </w:instrText>
        </w:r>
        <w:r>
          <w:fldChar w:fldCharType="separate"/>
        </w:r>
        <w:r>
          <w:t>28</w:t>
        </w:r>
        <w:r>
          <w:fldChar w:fldCharType="end"/>
        </w:r>
      </w:hyperlink>
    </w:p>
    <w:p>
      <w:pPr>
        <w:pStyle w:val="TOC2"/>
        <w:tabs>
          <w:tab w:val="right" w:leader="dot" w:pos="8306"/>
        </w:tabs>
      </w:pPr>
      <w:hyperlink w:anchor="_Toc10391" w:history="1">
        <w:r>
          <w:rPr>
            <w:rFonts w:ascii="仿宋" w:eastAsia="仿宋" w:hAnsi="仿宋" w:cs="仿宋" w:hint="eastAsia"/>
            <w:lang w:eastAsia="zh-CN"/>
          </w:rPr>
          <w:t>(一)、放射性固体废物处置系列设备项目总投资估算</w:t>
        </w:r>
        <w:r>
          <w:tab/>
        </w:r>
        <w:r>
          <w:fldChar w:fldCharType="begin"/>
        </w:r>
        <w:r>
          <w:instrText xml:space="preserve"> PAGEREF _Toc10391 \h </w:instrText>
        </w:r>
        <w:r>
          <w:fldChar w:fldCharType="separate"/>
        </w:r>
        <w:r>
          <w:t>28</w:t>
        </w:r>
        <w:r>
          <w:fldChar w:fldCharType="end"/>
        </w:r>
      </w:hyperlink>
    </w:p>
    <w:p>
      <w:pPr>
        <w:pStyle w:val="TOC2"/>
        <w:tabs>
          <w:tab w:val="right" w:leader="dot" w:pos="8306"/>
        </w:tabs>
      </w:pPr>
      <w:hyperlink w:anchor="_Toc28944" w:history="1">
        <w:r>
          <w:rPr>
            <w:rFonts w:ascii="仿宋" w:eastAsia="仿宋" w:hAnsi="仿宋" w:cs="仿宋" w:hint="eastAsia"/>
            <w:lang w:eastAsia="zh-CN"/>
          </w:rPr>
          <w:t>(二)、资金筹措</w:t>
        </w:r>
        <w:r>
          <w:tab/>
        </w:r>
        <w:r>
          <w:fldChar w:fldCharType="begin"/>
        </w:r>
        <w:r>
          <w:instrText xml:space="preserve"> PAGEREF _Toc28944 \h </w:instrText>
        </w:r>
        <w:r>
          <w:fldChar w:fldCharType="separate"/>
        </w:r>
        <w:r>
          <w:t>29</w:t>
        </w:r>
        <w:r>
          <w:fldChar w:fldCharType="end"/>
        </w:r>
      </w:hyperlink>
    </w:p>
    <w:p>
      <w:pPr>
        <w:pStyle w:val="TOC1"/>
        <w:tabs>
          <w:tab w:val="right" w:leader="dot" w:pos="8306"/>
        </w:tabs>
      </w:pPr>
      <w:hyperlink w:anchor="_Toc5270" w:history="1">
        <w:r>
          <w:rPr>
            <w:rFonts w:ascii="仿宋" w:eastAsia="仿宋" w:hAnsi="仿宋" w:cs="仿宋" w:hint="eastAsia"/>
            <w:lang w:eastAsia="zh-CN"/>
          </w:rPr>
          <w:t>九、放射性固体废物处置系列设备项目风险管理</w:t>
        </w:r>
        <w:r>
          <w:tab/>
        </w:r>
        <w:r>
          <w:fldChar w:fldCharType="begin"/>
        </w:r>
        <w:r>
          <w:instrText xml:space="preserve"> PAGEREF _Toc5270 \h </w:instrText>
        </w:r>
        <w:r>
          <w:fldChar w:fldCharType="separate"/>
        </w:r>
        <w:r>
          <w:t>30</w:t>
        </w:r>
        <w:r>
          <w:fldChar w:fldCharType="end"/>
        </w:r>
      </w:hyperlink>
    </w:p>
    <w:p>
      <w:pPr>
        <w:pStyle w:val="TOC2"/>
        <w:tabs>
          <w:tab w:val="right" w:leader="dot" w:pos="8306"/>
        </w:tabs>
      </w:pPr>
      <w:hyperlink w:anchor="_Toc30821" w:history="1">
        <w:r>
          <w:rPr>
            <w:rFonts w:ascii="仿宋" w:eastAsia="仿宋" w:hAnsi="仿宋" w:cs="仿宋" w:hint="eastAsia"/>
            <w:lang w:eastAsia="zh-CN"/>
          </w:rPr>
          <w:t>(一)、风险识别与评估</w:t>
        </w:r>
        <w:r>
          <w:tab/>
        </w:r>
        <w:r>
          <w:fldChar w:fldCharType="begin"/>
        </w:r>
        <w:r>
          <w:instrText xml:space="preserve"> PAGEREF _Toc30821 \h </w:instrText>
        </w:r>
        <w:r>
          <w:fldChar w:fldCharType="separate"/>
        </w:r>
        <w:r>
          <w:t>30</w:t>
        </w:r>
        <w:r>
          <w:fldChar w:fldCharType="end"/>
        </w:r>
      </w:hyperlink>
    </w:p>
    <w:p>
      <w:pPr>
        <w:pStyle w:val="TOC2"/>
        <w:tabs>
          <w:tab w:val="right" w:leader="dot" w:pos="8306"/>
        </w:tabs>
      </w:pPr>
      <w:hyperlink w:anchor="_Toc21060" w:history="1">
        <w:r>
          <w:rPr>
            <w:rFonts w:ascii="仿宋" w:eastAsia="仿宋" w:hAnsi="仿宋" w:cs="仿宋" w:hint="eastAsia"/>
            <w:lang w:eastAsia="zh-CN"/>
          </w:rPr>
          <w:t>(二)、风险应对策略</w:t>
        </w:r>
        <w:r>
          <w:tab/>
        </w:r>
        <w:r>
          <w:fldChar w:fldCharType="begin"/>
        </w:r>
        <w:r>
          <w:instrText xml:space="preserve"> PAGEREF _Toc21060 \h </w:instrText>
        </w:r>
        <w:r>
          <w:fldChar w:fldCharType="separate"/>
        </w:r>
        <w:r>
          <w:t>31</w:t>
        </w:r>
        <w:r>
          <w:fldChar w:fldCharType="end"/>
        </w:r>
      </w:hyperlink>
    </w:p>
    <w:p>
      <w:pPr>
        <w:pStyle w:val="TOC2"/>
        <w:tabs>
          <w:tab w:val="right" w:leader="dot" w:pos="8306"/>
        </w:tabs>
      </w:pPr>
      <w:hyperlink w:anchor="_Toc9076" w:history="1">
        <w:r>
          <w:rPr>
            <w:rFonts w:ascii="仿宋" w:eastAsia="仿宋" w:hAnsi="仿宋" w:cs="仿宋" w:hint="eastAsia"/>
            <w:lang w:eastAsia="zh-CN"/>
          </w:rPr>
          <w:t>(三)、风险监控与控制</w:t>
        </w:r>
        <w:r>
          <w:tab/>
        </w:r>
        <w:r>
          <w:fldChar w:fldCharType="begin"/>
        </w:r>
        <w:r>
          <w:instrText xml:space="preserve"> PAGEREF _Toc9076 \h </w:instrText>
        </w:r>
        <w:r>
          <w:fldChar w:fldCharType="separate"/>
        </w:r>
        <w:r>
          <w:t>33</w:t>
        </w:r>
        <w:r>
          <w:fldChar w:fldCharType="end"/>
        </w:r>
      </w:hyperlink>
    </w:p>
    <w:p>
      <w:pPr>
        <w:pStyle w:val="TOC1"/>
        <w:tabs>
          <w:tab w:val="right" w:leader="dot" w:pos="8306"/>
        </w:tabs>
      </w:pPr>
      <w:hyperlink w:anchor="_Toc1901" w:history="1">
        <w:r>
          <w:rPr>
            <w:rFonts w:ascii="仿宋" w:eastAsia="仿宋" w:hAnsi="仿宋" w:cs="仿宋" w:hint="eastAsia"/>
            <w:lang w:eastAsia="zh-CN"/>
          </w:rPr>
          <w:t>十、放射性固体废物处置系列设备项目财务管理</w:t>
        </w:r>
        <w:r>
          <w:tab/>
        </w:r>
        <w:r>
          <w:fldChar w:fldCharType="begin"/>
        </w:r>
        <w:r>
          <w:instrText xml:space="preserve"> PAGEREF _Toc1901 \h </w:instrText>
        </w:r>
        <w:r>
          <w:fldChar w:fldCharType="separate"/>
        </w:r>
        <w:r>
          <w:t>34</w:t>
        </w:r>
        <w:r>
          <w:fldChar w:fldCharType="end"/>
        </w:r>
      </w:hyperlink>
    </w:p>
    <w:p>
      <w:pPr>
        <w:pStyle w:val="TOC2"/>
        <w:tabs>
          <w:tab w:val="right" w:leader="dot" w:pos="8306"/>
        </w:tabs>
      </w:pPr>
      <w:hyperlink w:anchor="_Toc14610" w:history="1">
        <w:r>
          <w:rPr>
            <w:rFonts w:ascii="仿宋" w:eastAsia="仿宋" w:hAnsi="仿宋" w:cs="仿宋" w:hint="eastAsia"/>
            <w:lang w:eastAsia="zh-CN"/>
          </w:rPr>
          <w:t>(一)、资金需求大</w:t>
        </w:r>
        <w:r>
          <w:tab/>
        </w:r>
        <w:r>
          <w:fldChar w:fldCharType="begin"/>
        </w:r>
        <w:r>
          <w:instrText xml:space="preserve"> PAGEREF _Toc14610 \h </w:instrText>
        </w:r>
        <w:r>
          <w:fldChar w:fldCharType="separate"/>
        </w:r>
        <w:r>
          <w:t>34</w:t>
        </w:r>
        <w:r>
          <w:fldChar w:fldCharType="end"/>
        </w:r>
      </w:hyperlink>
    </w:p>
    <w:p>
      <w:pPr>
        <w:pStyle w:val="TOC2"/>
        <w:tabs>
          <w:tab w:val="right" w:leader="dot" w:pos="8306"/>
        </w:tabs>
      </w:pPr>
      <w:hyperlink w:anchor="_Toc7913" w:history="1">
        <w:r>
          <w:rPr>
            <w:rFonts w:ascii="仿宋" w:eastAsia="仿宋" w:hAnsi="仿宋" w:cs="仿宋" w:hint="eastAsia"/>
            <w:lang w:eastAsia="zh-CN"/>
          </w:rPr>
          <w:t>(二)、研发周期长</w:t>
        </w:r>
        <w:r>
          <w:tab/>
        </w:r>
        <w:r>
          <w:fldChar w:fldCharType="begin"/>
        </w:r>
        <w:r>
          <w:instrText xml:space="preserve"> PAGEREF _Toc7913 \h </w:instrText>
        </w:r>
        <w:r>
          <w:fldChar w:fldCharType="separate"/>
        </w:r>
        <w:r>
          <w:t>35</w:t>
        </w:r>
        <w:r>
          <w:fldChar w:fldCharType="end"/>
        </w:r>
      </w:hyperlink>
    </w:p>
    <w:p>
      <w:pPr>
        <w:pStyle w:val="TOC2"/>
        <w:tabs>
          <w:tab w:val="right" w:leader="dot" w:pos="8306"/>
        </w:tabs>
      </w:pPr>
      <w:hyperlink w:anchor="_Toc706" w:history="1">
        <w:r>
          <w:rPr>
            <w:rFonts w:ascii="仿宋" w:eastAsia="仿宋" w:hAnsi="仿宋" w:cs="仿宋" w:hint="eastAsia"/>
            <w:lang w:eastAsia="zh-CN"/>
          </w:rPr>
          <w:t>(三)、市场风险大</w:t>
        </w:r>
        <w:r>
          <w:tab/>
        </w:r>
        <w:r>
          <w:fldChar w:fldCharType="begin"/>
        </w:r>
        <w:r>
          <w:instrText xml:space="preserve"> PAGEREF _Toc706 \h </w:instrText>
        </w:r>
        <w:r>
          <w:fldChar w:fldCharType="separate"/>
        </w:r>
        <w:r>
          <w:t>37</w:t>
        </w:r>
        <w:r>
          <w:fldChar w:fldCharType="end"/>
        </w:r>
      </w:hyperlink>
    </w:p>
    <w:p>
      <w:pPr>
        <w:pStyle w:val="TOC2"/>
        <w:tabs>
          <w:tab w:val="right" w:leader="dot" w:pos="8306"/>
        </w:tabs>
      </w:pPr>
      <w:hyperlink w:anchor="_Toc17931" w:history="1">
        <w:r>
          <w:rPr>
            <w:rFonts w:ascii="仿宋" w:eastAsia="仿宋" w:hAnsi="仿宋" w:cs="仿宋" w:hint="eastAsia"/>
            <w:lang w:eastAsia="zh-CN"/>
          </w:rPr>
          <w:t>(四)、利润率高</w:t>
        </w:r>
        <w:r>
          <w:tab/>
        </w:r>
        <w:r>
          <w:fldChar w:fldCharType="begin"/>
        </w:r>
        <w:r>
          <w:instrText xml:space="preserve"> PAGEREF _Toc17931 \h </w:instrText>
        </w:r>
        <w:r>
          <w:fldChar w:fldCharType="separate"/>
        </w:r>
        <w:r>
          <w:t>40</w:t>
        </w:r>
        <w:r>
          <w:fldChar w:fldCharType="end"/>
        </w:r>
      </w:hyperlink>
    </w:p>
    <w:p>
      <w:pPr>
        <w:pStyle w:val="TOC1"/>
        <w:tabs>
          <w:tab w:val="right" w:leader="dot" w:pos="8306"/>
        </w:tabs>
      </w:pPr>
      <w:hyperlink w:anchor="_Toc25318" w:history="1">
        <w:r>
          <w:rPr>
            <w:rFonts w:ascii="仿宋" w:eastAsia="仿宋" w:hAnsi="仿宋" w:cs="仿宋" w:hint="eastAsia"/>
            <w:lang w:eastAsia="zh-CN"/>
          </w:rPr>
          <w:t>十一、放射性固体废物处置系列设备项目创新与研发</w:t>
        </w:r>
        <w:r>
          <w:tab/>
        </w:r>
        <w:r>
          <w:fldChar w:fldCharType="begin"/>
        </w:r>
        <w:r>
          <w:instrText xml:space="preserve"> PAGEREF _Toc25318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6" w:history="1">
        <w:r>
          <w:rPr>
            <w:rFonts w:ascii="仿宋" w:eastAsia="仿宋" w:hAnsi="仿宋" w:cs="仿宋" w:hint="eastAsia"/>
            <w:lang w:eastAsia="zh-CN"/>
          </w:rPr>
          <w:t>(一)、创新策略与方向</w:t>
        </w:r>
        <w:r>
          <w:tab/>
        </w:r>
        <w:r>
          <w:fldChar w:fldCharType="begin"/>
        </w:r>
        <w:r>
          <w:instrText xml:space="preserve"> PAGEREF _Toc32416 \h </w:instrText>
        </w:r>
        <w:r>
          <w:fldChar w:fldCharType="separate"/>
        </w:r>
        <w:r>
          <w:t>42</w:t>
        </w:r>
        <w:r>
          <w:fldChar w:fldCharType="end"/>
        </w:r>
      </w:hyperlink>
    </w:p>
    <w:p>
      <w:pPr>
        <w:pStyle w:val="TOC2"/>
        <w:tabs>
          <w:tab w:val="right" w:leader="dot" w:pos="8306"/>
        </w:tabs>
      </w:pPr>
      <w:hyperlink w:anchor="_Toc8514" w:history="1">
        <w:r>
          <w:rPr>
            <w:rFonts w:ascii="仿宋" w:eastAsia="仿宋" w:hAnsi="仿宋" w:cs="仿宋" w:hint="eastAsia"/>
            <w:lang w:eastAsia="zh-CN"/>
          </w:rPr>
          <w:t>(二)、研发规划与投入</w:t>
        </w:r>
        <w:r>
          <w:tab/>
        </w:r>
        <w:r>
          <w:fldChar w:fldCharType="begin"/>
        </w:r>
        <w:r>
          <w:instrText xml:space="preserve"> PAGEREF _Toc8514 \h </w:instrText>
        </w:r>
        <w:r>
          <w:fldChar w:fldCharType="separate"/>
        </w:r>
        <w:r>
          <w:t>43</w:t>
        </w:r>
        <w:r>
          <w:fldChar w:fldCharType="end"/>
        </w:r>
      </w:hyperlink>
    </w:p>
    <w:p>
      <w:pPr>
        <w:pStyle w:val="TOC1"/>
        <w:tabs>
          <w:tab w:val="right" w:leader="dot" w:pos="8306"/>
        </w:tabs>
      </w:pPr>
      <w:hyperlink w:anchor="_Toc12770" w:history="1">
        <w:r>
          <w:rPr>
            <w:rFonts w:ascii="仿宋" w:eastAsia="仿宋" w:hAnsi="仿宋" w:cs="仿宋" w:hint="eastAsia"/>
            <w:lang w:eastAsia="zh-CN"/>
          </w:rPr>
          <w:t>十二、放射性固体废物处置系列设备项目人力资源管理</w:t>
        </w:r>
        <w:r>
          <w:tab/>
        </w:r>
        <w:r>
          <w:fldChar w:fldCharType="begin"/>
        </w:r>
        <w:r>
          <w:instrText xml:space="preserve"> PAGEREF _Toc12770 \h </w:instrText>
        </w:r>
        <w:r>
          <w:fldChar w:fldCharType="separate"/>
        </w:r>
        <w:r>
          <w:t>45</w:t>
        </w:r>
        <w:r>
          <w:fldChar w:fldCharType="end"/>
        </w:r>
      </w:hyperlink>
    </w:p>
    <w:p>
      <w:pPr>
        <w:pStyle w:val="TOC2"/>
        <w:tabs>
          <w:tab w:val="right" w:leader="dot" w:pos="8306"/>
        </w:tabs>
      </w:pPr>
      <w:hyperlink w:anchor="_Toc18587" w:history="1">
        <w:r>
          <w:rPr>
            <w:rFonts w:ascii="仿宋" w:eastAsia="仿宋" w:hAnsi="仿宋" w:cs="仿宋" w:hint="eastAsia"/>
            <w:lang w:eastAsia="zh-CN"/>
          </w:rPr>
          <w:t>(一)、建立健全的预算管理制度</w:t>
        </w:r>
        <w:r>
          <w:tab/>
        </w:r>
        <w:r>
          <w:fldChar w:fldCharType="begin"/>
        </w:r>
        <w:r>
          <w:instrText xml:space="preserve"> PAGEREF _Toc18587 \h </w:instrText>
        </w:r>
        <w:r>
          <w:fldChar w:fldCharType="separate"/>
        </w:r>
        <w:r>
          <w:t>45</w:t>
        </w:r>
        <w:r>
          <w:fldChar w:fldCharType="end"/>
        </w:r>
      </w:hyperlink>
    </w:p>
    <w:p>
      <w:pPr>
        <w:pStyle w:val="TOC2"/>
        <w:tabs>
          <w:tab w:val="right" w:leader="dot" w:pos="8306"/>
        </w:tabs>
      </w:pPr>
      <w:hyperlink w:anchor="_Toc21517" w:history="1">
        <w:r>
          <w:rPr>
            <w:rFonts w:ascii="仿宋" w:eastAsia="仿宋" w:hAnsi="仿宋" w:cs="仿宋" w:hint="eastAsia"/>
            <w:lang w:eastAsia="zh-CN"/>
          </w:rPr>
          <w:t>(二)、加强资金流动监控</w:t>
        </w:r>
        <w:r>
          <w:tab/>
        </w:r>
        <w:r>
          <w:fldChar w:fldCharType="begin"/>
        </w:r>
        <w:r>
          <w:instrText xml:space="preserve"> PAGEREF _Toc21517 \h </w:instrText>
        </w:r>
        <w:r>
          <w:fldChar w:fldCharType="separate"/>
        </w:r>
        <w:r>
          <w:t>47</w:t>
        </w:r>
        <w:r>
          <w:fldChar w:fldCharType="end"/>
        </w:r>
      </w:hyperlink>
    </w:p>
    <w:p>
      <w:pPr>
        <w:pStyle w:val="TOC2"/>
        <w:tabs>
          <w:tab w:val="right" w:leader="dot" w:pos="8306"/>
        </w:tabs>
      </w:pPr>
      <w:hyperlink w:anchor="_Toc1680" w:history="1">
        <w:r>
          <w:rPr>
            <w:rFonts w:ascii="仿宋" w:eastAsia="仿宋" w:hAnsi="仿宋" w:cs="仿宋" w:hint="eastAsia"/>
            <w:lang w:eastAsia="zh-CN"/>
          </w:rPr>
          <w:t>(三)、制定完善的风险控制机制</w:t>
        </w:r>
        <w:r>
          <w:tab/>
        </w:r>
        <w:r>
          <w:fldChar w:fldCharType="begin"/>
        </w:r>
        <w:r>
          <w:instrText xml:space="preserve"> PAGEREF _Toc1680 \h </w:instrText>
        </w:r>
        <w:r>
          <w:fldChar w:fldCharType="separate"/>
        </w:r>
        <w:r>
          <w:t>48</w:t>
        </w:r>
        <w:r>
          <w:fldChar w:fldCharType="end"/>
        </w:r>
      </w:hyperlink>
    </w:p>
    <w:p>
      <w:pPr>
        <w:pStyle w:val="TOC2"/>
        <w:tabs>
          <w:tab w:val="right" w:leader="dot" w:pos="8306"/>
        </w:tabs>
      </w:pPr>
      <w:hyperlink w:anchor="_Toc25967" w:history="1">
        <w:r>
          <w:rPr>
            <w:rFonts w:ascii="仿宋" w:eastAsia="仿宋" w:hAnsi="仿宋" w:cs="仿宋" w:hint="eastAsia"/>
            <w:lang w:eastAsia="zh-CN"/>
          </w:rPr>
          <w:t>(四)、优化成本管理</w:t>
        </w:r>
        <w:r>
          <w:tab/>
        </w:r>
        <w:r>
          <w:fldChar w:fldCharType="begin"/>
        </w:r>
        <w:r>
          <w:instrText xml:space="preserve"> PAGEREF _Toc25967 \h </w:instrText>
        </w:r>
        <w:r>
          <w:fldChar w:fldCharType="separate"/>
        </w:r>
        <w:r>
          <w:t>50</w:t>
        </w:r>
        <w:r>
          <w:fldChar w:fldCharType="end"/>
        </w:r>
      </w:hyperlink>
    </w:p>
    <w:p>
      <w:pPr>
        <w:pStyle w:val="TOC1"/>
        <w:tabs>
          <w:tab w:val="right" w:leader="dot" w:pos="8306"/>
        </w:tabs>
      </w:pPr>
      <w:hyperlink w:anchor="_Toc18126" w:history="1">
        <w:r>
          <w:rPr>
            <w:rFonts w:ascii="仿宋" w:eastAsia="仿宋" w:hAnsi="仿宋" w:cs="仿宋" w:hint="eastAsia"/>
            <w:lang w:eastAsia="zh-CN"/>
          </w:rPr>
          <w:t>十三、供应链管理</w:t>
        </w:r>
        <w:r>
          <w:tab/>
        </w:r>
        <w:r>
          <w:fldChar w:fldCharType="begin"/>
        </w:r>
        <w:r>
          <w:instrText xml:space="preserve"> PAGEREF _Toc18126 \h </w:instrText>
        </w:r>
        <w:r>
          <w:fldChar w:fldCharType="separate"/>
        </w:r>
        <w:r>
          <w:t>51</w:t>
        </w:r>
        <w:r>
          <w:fldChar w:fldCharType="end"/>
        </w:r>
      </w:hyperlink>
    </w:p>
    <w:p>
      <w:pPr>
        <w:pStyle w:val="TOC2"/>
        <w:tabs>
          <w:tab w:val="right" w:leader="dot" w:pos="8306"/>
        </w:tabs>
      </w:pPr>
      <w:hyperlink w:anchor="_Toc17709" w:history="1">
        <w:r>
          <w:rPr>
            <w:rFonts w:ascii="仿宋" w:eastAsia="仿宋" w:hAnsi="仿宋" w:cs="仿宋" w:hint="eastAsia"/>
            <w:lang w:eastAsia="zh-CN"/>
          </w:rPr>
          <w:t>(一)、供应链战略规划</w:t>
        </w:r>
        <w:r>
          <w:tab/>
        </w:r>
        <w:r>
          <w:fldChar w:fldCharType="begin"/>
        </w:r>
        <w:r>
          <w:instrText xml:space="preserve"> PAGEREF _Toc17709 \h </w:instrText>
        </w:r>
        <w:r>
          <w:fldChar w:fldCharType="separate"/>
        </w:r>
        <w:r>
          <w:t>51</w:t>
        </w:r>
        <w:r>
          <w:fldChar w:fldCharType="end"/>
        </w:r>
      </w:hyperlink>
    </w:p>
    <w:p>
      <w:pPr>
        <w:pStyle w:val="TOC2"/>
        <w:tabs>
          <w:tab w:val="right" w:leader="dot" w:pos="8306"/>
        </w:tabs>
      </w:pPr>
      <w:hyperlink w:anchor="_Toc19791" w:history="1">
        <w:r>
          <w:rPr>
            <w:rFonts w:ascii="仿宋" w:eastAsia="仿宋" w:hAnsi="仿宋" w:cs="仿宋" w:hint="eastAsia"/>
            <w:lang w:eastAsia="zh-CN"/>
          </w:rPr>
          <w:t>(二)、供应商选择与合作</w:t>
        </w:r>
        <w:r>
          <w:tab/>
        </w:r>
        <w:r>
          <w:fldChar w:fldCharType="begin"/>
        </w:r>
        <w:r>
          <w:instrText xml:space="preserve"> PAGEREF _Toc19791 \h </w:instrText>
        </w:r>
        <w:r>
          <w:fldChar w:fldCharType="separate"/>
        </w:r>
        <w:r>
          <w:t>53</w:t>
        </w:r>
        <w:r>
          <w:fldChar w:fldCharType="end"/>
        </w:r>
      </w:hyperlink>
    </w:p>
    <w:p>
      <w:pPr>
        <w:pStyle w:val="TOC2"/>
        <w:tabs>
          <w:tab w:val="right" w:leader="dot" w:pos="8306"/>
        </w:tabs>
      </w:pPr>
      <w:hyperlink w:anchor="_Toc11034" w:history="1">
        <w:r>
          <w:rPr>
            <w:rFonts w:ascii="仿宋" w:eastAsia="仿宋" w:hAnsi="仿宋" w:cs="仿宋" w:hint="eastAsia"/>
            <w:lang w:eastAsia="zh-CN"/>
          </w:rPr>
          <w:t>(三)、物流与库存管理</w:t>
        </w:r>
        <w:r>
          <w:tab/>
        </w:r>
        <w:r>
          <w:fldChar w:fldCharType="begin"/>
        </w:r>
        <w:r>
          <w:instrText xml:space="preserve"> PAGEREF _Toc11034 \h </w:instrText>
        </w:r>
        <w:r>
          <w:fldChar w:fldCharType="separate"/>
        </w:r>
        <w:r>
          <w:t>54</w:t>
        </w:r>
        <w:r>
          <w:fldChar w:fldCharType="end"/>
        </w:r>
      </w:hyperlink>
    </w:p>
    <w:p>
      <w:pPr>
        <w:pStyle w:val="TOC1"/>
        <w:tabs>
          <w:tab w:val="right" w:leader="dot" w:pos="8306"/>
        </w:tabs>
      </w:pPr>
      <w:hyperlink w:anchor="_Toc28498" w:history="1">
        <w:r>
          <w:rPr>
            <w:rFonts w:ascii="仿宋" w:eastAsia="仿宋" w:hAnsi="仿宋" w:cs="仿宋" w:hint="eastAsia"/>
            <w:lang w:eastAsia="zh-CN"/>
          </w:rPr>
          <w:t>十四、质量管理体系</w:t>
        </w:r>
        <w:r>
          <w:tab/>
        </w:r>
        <w:r>
          <w:fldChar w:fldCharType="begin"/>
        </w:r>
        <w:r>
          <w:instrText xml:space="preserve"> PAGEREF _Toc28498 \h </w:instrText>
        </w:r>
        <w:r>
          <w:fldChar w:fldCharType="separate"/>
        </w:r>
        <w:r>
          <w:t>56</w:t>
        </w:r>
        <w:r>
          <w:fldChar w:fldCharType="end"/>
        </w:r>
      </w:hyperlink>
    </w:p>
    <w:p>
      <w:pPr>
        <w:pStyle w:val="TOC2"/>
        <w:tabs>
          <w:tab w:val="right" w:leader="dot" w:pos="8306"/>
        </w:tabs>
      </w:pPr>
      <w:hyperlink w:anchor="_Toc2382" w:history="1">
        <w:r>
          <w:rPr>
            <w:rFonts w:ascii="仿宋" w:eastAsia="仿宋" w:hAnsi="仿宋" w:cs="仿宋" w:hint="eastAsia"/>
            <w:lang w:eastAsia="zh-CN"/>
          </w:rPr>
          <w:t>(一)、质量目标与方针</w:t>
        </w:r>
        <w:r>
          <w:tab/>
        </w:r>
        <w:r>
          <w:fldChar w:fldCharType="begin"/>
        </w:r>
        <w:r>
          <w:instrText xml:space="preserve"> PAGEREF _Toc2382 \h </w:instrText>
        </w:r>
        <w:r>
          <w:fldChar w:fldCharType="separate"/>
        </w:r>
        <w:r>
          <w:t>56</w:t>
        </w:r>
        <w:r>
          <w:fldChar w:fldCharType="end"/>
        </w:r>
      </w:hyperlink>
    </w:p>
    <w:p>
      <w:pPr>
        <w:pStyle w:val="TOC2"/>
        <w:tabs>
          <w:tab w:val="right" w:leader="dot" w:pos="8306"/>
        </w:tabs>
      </w:pPr>
      <w:hyperlink w:anchor="_Toc18716" w:history="1">
        <w:r>
          <w:rPr>
            <w:rFonts w:ascii="仿宋" w:eastAsia="仿宋" w:hAnsi="仿宋" w:cs="仿宋" w:hint="eastAsia"/>
            <w:lang w:eastAsia="zh-CN"/>
          </w:rPr>
          <w:t>(二)、质量管理责任</w:t>
        </w:r>
        <w:r>
          <w:tab/>
        </w:r>
        <w:r>
          <w:fldChar w:fldCharType="begin"/>
        </w:r>
        <w:r>
          <w:instrText xml:space="preserve"> PAGEREF _Toc18716 \h </w:instrText>
        </w:r>
        <w:r>
          <w:fldChar w:fldCharType="separate"/>
        </w:r>
        <w:r>
          <w:t>57</w:t>
        </w:r>
        <w:r>
          <w:fldChar w:fldCharType="end"/>
        </w:r>
      </w:hyperlink>
    </w:p>
    <w:p>
      <w:pPr>
        <w:pStyle w:val="TOC2"/>
        <w:tabs>
          <w:tab w:val="right" w:leader="dot" w:pos="8306"/>
        </w:tabs>
      </w:pPr>
      <w:hyperlink w:anchor="_Toc23390" w:history="1">
        <w:r>
          <w:rPr>
            <w:rFonts w:ascii="仿宋" w:eastAsia="仿宋" w:hAnsi="仿宋" w:cs="仿宋" w:hint="eastAsia"/>
            <w:lang w:eastAsia="zh-CN"/>
          </w:rPr>
          <w:t>(三)、质量管理体系文件</w:t>
        </w:r>
        <w:r>
          <w:tab/>
        </w:r>
        <w:r>
          <w:fldChar w:fldCharType="begin"/>
        </w:r>
        <w:r>
          <w:instrText xml:space="preserve"> PAGEREF _Toc23390 \h </w:instrText>
        </w:r>
        <w:r>
          <w:fldChar w:fldCharType="separate"/>
        </w:r>
        <w:r>
          <w:t>58</w:t>
        </w:r>
        <w:r>
          <w:fldChar w:fldCharType="end"/>
        </w:r>
      </w:hyperlink>
    </w:p>
    <w:p>
      <w:pPr>
        <w:pStyle w:val="TOC2"/>
        <w:tabs>
          <w:tab w:val="right" w:leader="dot" w:pos="8306"/>
        </w:tabs>
      </w:pPr>
      <w:hyperlink w:anchor="_Toc32458" w:history="1">
        <w:r>
          <w:rPr>
            <w:rFonts w:ascii="仿宋" w:eastAsia="仿宋" w:hAnsi="仿宋" w:cs="仿宋" w:hint="eastAsia"/>
            <w:lang w:eastAsia="zh-CN"/>
          </w:rPr>
          <w:t>(四)、质量培训与教育</w:t>
        </w:r>
        <w:r>
          <w:tab/>
        </w:r>
        <w:r>
          <w:fldChar w:fldCharType="begin"/>
        </w:r>
        <w:r>
          <w:instrText xml:space="preserve"> PAGEREF _Toc32458 \h </w:instrText>
        </w:r>
        <w:r>
          <w:fldChar w:fldCharType="separate"/>
        </w:r>
        <w:r>
          <w:t>61</w:t>
        </w:r>
        <w:r>
          <w:fldChar w:fldCharType="end"/>
        </w:r>
      </w:hyperlink>
    </w:p>
    <w:p>
      <w:pPr>
        <w:pStyle w:val="TOC2"/>
        <w:tabs>
          <w:tab w:val="right" w:leader="dot" w:pos="8306"/>
        </w:tabs>
      </w:pPr>
      <w:hyperlink w:anchor="_Toc22623" w:history="1">
        <w:r>
          <w:rPr>
            <w:rFonts w:ascii="仿宋" w:eastAsia="仿宋" w:hAnsi="仿宋" w:cs="仿宋" w:hint="eastAsia"/>
            <w:lang w:eastAsia="zh-CN"/>
          </w:rPr>
          <w:t>(五)、质量审核与评价</w:t>
        </w:r>
        <w:r>
          <w:tab/>
        </w:r>
        <w:r>
          <w:fldChar w:fldCharType="begin"/>
        </w:r>
        <w:r>
          <w:instrText xml:space="preserve"> PAGEREF _Toc22623 \h </w:instrText>
        </w:r>
        <w:r>
          <w:fldChar w:fldCharType="separate"/>
        </w:r>
        <w:r>
          <w:t>62</w:t>
        </w:r>
        <w:r>
          <w:fldChar w:fldCharType="end"/>
        </w:r>
      </w:hyperlink>
    </w:p>
    <w:p>
      <w:pPr>
        <w:pStyle w:val="TOC2"/>
        <w:tabs>
          <w:tab w:val="right" w:leader="dot" w:pos="8306"/>
        </w:tabs>
      </w:pPr>
      <w:hyperlink w:anchor="_Toc18625" w:history="1">
        <w:r>
          <w:rPr>
            <w:rFonts w:ascii="仿宋" w:eastAsia="仿宋" w:hAnsi="仿宋" w:cs="仿宋" w:hint="eastAsia"/>
            <w:lang w:eastAsia="zh-CN"/>
          </w:rPr>
          <w:t>(六)、不符合与纠正措施</w:t>
        </w:r>
        <w:r>
          <w:tab/>
        </w:r>
        <w:r>
          <w:fldChar w:fldCharType="begin"/>
        </w:r>
        <w:r>
          <w:instrText xml:space="preserve"> PAGEREF _Toc18625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72"/>
      <w:r>
        <w:rPr>
          <w:rFonts w:ascii="仿宋" w:eastAsia="仿宋" w:hAnsi="仿宋" w:cs="仿宋" w:hint="eastAsia"/>
          <w:sz w:val="28"/>
          <w:lang w:eastAsia="zh-CN"/>
        </w:rPr>
        <w:t>一、放射性固体废物处置系列设备项目概论</w:t>
      </w:r>
      <w:bookmarkEnd w:id="2"/>
    </w:p>
    <w:p>
      <w:pPr>
        <w:pStyle w:val="Heading2"/>
        <w:rPr>
          <w:rFonts w:ascii="仿宋" w:eastAsia="仿宋" w:hAnsi="仿宋" w:cs="仿宋" w:hint="eastAsia"/>
          <w:lang w:eastAsia="zh-CN"/>
        </w:rPr>
      </w:pPr>
      <w:bookmarkStart w:id="3" w:name="_Toc4905"/>
      <w:r>
        <w:rPr>
          <w:rFonts w:ascii="仿宋" w:eastAsia="仿宋" w:hAnsi="仿宋" w:cs="仿宋" w:hint="eastAsia"/>
          <w:lang w:eastAsia="zh-CN"/>
        </w:rPr>
        <w:t>(一)、放射性固体废物处置系列设备项目概况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起源追溯至对市场的深入洞察。市场的不断演变与变革为放射性固体废物处置系列设备项目提供了难得的机遇。当前市场存在的需求缺口和变革的大环境共同构成了放射性固体废物处置系列设备项目的背景。这个放射性固体废物处置系列设备项目旨在充分利用市场机遇，填补行业中尚未满足的需求，为客户提供全新的解决方案。市场的变革和需求的增长使得这个放射性固体废物处置系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放射性固体废物处置系列设备项目名称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正式命名为放射性固体废物处置系列设备。这个名称不仅仅是一个标识，更代表了放射性固体废物处置系列设备项目的核心理念和愿景。它蕴含着放射性固体废物处置系列设备项目所要解决问题的关键字，具有强烈的表达和辨识度，为放射性固体废物处置系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放射性固体废物处置系列设备项目目标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核心目标是提供一种全新、高效的解决方案，满足客户日益增长的需求。放射性固体废物处置系列设备项目追求的不仅仅是满足市场需求，更是在市场中获得卓越的竞争优势。通过不断提升产品或服务的质量和创新水平，放射性固体废物处置系列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放射性固体废物处置系列设备项目范围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全面涵盖了产品研发、制造、市场推广和售后服务，确保从产品设计到最终用户体验的全方位关注。这一全面的放射性固体废物处置系列设备项目范围是为了确保放射性固体废物处置系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放射性固体废物处置系列设备项目时间表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计划在未来18个月内完成，包括研发、测试、市场试点和正式推出等不同阶段。这个时间表的合理设计是为了确保放射性固体废物处置系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放射性固体废物处置系列设备项目预算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总预算估算为XX百万美元，主要分配在研发、市场推广、人员培训和运营等方面。这一充足的预算为放射性固体废物处置系列设备项目提供了充足的资源，确保放射性固体废物处置系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放射性固体废物处置系列设备项目风险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可能面临的风险包括市场接受度低、技术难题、竞争激烈等。放射性固体废物处置系列设备项目团队已经制定了相应的风险应对计划，通过前瞻性的风险管理，确保放射性固体废物处置系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放射性固体废物处置系列设备项目团队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汇聚了一支经验丰富、多领域专业素养的核心团队，确保放射性固体废物处置系列设备项目在各个方面都能拥有高水平的执行力。团队的协同作战是放射性固体废物处置系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放射性固体废物处置系列设备项目背景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放射性固体废物处置系列设备项目的背景根植于市场对更高效、创新产品的渴望，同时也受到科技发展对行业格局的深刻改变的影响。这为放射性固体废物处置系列设备项目提供了广阔的发展空间和市场需求。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放射性固体废物处置系列设备项目现状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截至目前，放射性固体废物处置系列设备项目已完成市场调研和技术验证，取得了初步的成功。这为放射性固体废物处置系列设备项目在未来的发展奠定了坚实的基础，为更远大的目标打下了坚实的基石。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636"/>
      <w:r>
        <w:rPr>
          <w:rFonts w:ascii="仿宋" w:eastAsia="仿宋" w:hAnsi="仿宋" w:cs="仿宋" w:hint="eastAsia"/>
          <w:sz w:val="28"/>
          <w:lang w:eastAsia="zh-CN"/>
        </w:rPr>
        <w:t>(二)、放射性固体废物处置系列设备项目目标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射性固体废物处置系列设备项目首要业务目标是在市场中占据有利地位，实现产品/服务的成功推广和销售。通过不断提升产品质量、创新性，放射性固体废物处置系列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射性固体废物处置系列设备项目着眼于技术创新。通过持续的研发和技术升级，放射性固体废物处置系列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放射性固体废物处置系列设备项目设定了客户满意度目标。通过提供卓越的产品质量和优质的客户服务，放射性固体废物处置系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注重社会责任和可持续发展。通过实施环保、社会责任放射性固体废物处置系列设备项目，放射性固体废物处置系列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团队是实现目标的核心驱动力。因此，放射性固体废物处置系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797"/>
      <w:r>
        <w:rPr>
          <w:rFonts w:ascii="仿宋" w:eastAsia="仿宋" w:hAnsi="仿宋" w:cs="仿宋" w:hint="eastAsia"/>
          <w:sz w:val="28"/>
          <w:lang w:eastAsia="zh-CN"/>
        </w:rPr>
        <w:t>(三)、放射性固体废物处置系列设备项目提出的理由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放射性固体废物处置系列设备项目提出的理由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提出源于对市场机遇的深刻洞察。当前市场中存在的需求缺口和行业发展趋势表明，有巨大的商业机会等待被开发。通过准确捕捉市场机遇，放射性固体废物处置系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理念基于对技术创新的信仰。通过持续的研发和技术投入，放射性固体废物处置系列设备项目有望推出更具创新性的产品或服务。在科技飞速发展的当下，放射性固体废物处置系列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提出是为了增强企业的行业竞争力。通过提升产品或服务的质量和独特性，放射性固体废物处置系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响应了消费者需求的变化。随着社会和科技的不断发展，消费者对产品和服务的需求也在发生变化。通过深入了解并及时回应消费者的新需求，放射性固体废物处置系列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提出是企业战略发展规划的一部分。在面对日益激烈的市场竞争和不断变化的商业环境中，放射性固体废物处置系列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提出不仅仅是基于商业考量，还注重社会责任。通过推出环保、社会责任等方面的放射性固体废物处置系列设备项目，放射性固体废物处置系列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提出反映了对利益相关者期望的关注。包括客户、员工、投资者等利益相关者在企业发展中都有着各自的期望，放射性固体废物处置系列设备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240"/>
      <w:r>
        <w:rPr>
          <w:rFonts w:ascii="仿宋" w:eastAsia="仿宋" w:hAnsi="仿宋" w:cs="仿宋" w:hint="eastAsia"/>
          <w:sz w:val="28"/>
          <w:lang w:eastAsia="zh-CN"/>
        </w:rPr>
        <w:t>(四)、放射性固体废物处置系列设备项目意义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在实施放射性固体废物处置系列设备项目的过程中，我们不仅仅是在追逐商业成功，更是为企业和社会的多个层面创造了深远的意义。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的首要意义在于提升企业的市场竞争力。通过持续的创新和对产品质量的高标准要求，放射性固体废物处置系列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放射性固体废物处置系列设备项目的推进将促使行业技术水平的提升。通过引入先进技术和创新性解决方案，放射性固体废物处置系列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放射性固体废物处置系列设备项目不仅创造了大量就业机会，提高了就业水平，还注重社会责任和环保。通过参与社会公益事业和推动环保放射性固体废物处置系列设备项目，放射性固体废物处置系列设备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综合而言，放射性固体废物处置系列设备项目意义重大，不仅推动了企业的发展，也为行业和社会的进步贡献了积极力量。这是一个全面而深刻的影响，将在未来产生可持续的正面效应。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935"/>
      <w:r>
        <w:rPr>
          <w:rFonts w:ascii="仿宋" w:eastAsia="仿宋" w:hAnsi="仿宋" w:cs="仿宋" w:hint="eastAsia"/>
          <w:sz w:val="28"/>
          <w:lang w:eastAsia="zh-CN"/>
        </w:rPr>
        <w:t>(五)、放射性固体废物处置系列设备项目背景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在当今迅猛发展的商业环境中，放射性固体废物处置系列设备项目的动因根植于对多方面因素的审慎考量。这个放射性固体废物处置系列设备项目的提出并非孤立的决策，而是对企业所处背景深入思考的产物。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放射性固体废物处置系列设备项目背后的首要原因。科技的迅速发展和全球市场的快速变化使得企业必须灵活应对。放射性固体废物处置系列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放射性固体废物处置系列设备项目背景中不可忽视的一环。企业需要在激烈竞争中脱颖而出，为此，放射性固体废物处置系列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技术的迅速发展为企业带来了机遇与挑战。作为放射性固体废物处置系列设备项目启动的背景之一，对新兴技术的应用将有助于提升企业的技术水平，使其在不断演进的商业环境中保持竞争优势。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放射性固体废物处置系列设备项目充分融入了社会责任的理念，通过可持续经营和社会公益放射性固体废物处置系列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4977"/>
      <w:r>
        <w:rPr>
          <w:rFonts w:ascii="仿宋" w:eastAsia="仿宋" w:hAnsi="仿宋" w:cs="仿宋" w:hint="eastAsia"/>
          <w:lang w:eastAsia="zh-CN"/>
        </w:rPr>
        <w:t>(一)、放射性固体废物处置系列设备行业分析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行业一直以来都是市场的关注焦点。行业内的发展趋势、竞争态势以及潜在机会都对放射性固体废物处置系列设备项目的推进产生深远的影响。通过深入研究行业的整体概貌，我们将更好地理解行业的核心特征，为放射性固体废物处置系列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固体废物处置系列设备行业，技术一直是推动创新和发展的关键因素。我们将对当前技术趋势进行详尽分析，包括但不限于人工智能、大数据应用、先进制造技术等。这有助于放射性固体废物处置系列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放射性固体废物处置系列设备项目成功的基础。我们将对主要竞争对手进行深入研究，包括其市场份额、产品特点、市场定位等。通过全面了解竞争对手的优势和劣势，放射性固体废物处置系列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065"/>
      <w:r>
        <w:rPr>
          <w:rFonts w:ascii="仿宋" w:eastAsia="仿宋" w:hAnsi="仿宋" w:cs="仿宋" w:hint="eastAsia"/>
          <w:sz w:val="28"/>
          <w:lang w:eastAsia="zh-CN"/>
        </w:rPr>
        <w:t>(二)、放射性固体废物处置系列设备市场分析预测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放射性固体废物处置系列设备市场未来的增长趋势。这包括市场的整体规模、各细分领域的发展趋势等。放射性固体废物处置系列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放射性固体废物处置系列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放射性固体废物处置系列设备项目实施过程中需要充分考虑的因素。我们将对市场风险进行全面评估，包括但不限于政策法规风险、市场竞争风险、技术变革风险等。通过对潜在风险的深入分析，放射性固体废物处置系列设备项目可以制定相应的风险缓解策略，降低不确定性对放射性固体废物处置系列设备项目的影响。</w:t>
      </w:r>
    </w:p>
    <w:p>
      <w:pPr>
        <w:pStyle w:val="Heading1"/>
        <w:ind w:firstLine="560" w:firstLineChars="200"/>
        <w:rPr>
          <w:rFonts w:ascii="仿宋" w:eastAsia="仿宋" w:hAnsi="仿宋" w:cs="仿宋" w:hint="eastAsia"/>
          <w:sz w:val="28"/>
          <w:lang w:eastAsia="zh-CN"/>
        </w:rPr>
      </w:pPr>
      <w:bookmarkStart w:id="11" w:name="_Toc18696"/>
      <w:r>
        <w:rPr>
          <w:rFonts w:ascii="仿宋" w:eastAsia="仿宋" w:hAnsi="仿宋" w:cs="仿宋" w:hint="eastAsia"/>
          <w:sz w:val="28"/>
          <w:lang w:eastAsia="zh-CN"/>
        </w:rPr>
        <w:t>三、放射性固体废物处置系列设备项目可持续发展</w:t>
      </w:r>
      <w:bookmarkEnd w:id="11"/>
    </w:p>
    <w:p>
      <w:pPr>
        <w:pStyle w:val="Heading2"/>
        <w:rPr>
          <w:rFonts w:ascii="仿宋" w:eastAsia="仿宋" w:hAnsi="仿宋" w:cs="仿宋" w:hint="eastAsia"/>
          <w:lang w:eastAsia="zh-CN"/>
        </w:rPr>
      </w:pPr>
      <w:bookmarkStart w:id="12" w:name="_Toc2129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固体废物处置系列设备项目中，放射性固体废物处置系列设备项目团队着眼于未来，明确了可持续发展的战略方向。制定的具体可持续发展目标包括降低资源使用、采用环保技术、最大化社会效益等。这一步骤不仅有助于放射性固体废物处置系列设备项目在环保和社会责任方面达到最高标准，也为未来提供了明确的指引，确保放射性固体废物处置系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可持续实践的融入放射性固体废物处置系列设备项目管理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放射性固体废物处置系列设备项目管理周期。从放射性固体废物处置系列设备项目规划开始，放射性固体废物处置系列设备项目团队就考虑了环境和社会的因素。在执行阶段，放射性固体废物处置系列设备项目团队积极推动绿色技术的应用，优化资源利用。此外，关注员工的社会责任，通过培训和沟通活动提高员工对可持续发展的认知，使他们能够在日常工作中践行可持续实践。这些举措不仅为放射性固体废物处置系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28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放射性固体废物处置系列设备项目的可持续发展理念，我们深信环保与社会责任是放射性固体废物处置系列设备项目成功的关键支柱。在放射性固体废物处置系列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团队通过引入先进的环保技术、建立高效的废物处理系统以及推动能源节约措施，积极履行环保责任。定期的环保监测和评估确保放射性固体废物处置系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固体废物处置系列设备项目不仅致力于自身可持续发展，还注重对社会的回馈。通过支持社区放射性固体废物处置系列设备项目、参与慈善事业、提供培训机会等方式，放射性固体废物处置系列设备项目积极履行社会责任。与当地社区建立积极互动，关注员工的工作与生活平衡，以及员工的身心健康，是放射性固体废物处置系列设备项目在社会责任层面的关键举措。这样的实践不仅增强了放射性固体废物处置系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511"/>
      <w:r>
        <w:rPr>
          <w:rFonts w:ascii="仿宋" w:eastAsia="仿宋" w:hAnsi="仿宋" w:cs="仿宋" w:hint="eastAsia"/>
          <w:sz w:val="28"/>
          <w:lang w:eastAsia="zh-CN"/>
        </w:rPr>
        <w:t>四、放射性固体废物处置系列设备项目选址可行性分析</w:t>
      </w:r>
      <w:bookmarkEnd w:id="14"/>
    </w:p>
    <w:p>
      <w:pPr>
        <w:pStyle w:val="Heading2"/>
        <w:rPr>
          <w:rFonts w:ascii="仿宋" w:eastAsia="仿宋" w:hAnsi="仿宋" w:cs="仿宋" w:hint="eastAsia"/>
          <w:lang w:eastAsia="zh-CN"/>
        </w:rPr>
      </w:pPr>
      <w:bookmarkStart w:id="15" w:name="_Toc6830"/>
      <w:r>
        <w:rPr>
          <w:rFonts w:ascii="仿宋" w:eastAsia="仿宋" w:hAnsi="仿宋" w:cs="仿宋" w:hint="eastAsia"/>
          <w:lang w:eastAsia="zh-CN"/>
        </w:rPr>
        <w:t>(一)、放射性固体废物处置系列设备项目选址</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该放射性固体废物处置系列设备项目选址位于XX省XX市XX区XXX街道</w:t>
      </w:r>
    </w:p>
    <w:p>
      <w:pPr>
        <w:pStyle w:val="Heading2"/>
        <w:ind w:firstLine="560" w:firstLineChars="200"/>
        <w:rPr>
          <w:rFonts w:ascii="仿宋" w:eastAsia="仿宋" w:hAnsi="仿宋" w:cs="仿宋" w:hint="eastAsia"/>
          <w:sz w:val="28"/>
          <w:lang w:eastAsia="zh-CN"/>
        </w:rPr>
      </w:pPr>
      <w:bookmarkStart w:id="16" w:name="_Toc1163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放射性固体废物处置系列设备项目的征地面积将根据放射性固体废物处置系列设备项目的实际规模和需求进行精确规划。具体面积XXX平方米，旨在确保放射性固体废物处置系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净用地面积是在征地面积基础上去除不可利用面积后的实际可开发用地。具体面积XXX平方米，考虑到环保、交通、安全等多方面因素，以确保放射性固体废物处置系列设备项目在整体利用效率上达到最优。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放射性固体废物处置系列设备项目计划建设的建筑总规模具体面积XXX平方米。这一规模的确定综合考虑了放射性固体废物处置系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放射性固体废物处置系列设备项目用地中被规划为绿地的比例。具体面积XXX平方米，旨在通过合理规划绿地，改善放射性固体废物处置系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容积率是用地上可以建设的建筑总体积与用地面积之比。具体面积XXX，通过合理的容积率规划，确保放射性固体废物处置系列设备项目建筑规模与周边环境和谐共生。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放射性固体废物处置系列设备项目选址与当地城市规划相一致，具体面积XXX平方米。通过与城市规划部门深入沟通，确保放射性固体废物处置系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放射性固体废物处置系列设备项目选址符合当地产业政策，具体面积XXX平方米。这包括放射性固体废物处置系列设备项目对当地经济的促进作用，以及对相关产业的带动效应，确保放射性固体废物处置系列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放射性固体废物处置系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放射性固体废物处置系列设备项目选址具备必要的公共设施配套，具体面积XXX平方米。这包括交通便利性、教育、医疗等基础设施，以提高居民生活品质，使得放射性固体废物处置系列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考虑用地总体要求对当地社会稳定性的影响，具体面积XXX平方米。通过深入了解当地社区反馈，确保放射性固体废物处置系列设备项目的选址和建设过程对当地社会和谐稳定产生积极作用。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https://d.book118.com/378063134110006032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放射性固体废物处置系列设备项目规划设计蓝图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C6258"/>
    <w:rsid w:val="1C6C6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3134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2024-01-30T03:03:00Z</dcterms:created>
  <dcterms:modified xsi:type="dcterms:W3CDTF">2024-01-30T03:03:56Z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65C46FD799734E55BDC13D503FE22926_11</vt:lpwstr>
  </property>
  <property fmtid="{D5CDD505-2E9C-101B-9397-08002B2CF9AE}" pid="3" name="KSOProductBuildVer">
    <vt:lpwstr>2052-12.1.0.16250</vt:lpwstr>
  </property>
</Properties>
</file>