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after="312" w:afterLines="100" w:line="360" w:lineRule="auto"/>
        <w:ind w:right="25" w:firstLine="629" w:rightChars="12"/>
        <w:jc w:val="center"/>
        <w:rPr>
          <w:rFonts w:ascii="黑体" w:eastAsia="黑体" w:hint="default"/>
          <w:b/>
          <w:bCs/>
          <w:sz w:val="36"/>
          <w:szCs w:val="32"/>
        </w:rPr>
      </w:pPr>
      <w:bookmarkStart w:id="0" w:name="_GoBack"/>
      <w:r>
        <w:rPr>
          <w:rFonts w:ascii="黑体" w:eastAsia="黑体" w:hint="eastAsia"/>
          <w:b/>
          <w:bCs/>
          <w:sz w:val="36"/>
          <w:szCs w:val="32"/>
          <w:lang w:val="en-US" w:eastAsia="zh-CN"/>
        </w:rPr>
        <w:t>分拆上市对于母公司和子公司的财务影响案例分析</w:t>
      </w:r>
    </w:p>
    <w:bookmarkEnd w:id="0"/>
    <w:p>
      <w:pPr>
        <w:pStyle w:val="TOC1"/>
        <w:tabs>
          <w:tab w:val="right" w:leader="dot" w:pos="9060"/>
        </w:tabs>
        <w:rPr>
          <w:rFonts w:asciiTheme="minorHAnsi" w:eastAsiaTheme="minorEastAsia" w:hAnsiTheme="minorHAnsi" w:cstheme="minorBidi"/>
          <w:b w:val="0"/>
          <w:caps w:val="0"/>
          <w:sz w:val="21"/>
          <w:szCs w:val="22"/>
        </w:rPr>
      </w:pPr>
      <w:r>
        <w:rPr>
          <w:b w:val="0"/>
          <w:bCs/>
          <w:caps w:val="0"/>
          <w:sz w:val="21"/>
          <w:szCs w:val="21"/>
        </w:rPr>
        <w:fldChar w:fldCharType="begin"/>
      </w:r>
      <w:r>
        <w:rPr>
          <w:b w:val="0"/>
          <w:bCs/>
          <w:caps w:val="0"/>
          <w:sz w:val="21"/>
          <w:szCs w:val="21"/>
        </w:rPr>
        <w:instrText xml:space="preserve"> TOC \o "1-2" \h \z \u </w:instrText>
      </w:r>
      <w:r>
        <w:rPr>
          <w:b w:val="0"/>
          <w:bCs/>
          <w:caps w:val="0"/>
          <w:sz w:val="21"/>
          <w:szCs w:val="21"/>
        </w:rPr>
        <w:fldChar w:fldCharType="separate"/>
      </w:r>
      <w:r>
        <w:fldChar w:fldCharType="begin"/>
      </w:r>
      <w:r>
        <w:instrText xml:space="preserve"> HYPERLINK \l "_Toc71300635" </w:instrText>
      </w:r>
      <w:r>
        <w:fldChar w:fldCharType="separate"/>
      </w:r>
      <w:r>
        <w:rPr>
          <w:rStyle w:val="Hyperlink"/>
          <w:rFonts w:hAnsi="黑体"/>
        </w:rPr>
        <w:t>1 绪  论</w:t>
      </w:r>
      <w:r>
        <w:tab/>
      </w:r>
      <w:r>
        <w:fldChar w:fldCharType="begin"/>
      </w:r>
      <w:r>
        <w:instrText xml:space="preserve"> PAGEREF _Toc71300635 \h </w:instrText>
      </w:r>
      <w:r>
        <w:fldChar w:fldCharType="separate"/>
      </w:r>
      <w:r>
        <w:t>1</w:t>
      </w:r>
      <w:r>
        <w:fldChar w:fldCharType="end"/>
      </w:r>
      <w:r>
        <w:fldChar w:fldCharType="end"/>
      </w:r>
    </w:p>
    <w:p>
      <w:pPr>
        <w:pStyle w:val="TOC2"/>
        <w:tabs>
          <w:tab w:val="right" w:leader="dot" w:pos="9060"/>
        </w:tabs>
        <w:rPr>
          <w:rFonts w:asciiTheme="minorHAnsi" w:eastAsiaTheme="minorEastAsia" w:hAnsiTheme="minorHAnsi" w:cstheme="minorBidi"/>
          <w:smallCaps w:val="0"/>
          <w:sz w:val="21"/>
          <w:szCs w:val="22"/>
        </w:rPr>
      </w:pPr>
      <w:hyperlink w:anchor="_Toc71300636" w:history="1">
        <w:r>
          <w:rPr>
            <w:rStyle w:val="Hyperlink"/>
          </w:rPr>
          <w:t>1.1研究的背景与意义</w:t>
        </w:r>
        <w:r>
          <w:tab/>
        </w:r>
        <w:r>
          <w:fldChar w:fldCharType="begin"/>
        </w:r>
        <w:r>
          <w:instrText xml:space="preserve"> PAGEREF _Toc71300636 \h </w:instrText>
        </w:r>
        <w:r>
          <w:fldChar w:fldCharType="separate"/>
        </w:r>
        <w:r>
          <w:t>1</w:t>
        </w:r>
        <w:r>
          <w:fldChar w:fldCharType="end"/>
        </w:r>
      </w:hyperlink>
    </w:p>
    <w:p>
      <w:pPr>
        <w:pStyle w:val="TOC2"/>
        <w:tabs>
          <w:tab w:val="right" w:leader="dot" w:pos="9060"/>
        </w:tabs>
        <w:rPr>
          <w:rFonts w:asciiTheme="minorHAnsi" w:eastAsiaTheme="minorEastAsia" w:hAnsiTheme="minorHAnsi" w:cstheme="minorBidi"/>
          <w:smallCaps w:val="0"/>
          <w:sz w:val="21"/>
          <w:szCs w:val="22"/>
        </w:rPr>
      </w:pPr>
      <w:hyperlink w:anchor="_Toc71300637" w:history="1">
        <w:r>
          <w:rPr>
            <w:rStyle w:val="Hyperlink"/>
          </w:rPr>
          <w:t>1.2国内外研究综述</w:t>
        </w:r>
        <w:r>
          <w:tab/>
        </w:r>
        <w:r>
          <w:fldChar w:fldCharType="begin"/>
        </w:r>
        <w:r>
          <w:instrText xml:space="preserve"> PAGEREF _Toc71300637 \h </w:instrText>
        </w:r>
        <w:r>
          <w:fldChar w:fldCharType="separate"/>
        </w:r>
        <w:r>
          <w:t>2</w:t>
        </w:r>
        <w:r>
          <w:fldChar w:fldCharType="end"/>
        </w:r>
      </w:hyperlink>
    </w:p>
    <w:p>
      <w:pPr>
        <w:pStyle w:val="TOC1"/>
        <w:tabs>
          <w:tab w:val="right" w:leader="dot" w:pos="9060"/>
        </w:tabs>
        <w:rPr>
          <w:rFonts w:asciiTheme="minorHAnsi" w:eastAsiaTheme="minorEastAsia" w:hAnsiTheme="minorHAnsi" w:cstheme="minorBidi"/>
          <w:b w:val="0"/>
          <w:caps w:val="0"/>
          <w:sz w:val="21"/>
          <w:szCs w:val="22"/>
        </w:rPr>
      </w:pPr>
      <w:hyperlink w:anchor="_Toc71300638" w:history="1">
        <w:r>
          <w:rPr>
            <w:rStyle w:val="Hyperlink"/>
            <w:rFonts w:hAnsi="黑体"/>
          </w:rPr>
          <w:t>2 相关研究的理论概述</w:t>
        </w:r>
        <w:r>
          <w:tab/>
        </w:r>
        <w:r>
          <w:fldChar w:fldCharType="begin"/>
        </w:r>
        <w:r>
          <w:instrText xml:space="preserve"> PAGEREF _Toc71300638 \h </w:instrText>
        </w:r>
        <w:r>
          <w:fldChar w:fldCharType="separate"/>
        </w:r>
        <w:r>
          <w:t>6</w:t>
        </w:r>
        <w:r>
          <w:fldChar w:fldCharType="end"/>
        </w:r>
      </w:hyperlink>
    </w:p>
    <w:p>
      <w:pPr>
        <w:pStyle w:val="TOC2"/>
        <w:tabs>
          <w:tab w:val="right" w:leader="dot" w:pos="9060"/>
        </w:tabs>
        <w:rPr>
          <w:rFonts w:asciiTheme="minorHAnsi" w:eastAsiaTheme="minorEastAsia" w:hAnsiTheme="minorHAnsi" w:cstheme="minorBidi"/>
          <w:smallCaps w:val="0"/>
          <w:sz w:val="21"/>
          <w:szCs w:val="22"/>
        </w:rPr>
      </w:pPr>
      <w:hyperlink w:anchor="_Toc71300639" w:history="1">
        <w:r>
          <w:rPr>
            <w:rStyle w:val="Hyperlink"/>
          </w:rPr>
          <w:t>2.1 分拆上市的概念</w:t>
        </w:r>
        <w:r>
          <w:tab/>
        </w:r>
        <w:r>
          <w:fldChar w:fldCharType="begin"/>
        </w:r>
        <w:r>
          <w:instrText xml:space="preserve"> PAGEREF _Toc71300639 \h </w:instrText>
        </w:r>
        <w:r>
          <w:fldChar w:fldCharType="separate"/>
        </w:r>
        <w:r>
          <w:t>6</w:t>
        </w:r>
        <w:r>
          <w:fldChar w:fldCharType="end"/>
        </w:r>
      </w:hyperlink>
    </w:p>
    <w:p>
      <w:pPr>
        <w:pStyle w:val="TOC2"/>
        <w:tabs>
          <w:tab w:val="right" w:leader="dot" w:pos="9060"/>
        </w:tabs>
        <w:rPr>
          <w:rFonts w:asciiTheme="minorHAnsi" w:eastAsiaTheme="minorEastAsia" w:hAnsiTheme="minorHAnsi" w:cstheme="minorBidi"/>
          <w:smallCaps w:val="0"/>
          <w:sz w:val="21"/>
          <w:szCs w:val="22"/>
        </w:rPr>
      </w:pPr>
      <w:hyperlink w:anchor="_Toc71300640" w:history="1">
        <w:r>
          <w:rPr>
            <w:rStyle w:val="Hyperlink"/>
          </w:rPr>
          <w:t>2.2分拆上市对公司绩效影响理论基础</w:t>
        </w:r>
        <w:r>
          <w:tab/>
        </w:r>
        <w:r>
          <w:fldChar w:fldCharType="begin"/>
        </w:r>
        <w:r>
          <w:instrText xml:space="preserve"> PAGEREF _Toc71300640 \h </w:instrText>
        </w:r>
        <w:r>
          <w:fldChar w:fldCharType="separate"/>
        </w:r>
        <w:r>
          <w:t>6</w:t>
        </w:r>
        <w:r>
          <w:fldChar w:fldCharType="end"/>
        </w:r>
      </w:hyperlink>
    </w:p>
    <w:p>
      <w:pPr>
        <w:pStyle w:val="TOC2"/>
        <w:tabs>
          <w:tab w:val="right" w:leader="dot" w:pos="9060"/>
        </w:tabs>
        <w:rPr>
          <w:rFonts w:asciiTheme="minorHAnsi" w:eastAsiaTheme="minorEastAsia" w:hAnsiTheme="minorHAnsi" w:cstheme="minorBidi"/>
          <w:smallCaps w:val="0"/>
          <w:sz w:val="21"/>
          <w:szCs w:val="22"/>
        </w:rPr>
      </w:pPr>
      <w:hyperlink w:anchor="_Toc71300641" w:history="1">
        <w:r>
          <w:rPr>
            <w:rStyle w:val="Hyperlink"/>
          </w:rPr>
          <w:t>2.3分拆上市的模式</w:t>
        </w:r>
        <w:r>
          <w:tab/>
        </w:r>
        <w:r>
          <w:fldChar w:fldCharType="begin"/>
        </w:r>
        <w:r>
          <w:instrText xml:space="preserve"> PAGEREF _Toc71300641 \h </w:instrText>
        </w:r>
        <w:r>
          <w:fldChar w:fldCharType="separate"/>
        </w:r>
        <w:r>
          <w:t>8</w:t>
        </w:r>
        <w:r>
          <w:fldChar w:fldCharType="end"/>
        </w:r>
      </w:hyperlink>
    </w:p>
    <w:p>
      <w:pPr>
        <w:pStyle w:val="TOC1"/>
        <w:tabs>
          <w:tab w:val="right" w:leader="dot" w:pos="9060"/>
        </w:tabs>
        <w:rPr>
          <w:rFonts w:asciiTheme="minorHAnsi" w:eastAsiaTheme="minorEastAsia" w:hAnsiTheme="minorHAnsi" w:cstheme="minorBidi"/>
          <w:b w:val="0"/>
          <w:caps w:val="0"/>
          <w:sz w:val="21"/>
          <w:szCs w:val="22"/>
        </w:rPr>
      </w:pPr>
      <w:hyperlink w:anchor="_Toc71300642" w:history="1">
        <w:r>
          <w:rPr>
            <w:rStyle w:val="Hyperlink"/>
            <w:rFonts w:hAnsi="黑体"/>
          </w:rPr>
          <w:t>3中集集团分拆中集车辆H股上市现状分析</w:t>
        </w:r>
        <w:r>
          <w:tab/>
        </w:r>
        <w:r>
          <w:fldChar w:fldCharType="begin"/>
        </w:r>
        <w:r>
          <w:instrText xml:space="preserve"> PAGEREF _Toc71300642 \h </w:instrText>
        </w:r>
        <w:r>
          <w:fldChar w:fldCharType="separate"/>
        </w:r>
        <w:r>
          <w:t>10</w:t>
        </w:r>
        <w:r>
          <w:fldChar w:fldCharType="end"/>
        </w:r>
      </w:hyperlink>
    </w:p>
    <w:p>
      <w:pPr>
        <w:pStyle w:val="TOC2"/>
        <w:tabs>
          <w:tab w:val="right" w:leader="dot" w:pos="9060"/>
        </w:tabs>
        <w:rPr>
          <w:rFonts w:asciiTheme="minorHAnsi" w:eastAsiaTheme="minorEastAsia" w:hAnsiTheme="minorHAnsi" w:cstheme="minorBidi"/>
          <w:smallCaps w:val="0"/>
          <w:sz w:val="21"/>
          <w:szCs w:val="22"/>
        </w:rPr>
      </w:pPr>
      <w:hyperlink w:anchor="_Toc71300643" w:history="1">
        <w:r>
          <w:rPr>
            <w:rStyle w:val="Hyperlink"/>
          </w:rPr>
          <w:t>3.1涉及双方简介</w:t>
        </w:r>
        <w:r>
          <w:tab/>
        </w:r>
        <w:r>
          <w:fldChar w:fldCharType="begin"/>
        </w:r>
        <w:r>
          <w:instrText xml:space="preserve"> PAGEREF _Toc71300643 \h </w:instrText>
        </w:r>
        <w:r>
          <w:fldChar w:fldCharType="separate"/>
        </w:r>
        <w:r>
          <w:t>10</w:t>
        </w:r>
        <w:r>
          <w:fldChar w:fldCharType="end"/>
        </w:r>
      </w:hyperlink>
    </w:p>
    <w:p>
      <w:pPr>
        <w:pStyle w:val="TOC2"/>
        <w:tabs>
          <w:tab w:val="right" w:leader="dot" w:pos="9060"/>
        </w:tabs>
        <w:rPr>
          <w:rFonts w:asciiTheme="minorHAnsi" w:eastAsiaTheme="minorEastAsia" w:hAnsiTheme="minorHAnsi" w:cstheme="minorBidi"/>
          <w:smallCaps w:val="0"/>
          <w:sz w:val="21"/>
          <w:szCs w:val="22"/>
        </w:rPr>
      </w:pPr>
      <w:hyperlink w:anchor="_Toc71300644" w:history="1">
        <w:r>
          <w:rPr>
            <w:rStyle w:val="Hyperlink"/>
          </w:rPr>
          <w:t>3.2中集集团分拆中集车辆H股上市的动因</w:t>
        </w:r>
        <w:r>
          <w:tab/>
        </w:r>
        <w:r>
          <w:fldChar w:fldCharType="begin"/>
        </w:r>
        <w:r>
          <w:instrText xml:space="preserve"> PAGEREF _Toc71300644 \h </w:instrText>
        </w:r>
        <w:r>
          <w:fldChar w:fldCharType="separate"/>
        </w:r>
        <w:r>
          <w:t>11</w:t>
        </w:r>
        <w:r>
          <w:fldChar w:fldCharType="end"/>
        </w:r>
      </w:hyperlink>
    </w:p>
    <w:p>
      <w:pPr>
        <w:pStyle w:val="TOC1"/>
        <w:tabs>
          <w:tab w:val="right" w:leader="dot" w:pos="9060"/>
        </w:tabs>
        <w:rPr>
          <w:rFonts w:asciiTheme="minorHAnsi" w:eastAsiaTheme="minorEastAsia" w:hAnsiTheme="minorHAnsi" w:cstheme="minorBidi"/>
          <w:b w:val="0"/>
          <w:caps w:val="0"/>
          <w:sz w:val="21"/>
          <w:szCs w:val="22"/>
        </w:rPr>
      </w:pPr>
      <w:hyperlink w:anchor="_Toc71300645" w:history="1">
        <w:r>
          <w:rPr>
            <w:rStyle w:val="Hyperlink"/>
            <w:rFonts w:hAnsi="黑体"/>
          </w:rPr>
          <w:t>4中集集团分拆中集车辆上市前后绩效分析</w:t>
        </w:r>
        <w:r>
          <w:tab/>
        </w:r>
        <w:r>
          <w:fldChar w:fldCharType="begin"/>
        </w:r>
        <w:r>
          <w:instrText xml:space="preserve"> PAGEREF _Toc71300645 \h </w:instrText>
        </w:r>
        <w:r>
          <w:fldChar w:fldCharType="separate"/>
        </w:r>
        <w:r>
          <w:t>13</w:t>
        </w:r>
        <w:r>
          <w:fldChar w:fldCharType="end"/>
        </w:r>
      </w:hyperlink>
    </w:p>
    <w:p>
      <w:pPr>
        <w:pStyle w:val="TOC2"/>
        <w:tabs>
          <w:tab w:val="right" w:leader="dot" w:pos="9060"/>
        </w:tabs>
        <w:rPr>
          <w:rFonts w:asciiTheme="minorHAnsi" w:eastAsiaTheme="minorEastAsia" w:hAnsiTheme="minorHAnsi" w:cstheme="minorBidi"/>
          <w:smallCaps w:val="0"/>
          <w:sz w:val="21"/>
          <w:szCs w:val="22"/>
        </w:rPr>
      </w:pPr>
      <w:hyperlink w:anchor="_Toc71300646" w:history="1">
        <w:r>
          <w:rPr>
            <w:rStyle w:val="Hyperlink"/>
          </w:rPr>
          <w:t>4.1分拆上市前后基于母公司视角的市场绩效分析</w:t>
        </w:r>
        <w:r>
          <w:tab/>
        </w:r>
        <w:r>
          <w:fldChar w:fldCharType="begin"/>
        </w:r>
        <w:r>
          <w:instrText xml:space="preserve"> PAGEREF _Toc71300646 \h </w:instrText>
        </w:r>
        <w:r>
          <w:fldChar w:fldCharType="separate"/>
        </w:r>
        <w:r>
          <w:t>13</w:t>
        </w:r>
        <w:r>
          <w:fldChar w:fldCharType="end"/>
        </w:r>
      </w:hyperlink>
    </w:p>
    <w:p>
      <w:pPr>
        <w:pStyle w:val="TOC2"/>
        <w:tabs>
          <w:tab w:val="right" w:leader="dot" w:pos="9060"/>
        </w:tabs>
        <w:rPr>
          <w:rFonts w:asciiTheme="minorHAnsi" w:eastAsiaTheme="minorEastAsia" w:hAnsiTheme="minorHAnsi" w:cstheme="minorBidi"/>
          <w:smallCaps w:val="0"/>
          <w:sz w:val="21"/>
          <w:szCs w:val="22"/>
        </w:rPr>
      </w:pPr>
      <w:hyperlink w:anchor="_Toc71300647" w:history="1">
        <w:r>
          <w:rPr>
            <w:rStyle w:val="Hyperlink"/>
          </w:rPr>
          <w:t>4.2分拆上市前后基于母公司和子公司的财务绩效分析</w:t>
        </w:r>
        <w:r>
          <w:tab/>
        </w:r>
        <w:r>
          <w:fldChar w:fldCharType="begin"/>
        </w:r>
        <w:r>
          <w:instrText xml:space="preserve"> PAGEREF _Toc71300647 \h </w:instrText>
        </w:r>
        <w:r>
          <w:fldChar w:fldCharType="separate"/>
        </w:r>
        <w:r>
          <w:t>16</w:t>
        </w:r>
        <w:r>
          <w:fldChar w:fldCharType="end"/>
        </w:r>
      </w:hyperlink>
    </w:p>
    <w:p>
      <w:pPr>
        <w:pStyle w:val="TOC2"/>
        <w:tabs>
          <w:tab w:val="right" w:leader="dot" w:pos="9060"/>
        </w:tabs>
        <w:rPr>
          <w:rFonts w:asciiTheme="minorHAnsi" w:eastAsiaTheme="minorEastAsia" w:hAnsiTheme="minorHAnsi" w:cstheme="minorBidi"/>
          <w:smallCaps w:val="0"/>
          <w:sz w:val="21"/>
          <w:szCs w:val="22"/>
        </w:rPr>
      </w:pPr>
      <w:hyperlink w:anchor="_Toc71300648" w:history="1">
        <w:r>
          <w:rPr>
            <w:rStyle w:val="Hyperlink"/>
          </w:rPr>
          <w:t>4.3小结</w:t>
        </w:r>
        <w:r>
          <w:tab/>
        </w:r>
        <w:r>
          <w:fldChar w:fldCharType="begin"/>
        </w:r>
        <w:r>
          <w:instrText xml:space="preserve"> PAGEREF _Toc71300648 \h </w:instrText>
        </w:r>
        <w:r>
          <w:fldChar w:fldCharType="separate"/>
        </w:r>
        <w:r>
          <w:t>20</w:t>
        </w:r>
        <w:r>
          <w:fldChar w:fldCharType="end"/>
        </w:r>
      </w:hyperlink>
    </w:p>
    <w:p>
      <w:pPr>
        <w:pStyle w:val="TOC1"/>
        <w:tabs>
          <w:tab w:val="right" w:leader="dot" w:pos="9060"/>
        </w:tabs>
        <w:rPr>
          <w:rFonts w:asciiTheme="minorHAnsi" w:eastAsiaTheme="minorEastAsia" w:hAnsiTheme="minorHAnsi" w:cstheme="minorBidi"/>
          <w:b w:val="0"/>
          <w:caps w:val="0"/>
          <w:sz w:val="21"/>
          <w:szCs w:val="22"/>
        </w:rPr>
      </w:pPr>
      <w:hyperlink w:anchor="_Toc71300649" w:history="1">
        <w:r>
          <w:rPr>
            <w:rStyle w:val="Hyperlink"/>
            <w:rFonts w:hAnsi="黑体"/>
          </w:rPr>
          <w:t>5.建议与对策</w:t>
        </w:r>
        <w:r>
          <w:tab/>
        </w:r>
        <w:r>
          <w:fldChar w:fldCharType="begin"/>
        </w:r>
        <w:r>
          <w:instrText xml:space="preserve"> PAGEREF _Toc71300649 \h </w:instrText>
        </w:r>
        <w:r>
          <w:fldChar w:fldCharType="separate"/>
        </w:r>
        <w:r>
          <w:t>22</w:t>
        </w:r>
        <w:r>
          <w:fldChar w:fldCharType="end"/>
        </w:r>
      </w:hyperlink>
    </w:p>
    <w:p>
      <w:pPr>
        <w:pStyle w:val="TOC2"/>
        <w:tabs>
          <w:tab w:val="right" w:leader="dot" w:pos="9060"/>
        </w:tabs>
        <w:rPr>
          <w:rFonts w:asciiTheme="minorHAnsi" w:eastAsiaTheme="minorEastAsia" w:hAnsiTheme="minorHAnsi" w:cstheme="minorBidi"/>
          <w:smallCaps w:val="0"/>
          <w:sz w:val="21"/>
          <w:szCs w:val="22"/>
        </w:rPr>
      </w:pPr>
      <w:hyperlink w:anchor="_Toc71300650" w:history="1">
        <w:r>
          <w:rPr>
            <w:rStyle w:val="Hyperlink"/>
          </w:rPr>
          <w:t>5.1公司角度的建议</w:t>
        </w:r>
        <w:r>
          <w:tab/>
        </w:r>
        <w:r>
          <w:fldChar w:fldCharType="begin"/>
        </w:r>
        <w:r>
          <w:instrText xml:space="preserve"> PAGEREF _Toc71300650 \h </w:instrText>
        </w:r>
        <w:r>
          <w:fldChar w:fldCharType="separate"/>
        </w:r>
        <w:r>
          <w:t>22</w:t>
        </w:r>
        <w:r>
          <w:fldChar w:fldCharType="end"/>
        </w:r>
      </w:hyperlink>
    </w:p>
    <w:p>
      <w:pPr>
        <w:pStyle w:val="TOC2"/>
        <w:tabs>
          <w:tab w:val="right" w:leader="dot" w:pos="9060"/>
        </w:tabs>
        <w:rPr>
          <w:rFonts w:asciiTheme="minorHAnsi" w:eastAsiaTheme="minorEastAsia" w:hAnsiTheme="minorHAnsi" w:cstheme="minorBidi"/>
          <w:smallCaps w:val="0"/>
          <w:sz w:val="21"/>
          <w:szCs w:val="22"/>
        </w:rPr>
      </w:pPr>
      <w:hyperlink w:anchor="_Toc71300651" w:history="1">
        <w:r>
          <w:rPr>
            <w:rStyle w:val="Hyperlink"/>
          </w:rPr>
          <w:t>5.2监管角度的建议</w:t>
        </w:r>
        <w:r>
          <w:tab/>
        </w:r>
        <w:r>
          <w:fldChar w:fldCharType="begin"/>
        </w:r>
        <w:r>
          <w:instrText xml:space="preserve"> PAGEREF _Toc71300651 \h </w:instrText>
        </w:r>
        <w:r>
          <w:fldChar w:fldCharType="separate"/>
        </w:r>
        <w:r>
          <w:t>23</w:t>
        </w:r>
        <w:r>
          <w:fldChar w:fldCharType="end"/>
        </w:r>
      </w:hyperlink>
    </w:p>
    <w:p>
      <w:pPr>
        <w:jc w:val="distribute"/>
        <w:rPr>
          <w:rFonts w:eastAsia="黑体"/>
          <w:szCs w:val="21"/>
        </w:rPr>
        <w:sectPr>
          <w:footerReference w:type="even" r:id="rId5"/>
          <w:footerReference w:type="default" r:id="rId6"/>
          <w:pgSz w:w="11906" w:h="16838"/>
          <w:pgMar w:top="1588" w:right="1418" w:bottom="1418" w:left="1418" w:header="851" w:footer="992" w:gutter="0"/>
          <w:pgNumType w:fmt="upperRoman" w:start="1"/>
          <w:cols w:num="1" w:space="720"/>
          <w:docGrid w:type="lines" w:linePitch="312" w:charSpace="0"/>
        </w:sectPr>
      </w:pPr>
      <w:r>
        <w:rPr>
          <w:b/>
          <w:bCs/>
          <w:caps/>
          <w:szCs w:val="21"/>
        </w:rPr>
        <w:fldChar w:fldCharType="end"/>
      </w:r>
    </w:p>
    <w:p>
      <w:pPr>
        <w:pStyle w:val="Heading1"/>
        <w:spacing w:before="0" w:after="240" w:line="360" w:lineRule="auto"/>
        <w:jc w:val="center"/>
        <w:rPr>
          <w:rFonts w:ascii="黑体" w:eastAsia="黑体" w:hAnsi="黑体"/>
          <w:sz w:val="36"/>
          <w:szCs w:val="36"/>
        </w:rPr>
      </w:pPr>
      <w:bookmarkStart w:id="1" w:name="_Toc105491690"/>
      <w:bookmarkStart w:id="2" w:name="_Toc71300635"/>
      <w:r>
        <w:rPr>
          <w:rFonts w:ascii="黑体" w:eastAsia="黑体" w:hAnsi="黑体"/>
          <w:sz w:val="36"/>
          <w:szCs w:val="36"/>
        </w:rPr>
        <w:t xml:space="preserve">1 </w:t>
      </w:r>
      <w:r>
        <w:rPr>
          <w:rFonts w:ascii="黑体" w:eastAsia="黑体" w:hAnsi="黑体" w:hint="eastAsia"/>
          <w:sz w:val="36"/>
          <w:szCs w:val="36"/>
        </w:rPr>
        <w:t>绪  论</w:t>
      </w:r>
      <w:bookmarkEnd w:id="1"/>
      <w:bookmarkEnd w:id="2"/>
    </w:p>
    <w:p>
      <w:pPr>
        <w:pStyle w:val="Heading2"/>
        <w:spacing w:before="120" w:after="120" w:line="360" w:lineRule="auto"/>
        <w:rPr>
          <w:rFonts w:ascii="Times New Roman" w:hAnsi="Times New Roman"/>
          <w:sz w:val="28"/>
          <w:szCs w:val="28"/>
        </w:rPr>
      </w:pPr>
      <w:bookmarkStart w:id="3" w:name="_Toc71300636"/>
      <w:r>
        <w:rPr>
          <w:rFonts w:ascii="Times New Roman" w:hAnsi="Times New Roman" w:hint="eastAsia"/>
          <w:sz w:val="28"/>
          <w:szCs w:val="28"/>
        </w:rPr>
        <w:t>1.1研究的背景与意义</w:t>
      </w:r>
      <w:bookmarkEnd w:id="3"/>
    </w:p>
    <w:p>
      <w:pPr>
        <w:pStyle w:val="CommentText"/>
        <w:spacing w:line="360" w:lineRule="auto"/>
        <w:ind w:firstLine="420"/>
        <w:rPr>
          <w:rFonts w:ascii="宋体" w:hAnsi="宋体"/>
          <w:sz w:val="24"/>
          <w:szCs w:val="24"/>
        </w:rPr>
      </w:pPr>
      <w:r>
        <w:rPr>
          <w:rFonts w:ascii="宋体" w:hAnsi="宋体" w:hint="eastAsia"/>
          <w:sz w:val="24"/>
          <w:szCs w:val="24"/>
        </w:rPr>
        <w:t>分拆上市在我国起步较晚，早在上世纪八十年代，分拆上市就已经在英国美国等西方的发达国家迅速的发展起来。</w:t>
      </w:r>
      <w:r>
        <w:rPr>
          <w:rFonts w:ascii="宋体" w:hAnsi="宋体"/>
          <w:sz w:val="24"/>
          <w:szCs w:val="24"/>
        </w:rPr>
        <w:t>1990</w:t>
      </w:r>
      <w:r>
        <w:rPr>
          <w:rFonts w:ascii="宋体" w:hAnsi="宋体" w:hint="eastAsia"/>
          <w:sz w:val="24"/>
          <w:szCs w:val="24"/>
        </w:rPr>
        <w:t>年1</w:t>
      </w:r>
      <w:r>
        <w:rPr>
          <w:rFonts w:ascii="宋体" w:hAnsi="宋体"/>
          <w:sz w:val="24"/>
          <w:szCs w:val="24"/>
        </w:rPr>
        <w:t>1</w:t>
      </w:r>
      <w:r>
        <w:rPr>
          <w:rFonts w:ascii="宋体" w:hAnsi="宋体" w:hint="eastAsia"/>
          <w:sz w:val="24"/>
          <w:szCs w:val="24"/>
        </w:rPr>
        <w:t>月2</w:t>
      </w:r>
      <w:r>
        <w:rPr>
          <w:rFonts w:ascii="宋体" w:hAnsi="宋体"/>
          <w:sz w:val="24"/>
          <w:szCs w:val="24"/>
        </w:rPr>
        <w:t>6</w:t>
      </w:r>
      <w:r>
        <w:rPr>
          <w:rFonts w:ascii="宋体" w:hAnsi="宋体" w:hint="eastAsia"/>
          <w:sz w:val="24"/>
          <w:szCs w:val="24"/>
        </w:rPr>
        <w:t>日，上海证券交易所由中国人民银行总行批准成立并在浦东新区正式落坐；1</w:t>
      </w:r>
      <w:r>
        <w:rPr>
          <w:rFonts w:ascii="宋体" w:hAnsi="宋体"/>
          <w:sz w:val="24"/>
          <w:szCs w:val="24"/>
        </w:rPr>
        <w:t>990</w:t>
      </w:r>
      <w:r>
        <w:rPr>
          <w:rFonts w:ascii="宋体" w:hAnsi="宋体" w:hint="eastAsia"/>
          <w:sz w:val="24"/>
          <w:szCs w:val="24"/>
        </w:rPr>
        <w:t>年1</w:t>
      </w:r>
      <w:r>
        <w:rPr>
          <w:rFonts w:ascii="宋体" w:hAnsi="宋体"/>
          <w:sz w:val="24"/>
          <w:szCs w:val="24"/>
        </w:rPr>
        <w:t>2</w:t>
      </w:r>
      <w:r>
        <w:rPr>
          <w:rFonts w:ascii="宋体" w:hAnsi="宋体" w:hint="eastAsia"/>
          <w:sz w:val="24"/>
          <w:szCs w:val="24"/>
        </w:rPr>
        <w:t>月1日，深圳证券交易所成立并开始试营业，因此，2</w:t>
      </w:r>
      <w:r>
        <w:rPr>
          <w:rFonts w:ascii="宋体" w:hAnsi="宋体"/>
          <w:sz w:val="24"/>
          <w:szCs w:val="24"/>
        </w:rPr>
        <w:t>000</w:t>
      </w:r>
      <w:r>
        <w:rPr>
          <w:rFonts w:ascii="宋体" w:hAnsi="宋体" w:hint="eastAsia"/>
          <w:sz w:val="24"/>
          <w:szCs w:val="24"/>
        </w:rPr>
        <w:t>年以前，我国的股票市场才刚萌芽，属于发展的初期阶段。直到2</w:t>
      </w:r>
      <w:r>
        <w:rPr>
          <w:rFonts w:ascii="宋体" w:hAnsi="宋体"/>
          <w:sz w:val="24"/>
          <w:szCs w:val="24"/>
        </w:rPr>
        <w:t>000</w:t>
      </w:r>
      <w:r>
        <w:rPr>
          <w:rFonts w:ascii="宋体" w:hAnsi="宋体" w:hint="eastAsia"/>
          <w:sz w:val="24"/>
          <w:szCs w:val="24"/>
        </w:rPr>
        <w:t>年，由于境外市场的宽松政策，同仁堂在香港创业板分拆同仁堂科技发展股份有限公司上市，我国企业的分拆上市才终于开始跨出了第一步，同仁堂的分拆上市虽然绩效表现不佳但确立了境外分拆上市的流程，成为了里程碑。</w:t>
      </w:r>
    </w:p>
    <w:p>
      <w:pPr>
        <w:spacing w:line="360" w:lineRule="auto"/>
        <w:ind w:firstLine="420"/>
        <w:rPr>
          <w:rFonts w:ascii="宋体" w:hAnsi="宋体"/>
          <w:sz w:val="24"/>
          <w:szCs w:val="24"/>
        </w:rPr>
      </w:pPr>
      <w:r>
        <w:rPr>
          <w:rFonts w:ascii="宋体" w:hAnsi="宋体" w:hint="eastAsia"/>
          <w:sz w:val="24"/>
          <w:szCs w:val="24"/>
        </w:rPr>
        <w:t>在这之后，有一些企业跟着当时的热潮分拆上市，但是由于国内的资本市场不够成熟许多准则不明朗且限制条款较多，因此大部分的公司都选择分拆到境外的市场。</w:t>
      </w:r>
    </w:p>
    <w:p>
      <w:pPr>
        <w:spacing w:line="360" w:lineRule="auto"/>
        <w:ind w:firstLine="420"/>
        <w:rPr>
          <w:rFonts w:ascii="宋体" w:hAnsi="宋体"/>
          <w:sz w:val="24"/>
          <w:szCs w:val="24"/>
        </w:rPr>
      </w:pPr>
      <w:r>
        <w:rPr>
          <w:rFonts w:ascii="宋体" w:hAnsi="宋体" w:hint="eastAsia"/>
          <w:sz w:val="24"/>
          <w:szCs w:val="24"/>
        </w:rPr>
        <w:t>由于在2</w:t>
      </w:r>
      <w:r>
        <w:rPr>
          <w:rFonts w:ascii="宋体" w:hAnsi="宋体"/>
          <w:sz w:val="24"/>
          <w:szCs w:val="24"/>
        </w:rPr>
        <w:t>010</w:t>
      </w:r>
      <w:r>
        <w:rPr>
          <w:rFonts w:ascii="宋体" w:hAnsi="宋体" w:hint="eastAsia"/>
          <w:sz w:val="24"/>
          <w:szCs w:val="24"/>
        </w:rPr>
        <w:t>年以前境内分拆上市的政策并未有一个系统的文件出台，因此并没有公司在A股分拆其子公司上市的案例出现。但随着创业板相关政策的落地，直到2</w:t>
      </w:r>
      <w:r>
        <w:rPr>
          <w:rFonts w:ascii="宋体" w:hAnsi="宋体"/>
          <w:sz w:val="24"/>
          <w:szCs w:val="24"/>
        </w:rPr>
        <w:t>010</w:t>
      </w:r>
      <w:r>
        <w:rPr>
          <w:rFonts w:ascii="宋体" w:hAnsi="宋体" w:hint="eastAsia"/>
          <w:sz w:val="24"/>
          <w:szCs w:val="24"/>
        </w:rPr>
        <w:t>年的4月1</w:t>
      </w:r>
      <w:r>
        <w:rPr>
          <w:rFonts w:ascii="宋体" w:hAnsi="宋体"/>
          <w:sz w:val="24"/>
          <w:szCs w:val="24"/>
        </w:rPr>
        <w:t>3</w:t>
      </w:r>
      <w:r>
        <w:rPr>
          <w:rFonts w:ascii="宋体" w:hAnsi="宋体" w:hint="eastAsia"/>
          <w:sz w:val="24"/>
          <w:szCs w:val="24"/>
        </w:rPr>
        <w:t>日，境内的分拆上市新规的出现才终于又给众多投资者们带去了新的值得探讨的话题，当时境内的上市公司分拆其子公司于创业板上市得到了证监会的允许，但条件较为苛刻，满足一定条件才可以进行。虽然有着相关的限制条件，但是对于已有准备的公司来说响应政策的速度相当的快，当年的年底就有康恩贝火速分拆至创业板，随后才开始了境内公司分拆至创业板的热潮。截止到2</w:t>
      </w:r>
      <w:r>
        <w:rPr>
          <w:rFonts w:ascii="宋体" w:hAnsi="宋体"/>
          <w:sz w:val="24"/>
          <w:szCs w:val="24"/>
        </w:rPr>
        <w:t>019</w:t>
      </w:r>
      <w:r>
        <w:rPr>
          <w:rFonts w:ascii="宋体" w:hAnsi="宋体" w:hint="eastAsia"/>
          <w:sz w:val="24"/>
          <w:szCs w:val="24"/>
        </w:rPr>
        <w:t>年12月13日，境内上市公司想要分拆上市其子公司在境内的交易市场才终于就这一想法跨出了阶段性的一步，对于这种方法的规定终于有了官方的文件发布。截至2</w:t>
      </w:r>
      <w:r>
        <w:rPr>
          <w:rFonts w:ascii="宋体" w:hAnsi="宋体"/>
          <w:sz w:val="24"/>
          <w:szCs w:val="24"/>
        </w:rPr>
        <w:t>020</w:t>
      </w:r>
      <w:r>
        <w:rPr>
          <w:rFonts w:ascii="宋体" w:hAnsi="宋体" w:hint="eastAsia"/>
          <w:sz w:val="24"/>
          <w:szCs w:val="24"/>
        </w:rPr>
        <w:t>年的12月9日，54家上市公司都提出了想要分拆子公司至境内市场的申请，其中有一部分公司的申请已经得到了受理，分拆上市开始重新成为话题的焦点。由于政策的不断完善，各行各业的优秀企业为完善自身的融资渠道，先后开始着手尝试分拆上市这一相对新颖的融资手段。然而，由于分拆上市会对企业的绩效产生影响且并不一定为正面的影响，故并非所有行业的优秀企业都适合进行分拆上市。</w:t>
      </w:r>
    </w:p>
    <w:p>
      <w:pPr>
        <w:spacing w:line="360" w:lineRule="auto"/>
        <w:ind w:firstLine="420"/>
        <w:rPr>
          <w:rFonts w:ascii="宋体" w:hAnsi="宋体"/>
          <w:sz w:val="24"/>
          <w:szCs w:val="24"/>
        </w:rPr>
        <w:sectPr>
          <w:footerReference w:type="even" r:id="rId7"/>
          <w:footerReference w:type="default" r:id="rId8"/>
          <w:pgSz w:w="11906" w:h="16838"/>
          <w:pgMar w:top="1588" w:right="1418" w:bottom="1418" w:left="1418" w:header="851" w:footer="1134" w:gutter="0"/>
          <w:pgNumType w:start="1"/>
          <w:cols w:num="1" w:space="720"/>
          <w:docGrid w:linePitch="312" w:charSpace="0"/>
        </w:sectPr>
      </w:pPr>
      <w:r>
        <w:rPr>
          <w:rFonts w:ascii="宋体" w:hAnsi="宋体" w:hint="eastAsia"/>
          <w:sz w:val="24"/>
          <w:szCs w:val="24"/>
        </w:rPr>
        <w:t>在这样的背景下，本文选取了2</w:t>
      </w:r>
      <w:r>
        <w:rPr>
          <w:rFonts w:ascii="宋体" w:hAnsi="宋体"/>
          <w:sz w:val="24"/>
          <w:szCs w:val="24"/>
        </w:rPr>
        <w:t>019</w:t>
      </w:r>
    </w:p>
    <w:p>
      <w:pPr>
        <w:spacing w:line="360" w:lineRule="auto"/>
        <w:ind w:firstLine="420"/>
        <w:rPr>
          <w:rFonts w:ascii="宋体" w:hAnsi="宋体"/>
          <w:sz w:val="24"/>
          <w:szCs w:val="24"/>
        </w:rPr>
      </w:pPr>
      <w:r>
        <w:rPr>
          <w:rFonts w:ascii="宋体" w:hAnsi="宋体" w:hint="eastAsia"/>
          <w:sz w:val="24"/>
          <w:szCs w:val="24"/>
        </w:rPr>
        <w:t>年中集集团在港股分拆中集车辆上市的案例，研究分析上市对企业绩效的影响，通过对中集集团分拆中集车辆在港股上市后的市场绩效和财务绩效进行分析，展现出中集集团和中集车辆在分拆上市前后一段时间内的市场反应，以理论分析和实证分析详细阐述企业港股分拆上市行为中的利与弊，并通过上述分析结果给出建议，希望以此给接下来其他公司的国际化道路或是在市场进行分拆上市起到借鉴作用。</w:t>
      </w:r>
    </w:p>
    <w:p>
      <w:pPr>
        <w:pStyle w:val="Heading2"/>
        <w:spacing w:before="120" w:after="120" w:line="360" w:lineRule="auto"/>
        <w:rPr>
          <w:rFonts w:ascii="Times New Roman" w:hAnsi="Times New Roman"/>
          <w:sz w:val="28"/>
          <w:szCs w:val="28"/>
        </w:rPr>
      </w:pPr>
      <w:bookmarkStart w:id="4" w:name="_Toc71300637"/>
      <w:r>
        <w:rPr>
          <w:rFonts w:ascii="Times New Roman" w:hAnsi="Times New Roman" w:hint="eastAsia"/>
          <w:sz w:val="28"/>
          <w:szCs w:val="28"/>
        </w:rPr>
        <w:t>1</w:t>
      </w:r>
      <w:r>
        <w:rPr>
          <w:rFonts w:ascii="Times New Roman" w:hAnsi="Times New Roman"/>
          <w:sz w:val="28"/>
          <w:szCs w:val="28"/>
        </w:rPr>
        <w:t>.2</w:t>
      </w:r>
      <w:r>
        <w:rPr>
          <w:rFonts w:ascii="Times New Roman" w:hAnsi="Times New Roman" w:hint="eastAsia"/>
          <w:sz w:val="28"/>
          <w:szCs w:val="28"/>
        </w:rPr>
        <w:t>国内外研究综述</w:t>
      </w:r>
      <w:bookmarkEnd w:id="4"/>
    </w:p>
    <w:p>
      <w:pPr>
        <w:pStyle w:val="Heading3"/>
        <w:spacing w:before="120" w:after="120" w:line="360" w:lineRule="auto"/>
        <w:rPr>
          <w:sz w:val="24"/>
          <w:szCs w:val="24"/>
        </w:rPr>
      </w:pPr>
      <w:r>
        <w:rPr>
          <w:rFonts w:hint="eastAsia"/>
          <w:sz w:val="24"/>
          <w:szCs w:val="24"/>
        </w:rPr>
        <w:t>1</w:t>
      </w:r>
      <w:r>
        <w:rPr>
          <w:sz w:val="24"/>
          <w:szCs w:val="24"/>
        </w:rPr>
        <w:t>.2.1</w:t>
      </w:r>
      <w:r>
        <w:rPr>
          <w:rFonts w:hint="eastAsia"/>
          <w:sz w:val="24"/>
          <w:szCs w:val="24"/>
        </w:rPr>
        <w:t>.关于分拆上市对企业绩效影响的研究</w:t>
      </w:r>
    </w:p>
    <w:p>
      <w:pPr>
        <w:spacing w:line="360" w:lineRule="auto"/>
        <w:ind w:firstLine="420"/>
        <w:rPr>
          <w:rFonts w:ascii="宋体" w:hAnsi="宋体"/>
          <w:sz w:val="24"/>
          <w:szCs w:val="24"/>
        </w:rPr>
      </w:pPr>
      <w:r>
        <w:rPr>
          <w:sz w:val="24"/>
          <w:szCs w:val="24"/>
        </w:rPr>
        <w:t>Allen</w:t>
      </w:r>
      <w:r>
        <w:rPr>
          <w:rFonts w:ascii="宋体" w:hAnsi="宋体" w:hint="eastAsia"/>
          <w:sz w:val="24"/>
          <w:szCs w:val="24"/>
        </w:rPr>
        <w:t xml:space="preserve"> 和 </w:t>
      </w:r>
      <w:r>
        <w:rPr>
          <w:rFonts w:hint="eastAsia"/>
          <w:sz w:val="24"/>
          <w:szCs w:val="24"/>
        </w:rPr>
        <w:t>McConnell</w:t>
      </w:r>
      <w:r>
        <w:rPr>
          <w:rFonts w:ascii="宋体" w:hAnsi="宋体" w:hint="eastAsia"/>
          <w:sz w:val="24"/>
          <w:szCs w:val="24"/>
        </w:rPr>
        <w:t>（1998）认为分拆上市是一种融资工具，目的主要是由于母公司的融资情况遭遇了瓶颈，因此可以分拆其所属的子公司进行上市融资，以此来扩充母公司的资本。</w:t>
      </w:r>
    </w:p>
    <w:p>
      <w:pPr>
        <w:spacing w:line="360" w:lineRule="auto"/>
        <w:ind w:firstLine="420"/>
        <w:rPr>
          <w:rFonts w:ascii="宋体" w:hAnsi="宋体"/>
          <w:sz w:val="24"/>
          <w:szCs w:val="24"/>
        </w:rPr>
      </w:pPr>
      <w:r>
        <w:rPr>
          <w:rFonts w:ascii="宋体" w:hAnsi="宋体" w:hint="eastAsia"/>
          <w:sz w:val="24"/>
          <w:szCs w:val="24"/>
        </w:rPr>
        <w:t>王新红，薛焕霞（2014）的文章采用因子分析法作为实证研究的方法，对在创业板分拆上市的公司进行经营绩效方面的分析。经过研究发现，分拆上市并没有实际的改善了公司的经营状况并且相较于之前整体的经营状况处于一个下滑的趋势，笔者认为营运能力的不足是导致分拆上市后公司整体经营状况不佳的主要原因。</w:t>
      </w:r>
    </w:p>
    <w:p>
      <w:pPr>
        <w:spacing w:line="360" w:lineRule="auto"/>
        <w:ind w:firstLine="480" w:firstLineChars="200"/>
        <w:rPr>
          <w:rFonts w:ascii="宋体" w:hAnsi="宋体"/>
          <w:sz w:val="24"/>
          <w:szCs w:val="24"/>
        </w:rPr>
      </w:pPr>
      <w:r>
        <w:rPr>
          <w:rFonts w:ascii="宋体" w:hAnsi="宋体" w:hint="eastAsia"/>
          <w:sz w:val="24"/>
          <w:szCs w:val="24"/>
        </w:rPr>
        <w:t>林旭东、唐明琴、程林、聂永华（2015）选择了在深圳和香港分拆上市的公司作为数据样本来进行实证分析，研究分拆上市前后公司股票收益的变动。经过研究可以得出公司在宣布分拆上市的事件期内，均获得了正的超额收益率，然而就经营绩效的情况来看，母公司得到了较大的改善然而子公司的经营绩效并未得到较大的改善。因此，虽然分拆上市可能会给公司带来超额收益但却也并不适用于所有的公司，在作出决策之前一定要对于公司的具体情况具体分析。</w:t>
      </w:r>
    </w:p>
    <w:p>
      <w:pPr>
        <w:spacing w:line="360" w:lineRule="auto"/>
        <w:ind w:firstLine="420"/>
        <w:rPr>
          <w:rFonts w:ascii="宋体" w:hAnsi="宋体"/>
          <w:sz w:val="24"/>
          <w:szCs w:val="24"/>
        </w:rPr>
      </w:pPr>
      <w:r>
        <w:rPr>
          <w:rFonts w:ascii="宋体" w:hAnsi="宋体" w:hint="eastAsia"/>
          <w:sz w:val="24"/>
          <w:szCs w:val="24"/>
        </w:rPr>
        <w:t>涂红星（2016）选用了同仁堂的案例，也是中国分拆上市道路上浓墨重彩的一个案例。文章先对于相关的文献资料进行了回顾，后使用了事件研究法和市场模型来计算出资本收益率，计算得出的结果可以看出，分拆上市为公司带来了显著的正面效益，但同时笔者也提出了应该重视子公司和母公司的长期发展且对于中国证监会而言对于分拆上市所需要执行的相关措施，以此来促进未来更多公司的分拆上市。</w:t>
      </w:r>
    </w:p>
    <w:p>
      <w:pPr>
        <w:spacing w:line="360" w:lineRule="auto"/>
        <w:ind w:firstLine="420"/>
        <w:rPr>
          <w:rFonts w:ascii="宋体" w:hAnsi="宋体"/>
          <w:sz w:val="24"/>
          <w:szCs w:val="24"/>
        </w:rPr>
      </w:pPr>
      <w:r>
        <w:rPr>
          <w:rFonts w:ascii="宋体" w:hAnsi="宋体" w:hint="eastAsia"/>
          <w:sz w:val="24"/>
          <w:szCs w:val="24"/>
        </w:rPr>
        <w:t>史建军（2018）的文章中得出分拆上市的行为使得母公司和子公司在都得到了较好的正面影响，文章以新浪分拆新浪微博作为案例，研究同时发现，这样较好的市场反应并没有持续很久，因此，笔者认为公司需要关注其分拆上市行为对于整个公司未来的发展，而不仅仅是为了短期的收益来选择这样的方式。</w:t>
      </w:r>
    </w:p>
    <w:p>
      <w:pPr>
        <w:spacing w:line="360" w:lineRule="auto"/>
        <w:ind w:firstLine="420"/>
        <w:rPr>
          <w:rFonts w:ascii="宋体" w:hAnsi="宋体"/>
          <w:sz w:val="24"/>
          <w:szCs w:val="24"/>
        </w:rPr>
        <w:sectPr>
          <w:footerReference w:type="even" r:id="rId9"/>
          <w:footerReference w:type="default" r:id="rId10"/>
          <w:type w:val="nextPage"/>
          <w:pgSz w:w="11906" w:h="16838"/>
          <w:pgMar w:top="1588" w:right="1418" w:bottom="1418" w:left="1418" w:header="851" w:footer="1134" w:gutter="0"/>
          <w:pgNumType w:start="2"/>
          <w:cols w:num="1" w:space="720"/>
          <w:titlePg w:val="0"/>
          <w:docGrid w:linePitch="312" w:charSpace="0"/>
        </w:sectPr>
      </w:pPr>
    </w:p>
    <w:p>
      <w:pPr>
        <w:spacing w:line="360" w:lineRule="auto"/>
        <w:ind w:firstLine="420"/>
        <w:rPr>
          <w:rFonts w:ascii="宋体" w:hAnsi="宋体"/>
          <w:sz w:val="24"/>
          <w:szCs w:val="24"/>
        </w:rPr>
      </w:pPr>
      <w:r>
        <w:rPr>
          <w:rFonts w:ascii="宋体" w:hAnsi="宋体" w:hint="eastAsia"/>
          <w:sz w:val="24"/>
          <w:szCs w:val="24"/>
        </w:rPr>
        <w:t>汪毅（2019）首先对于分拆上市的含义进行了解释，也对其模式进行了详细阐述，随后通过对中国分拆上市的相关案例进行研究分析，得出分拆上市有利于提升母公司和子公司的股价，有利于实施核心化战略，有利于拓宽融资渠道，有利于推动子公司高管的股权激励。</w:t>
      </w:r>
    </w:p>
    <w:p>
      <w:pPr>
        <w:spacing w:line="360" w:lineRule="auto"/>
        <w:ind w:firstLine="420"/>
        <w:rPr>
          <w:rFonts w:ascii="宋体" w:hAnsi="宋体"/>
          <w:sz w:val="24"/>
          <w:szCs w:val="24"/>
        </w:rPr>
      </w:pPr>
      <w:r>
        <w:rPr>
          <w:rFonts w:ascii="宋体" w:hAnsi="宋体" w:hint="eastAsia"/>
          <w:sz w:val="24"/>
          <w:szCs w:val="24"/>
        </w:rPr>
        <w:t>王佳（2020）认为，由于我国分拆上市制度还刚刚起步，仍需在加强监管、完善配套制度、确立有关业务规则等方面开展持续研究。为理清成熟市场分拆上市的实践，文章重点研究美国和中国香港市场，对其分拆上市的相关规则、有益经验以及最新案例进行梳理和归纳，在此基础上提出相应的政策建议，以期为后续细则制定提供参考。</w:t>
      </w:r>
    </w:p>
    <w:p>
      <w:pPr>
        <w:pStyle w:val="Heading3"/>
        <w:spacing w:before="120" w:after="120" w:line="360" w:lineRule="auto"/>
        <w:rPr>
          <w:rFonts w:ascii="宋体" w:hAnsi="宋体"/>
          <w:sz w:val="24"/>
          <w:szCs w:val="24"/>
        </w:rPr>
      </w:pPr>
      <w:r>
        <w:rPr>
          <w:rFonts w:ascii="宋体" w:hAnsi="宋体" w:hint="eastAsia"/>
          <w:sz w:val="24"/>
          <w:szCs w:val="24"/>
        </w:rPr>
        <w:t>1</w:t>
      </w:r>
      <w:r>
        <w:rPr>
          <w:rFonts w:ascii="宋体" w:hAnsi="宋体"/>
          <w:sz w:val="24"/>
          <w:szCs w:val="24"/>
        </w:rPr>
        <w:t>.2.2</w:t>
      </w:r>
      <w:r>
        <w:rPr>
          <w:rFonts w:ascii="宋体" w:hAnsi="宋体" w:hint="eastAsia"/>
          <w:sz w:val="24"/>
          <w:szCs w:val="24"/>
        </w:rPr>
        <w:t>关于分拆上市对财务指标绩效影响的研究</w:t>
      </w:r>
    </w:p>
    <w:p>
      <w:pPr>
        <w:spacing w:line="360" w:lineRule="auto"/>
        <w:ind w:firstLine="420"/>
        <w:rPr>
          <w:rFonts w:ascii="宋体" w:hAnsi="宋体"/>
          <w:sz w:val="24"/>
          <w:szCs w:val="24"/>
        </w:rPr>
      </w:pPr>
      <w:r>
        <w:rPr>
          <w:rFonts w:ascii="宋体" w:hAnsi="宋体" w:hint="eastAsia"/>
          <w:sz w:val="24"/>
          <w:szCs w:val="24"/>
        </w:rPr>
        <w:t>国外学者</w:t>
      </w:r>
      <w:r>
        <w:rPr>
          <w:sz w:val="24"/>
          <w:szCs w:val="24"/>
        </w:rPr>
        <w:t>Tam</w:t>
      </w:r>
      <w:r>
        <w:rPr>
          <w:rFonts w:ascii="宋体" w:hAnsi="宋体" w:hint="eastAsia"/>
          <w:sz w:val="24"/>
          <w:szCs w:val="24"/>
        </w:rPr>
        <w:t>(2014）文章中阐述了子公司在面对融资需求时候的困难，通过研究了企业分拆上市的财务绩效，认为如果子公司进行分拆上市，可以有效的一定程度上帮其解开这个束缚。</w:t>
      </w:r>
    </w:p>
    <w:p>
      <w:pPr>
        <w:spacing w:line="360" w:lineRule="auto"/>
        <w:ind w:firstLine="420"/>
        <w:rPr>
          <w:rFonts w:ascii="宋体" w:hAnsi="宋体"/>
          <w:sz w:val="24"/>
          <w:szCs w:val="24"/>
        </w:rPr>
      </w:pPr>
      <w:r>
        <w:rPr>
          <w:rFonts w:ascii="宋体" w:hAnsi="宋体" w:hint="eastAsia"/>
          <w:sz w:val="24"/>
          <w:szCs w:val="24"/>
        </w:rPr>
        <w:t>刘晓松（2017）通过 2012-2015 三年的财务指标对联想集团分拆神州数码的数据资料加以研究，考察判断该公司的发展经营状况。文章通过对神州数码财务指标的分析，以更全面的分析分拆上市对一个企业经营绩效的重大意义及影响，进而对企业分拆上市在我国今后的发展提出相关建议与对策。</w:t>
      </w:r>
    </w:p>
    <w:p>
      <w:pPr>
        <w:spacing w:line="360" w:lineRule="auto"/>
        <w:ind w:firstLine="420"/>
        <w:rPr>
          <w:rFonts w:ascii="宋体" w:hAnsi="宋体"/>
          <w:sz w:val="24"/>
          <w:szCs w:val="24"/>
        </w:rPr>
      </w:pPr>
      <w:r>
        <w:rPr>
          <w:rFonts w:ascii="宋体" w:hAnsi="宋体" w:hint="eastAsia"/>
          <w:sz w:val="24"/>
          <w:szCs w:val="24"/>
        </w:rPr>
        <w:t>董亮（2017）对同仁堂分拆上市的目前情况，分拆上市之后的经营策略，以及分拆上市后对其资本绩效的影响进行了具体分析。根据数据得出重大结论分拆上市对母公司的影响显然是利大于弊，并且对同仁堂科技上市后的财务指标进行分析于其他同行业之间的财务数据进行对比，大数据得出分拆上市对同仁堂的影响同样是利大于弊的结论，分拆在一定程度上扩大了投资收益，减低了投资风险，开发了新的市场前景，使同仁堂实施国际发展战略受益。</w:t>
      </w:r>
    </w:p>
    <w:p>
      <w:pPr>
        <w:spacing w:line="360" w:lineRule="auto"/>
        <w:ind w:firstLine="420"/>
        <w:rPr>
          <w:rFonts w:ascii="宋体" w:hAnsi="宋体"/>
          <w:sz w:val="24"/>
          <w:szCs w:val="24"/>
        </w:rPr>
      </w:pPr>
      <w:r>
        <w:rPr>
          <w:rFonts w:ascii="宋体" w:hAnsi="宋体" w:hint="eastAsia"/>
          <w:sz w:val="24"/>
          <w:szCs w:val="24"/>
        </w:rPr>
        <w:t>陈龙欧（2018）在文章中以中国铁建分拆铁建装备为案例进行研究，对于铁建装备分拆上市的动因和其各项财务指标都进行了详细的论述和分析，主要是由于信息不对称所导致的铁建装备的价值被低估，因此希望通过分拆上市来进行融资，实现更快速的发展。</w:t>
      </w:r>
    </w:p>
    <w:p>
      <w:pPr>
        <w:spacing w:line="360" w:lineRule="auto"/>
        <w:ind w:firstLine="420"/>
        <w:rPr>
          <w:rFonts w:ascii="宋体" w:hAnsi="宋体"/>
          <w:sz w:val="24"/>
          <w:szCs w:val="24"/>
        </w:rPr>
        <w:sectPr>
          <w:footerReference w:type="even" r:id="rId11"/>
          <w:footerReference w:type="default" r:id="rId12"/>
          <w:type w:val="nextPage"/>
          <w:pgSz w:w="11906" w:h="16838"/>
          <w:pgMar w:top="1588" w:right="1418" w:bottom="1418" w:left="1418" w:header="851" w:footer="1134" w:gutter="0"/>
          <w:pgNumType w:start="3"/>
          <w:cols w:num="1" w:space="720"/>
          <w:titlePg w:val="0"/>
          <w:docGrid w:linePitch="312" w:charSpace="0"/>
        </w:sectPr>
      </w:pPr>
      <w:r>
        <w:rPr>
          <w:rFonts w:ascii="宋体" w:hAnsi="宋体" w:hint="eastAsia"/>
          <w:sz w:val="24"/>
          <w:szCs w:val="24"/>
        </w:rPr>
        <w:t>周可（2020）引入财务绩效综合评价指标体系，通过主成分分析法对企业财务指标进行筛选，得到代表企业绩效优劣的财务指标占比，分析 H 集团分拆上市行为对其绩效的影响。研究表明，分拆上市对 H 集团的偿债能力、盈利能力以及发展能力都具有一定的积极影响，但其影响不具有持久性。企业在选择分拆上市时，要充分考虑其中的风险，不追求绩效的短暂提升，做出有利于企业长远发展的决策。</w:t>
      </w:r>
    </w:p>
    <w:p>
      <w:pPr>
        <w:spacing w:line="360" w:lineRule="auto"/>
        <w:ind w:firstLine="420"/>
        <w:rPr>
          <w:rFonts w:ascii="宋体" w:hAnsi="宋体"/>
          <w:sz w:val="24"/>
          <w:szCs w:val="24"/>
        </w:rPr>
      </w:pPr>
      <w:r>
        <w:rPr>
          <w:rFonts w:ascii="宋体" w:hAnsi="宋体" w:hint="eastAsia"/>
          <w:sz w:val="24"/>
          <w:szCs w:val="24"/>
        </w:rPr>
        <w:t>沈红波，王悦，顾舒雯（2020）研究了腾讯分拆阅文集团上市对于管理层激励的影响。通过综合运用事件研究法、财务分析法等对分拆上市的动机和经济后果进行研究，对市场的短期反应、母子公司的经营和财务情况深入分析后发现，阅文集团的上市更好地提高了管理层的积极性。进一步研究发现，民营企业与国有企业的制度不同导致民营企业更适合分拆上市和长期股权激励，而国有企业存在激励不足等问题，更应先施行整体上市和短期现金激励。针对分拆上市的特点，提出了分拆上市的企业应重点考虑高管的声誉激励，促进管理层与组织目标的一致性。</w:t>
      </w:r>
    </w:p>
    <w:p>
      <w:pPr>
        <w:spacing w:line="360" w:lineRule="auto"/>
        <w:ind w:firstLine="420"/>
        <w:rPr>
          <w:rFonts w:ascii="宋体" w:hAnsi="宋体"/>
          <w:sz w:val="24"/>
          <w:szCs w:val="24"/>
        </w:rPr>
      </w:pPr>
      <w:r>
        <w:rPr>
          <w:rFonts w:ascii="宋体" w:hAnsi="宋体" w:hint="eastAsia"/>
          <w:sz w:val="24"/>
          <w:szCs w:val="24"/>
        </w:rPr>
        <w:t>何珂（2020）全文以碧桂园服务作为案例，分析了其相关财务指标和公司具体的经营情况和经营内容，由此得出相关结论认为，通过分拆上市后，公司总体的财务指标呈现出较好的发展和上升趋势，因此就碧桂园服务分拆上市至今的这一段时间内，该方法还是给公司带来了一定的正面效益。</w:t>
      </w:r>
    </w:p>
    <w:p>
      <w:pPr>
        <w:spacing w:line="360" w:lineRule="auto"/>
        <w:ind w:firstLine="420"/>
        <w:rPr>
          <w:rFonts w:ascii="宋体" w:hAnsi="宋体"/>
          <w:sz w:val="24"/>
          <w:szCs w:val="24"/>
        </w:rPr>
      </w:pPr>
      <w:r>
        <w:rPr>
          <w:rFonts w:ascii="宋体" w:hAnsi="宋体" w:hint="eastAsia"/>
          <w:sz w:val="24"/>
          <w:szCs w:val="24"/>
        </w:rPr>
        <w:t>赵霞（2020）通过用友网络分拆畅捷通的案例，来阐述了分拆上市这种行为对于公司的管理、融资和经营绩效这几个方面的影响，同时对于分拆上市对于一家公司未来发展能够产生何种程度的影响也进行了基本的叙述。笔者通过该案例的研究得出相关的结论和建议，这些建议对于我国未来其他公司想要运用分拆上市的这种方式来进行融资产生了较为重要的参考价值。</w:t>
      </w:r>
    </w:p>
    <w:p>
      <w:pPr>
        <w:pStyle w:val="Heading3"/>
        <w:spacing w:before="120" w:after="120" w:line="360" w:lineRule="auto"/>
        <w:rPr>
          <w:sz w:val="24"/>
          <w:szCs w:val="24"/>
        </w:rPr>
      </w:pPr>
      <w:r>
        <w:rPr>
          <w:rFonts w:hint="eastAsia"/>
          <w:sz w:val="24"/>
          <w:szCs w:val="24"/>
        </w:rPr>
        <w:t>1</w:t>
      </w:r>
      <w:r>
        <w:rPr>
          <w:sz w:val="24"/>
          <w:szCs w:val="24"/>
        </w:rPr>
        <w:t>.2.3</w:t>
      </w:r>
      <w:r>
        <w:rPr>
          <w:rFonts w:hint="eastAsia"/>
          <w:sz w:val="24"/>
          <w:szCs w:val="24"/>
        </w:rPr>
        <w:t>文献评述</w:t>
      </w:r>
    </w:p>
    <w:p>
      <w:pPr>
        <w:spacing w:line="360" w:lineRule="auto"/>
        <w:rPr>
          <w:sz w:val="24"/>
          <w:szCs w:val="24"/>
        </w:rPr>
      </w:pPr>
      <w:r>
        <w:tab/>
      </w:r>
      <w:r>
        <w:rPr>
          <w:rFonts w:hint="eastAsia"/>
          <w:sz w:val="24"/>
          <w:szCs w:val="24"/>
        </w:rPr>
        <w:t>综上文献所述，分拆上市所导致的后果是不确定的，既有公司能够得到营收的增长，也有公司导致了经营绩效的下滑。分拆上市对于大部分公司来说确实拓宽了融资渠道，在新规落地实施，分拆上市正处于热潮阶段的情况下，公司更应该清晰理性的去意识到分拆上市并非适合所有企业，在选择将该方式作为新的融资方式时，公司必须考虑自身的实际情况和子公司的发展前景，切勿盲目跟风。</w:t>
      </w:r>
    </w:p>
    <w:p>
      <w:pPr>
        <w:spacing w:line="360" w:lineRule="auto"/>
        <w:rPr>
          <w:sz w:val="24"/>
          <w:szCs w:val="24"/>
        </w:rPr>
      </w:pPr>
      <w:r>
        <w:rPr>
          <w:sz w:val="24"/>
          <w:szCs w:val="24"/>
        </w:rPr>
        <w:tab/>
      </w:r>
      <w:r>
        <w:rPr>
          <w:rFonts w:hint="eastAsia"/>
          <w:sz w:val="24"/>
          <w:szCs w:val="24"/>
        </w:rPr>
        <w:t>国内目前的分拆上市主要还是在境外，境外分拆上市和境内分拆上市两者之间所造成的影响的不同目前我们还未能得出结论，依然还有待研究。</w:t>
      </w:r>
    </w:p>
    <w:p>
      <w:pPr>
        <w:autoSpaceDE w:val="0"/>
        <w:autoSpaceDN w:val="0"/>
        <w:adjustRightInd w:val="0"/>
        <w:spacing w:line="360" w:lineRule="auto"/>
        <w:jc w:val="left"/>
        <w:rPr>
          <w:b/>
          <w:bCs/>
          <w:sz w:val="28"/>
          <w:szCs w:val="28"/>
        </w:rPr>
      </w:pPr>
      <w:r>
        <w:rPr>
          <w:rFonts w:hint="eastAsia"/>
          <w:b/>
          <w:bCs/>
          <w:sz w:val="28"/>
          <w:szCs w:val="28"/>
        </w:rPr>
        <w:t>1</w:t>
      </w:r>
      <w:r>
        <w:rPr>
          <w:b/>
          <w:bCs/>
          <w:sz w:val="28"/>
          <w:szCs w:val="28"/>
        </w:rPr>
        <w:t>.3</w:t>
      </w:r>
      <w:r>
        <w:rPr>
          <w:rFonts w:hint="eastAsia"/>
          <w:b/>
          <w:bCs/>
          <w:sz w:val="28"/>
          <w:szCs w:val="28"/>
        </w:rPr>
        <w:t>研究的内容与方法</w:t>
      </w:r>
    </w:p>
    <w:p>
      <w:pPr>
        <w:pStyle w:val="Heading3"/>
        <w:spacing w:before="120" w:after="120" w:line="360" w:lineRule="auto"/>
        <w:rPr>
          <w:sz w:val="24"/>
          <w:szCs w:val="24"/>
        </w:rPr>
      </w:pPr>
      <w:r>
        <w:rPr>
          <w:rFonts w:hint="eastAsia"/>
          <w:sz w:val="24"/>
          <w:szCs w:val="24"/>
        </w:rPr>
        <w:t>1</w:t>
      </w:r>
      <w:r>
        <w:rPr>
          <w:sz w:val="24"/>
          <w:szCs w:val="24"/>
        </w:rPr>
        <w:t>.3.1</w:t>
      </w:r>
      <w:r>
        <w:rPr>
          <w:rFonts w:hint="eastAsia"/>
          <w:sz w:val="24"/>
          <w:szCs w:val="24"/>
        </w:rPr>
        <w:t>研究的内容</w:t>
      </w:r>
    </w:p>
    <w:p>
      <w:pPr>
        <w:spacing w:line="360" w:lineRule="auto"/>
        <w:ind w:firstLine="420"/>
        <w:rPr>
          <w:sz w:val="24"/>
          <w:szCs w:val="24"/>
        </w:rPr>
      </w:pPr>
      <w:r>
        <w:rPr>
          <w:rFonts w:hint="eastAsia"/>
          <w:sz w:val="24"/>
          <w:szCs w:val="24"/>
        </w:rPr>
        <w:t>本文通过五个部分来对中集集团分拆中集车辆上市进行阐述。</w:t>
      </w:r>
    </w:p>
    <w:p>
      <w:pPr>
        <w:spacing w:line="360" w:lineRule="auto"/>
        <w:ind w:firstLine="420"/>
        <w:rPr>
          <w:sz w:val="24"/>
          <w:szCs w:val="24"/>
        </w:rPr>
        <w:sectPr>
          <w:footerReference w:type="even" r:id="rId13"/>
          <w:footerReference w:type="default" r:id="rId14"/>
          <w:type w:val="nextPage"/>
          <w:pgSz w:w="11906" w:h="16838"/>
          <w:pgMar w:top="1588" w:right="1418" w:bottom="1418" w:left="1418" w:header="851" w:footer="1134" w:gutter="0"/>
          <w:pgNumType w:start="4"/>
          <w:cols w:num="1" w:space="720"/>
          <w:titlePg w:val="0"/>
          <w:docGrid w:linePitch="312" w:charSpace="0"/>
        </w:sectPr>
      </w:pPr>
    </w:p>
    <w:p>
      <w:pPr>
        <w:spacing w:line="360" w:lineRule="auto"/>
        <w:ind w:firstLine="420"/>
        <w:rPr>
          <w:sz w:val="24"/>
          <w:szCs w:val="24"/>
        </w:rPr>
      </w:pPr>
      <w:r>
        <w:rPr>
          <w:rFonts w:hint="eastAsia"/>
          <w:sz w:val="24"/>
          <w:szCs w:val="24"/>
        </w:rPr>
        <w:t>第一部分：绪论。绪论主要为之后的研究进行一个基础的背景介绍。在新规落地的背景以及贸易关系紧张的情况下，对于研究背景和意义还有研究的内容与方法的阐述。</w:t>
      </w:r>
    </w:p>
    <w:p>
      <w:pPr>
        <w:spacing w:line="360" w:lineRule="auto"/>
        <w:ind w:firstLine="420"/>
        <w:rPr>
          <w:sz w:val="24"/>
          <w:szCs w:val="24"/>
        </w:rPr>
      </w:pPr>
      <w:r>
        <w:rPr>
          <w:rFonts w:hint="eastAsia"/>
          <w:sz w:val="24"/>
          <w:szCs w:val="24"/>
        </w:rPr>
        <w:t>第二部分：相关研究理论基础。此部分为整篇论文研究的基础理论，首先对于分拆上市的定义与概念进行一个简单的介绍，然后对于分拆上市的三种模式作为参考部分在文章中进行一个阐述。</w:t>
      </w:r>
    </w:p>
    <w:p>
      <w:pPr>
        <w:spacing w:line="360" w:lineRule="auto"/>
        <w:ind w:firstLine="420"/>
        <w:rPr>
          <w:sz w:val="24"/>
          <w:szCs w:val="24"/>
        </w:rPr>
      </w:pPr>
      <w:r>
        <w:rPr>
          <w:rFonts w:hint="eastAsia"/>
          <w:sz w:val="24"/>
          <w:szCs w:val="24"/>
        </w:rPr>
        <w:t>第三部分：对于本次研究所选用的案例进行介绍。首先，对于本次分拆上市的两个主体——中集集团与中集车辆进行简单的公司背景介绍，然后主要对于中集集团分拆上市的动因进行了分析。</w:t>
      </w:r>
    </w:p>
    <w:p>
      <w:pPr>
        <w:spacing w:line="360" w:lineRule="auto"/>
        <w:ind w:firstLine="420"/>
        <w:rPr>
          <w:sz w:val="24"/>
          <w:szCs w:val="24"/>
        </w:rPr>
      </w:pPr>
      <w:r>
        <w:rPr>
          <w:rFonts w:hint="eastAsia"/>
          <w:sz w:val="24"/>
          <w:szCs w:val="24"/>
        </w:rPr>
        <w:t>第四部分：对于案例进行数据分析。该部分从市场绩效和财务绩效两个方面进行分析，市场绩效方面采用了股价变动和事件分析法，选用了中集集团分拆上市前后的股价变动，A</w:t>
      </w:r>
      <w:r>
        <w:rPr>
          <w:sz w:val="24"/>
          <w:szCs w:val="24"/>
        </w:rPr>
        <w:t>R</w:t>
      </w:r>
      <w:r>
        <w:rPr>
          <w:rFonts w:hint="eastAsia"/>
          <w:sz w:val="24"/>
          <w:szCs w:val="24"/>
        </w:rPr>
        <w:t>和C</w:t>
      </w:r>
      <w:r>
        <w:rPr>
          <w:sz w:val="24"/>
          <w:szCs w:val="24"/>
        </w:rPr>
        <w:t>AR</w:t>
      </w:r>
      <w:r>
        <w:rPr>
          <w:rFonts w:hint="eastAsia"/>
          <w:sz w:val="24"/>
          <w:szCs w:val="24"/>
        </w:rPr>
        <w:t>的值；财务绩效的分析方面分别从偿债能力、盈利能力、营运能力和发展能力，对中集集团和中集车辆以及整个制造业行业的财务指标进行比较。</w:t>
      </w:r>
    </w:p>
    <w:p>
      <w:pPr>
        <w:spacing w:line="360" w:lineRule="auto"/>
        <w:ind w:firstLine="420"/>
        <w:rPr>
          <w:sz w:val="24"/>
          <w:szCs w:val="24"/>
        </w:rPr>
      </w:pPr>
      <w:r>
        <w:rPr>
          <w:rFonts w:hint="eastAsia"/>
          <w:sz w:val="24"/>
          <w:szCs w:val="24"/>
        </w:rPr>
        <w:t>第五部分：研究结论。此部分对市场绩效以及财务绩效所造成的影响进行总结，也是全文研究的目的所在，并以此得出对集团的建议，也为后续其他公司未来分拆上市的道路提供了意见与参考。</w:t>
      </w:r>
    </w:p>
    <w:p>
      <w:pPr>
        <w:pStyle w:val="Heading3"/>
        <w:spacing w:before="120" w:after="120" w:line="360" w:lineRule="auto"/>
        <w:rPr>
          <w:sz w:val="24"/>
          <w:szCs w:val="24"/>
        </w:rPr>
      </w:pPr>
      <w:r>
        <w:rPr>
          <w:rFonts w:hint="eastAsia"/>
          <w:sz w:val="24"/>
          <w:szCs w:val="24"/>
        </w:rPr>
        <w:t>1</w:t>
      </w:r>
      <w:r>
        <w:rPr>
          <w:sz w:val="24"/>
          <w:szCs w:val="24"/>
        </w:rPr>
        <w:t>.3.2</w:t>
      </w:r>
      <w:r>
        <w:rPr>
          <w:rFonts w:hint="eastAsia"/>
          <w:sz w:val="24"/>
          <w:szCs w:val="24"/>
        </w:rPr>
        <w:t>研究的方法</w:t>
      </w:r>
    </w:p>
    <w:p>
      <w:pPr>
        <w:spacing w:line="360" w:lineRule="auto"/>
        <w:ind w:firstLine="420"/>
        <w:rPr>
          <w:rFonts w:ascii="宋体" w:hAnsi="宋体"/>
          <w:sz w:val="24"/>
          <w:szCs w:val="24"/>
        </w:rPr>
      </w:pPr>
      <w:r>
        <w:rPr>
          <w:rFonts w:ascii="宋体" w:hAnsi="宋体" w:hint="eastAsia"/>
          <w:sz w:val="24"/>
          <w:szCs w:val="24"/>
        </w:rPr>
        <w:t>（1）事件研究法</w:t>
      </w:r>
    </w:p>
    <w:p>
      <w:pPr>
        <w:spacing w:line="360" w:lineRule="auto"/>
        <w:ind w:firstLine="420"/>
        <w:rPr>
          <w:rFonts w:ascii="宋体"/>
          <w:color w:val="000000"/>
          <w:kern w:val="0"/>
          <w:sz w:val="24"/>
        </w:rPr>
      </w:pPr>
      <w:r>
        <w:rPr>
          <w:rFonts w:ascii="宋体" w:hint="eastAsia"/>
          <w:color w:val="000000"/>
          <w:kern w:val="0"/>
          <w:sz w:val="24"/>
        </w:rPr>
        <w:t>事件研究法的原理是根据研究目的选择特定事件，研究事件前后样本股票收益率的变化，进而说明特定事件对样本股票价格变化和收益率的影响。主要用于测试事件前后股价变化或股价对披露信息的反应程度。</w:t>
      </w:r>
    </w:p>
    <w:p>
      <w:pPr>
        <w:spacing w:line="360" w:lineRule="auto"/>
        <w:ind w:firstLine="420"/>
        <w:rPr>
          <w:rFonts w:ascii="宋体"/>
          <w:color w:val="000000"/>
          <w:kern w:val="0"/>
          <w:sz w:val="24"/>
        </w:rPr>
      </w:pPr>
      <w:r>
        <w:rPr>
          <w:rFonts w:ascii="宋体" w:hint="eastAsia"/>
          <w:color w:val="000000"/>
          <w:kern w:val="0"/>
          <w:sz w:val="24"/>
        </w:rPr>
        <w:t>本文以事件研究法来分析中集集团分拆中集车辆在港股上市的案例，使用时需要计算几个指标，例如：实际收益率、期望收益率、超额收益率、累计超额收益率等，通过这些数据的计算分析，以此直观的反映该事件对企业市场绩效的影响。</w:t>
      </w:r>
    </w:p>
    <w:p>
      <w:pPr>
        <w:spacing w:line="360" w:lineRule="auto"/>
        <w:ind w:firstLine="420"/>
        <w:rPr>
          <w:rFonts w:ascii="宋体" w:hAnsi="宋体"/>
          <w:sz w:val="24"/>
          <w:szCs w:val="24"/>
        </w:rPr>
      </w:pPr>
      <w:r>
        <w:rPr>
          <w:rFonts w:ascii="宋体" w:hAnsi="宋体" w:hint="eastAsia"/>
          <w:sz w:val="24"/>
          <w:szCs w:val="24"/>
        </w:rPr>
        <w:t>（2）财务分析法</w:t>
      </w:r>
    </w:p>
    <w:p>
      <w:pPr>
        <w:autoSpaceDE w:val="0"/>
        <w:autoSpaceDN w:val="0"/>
        <w:adjustRightInd w:val="0"/>
        <w:spacing w:line="360" w:lineRule="auto"/>
        <w:ind w:firstLine="420"/>
        <w:jc w:val="left"/>
        <w:rPr>
          <w:rFonts w:ascii="宋体"/>
          <w:color w:val="000000"/>
          <w:kern w:val="0"/>
          <w:sz w:val="24"/>
        </w:rPr>
        <w:sectPr>
          <w:footerReference w:type="even" r:id="rId15"/>
          <w:footerReference w:type="default" r:id="rId16"/>
          <w:type w:val="nextPage"/>
          <w:pgSz w:w="11906" w:h="16838"/>
          <w:pgMar w:top="1588" w:right="1418" w:bottom="1418" w:left="1418" w:header="851" w:footer="1134" w:gutter="0"/>
          <w:pgNumType w:start="5"/>
          <w:cols w:num="1" w:space="720"/>
          <w:titlePg w:val="0"/>
          <w:docGrid w:linePitch="312" w:charSpace="0"/>
        </w:sectPr>
      </w:pPr>
      <w:r>
        <w:rPr>
          <w:rFonts w:ascii="宋体" w:hint="eastAsia"/>
          <w:color w:val="000000"/>
          <w:kern w:val="0"/>
          <w:sz w:val="24"/>
        </w:rPr>
        <w:t>财务分析法主要是对于选定对象，对其三大报表进行定性和定量相结合的方进行研究分析。本文以中集集团拆分其子公司中集车辆为例，所有财务数据均来源于企业年报或者其他相关公司的公告，套入已建立的评价模型，对其相关指标进行对比分析，最后得出分拆上市对企业财务绩效的影响到底如何。</w:t>
      </w:r>
    </w:p>
    <w:p>
      <w:pPr>
        <w:pStyle w:val="Heading1"/>
        <w:spacing w:before="120" w:after="240" w:line="360" w:lineRule="auto"/>
        <w:jc w:val="center"/>
        <w:rPr>
          <w:sz w:val="36"/>
          <w:szCs w:val="36"/>
        </w:rPr>
      </w:pPr>
      <w:bookmarkStart w:id="5" w:name="_Toc105491694"/>
      <w:bookmarkStart w:id="6" w:name="_Toc71300638"/>
      <w:r>
        <w:rPr>
          <w:rFonts w:ascii="黑体" w:eastAsia="黑体" w:hAnsi="黑体"/>
          <w:sz w:val="36"/>
          <w:szCs w:val="36"/>
        </w:rPr>
        <w:t xml:space="preserve">2 </w:t>
      </w:r>
      <w:bookmarkEnd w:id="5"/>
      <w:r>
        <w:rPr>
          <w:rFonts w:ascii="黑体" w:eastAsia="黑体" w:hAnsi="黑体" w:hint="eastAsia"/>
          <w:sz w:val="36"/>
          <w:szCs w:val="36"/>
        </w:rPr>
        <w:t>相关研究的理论概述</w:t>
      </w:r>
      <w:bookmarkEnd w:id="6"/>
    </w:p>
    <w:p>
      <w:pPr>
        <w:pStyle w:val="Heading2"/>
        <w:spacing w:before="120" w:after="120" w:line="360" w:lineRule="auto"/>
        <w:rPr>
          <w:rFonts w:ascii="Times New Roman" w:hAnsi="Times New Roman"/>
          <w:sz w:val="28"/>
          <w:szCs w:val="28"/>
        </w:rPr>
      </w:pPr>
      <w:bookmarkStart w:id="7" w:name="_Toc105491695"/>
      <w:bookmarkStart w:id="8" w:name="_Toc71300639"/>
      <w:r>
        <w:rPr>
          <w:rFonts w:ascii="Times New Roman" w:hAnsi="Times New Roman"/>
          <w:sz w:val="28"/>
          <w:szCs w:val="28"/>
        </w:rPr>
        <w:t xml:space="preserve">2.1 </w:t>
      </w:r>
      <w:bookmarkEnd w:id="7"/>
      <w:r>
        <w:rPr>
          <w:rFonts w:ascii="Times New Roman" w:hAnsi="Times New Roman" w:hint="eastAsia"/>
          <w:sz w:val="28"/>
          <w:szCs w:val="28"/>
        </w:rPr>
        <w:t>分拆上市的概念</w:t>
      </w:r>
      <w:bookmarkEnd w:id="8"/>
    </w:p>
    <w:p>
      <w:pPr>
        <w:spacing w:line="360" w:lineRule="auto"/>
        <w:rPr>
          <w:sz w:val="24"/>
          <w:szCs w:val="24"/>
        </w:rPr>
      </w:pPr>
      <w:r>
        <w:tab/>
      </w:r>
      <w:r>
        <w:rPr>
          <w:rFonts w:hint="eastAsia"/>
          <w:sz w:val="24"/>
          <w:szCs w:val="24"/>
        </w:rPr>
        <w:t>分拆上市有狭义和广义之分。一般来说，分拆上市是指将上市公司或非上市集团公司从其子公司或部分业务中分离出来，单独上市；狭义的分拆上市是指上市公司或集团将其业务或子公司分拆，通过发行股票上市，实际上是一种融资手段。早在国外成熟的资本市场，分拆上市早已成为一个企业为了迅速发展其业务增加市场占有率的一个重要手段。由于分拆上市的子公司相较于原来需要更独立的进行经营活动和财务核算，其报表也需要独立进行公示，因此能更加直观的将经营状况公布给投资者，也更容易抬高公司价值。</w:t>
      </w:r>
    </w:p>
    <w:p>
      <w:pPr>
        <w:pStyle w:val="Heading2"/>
        <w:spacing w:before="120" w:after="120" w:line="360" w:lineRule="auto"/>
        <w:rPr>
          <w:b w:val="0"/>
          <w:bCs w:val="0"/>
          <w:sz w:val="28"/>
          <w:szCs w:val="28"/>
        </w:rPr>
      </w:pPr>
      <w:bookmarkStart w:id="9" w:name="_Toc71300640"/>
      <w:r>
        <w:rPr>
          <w:rFonts w:ascii="Times New Roman" w:hAnsi="Times New Roman" w:hint="eastAsia"/>
          <w:sz w:val="28"/>
          <w:szCs w:val="28"/>
        </w:rPr>
        <w:t>2.2分拆上市对公司绩效影响理论基础</w:t>
      </w:r>
      <w:bookmarkEnd w:id="9"/>
      <w:r>
        <w:rPr>
          <w:rFonts w:hint="eastAsia"/>
          <w:b w:val="0"/>
          <w:bCs w:val="0"/>
          <w:sz w:val="28"/>
          <w:szCs w:val="28"/>
        </w:rPr>
        <w:tab/>
      </w:r>
    </w:p>
    <w:p>
      <w:pPr>
        <w:pStyle w:val="Heading3"/>
        <w:spacing w:before="120" w:after="120" w:line="360" w:lineRule="auto"/>
        <w:rPr>
          <w:rFonts w:ascii="宋体" w:hAnsi="宋体"/>
          <w:sz w:val="24"/>
          <w:szCs w:val="24"/>
        </w:rPr>
      </w:pPr>
      <w:r>
        <w:rPr>
          <w:rFonts w:ascii="宋体" w:hAnsi="宋体" w:hint="eastAsia"/>
          <w:sz w:val="24"/>
          <w:szCs w:val="24"/>
        </w:rPr>
        <w:t>2</w:t>
      </w:r>
      <w:r>
        <w:rPr>
          <w:rFonts w:ascii="宋体" w:hAnsi="宋体"/>
          <w:sz w:val="24"/>
          <w:szCs w:val="24"/>
        </w:rPr>
        <w:t>.2.1</w:t>
      </w:r>
      <w:r>
        <w:rPr>
          <w:rFonts w:ascii="宋体" w:hAnsi="宋体" w:hint="eastAsia"/>
          <w:sz w:val="24"/>
          <w:szCs w:val="24"/>
        </w:rPr>
        <w:t>信息不对称理论</w:t>
      </w:r>
    </w:p>
    <w:p>
      <w:pPr>
        <w:spacing w:line="360" w:lineRule="auto"/>
        <w:rPr>
          <w:sz w:val="24"/>
          <w:szCs w:val="24"/>
        </w:rPr>
      </w:pPr>
      <w:r>
        <w:tab/>
      </w:r>
      <w:r>
        <w:rPr>
          <w:rFonts w:hint="eastAsia"/>
          <w:sz w:val="24"/>
          <w:szCs w:val="24"/>
        </w:rPr>
        <w:t>信息不对称通常是指对于处在不同市场的人群，所能获取到的信息是不一致的，掌握信息比较充分的人员，往往处于比较有利的地位，而信息匮乏的人员，则处于比较不利的地位。信息不对称的现象往往在有效的竞争市场中出现的较少，但是中国特色社会主义经济制度属于弱式有效市场，仅靠信息披露等要求很难避免信息不对称现象的出现。持有先于市场信息的人员所展现的有利地位在于可以先行对持有信息进行分析和解读，并依据信息质量和内容提前于市场作出投资决策，故为了保证证券市场的公平公正，我国通过法律限制了持有先于市场信息的人员即内幕信息知情人的行为，并对哪些人员属于内幕信息知情人做出了规定。</w:t>
      </w:r>
    </w:p>
    <w:p>
      <w:pPr>
        <w:spacing w:line="360" w:lineRule="auto"/>
        <w:rPr>
          <w:sz w:val="24"/>
          <w:szCs w:val="24"/>
        </w:rPr>
      </w:pPr>
      <w:r>
        <w:rPr>
          <w:sz w:val="24"/>
          <w:szCs w:val="24"/>
        </w:rPr>
        <w:tab/>
      </w:r>
      <w:r>
        <w:rPr>
          <w:rFonts w:hint="eastAsia"/>
          <w:sz w:val="24"/>
          <w:szCs w:val="24"/>
        </w:rPr>
        <w:t>分拆上市前，子公司的一些信息不需要披露，相关的经营情况应该只有公司内部人员以及管理层较为清楚，所以对于市场中的投资者而言，对于其价值的无法准确的评估，子公司的的价值可由于信息不对称而被低估，然而由于分拆上市，子公司的信息例如财报和重大事项的公告将会被公开，增加了资本市场中其他投资者对其信息的了解程度，同时减少了信息不对称，对其股价将会有一定的影响。因此，企业可能会因为觉得自己被低估而选择分拆上市来体现出其未被发掘的价值，同时也期望借此能够获得一定的市场溢价。</w:t>
      </w:r>
      <w:r>
        <w:rPr>
          <w:sz w:val="24"/>
          <w:szCs w:val="24"/>
        </w:rPr>
        <w:br/>
      </w:r>
      <w:r>
        <w:rPr>
          <w:sz w:val="24"/>
          <w:szCs w:val="24"/>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7" w:history="1">
        <w:r>
          <w:rPr>
            <w:rFonts w:ascii="SimSun" w:eastAsia="SimSun" w:hAnsi="SimSun" w:cs="SimSun"/>
            <w:b/>
            <w:bCs/>
            <w:color w:val="0000EE"/>
            <w:kern w:val="0"/>
            <w:sz w:val="30"/>
            <w:szCs w:val="30"/>
            <w:u w:val="single" w:color="0000EE"/>
          </w:rPr>
          <w:t>https://d.book118.com/378067131021006030</w:t>
        </w:r>
      </w:hyperlink>
    </w:p>
    <w:p>
      <w:pPr>
        <w:spacing w:line="360" w:lineRule="auto"/>
        <w:rPr>
          <w:sz w:val="24"/>
          <w:szCs w:val="24"/>
        </w:rPr>
      </w:pPr>
    </w:p>
    <w:sectPr>
      <w:footerReference w:type="even" r:id="rId18"/>
      <w:footerReference w:type="default" r:id="rId19"/>
      <w:pgSz w:w="11906" w:h="16838"/>
      <w:pgMar w:top="1588" w:right="1418" w:bottom="1418" w:left="1418" w:header="851" w:footer="1417" w:gutter="0"/>
      <w:pgNumType w:start="6"/>
      <w:cols w:num="1" w:space="720"/>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1"/>
    <w:family w:val="swiss"/>
    <w:pitch w:val="default"/>
    <w:sig w:usb0="E4002EFF" w:usb1="C200247B" w:usb2="00000009" w:usb3="00000000" w:csb0="200001FF" w:csb1="00000000"/>
  </w:font>
  <w:font w:name="Calibri Light">
    <w:panose1 w:val="020F0302020204030204"/>
    <w:charset w:val="00"/>
    <w:family w:val="swiss"/>
    <w:pitch w:val="default"/>
    <w:sig w:usb0="E4002EFF" w:usb1="C200247B" w:usb2="00000009" w:usb3="00000000" w:csb0="200001FF" w:csb1="00000000"/>
  </w:font>
  <w:font w:name="楷体_GB2312">
    <w:altName w:val="楷体"/>
    <w:panose1 w:val="00000000000000000000"/>
    <w:charset w:val="86"/>
    <w:family w:val="modern"/>
    <w:pitch w:val="default"/>
    <w:sig w:usb0="00000000" w:usb1="00000000" w:usb2="00000016" w:usb3="00000000" w:csb0="00040001" w:csb1="00000000"/>
  </w:font>
  <w:font w:name="Cambria Math">
    <w:panose1 w:val="02040503050406030204"/>
    <w:charset w:val="00"/>
    <w:family w:val="roman"/>
    <w:pitch w:val="default"/>
    <w:sig w:usb0="E00006FF" w:usb1="420024FF" w:usb2="02000000" w:usb3="00000000" w:csb0="2000019F" w:csb1="00000000"/>
  </w:font>
  <w:font w:name="微软雅黑">
    <w:panose1 w:val="020B0503020204020204"/>
    <w:charset w:val="86"/>
    <w:family w:val="swiss"/>
    <w:pitch w:val="default"/>
    <w:sig w:usb0="80000287" w:usb1="2ACF3C50" w:usb2="00000016" w:usb3="00000000" w:csb0="0004001F"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rPr>
        <w:rStyle w:val="PageNumber"/>
      </w:rPr>
    </w:pPr>
    <w:r>
      <w:fldChar w:fldCharType="begin"/>
    </w:r>
    <w:r>
      <w:rPr>
        <w:rStyle w:val="PageNumber"/>
      </w:rPr>
      <w:instrText xml:space="preserve">PAGE  </w:instrText>
    </w:r>
    <w:r>
      <w:fldChar w:fldCharType="separate"/>
    </w:r>
    <w:r>
      <w:fldChar w:fldCharType="end"/>
    </w:r>
  </w:p>
  <w:p>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spacing w:before="100" w:beforeAutospacing="1"/>
      <w:jc w:val="center"/>
    </w:pPr>
    <w:r>
      <w:rPr>
        <w:sz w:val="21"/>
        <w:szCs w:val="21"/>
      </w:rPr>
      <w:fldChar w:fldCharType="begin"/>
    </w:r>
    <w:r>
      <w:rPr>
        <w:sz w:val="21"/>
        <w:szCs w:val="21"/>
      </w:rPr>
      <w:instrText>PAGE   \* MERGEFORMAT</w:instrText>
    </w:r>
    <w:r>
      <w:rPr>
        <w:sz w:val="21"/>
        <w:szCs w:val="21"/>
      </w:rPr>
      <w:fldChar w:fldCharType="separate"/>
    </w:r>
    <w:r>
      <w:rPr>
        <w:sz w:val="21"/>
        <w:szCs w:val="21"/>
        <w:lang w:val="zh-CN"/>
      </w:rPr>
      <w:t>I</w:t>
    </w:r>
    <w:r>
      <w:rPr>
        <w:sz w:val="21"/>
        <w:szCs w:val="21"/>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rPr>
        <w:rStyle w:val="PageNumber"/>
      </w:rPr>
    </w:pPr>
    <w:r>
      <w:fldChar w:fldCharType="begin"/>
    </w:r>
    <w:r>
      <w:rPr>
        <w:rStyle w:val="PageNumber"/>
      </w:rPr>
      <w:instrText xml:space="preserve">PAGE  </w:instrText>
    </w:r>
    <w:r>
      <w:fldChar w:fldCharType="separate"/>
    </w:r>
    <w:r>
      <w:fldChar w:fldCharType="end"/>
    </w:r>
  </w:p>
  <w:p>
    <w:pPr>
      <w:pStyle w:val="Footer"/>
      <w:ind w:right="360"/>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spacing w:before="100" w:beforeAutospacing="1"/>
      <w:jc w:val="center"/>
    </w:pPr>
    <w:r>
      <w:rPr>
        <w:sz w:val="21"/>
        <w:szCs w:val="21"/>
      </w:rPr>
      <w:fldChar w:fldCharType="begin"/>
    </w:r>
    <w:r>
      <w:rPr>
        <w:sz w:val="21"/>
        <w:szCs w:val="21"/>
      </w:rPr>
      <w:instrText>PAGE   \* MERGEFORMAT</w:instrText>
    </w:r>
    <w:r>
      <w:rPr>
        <w:sz w:val="21"/>
        <w:szCs w:val="21"/>
      </w:rPr>
      <w:fldChar w:fldCharType="separate"/>
    </w:r>
    <w:r>
      <w:rPr>
        <w:sz w:val="21"/>
        <w:szCs w:val="21"/>
        <w:lang w:val="zh-CN"/>
      </w:rPr>
      <w:t>1</w:t>
    </w:r>
    <w:r>
      <w:rPr>
        <w:sz w:val="21"/>
        <w:szCs w:val="21"/>
      </w:rPr>
      <w:fldChar w:fldCharType="end"/>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rPr>
        <w:rStyle w:val="PageNumber"/>
      </w:rPr>
    </w:pPr>
    <w:r>
      <w:fldChar w:fldCharType="begin"/>
    </w:r>
    <w:r>
      <w:rPr>
        <w:rStyle w:val="PageNumber"/>
      </w:rPr>
      <w:instrText xml:space="preserve">PAGE  </w:instrText>
    </w:r>
    <w:r>
      <w:fldChar w:fldCharType="separate"/>
    </w:r>
    <w:r>
      <w:fldChar w:fldCharType="end"/>
    </w:r>
  </w:p>
  <w:p>
    <w:pPr>
      <w:pStyle w:val="Footer"/>
      <w:ind w:right="360"/>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spacing w:before="100" w:beforeAutospacing="1"/>
      <w:jc w:val="center"/>
    </w:pPr>
    <w:r>
      <w:rPr>
        <w:sz w:val="21"/>
        <w:szCs w:val="21"/>
      </w:rPr>
      <w:fldChar w:fldCharType="begin"/>
    </w:r>
    <w:r>
      <w:rPr>
        <w:sz w:val="21"/>
        <w:szCs w:val="21"/>
      </w:rPr>
      <w:instrText>PAGE   \* MERGEFORMAT</w:instrText>
    </w:r>
    <w:r>
      <w:rPr>
        <w:sz w:val="21"/>
        <w:szCs w:val="21"/>
      </w:rPr>
      <w:fldChar w:fldCharType="separate"/>
    </w:r>
    <w:r>
      <w:rPr>
        <w:sz w:val="21"/>
        <w:szCs w:val="21"/>
        <w:lang w:val="zh-CN"/>
      </w:rPr>
      <w:t>2</w:t>
    </w:r>
    <w:r>
      <w:rPr>
        <w:sz w:val="21"/>
        <w:szCs w:val="21"/>
      </w:rPr>
      <w:fldChar w:fldCharType="end"/>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rPr>
        <w:rStyle w:val="PageNumber"/>
      </w:rPr>
    </w:pPr>
    <w:r>
      <w:fldChar w:fldCharType="begin"/>
    </w:r>
    <w:r>
      <w:rPr>
        <w:rStyle w:val="PageNumber"/>
      </w:rPr>
      <w:instrText xml:space="preserve">PAGE  </w:instrText>
    </w:r>
    <w:r>
      <w:fldChar w:fldCharType="separate"/>
    </w:r>
    <w:r>
      <w:fldChar w:fldCharType="end"/>
    </w:r>
  </w:p>
  <w:p>
    <w:pPr>
      <w:pStyle w:val="Footer"/>
      <w:ind w:right="360"/>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spacing w:before="100" w:beforeAutospacing="1"/>
      <w:jc w:val="center"/>
    </w:pPr>
    <w:r>
      <w:rPr>
        <w:sz w:val="21"/>
        <w:szCs w:val="21"/>
      </w:rPr>
      <w:fldChar w:fldCharType="begin"/>
    </w:r>
    <w:r>
      <w:rPr>
        <w:sz w:val="21"/>
        <w:szCs w:val="21"/>
      </w:rPr>
      <w:instrText>PAGE   \* MERGEFORMAT</w:instrText>
    </w:r>
    <w:r>
      <w:rPr>
        <w:sz w:val="21"/>
        <w:szCs w:val="21"/>
      </w:rPr>
      <w:fldChar w:fldCharType="separate"/>
    </w:r>
    <w:r>
      <w:rPr>
        <w:sz w:val="21"/>
        <w:szCs w:val="21"/>
        <w:lang w:val="zh-CN"/>
      </w:rPr>
      <w:t>4</w:t>
    </w:r>
    <w:r>
      <w:rPr>
        <w:sz w:val="21"/>
        <w:szCs w:val="21"/>
      </w:rPr>
      <w:fldChar w:fldCharType="end"/>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rPr>
        <w:rStyle w:val="PageNumber"/>
      </w:rPr>
    </w:pPr>
    <w:r>
      <w:fldChar w:fldCharType="begin"/>
    </w:r>
    <w:r>
      <w:rPr>
        <w:rStyle w:val="PageNumber"/>
      </w:rPr>
      <w:instrText xml:space="preserve">PAGE  </w:instrText>
    </w:r>
    <w:r>
      <w:fldChar w:fldCharType="separate"/>
    </w:r>
    <w:r>
      <w:fldChar w:fldCharType="end"/>
    </w:r>
  </w:p>
  <w:p>
    <w:pPr>
      <w:pStyle w:val="Footer"/>
      <w:ind w:right="360"/>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spacing w:before="100" w:beforeAutospacing="1"/>
      <w:jc w:val="center"/>
    </w:pPr>
    <w:r>
      <w:rPr>
        <w:sz w:val="21"/>
        <w:szCs w:val="21"/>
      </w:rPr>
      <w:fldChar w:fldCharType="begin"/>
    </w:r>
    <w:r>
      <w:rPr>
        <w:sz w:val="21"/>
        <w:szCs w:val="21"/>
      </w:rPr>
      <w:instrText>PAGE   \* MERGEFORMAT</w:instrText>
    </w:r>
    <w:r>
      <w:rPr>
        <w:sz w:val="21"/>
        <w:szCs w:val="21"/>
      </w:rPr>
      <w:fldChar w:fldCharType="separate"/>
    </w:r>
    <w:r>
      <w:rPr>
        <w:sz w:val="21"/>
        <w:szCs w:val="21"/>
        <w:lang w:val="zh-CN"/>
      </w:rPr>
      <w:t>4</w:t>
    </w:r>
    <w:r>
      <w:rPr>
        <w:sz w:val="21"/>
        <w:szCs w:val="21"/>
      </w:rPr>
      <w:fldChar w:fldCharType="end"/>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rPr>
        <w:rStyle w:val="PageNumber"/>
      </w:rPr>
    </w:pPr>
    <w:r>
      <w:fldChar w:fldCharType="begin"/>
    </w:r>
    <w:r>
      <w:rPr>
        <w:rStyle w:val="PageNumber"/>
      </w:rPr>
      <w:instrText xml:space="preserve">PAGE  </w:instrText>
    </w:r>
    <w:r>
      <w:fldChar w:fldCharType="separate"/>
    </w:r>
    <w:r>
      <w:fldChar w:fldCharType="end"/>
    </w:r>
  </w:p>
  <w:p>
    <w:pPr>
      <w:pStyle w:val="Footer"/>
      <w:ind w:right="360"/>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spacing w:before="100" w:beforeAutospacing="1"/>
      <w:jc w:val="center"/>
    </w:pPr>
    <w:r>
      <w:rPr>
        <w:sz w:val="21"/>
        <w:szCs w:val="21"/>
      </w:rPr>
      <w:fldChar w:fldCharType="begin"/>
    </w:r>
    <w:r>
      <w:rPr>
        <w:sz w:val="21"/>
        <w:szCs w:val="21"/>
      </w:rPr>
      <w:instrText>PAGE   \* MERGEFORMAT</w:instrText>
    </w:r>
    <w:r>
      <w:rPr>
        <w:sz w:val="21"/>
        <w:szCs w:val="21"/>
      </w:rPr>
      <w:fldChar w:fldCharType="separate"/>
    </w:r>
    <w:r>
      <w:rPr>
        <w:sz w:val="21"/>
        <w:szCs w:val="21"/>
        <w:lang w:val="zh-CN"/>
      </w:rPr>
      <w:t>5</w:t>
    </w:r>
    <w:r>
      <w:rPr>
        <w:sz w:val="21"/>
        <w:szCs w:val="21"/>
      </w:rPr>
      <w:fldChar w:fldCharType="end"/>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rPr>
        <w:rStyle w:val="PageNumber"/>
      </w:rPr>
    </w:pPr>
    <w:r>
      <w:fldChar w:fldCharType="begin"/>
    </w:r>
    <w:r>
      <w:rPr>
        <w:rStyle w:val="PageNumber"/>
      </w:rPr>
      <w:instrText xml:space="preserve">PAGE  </w:instrText>
    </w:r>
    <w:r>
      <w:fldChar w:fldCharType="separate"/>
    </w:r>
    <w:r>
      <w:fldChar w:fldCharType="end"/>
    </w:r>
  </w:p>
  <w:p>
    <w:pPr>
      <w:pStyle w:val="Footer"/>
      <w:ind w:right="360"/>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fldChar w:fldCharType="begin"/>
    </w:r>
    <w:r>
      <w:instrText>PAGE   \* MERGEFORMAT</w:instrText>
    </w:r>
    <w:r>
      <w:fldChar w:fldCharType="separate"/>
    </w:r>
    <w:r>
      <w:rPr>
        <w:lang w:val="zh-CN"/>
      </w:rPr>
      <w:t>6</w:t>
    </w:r>
    <w:r>
      <w:fldChar w:fldCharType="end"/>
    </w:r>
  </w:p>
  <w:p>
    <w:pPr>
      <w:pStyle w:val="Footer"/>
    </w:pPr>
  </w:p>
</w:ftr>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15:person w15:author="徐 悦">
    <w15:presenceInfo w15:providerId="Windows Live" w15:userId="8f1eb9c73ce6c1ed"/>
  </w15:person>
  <w15:person w15:author="马 心宇">
    <w15:presenceInfo w15:providerId="None" w15:userId="马 心宇"/>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7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53813"/>
    <w:rsid w:val="00007ADD"/>
    <w:rsid w:val="00007DCE"/>
    <w:rsid w:val="00012A25"/>
    <w:rsid w:val="00022558"/>
    <w:rsid w:val="0002719D"/>
    <w:rsid w:val="0003043C"/>
    <w:rsid w:val="000368E5"/>
    <w:rsid w:val="00051E64"/>
    <w:rsid w:val="00055FF0"/>
    <w:rsid w:val="00057E66"/>
    <w:rsid w:val="00061E07"/>
    <w:rsid w:val="0007257E"/>
    <w:rsid w:val="00072E34"/>
    <w:rsid w:val="00082F67"/>
    <w:rsid w:val="00095E19"/>
    <w:rsid w:val="000A1BDE"/>
    <w:rsid w:val="000A633B"/>
    <w:rsid w:val="000A79AC"/>
    <w:rsid w:val="000B60AB"/>
    <w:rsid w:val="000C2DE3"/>
    <w:rsid w:val="000C4348"/>
    <w:rsid w:val="000C4D6E"/>
    <w:rsid w:val="000C5067"/>
    <w:rsid w:val="000D622E"/>
    <w:rsid w:val="000E5589"/>
    <w:rsid w:val="0010485C"/>
    <w:rsid w:val="00105F56"/>
    <w:rsid w:val="001166C1"/>
    <w:rsid w:val="001200B6"/>
    <w:rsid w:val="00120B38"/>
    <w:rsid w:val="001247B3"/>
    <w:rsid w:val="00160287"/>
    <w:rsid w:val="00170BFA"/>
    <w:rsid w:val="00172EAB"/>
    <w:rsid w:val="00175B08"/>
    <w:rsid w:val="00175E9B"/>
    <w:rsid w:val="001763EE"/>
    <w:rsid w:val="0017700F"/>
    <w:rsid w:val="0018030C"/>
    <w:rsid w:val="00185156"/>
    <w:rsid w:val="00190ACA"/>
    <w:rsid w:val="00192DCF"/>
    <w:rsid w:val="00193BFD"/>
    <w:rsid w:val="00197ECD"/>
    <w:rsid w:val="001A2AA3"/>
    <w:rsid w:val="001A65E9"/>
    <w:rsid w:val="001B47C2"/>
    <w:rsid w:val="001C3673"/>
    <w:rsid w:val="001C5508"/>
    <w:rsid w:val="001C58BF"/>
    <w:rsid w:val="001C6F7A"/>
    <w:rsid w:val="001D4643"/>
    <w:rsid w:val="001F7B48"/>
    <w:rsid w:val="00205AA0"/>
    <w:rsid w:val="00206599"/>
    <w:rsid w:val="00210F22"/>
    <w:rsid w:val="002110A7"/>
    <w:rsid w:val="00211C3A"/>
    <w:rsid w:val="0023746C"/>
    <w:rsid w:val="00243BCA"/>
    <w:rsid w:val="00244D12"/>
    <w:rsid w:val="002709E5"/>
    <w:rsid w:val="0027217E"/>
    <w:rsid w:val="00297F8F"/>
    <w:rsid w:val="002A03EB"/>
    <w:rsid w:val="002A09E9"/>
    <w:rsid w:val="002A186D"/>
    <w:rsid w:val="002A3CA5"/>
    <w:rsid w:val="002A744E"/>
    <w:rsid w:val="002B17FE"/>
    <w:rsid w:val="002B288B"/>
    <w:rsid w:val="002C0CD0"/>
    <w:rsid w:val="002C30E8"/>
    <w:rsid w:val="002E5A87"/>
    <w:rsid w:val="002F64C8"/>
    <w:rsid w:val="002F7E29"/>
    <w:rsid w:val="00300A9B"/>
    <w:rsid w:val="00300FA0"/>
    <w:rsid w:val="00306F41"/>
    <w:rsid w:val="00327BA4"/>
    <w:rsid w:val="00341342"/>
    <w:rsid w:val="00344CC2"/>
    <w:rsid w:val="0034504C"/>
    <w:rsid w:val="00351508"/>
    <w:rsid w:val="00351818"/>
    <w:rsid w:val="0035618A"/>
    <w:rsid w:val="00357D78"/>
    <w:rsid w:val="00370D13"/>
    <w:rsid w:val="00380D5A"/>
    <w:rsid w:val="003819AC"/>
    <w:rsid w:val="00384E87"/>
    <w:rsid w:val="00387A9B"/>
    <w:rsid w:val="00390FA3"/>
    <w:rsid w:val="003A12BF"/>
    <w:rsid w:val="003A213E"/>
    <w:rsid w:val="003A7D2C"/>
    <w:rsid w:val="003B1CB0"/>
    <w:rsid w:val="003D458C"/>
    <w:rsid w:val="003E10E8"/>
    <w:rsid w:val="003F34C8"/>
    <w:rsid w:val="003F3BC1"/>
    <w:rsid w:val="003F3D16"/>
    <w:rsid w:val="003F4C24"/>
    <w:rsid w:val="003F783B"/>
    <w:rsid w:val="004031DB"/>
    <w:rsid w:val="004102E7"/>
    <w:rsid w:val="00413BB6"/>
    <w:rsid w:val="00434310"/>
    <w:rsid w:val="004346DF"/>
    <w:rsid w:val="00435157"/>
    <w:rsid w:val="00445323"/>
    <w:rsid w:val="00450858"/>
    <w:rsid w:val="004544E4"/>
    <w:rsid w:val="00454729"/>
    <w:rsid w:val="00454A32"/>
    <w:rsid w:val="00455894"/>
    <w:rsid w:val="0047197C"/>
    <w:rsid w:val="00476BA0"/>
    <w:rsid w:val="0048709E"/>
    <w:rsid w:val="004933EA"/>
    <w:rsid w:val="004A6F93"/>
    <w:rsid w:val="004B1086"/>
    <w:rsid w:val="004B1428"/>
    <w:rsid w:val="004B146D"/>
    <w:rsid w:val="004B14EE"/>
    <w:rsid w:val="004C133A"/>
    <w:rsid w:val="004C22BA"/>
    <w:rsid w:val="004E3135"/>
    <w:rsid w:val="004E315D"/>
    <w:rsid w:val="004F4EF8"/>
    <w:rsid w:val="004F5641"/>
    <w:rsid w:val="005006E2"/>
    <w:rsid w:val="00500A12"/>
    <w:rsid w:val="00521FC0"/>
    <w:rsid w:val="00527A1F"/>
    <w:rsid w:val="005364F2"/>
    <w:rsid w:val="00537C13"/>
    <w:rsid w:val="0054252F"/>
    <w:rsid w:val="00545F44"/>
    <w:rsid w:val="005559AE"/>
    <w:rsid w:val="00562CB4"/>
    <w:rsid w:val="0056374D"/>
    <w:rsid w:val="0056561F"/>
    <w:rsid w:val="005723F7"/>
    <w:rsid w:val="005764CD"/>
    <w:rsid w:val="005776EF"/>
    <w:rsid w:val="00582D30"/>
    <w:rsid w:val="00586AE1"/>
    <w:rsid w:val="00593105"/>
    <w:rsid w:val="00596AA3"/>
    <w:rsid w:val="005B0590"/>
    <w:rsid w:val="005B32B9"/>
    <w:rsid w:val="005B5B41"/>
    <w:rsid w:val="005C01BF"/>
    <w:rsid w:val="005C5C58"/>
    <w:rsid w:val="005D45DF"/>
    <w:rsid w:val="005E2C2D"/>
    <w:rsid w:val="005E472E"/>
    <w:rsid w:val="005E66E4"/>
    <w:rsid w:val="005F1BDF"/>
    <w:rsid w:val="005F2A92"/>
    <w:rsid w:val="005F6EB2"/>
    <w:rsid w:val="00601F9A"/>
    <w:rsid w:val="00603ADB"/>
    <w:rsid w:val="0060772B"/>
    <w:rsid w:val="00611638"/>
    <w:rsid w:val="00611CAD"/>
    <w:rsid w:val="006121CE"/>
    <w:rsid w:val="00613600"/>
    <w:rsid w:val="00621334"/>
    <w:rsid w:val="00623FEF"/>
    <w:rsid w:val="006256FD"/>
    <w:rsid w:val="00636728"/>
    <w:rsid w:val="00636A6B"/>
    <w:rsid w:val="00637530"/>
    <w:rsid w:val="006425D5"/>
    <w:rsid w:val="00656A6D"/>
    <w:rsid w:val="0066045C"/>
    <w:rsid w:val="0066333A"/>
    <w:rsid w:val="0066351E"/>
    <w:rsid w:val="00663F8A"/>
    <w:rsid w:val="00666BA4"/>
    <w:rsid w:val="0066786D"/>
    <w:rsid w:val="00671213"/>
    <w:rsid w:val="00671B5F"/>
    <w:rsid w:val="006724F0"/>
    <w:rsid w:val="0067379F"/>
    <w:rsid w:val="00682E83"/>
    <w:rsid w:val="00683479"/>
    <w:rsid w:val="0068437E"/>
    <w:rsid w:val="00685F88"/>
    <w:rsid w:val="006904DA"/>
    <w:rsid w:val="00697A93"/>
    <w:rsid w:val="006A406A"/>
    <w:rsid w:val="006A7BD3"/>
    <w:rsid w:val="006B2F59"/>
    <w:rsid w:val="006B4E13"/>
    <w:rsid w:val="006B510D"/>
    <w:rsid w:val="006B78C2"/>
    <w:rsid w:val="006C1D4A"/>
    <w:rsid w:val="006C27F9"/>
    <w:rsid w:val="006C5041"/>
    <w:rsid w:val="006E2509"/>
    <w:rsid w:val="006E3DF7"/>
    <w:rsid w:val="006F6DC9"/>
    <w:rsid w:val="00703007"/>
    <w:rsid w:val="00705018"/>
    <w:rsid w:val="00705E5B"/>
    <w:rsid w:val="00712148"/>
    <w:rsid w:val="00712263"/>
    <w:rsid w:val="007160E5"/>
    <w:rsid w:val="007218E5"/>
    <w:rsid w:val="00725172"/>
    <w:rsid w:val="00731EAD"/>
    <w:rsid w:val="00753813"/>
    <w:rsid w:val="007568C3"/>
    <w:rsid w:val="007656CC"/>
    <w:rsid w:val="00766784"/>
    <w:rsid w:val="00772EC8"/>
    <w:rsid w:val="00773E3B"/>
    <w:rsid w:val="0077753D"/>
    <w:rsid w:val="00781D1F"/>
    <w:rsid w:val="00782D09"/>
    <w:rsid w:val="00783842"/>
    <w:rsid w:val="007860DB"/>
    <w:rsid w:val="00787199"/>
    <w:rsid w:val="00793D07"/>
    <w:rsid w:val="007957A6"/>
    <w:rsid w:val="00795D41"/>
    <w:rsid w:val="007B5DD3"/>
    <w:rsid w:val="007C4CA1"/>
    <w:rsid w:val="007D5459"/>
    <w:rsid w:val="007D582D"/>
    <w:rsid w:val="007D620E"/>
    <w:rsid w:val="007E295B"/>
    <w:rsid w:val="007E70D4"/>
    <w:rsid w:val="008017D1"/>
    <w:rsid w:val="00803BB4"/>
    <w:rsid w:val="00804950"/>
    <w:rsid w:val="00805AFA"/>
    <w:rsid w:val="00817CC7"/>
    <w:rsid w:val="00823E71"/>
    <w:rsid w:val="0082523C"/>
    <w:rsid w:val="00833138"/>
    <w:rsid w:val="00834FE0"/>
    <w:rsid w:val="00841FE3"/>
    <w:rsid w:val="00843602"/>
    <w:rsid w:val="0084505B"/>
    <w:rsid w:val="00845A5E"/>
    <w:rsid w:val="008553B5"/>
    <w:rsid w:val="008620B9"/>
    <w:rsid w:val="00863E52"/>
    <w:rsid w:val="0086548F"/>
    <w:rsid w:val="0088029D"/>
    <w:rsid w:val="00880B55"/>
    <w:rsid w:val="008819BC"/>
    <w:rsid w:val="00884AEB"/>
    <w:rsid w:val="008A3F7C"/>
    <w:rsid w:val="008A79B9"/>
    <w:rsid w:val="008B174C"/>
    <w:rsid w:val="008B6C19"/>
    <w:rsid w:val="008C1011"/>
    <w:rsid w:val="008C2393"/>
    <w:rsid w:val="008C315F"/>
    <w:rsid w:val="008D5EFA"/>
    <w:rsid w:val="008E7023"/>
    <w:rsid w:val="008F0E90"/>
    <w:rsid w:val="008F1B02"/>
    <w:rsid w:val="008F2AF5"/>
    <w:rsid w:val="008F578F"/>
    <w:rsid w:val="008F5FA3"/>
    <w:rsid w:val="00902DA7"/>
    <w:rsid w:val="00912C14"/>
    <w:rsid w:val="00931595"/>
    <w:rsid w:val="00946B11"/>
    <w:rsid w:val="0095132A"/>
    <w:rsid w:val="009542D5"/>
    <w:rsid w:val="00960687"/>
    <w:rsid w:val="009660C7"/>
    <w:rsid w:val="009664EC"/>
    <w:rsid w:val="00971C94"/>
    <w:rsid w:val="00980AED"/>
    <w:rsid w:val="009906F2"/>
    <w:rsid w:val="0099519D"/>
    <w:rsid w:val="00996F67"/>
    <w:rsid w:val="009A04A8"/>
    <w:rsid w:val="009A331E"/>
    <w:rsid w:val="009A4F3C"/>
    <w:rsid w:val="009B106B"/>
    <w:rsid w:val="009B4BF6"/>
    <w:rsid w:val="009C37B7"/>
    <w:rsid w:val="009D5405"/>
    <w:rsid w:val="009D5DE3"/>
    <w:rsid w:val="009E1F87"/>
    <w:rsid w:val="009E28ED"/>
    <w:rsid w:val="009E2B02"/>
    <w:rsid w:val="009E3364"/>
    <w:rsid w:val="009E74A3"/>
    <w:rsid w:val="009F53F6"/>
    <w:rsid w:val="009F6938"/>
    <w:rsid w:val="00A11403"/>
    <w:rsid w:val="00A116B9"/>
    <w:rsid w:val="00A147EA"/>
    <w:rsid w:val="00A14D7F"/>
    <w:rsid w:val="00A26F2A"/>
    <w:rsid w:val="00A32686"/>
    <w:rsid w:val="00A4261E"/>
    <w:rsid w:val="00A444F7"/>
    <w:rsid w:val="00A44C46"/>
    <w:rsid w:val="00A500E9"/>
    <w:rsid w:val="00A50BE5"/>
    <w:rsid w:val="00A53930"/>
    <w:rsid w:val="00A54685"/>
    <w:rsid w:val="00A72E73"/>
    <w:rsid w:val="00A7317D"/>
    <w:rsid w:val="00A74AD3"/>
    <w:rsid w:val="00A77008"/>
    <w:rsid w:val="00A771D4"/>
    <w:rsid w:val="00A778EC"/>
    <w:rsid w:val="00A77A0B"/>
    <w:rsid w:val="00A81356"/>
    <w:rsid w:val="00A85FEF"/>
    <w:rsid w:val="00AB0A44"/>
    <w:rsid w:val="00AB39C3"/>
    <w:rsid w:val="00AB5734"/>
    <w:rsid w:val="00AC2223"/>
    <w:rsid w:val="00AC34C5"/>
    <w:rsid w:val="00AC48D5"/>
    <w:rsid w:val="00AD4341"/>
    <w:rsid w:val="00AD770D"/>
    <w:rsid w:val="00AE0A44"/>
    <w:rsid w:val="00AE10E9"/>
    <w:rsid w:val="00AE1CBE"/>
    <w:rsid w:val="00AE2375"/>
    <w:rsid w:val="00AE27D7"/>
    <w:rsid w:val="00AE5341"/>
    <w:rsid w:val="00AE5EDD"/>
    <w:rsid w:val="00AF00AD"/>
    <w:rsid w:val="00AF2583"/>
    <w:rsid w:val="00AF3DA9"/>
    <w:rsid w:val="00AF6559"/>
    <w:rsid w:val="00B26E5C"/>
    <w:rsid w:val="00B3131C"/>
    <w:rsid w:val="00B35F85"/>
    <w:rsid w:val="00B37009"/>
    <w:rsid w:val="00B42B70"/>
    <w:rsid w:val="00B47327"/>
    <w:rsid w:val="00B532CC"/>
    <w:rsid w:val="00B61B5A"/>
    <w:rsid w:val="00B710AF"/>
    <w:rsid w:val="00B75AE7"/>
    <w:rsid w:val="00B774C8"/>
    <w:rsid w:val="00B8265F"/>
    <w:rsid w:val="00B82AB5"/>
    <w:rsid w:val="00B90F84"/>
    <w:rsid w:val="00B919EA"/>
    <w:rsid w:val="00B94730"/>
    <w:rsid w:val="00BA618D"/>
    <w:rsid w:val="00BA6590"/>
    <w:rsid w:val="00BA7950"/>
    <w:rsid w:val="00BB0F93"/>
    <w:rsid w:val="00BB3C39"/>
    <w:rsid w:val="00BB4E67"/>
    <w:rsid w:val="00BC3821"/>
    <w:rsid w:val="00BD1032"/>
    <w:rsid w:val="00BD2329"/>
    <w:rsid w:val="00BD77E6"/>
    <w:rsid w:val="00BE0E4C"/>
    <w:rsid w:val="00BE1536"/>
    <w:rsid w:val="00BF13F9"/>
    <w:rsid w:val="00BF33A5"/>
    <w:rsid w:val="00C00393"/>
    <w:rsid w:val="00C02199"/>
    <w:rsid w:val="00C028CC"/>
    <w:rsid w:val="00C07104"/>
    <w:rsid w:val="00C2032E"/>
    <w:rsid w:val="00C20E08"/>
    <w:rsid w:val="00C220F6"/>
    <w:rsid w:val="00C22128"/>
    <w:rsid w:val="00C23B50"/>
    <w:rsid w:val="00C24532"/>
    <w:rsid w:val="00C30F83"/>
    <w:rsid w:val="00C3224A"/>
    <w:rsid w:val="00C334DB"/>
    <w:rsid w:val="00C450B9"/>
    <w:rsid w:val="00C4745D"/>
    <w:rsid w:val="00C53CCB"/>
    <w:rsid w:val="00C60422"/>
    <w:rsid w:val="00C62026"/>
    <w:rsid w:val="00C835B5"/>
    <w:rsid w:val="00C87688"/>
    <w:rsid w:val="00C93736"/>
    <w:rsid w:val="00C93886"/>
    <w:rsid w:val="00CA59A0"/>
    <w:rsid w:val="00CA5ECA"/>
    <w:rsid w:val="00CB285D"/>
    <w:rsid w:val="00CB331E"/>
    <w:rsid w:val="00CB3F86"/>
    <w:rsid w:val="00CB75EE"/>
    <w:rsid w:val="00CC2767"/>
    <w:rsid w:val="00CC3B80"/>
    <w:rsid w:val="00CC454D"/>
    <w:rsid w:val="00CC50E7"/>
    <w:rsid w:val="00CD5E3F"/>
    <w:rsid w:val="00CD723D"/>
    <w:rsid w:val="00CD7C4D"/>
    <w:rsid w:val="00CF013A"/>
    <w:rsid w:val="00D04E34"/>
    <w:rsid w:val="00D11594"/>
    <w:rsid w:val="00D21E4A"/>
    <w:rsid w:val="00D228AE"/>
    <w:rsid w:val="00D27136"/>
    <w:rsid w:val="00D27A17"/>
    <w:rsid w:val="00D3078A"/>
    <w:rsid w:val="00D32A1F"/>
    <w:rsid w:val="00D333EB"/>
    <w:rsid w:val="00D3465B"/>
    <w:rsid w:val="00D542A2"/>
    <w:rsid w:val="00D653F2"/>
    <w:rsid w:val="00D66D38"/>
    <w:rsid w:val="00D7540F"/>
    <w:rsid w:val="00D9244C"/>
    <w:rsid w:val="00DA6E13"/>
    <w:rsid w:val="00DA7728"/>
    <w:rsid w:val="00DB3E57"/>
    <w:rsid w:val="00DB7907"/>
    <w:rsid w:val="00DC3449"/>
    <w:rsid w:val="00DC3C47"/>
    <w:rsid w:val="00DC3C7A"/>
    <w:rsid w:val="00DE1805"/>
    <w:rsid w:val="00DE4796"/>
    <w:rsid w:val="00DF1341"/>
    <w:rsid w:val="00DF2CBB"/>
    <w:rsid w:val="00E07C39"/>
    <w:rsid w:val="00E100E8"/>
    <w:rsid w:val="00E14619"/>
    <w:rsid w:val="00E231CB"/>
    <w:rsid w:val="00E275F1"/>
    <w:rsid w:val="00E50006"/>
    <w:rsid w:val="00E512A7"/>
    <w:rsid w:val="00E5248F"/>
    <w:rsid w:val="00E52B5E"/>
    <w:rsid w:val="00E5509A"/>
    <w:rsid w:val="00E62C77"/>
    <w:rsid w:val="00E6544F"/>
    <w:rsid w:val="00E657DC"/>
    <w:rsid w:val="00E703E7"/>
    <w:rsid w:val="00E83F78"/>
    <w:rsid w:val="00E87D81"/>
    <w:rsid w:val="00E915DE"/>
    <w:rsid w:val="00EB54E4"/>
    <w:rsid w:val="00EC01E8"/>
    <w:rsid w:val="00EC2208"/>
    <w:rsid w:val="00EC5E97"/>
    <w:rsid w:val="00EC7D60"/>
    <w:rsid w:val="00ED5675"/>
    <w:rsid w:val="00EE4BAF"/>
    <w:rsid w:val="00EE7A69"/>
    <w:rsid w:val="00EF0061"/>
    <w:rsid w:val="00F0163A"/>
    <w:rsid w:val="00F025BC"/>
    <w:rsid w:val="00F04AB0"/>
    <w:rsid w:val="00F053AE"/>
    <w:rsid w:val="00F1249D"/>
    <w:rsid w:val="00F129E3"/>
    <w:rsid w:val="00F148BD"/>
    <w:rsid w:val="00F21218"/>
    <w:rsid w:val="00F246AD"/>
    <w:rsid w:val="00F36F56"/>
    <w:rsid w:val="00F37A09"/>
    <w:rsid w:val="00F42ABB"/>
    <w:rsid w:val="00F42CEC"/>
    <w:rsid w:val="00F470C4"/>
    <w:rsid w:val="00F47581"/>
    <w:rsid w:val="00F5183C"/>
    <w:rsid w:val="00F65A8E"/>
    <w:rsid w:val="00F66E40"/>
    <w:rsid w:val="00F67234"/>
    <w:rsid w:val="00F720E2"/>
    <w:rsid w:val="00F8089B"/>
    <w:rsid w:val="00F80AB1"/>
    <w:rsid w:val="00F836EA"/>
    <w:rsid w:val="00F83FFA"/>
    <w:rsid w:val="00F85AF7"/>
    <w:rsid w:val="00F862AA"/>
    <w:rsid w:val="00F86461"/>
    <w:rsid w:val="00F90363"/>
    <w:rsid w:val="00F94506"/>
    <w:rsid w:val="00FA4200"/>
    <w:rsid w:val="00FB4259"/>
    <w:rsid w:val="00FB44AE"/>
    <w:rsid w:val="00FC192F"/>
    <w:rsid w:val="00FC4E6D"/>
    <w:rsid w:val="00FD62CB"/>
    <w:rsid w:val="00FE64B8"/>
    <w:rsid w:val="00FE6DB4"/>
    <w:rsid w:val="00FE7C8B"/>
    <w:rsid w:val="00FF6FF2"/>
    <w:rsid w:val="00FF7631"/>
    <w:rsid w:val="06094739"/>
    <w:rsid w:val="08301A1A"/>
    <w:rsid w:val="0B405FAD"/>
    <w:rsid w:val="10653283"/>
    <w:rsid w:val="11E90FB0"/>
    <w:rsid w:val="17A46194"/>
    <w:rsid w:val="1D031416"/>
    <w:rsid w:val="2EE00E3F"/>
    <w:rsid w:val="3BCE6860"/>
    <w:rsid w:val="3CDE73F4"/>
    <w:rsid w:val="3FEB2462"/>
    <w:rsid w:val="499532DB"/>
    <w:rsid w:val="4A2E7C91"/>
    <w:rsid w:val="56D73AE7"/>
    <w:rsid w:val="5A6725C5"/>
    <w:rsid w:val="5A880554"/>
    <w:rsid w:val="62693832"/>
    <w:rsid w:val="68593E84"/>
    <w:rsid w:val="6E382D8E"/>
    <w:rsid w:val="7026053E"/>
    <w:rsid w:val="71DD4135"/>
  </w:rsids>
  <w:docVars>
    <w:docVar w:name="commondata" w:val="eyJoZGlkIjoiNWFhMWI5MDQwNDBiYWI1ZmY5ZTQxYWNiYzY0MTdmZDA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39" w:unhideWhenUsed="0" w:qFormat="1"/>
    <w:lsdException w:name="toc 2" w:semiHidden="0" w:uiPriority="39" w:unhideWhenUsed="0" w:qFormat="1"/>
    <w:lsdException w:name="toc 3" w:semiHidden="0" w:uiPriority="39"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qFormat="1"/>
    <w:lsdException w:name="footer" w:semiHidden="0" w:unhideWhenUsed="0" w:qFormat="1"/>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uiPriority="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qFormat="1"/>
    <w:lsdException w:name="annotation subject" w:uiPriority="0"/>
    <w:lsdException w:name="Table Simple 1" w:uiPriority="0"/>
    <w:lsdException w:name="Table Simple 2" w:uiPriority="0"/>
    <w:lsdException w:name="Table Simple 3" w:uiPriority="0"/>
    <w:lsdException w:name="Table Classic 1" w:uiPriority="0"/>
    <w:lsdException w:name="Table Classic 2" w:uiPriority="0"/>
    <w:lsdException w:name="Table Classic 3" w:uiPriority="0"/>
    <w:lsdException w:name="Table Classic 4" w:uiPriority="0"/>
    <w:lsdException w:name="Table Colorful 1" w:uiPriority="0"/>
    <w:lsdException w:name="Table Colorful 2" w:uiPriority="0"/>
    <w:lsdException w:name="Table Colorful 3" w:uiPriority="0"/>
    <w:lsdException w:name="Table Columns 1" w:uiPriority="0"/>
    <w:lsdException w:name="Table Columns 2" w:uiPriority="0"/>
    <w:lsdException w:name="Table Columns 3" w:uiPriority="0"/>
    <w:lsdException w:name="Table Columns 4" w:uiPriority="0"/>
    <w:lsdException w:name="Table Columns 5" w:uiPriority="0"/>
    <w:lsdException w:name="Table Grid 1" w:uiPriority="0"/>
    <w:lsdException w:name="Table Grid 2" w:uiPriority="0"/>
    <w:lsdException w:name="Table Grid 3" w:uiPriority="0"/>
    <w:lsdException w:name="Table Grid 4" w:uiPriority="0"/>
    <w:lsdException w:name="Table Grid 5" w:uiPriority="0"/>
    <w:lsdException w:name="Table Grid 6" w:uiPriority="0"/>
    <w:lsdException w:name="Table Grid 7" w:uiPriority="0"/>
    <w:lsdException w:name="Table Grid 8" w:uiPriority="0"/>
    <w:lsdException w:name="Table List 1" w:uiPriority="0"/>
    <w:lsdException w:name="Table List 2" w:uiPriority="0"/>
    <w:lsdException w:name="Table List 3" w:uiPriority="0"/>
    <w:lsdException w:name="Table List 4" w:uiPriority="0"/>
    <w:lsdException w:name="Table List 5" w:uiPriority="0"/>
    <w:lsdException w:name="Table List 6" w:uiPriority="0"/>
    <w:lsdException w:name="Table List 7" w:uiPriority="0"/>
    <w:lsdException w:name="Table List 8" w:uiPriority="0"/>
    <w:lsdException w:name="Table 3D effects 1" w:uiPriority="0"/>
    <w:lsdException w:name="Table 3D effects 2" w:uiPriority="0"/>
    <w:lsdException w:name="Table 3D effects 3" w:uiPriority="0"/>
    <w:lsdException w:name="Table Contemporary" w:uiPriority="0"/>
    <w:lsdException w:name="Table Elegant" w:uiPriority="0"/>
    <w:lsdException w:name="Table Professional" w:uiPriority="0"/>
    <w:lsdException w:name="Table Subtle 1" w:uiPriority="0"/>
    <w:lsdException w:name="Table Subtle 2" w:uiPriority="0"/>
    <w:lsdException w:name="Table Web 1" w:uiPriority="0"/>
    <w:lsdException w:name="Table Web 2" w:uiPriority="0"/>
    <w:lsdException w:name="Table Web 3" w:uiPriority="0"/>
    <w:lsdException w:name="Balloon Text" w:uiPriority="0" w:qFormat="1"/>
    <w:lsdException w:name="Table Grid" w:semiHidden="0" w:uiPriority="0" w:unhideWhenUsed="0"/>
    <w:lsdException w:name="Table Theme" w:uiPriority="0"/>
    <w:lsdException w:name="Placeholder Text" w:semiHidden="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imes New Roman" w:eastAsia="宋体" w:hAnsi="Times New Roman" w:cs="Times New Roman"/>
      <w:kern w:val="2"/>
      <w:sz w:val="21"/>
      <w:lang w:val="en-US" w:eastAsia="zh-CN" w:bidi="ar-SA"/>
    </w:rPr>
  </w:style>
  <w:style w:type="paragraph" w:styleId="Heading1">
    <w:name w:val="heading 1"/>
    <w:basedOn w:val="Normal"/>
    <w:next w:val="Normal"/>
    <w:link w:val="1"/>
    <w:qFormat/>
    <w:pPr>
      <w:keepNext/>
      <w:keepLines/>
      <w:spacing w:before="340" w:after="330" w:line="576" w:lineRule="auto"/>
      <w:outlineLvl w:val="0"/>
    </w:pPr>
    <w:rPr>
      <w:b/>
      <w:kern w:val="44"/>
      <w:sz w:val="44"/>
    </w:rPr>
  </w:style>
  <w:style w:type="paragraph" w:styleId="Heading2">
    <w:name w:val="heading 2"/>
    <w:basedOn w:val="Normal"/>
    <w:next w:val="Normal"/>
    <w:link w:val="2"/>
    <w:qFormat/>
    <w:pPr>
      <w:keepNext/>
      <w:keepLines/>
      <w:spacing w:before="260" w:after="260" w:line="416" w:lineRule="auto"/>
      <w:outlineLvl w:val="1"/>
    </w:pPr>
    <w:rPr>
      <w:rFonts w:ascii="Calibri Light" w:hAnsi="Calibri Light"/>
      <w:b/>
      <w:bCs/>
      <w:sz w:val="32"/>
      <w:szCs w:val="32"/>
    </w:rPr>
  </w:style>
  <w:style w:type="paragraph" w:styleId="Heading3">
    <w:name w:val="heading 3"/>
    <w:basedOn w:val="Normal"/>
    <w:next w:val="Normal"/>
    <w:link w:val="3"/>
    <w:qFormat/>
    <w:pPr>
      <w:keepNext/>
      <w:keepLines/>
      <w:spacing w:before="260" w:after="260" w:line="416" w:lineRule="auto"/>
      <w:outlineLvl w:val="2"/>
    </w:pPr>
    <w:rPr>
      <w:b/>
      <w:bCs/>
      <w:sz w:val="32"/>
      <w:szCs w:val="32"/>
    </w:rPr>
  </w:style>
  <w:style w:type="character" w:default="1" w:styleId="DefaultParagraphFont">
    <w:name w:val="Default Paragraph Font"/>
    <w:uiPriority w:val="1"/>
    <w:semiHidden/>
    <w:unhideWhenUsed/>
  </w:style>
  <w:style w:type="table" w:default="1" w:styleId="TableNormal">
    <w:name w:val="Normal Table"/>
    <w:autoRedefine/>
    <w:uiPriority w:val="99"/>
    <w:semiHidden/>
    <w:unhideWhenUsed/>
    <w:qFormat/>
    <w:tblPr>
      <w:tblCellMar>
        <w:top w:w="0" w:type="dxa"/>
        <w:left w:w="108" w:type="dxa"/>
        <w:bottom w:w="0" w:type="dxa"/>
        <w:right w:w="108" w:type="dxa"/>
      </w:tblCellMar>
    </w:tblPr>
  </w:style>
  <w:style w:type="paragraph" w:styleId="CommentText">
    <w:name w:val="annotation text"/>
    <w:basedOn w:val="Normal"/>
    <w:link w:val="a2"/>
    <w:pPr>
      <w:jc w:val="left"/>
    </w:pPr>
  </w:style>
  <w:style w:type="paragraph" w:styleId="TOC3">
    <w:name w:val="toc 3"/>
    <w:basedOn w:val="Normal"/>
    <w:next w:val="Normal"/>
    <w:uiPriority w:val="39"/>
    <w:pPr>
      <w:ind w:left="840" w:leftChars="400"/>
    </w:pPr>
  </w:style>
  <w:style w:type="paragraph" w:styleId="Date">
    <w:name w:val="Date"/>
    <w:basedOn w:val="Normal"/>
    <w:next w:val="Normal"/>
    <w:link w:val="a1"/>
    <w:pPr>
      <w:ind w:left="100" w:leftChars="2500"/>
    </w:pPr>
  </w:style>
  <w:style w:type="paragraph" w:styleId="BodyTextIndent2">
    <w:name w:val="Body Text Indent 2"/>
    <w:basedOn w:val="Normal"/>
    <w:link w:val="20"/>
    <w:pPr>
      <w:spacing w:line="420" w:lineRule="exact"/>
      <w:ind w:firstLine="480" w:firstLineChars="200"/>
    </w:pPr>
    <w:rPr>
      <w:sz w:val="24"/>
    </w:rPr>
  </w:style>
  <w:style w:type="paragraph" w:styleId="BalloonText">
    <w:name w:val="Balloon Text"/>
    <w:basedOn w:val="Normal"/>
    <w:link w:val="a4"/>
    <w:autoRedefine/>
    <w:semiHidden/>
    <w:unhideWhenUsed/>
    <w:qFormat/>
    <w:rPr>
      <w:sz w:val="18"/>
      <w:szCs w:val="18"/>
    </w:rPr>
  </w:style>
  <w:style w:type="paragraph" w:styleId="Footer">
    <w:name w:val="footer"/>
    <w:basedOn w:val="Normal"/>
    <w:link w:val="a0"/>
    <w:autoRedefine/>
    <w:uiPriority w:val="99"/>
    <w:qFormat/>
    <w:pPr>
      <w:tabs>
        <w:tab w:val="center" w:pos="4153"/>
        <w:tab w:val="right" w:pos="8306"/>
      </w:tabs>
      <w:snapToGrid w:val="0"/>
      <w:jc w:val="left"/>
    </w:pPr>
    <w:rPr>
      <w:sz w:val="18"/>
    </w:rPr>
  </w:style>
  <w:style w:type="paragraph" w:styleId="Header">
    <w:name w:val="header"/>
    <w:basedOn w:val="Normal"/>
    <w:link w:val="a"/>
    <w:qFormat/>
    <w:pPr>
      <w:pBdr>
        <w:bottom w:val="single" w:sz="6" w:space="1" w:color="auto"/>
      </w:pBdr>
      <w:tabs>
        <w:tab w:val="center" w:pos="4153"/>
        <w:tab w:val="right" w:pos="8306"/>
      </w:tabs>
      <w:snapToGrid w:val="0"/>
      <w:jc w:val="center"/>
    </w:pPr>
    <w:rPr>
      <w:sz w:val="18"/>
    </w:rPr>
  </w:style>
  <w:style w:type="paragraph" w:styleId="TOC1">
    <w:name w:val="toc 1"/>
    <w:basedOn w:val="Normal"/>
    <w:next w:val="Normal"/>
    <w:uiPriority w:val="39"/>
    <w:qFormat/>
    <w:pPr>
      <w:spacing w:before="120" w:after="120"/>
      <w:jc w:val="center"/>
      <w:outlineLvl w:val="0"/>
    </w:pPr>
    <w:rPr>
      <w:rFonts w:ascii="黑体" w:eastAsia="黑体"/>
      <w:b/>
      <w:caps/>
      <w:sz w:val="32"/>
    </w:rPr>
  </w:style>
  <w:style w:type="paragraph" w:styleId="TOC2">
    <w:name w:val="toc 2"/>
    <w:basedOn w:val="Normal"/>
    <w:next w:val="Normal"/>
    <w:uiPriority w:val="39"/>
    <w:qFormat/>
    <w:pPr>
      <w:ind w:left="210"/>
      <w:jc w:val="left"/>
    </w:pPr>
    <w:rPr>
      <w:smallCaps/>
      <w:sz w:val="20"/>
    </w:rPr>
  </w:style>
  <w:style w:type="paragraph" w:styleId="CommentSubject">
    <w:name w:val="annotation subject"/>
    <w:basedOn w:val="CommentText"/>
    <w:next w:val="CommentText"/>
    <w:link w:val="a3"/>
    <w:semiHidden/>
    <w:unhideWhenUsed/>
    <w:rPr>
      <w:b/>
      <w:bCs/>
    </w:rPr>
  </w:style>
  <w:style w:type="table" w:styleId="TableGrid">
    <w:name w:val="Table Grid"/>
    <w:basedOn w:val="TableNormal"/>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ageNumber">
    <w:name w:val="page number"/>
  </w:style>
  <w:style w:type="character" w:styleId="Hyperlink">
    <w:name w:val="Hyperlink"/>
    <w:uiPriority w:val="99"/>
    <w:rPr>
      <w:color w:val="0000FF"/>
      <w:u w:val="single"/>
    </w:rPr>
  </w:style>
  <w:style w:type="character" w:styleId="CommentReference">
    <w:name w:val="annotation reference"/>
    <w:basedOn w:val="DefaultParagraphFont"/>
    <w:rPr>
      <w:sz w:val="21"/>
      <w:szCs w:val="21"/>
    </w:rPr>
  </w:style>
  <w:style w:type="character" w:customStyle="1" w:styleId="a">
    <w:name w:val="页眉 字符"/>
    <w:link w:val="Header"/>
    <w:autoRedefine/>
    <w:qFormat/>
    <w:rPr>
      <w:rFonts w:eastAsia="宋体"/>
      <w:kern w:val="2"/>
      <w:sz w:val="18"/>
      <w:lang w:val="en-US" w:eastAsia="zh-CN" w:bidi="ar-SA"/>
    </w:rPr>
  </w:style>
  <w:style w:type="character" w:customStyle="1" w:styleId="1">
    <w:name w:val="标题 1 字符"/>
    <w:link w:val="Heading1"/>
    <w:autoRedefine/>
    <w:qFormat/>
    <w:rPr>
      <w:rFonts w:eastAsia="宋体"/>
      <w:b/>
      <w:kern w:val="44"/>
      <w:sz w:val="44"/>
      <w:lang w:val="en-US" w:eastAsia="zh-CN" w:bidi="ar-SA"/>
    </w:rPr>
  </w:style>
  <w:style w:type="character" w:customStyle="1" w:styleId="a0">
    <w:name w:val="页脚 字符"/>
    <w:link w:val="Footer"/>
    <w:uiPriority w:val="99"/>
    <w:qFormat/>
    <w:rPr>
      <w:rFonts w:eastAsia="宋体"/>
      <w:kern w:val="2"/>
      <w:sz w:val="18"/>
      <w:lang w:val="en-US" w:eastAsia="zh-CN" w:bidi="ar-SA"/>
    </w:rPr>
  </w:style>
  <w:style w:type="character" w:customStyle="1" w:styleId="a1">
    <w:name w:val="日期 字符"/>
    <w:link w:val="Date"/>
    <w:rPr>
      <w:kern w:val="2"/>
      <w:sz w:val="21"/>
    </w:rPr>
  </w:style>
  <w:style w:type="character" w:customStyle="1" w:styleId="2">
    <w:name w:val="标题 2 字符"/>
    <w:link w:val="Heading2"/>
    <w:semiHidden/>
    <w:qFormat/>
    <w:rPr>
      <w:rFonts w:ascii="Calibri Light" w:eastAsia="宋体" w:hAnsi="Calibri Light" w:cs="Times New Roman"/>
      <w:b/>
      <w:bCs/>
      <w:kern w:val="2"/>
      <w:sz w:val="32"/>
      <w:szCs w:val="32"/>
    </w:rPr>
  </w:style>
  <w:style w:type="character" w:customStyle="1" w:styleId="20">
    <w:name w:val="正文文本缩进 2 字符"/>
    <w:link w:val="BodyTextIndent2"/>
    <w:rPr>
      <w:rFonts w:eastAsia="宋体"/>
      <w:kern w:val="2"/>
      <w:sz w:val="24"/>
      <w:lang w:val="en-US" w:eastAsia="zh-CN" w:bidi="ar-SA"/>
    </w:rPr>
  </w:style>
  <w:style w:type="character" w:customStyle="1" w:styleId="Char2">
    <w:name w:val="Char2"/>
    <w:autoRedefine/>
    <w:qFormat/>
    <w:rPr>
      <w:rFonts w:eastAsia="黑体"/>
      <w:bCs/>
      <w:kern w:val="44"/>
      <w:sz w:val="28"/>
      <w:szCs w:val="44"/>
      <w:lang w:val="en-US" w:eastAsia="zh-CN" w:bidi="ar-SA"/>
    </w:rPr>
  </w:style>
  <w:style w:type="character" w:customStyle="1" w:styleId="3">
    <w:name w:val="标题 3 字符"/>
    <w:link w:val="Heading3"/>
    <w:autoRedefine/>
    <w:semiHidden/>
    <w:qFormat/>
    <w:rPr>
      <w:b/>
      <w:bCs/>
      <w:kern w:val="2"/>
      <w:sz w:val="32"/>
      <w:szCs w:val="32"/>
    </w:rPr>
  </w:style>
  <w:style w:type="paragraph" w:customStyle="1" w:styleId="205">
    <w:name w:val="样式 标题 2 + 段前: 0.5 行"/>
    <w:basedOn w:val="Heading2"/>
    <w:autoRedefine/>
    <w:qFormat/>
    <w:pPr>
      <w:spacing w:before="156" w:beforeLines="50" w:after="120" w:line="360" w:lineRule="auto"/>
      <w:jc w:val="left"/>
    </w:pPr>
    <w:rPr>
      <w:rFonts w:ascii="Times New Roman" w:hAnsi="Times New Roman" w:cs="宋体"/>
      <w:sz w:val="28"/>
      <w:szCs w:val="28"/>
    </w:rPr>
  </w:style>
  <w:style w:type="paragraph" w:customStyle="1" w:styleId="10">
    <w:name w:val="正文1"/>
    <w:basedOn w:val="Normal"/>
    <w:qFormat/>
    <w:pPr>
      <w:ind w:firstLine="420" w:firstLineChars="200"/>
    </w:pPr>
  </w:style>
  <w:style w:type="paragraph" w:customStyle="1" w:styleId="TOCHeading">
    <w:name w:val="TOC Heading"/>
    <w:basedOn w:val="Heading1"/>
    <w:next w:val="Normal"/>
    <w:uiPriority w:val="39"/>
    <w:qFormat/>
    <w:pPr>
      <w:widowControl/>
      <w:spacing w:before="240" w:after="0" w:line="259" w:lineRule="auto"/>
      <w:jc w:val="left"/>
      <w:outlineLvl w:val="9"/>
    </w:pPr>
    <w:rPr>
      <w:rFonts w:ascii="Calibri Light" w:hAnsi="Calibri Light"/>
      <w:b w:val="0"/>
      <w:color w:val="2E74B5"/>
      <w:kern w:val="0"/>
      <w:sz w:val="32"/>
      <w:szCs w:val="32"/>
    </w:rPr>
  </w:style>
  <w:style w:type="character" w:customStyle="1" w:styleId="a2">
    <w:name w:val="批注文字 字符"/>
    <w:basedOn w:val="DefaultParagraphFont"/>
    <w:link w:val="CommentText"/>
    <w:rPr>
      <w:kern w:val="2"/>
      <w:sz w:val="21"/>
    </w:rPr>
  </w:style>
  <w:style w:type="character" w:customStyle="1" w:styleId="a3">
    <w:name w:val="批注主题 字符"/>
    <w:basedOn w:val="a2"/>
    <w:link w:val="CommentSubject"/>
    <w:autoRedefine/>
    <w:semiHidden/>
    <w:qFormat/>
    <w:rPr>
      <w:b/>
      <w:bCs/>
      <w:kern w:val="2"/>
      <w:sz w:val="21"/>
    </w:rPr>
  </w:style>
  <w:style w:type="character" w:customStyle="1" w:styleId="a4">
    <w:name w:val="批注框文本 字符"/>
    <w:basedOn w:val="DefaultParagraphFont"/>
    <w:link w:val="BalloonText"/>
    <w:autoRedefine/>
    <w:semiHidden/>
    <w:qFormat/>
    <w:rPr>
      <w:kern w:val="2"/>
      <w:sz w:val="18"/>
      <w:szCs w:val="18"/>
    </w:rPr>
  </w:style>
  <w:style w:type="character" w:styleId="PlaceholderText">
    <w:name w:val="Placeholder Text"/>
    <w:basedOn w:val="DefaultParagraphFont"/>
    <w:uiPriority w:val="99"/>
    <w:unhideWhenUsed/>
    <w:qFormat/>
    <w:rPr>
      <w:color w:val="808080"/>
    </w:rPr>
  </w:style>
  <w:style w:type="paragraph" w:styleId="ListParagraph">
    <w:name w:val="List Paragraph"/>
    <w:basedOn w:val="Normal"/>
    <w:uiPriority w:val="99"/>
    <w:qFormat/>
    <w:pPr>
      <w:ind w:firstLine="420" w:firstLine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6.xml" /><Relationship Id="rId11" Type="http://schemas.openxmlformats.org/officeDocument/2006/relationships/footer" Target="footer7.xml" /><Relationship Id="rId12" Type="http://schemas.openxmlformats.org/officeDocument/2006/relationships/footer" Target="footer8.xml" /><Relationship Id="rId13" Type="http://schemas.openxmlformats.org/officeDocument/2006/relationships/footer" Target="footer9.xml" /><Relationship Id="rId14" Type="http://schemas.openxmlformats.org/officeDocument/2006/relationships/footer" Target="footer10.xml" /><Relationship Id="rId15" Type="http://schemas.openxmlformats.org/officeDocument/2006/relationships/footer" Target="footer11.xml" /><Relationship Id="rId16" Type="http://schemas.openxmlformats.org/officeDocument/2006/relationships/footer" Target="footer12.xml" /><Relationship Id="rId17" Type="http://schemas.openxmlformats.org/officeDocument/2006/relationships/hyperlink" Target="https://d.book118.com/378067131021006030" TargetMode="External" /><Relationship Id="rId18" Type="http://schemas.openxmlformats.org/officeDocument/2006/relationships/footer" Target="footer13.xml" /><Relationship Id="rId19" Type="http://schemas.openxmlformats.org/officeDocument/2006/relationships/footer" Target="footer14.xml" /><Relationship Id="rId2" Type="http://schemas.openxmlformats.org/officeDocument/2006/relationships/webSettings" Target="webSettings.xml" /><Relationship Id="rId20" Type="http://schemas.openxmlformats.org/officeDocument/2006/relationships/theme" Target="theme/theme1.xml" /><Relationship Id="rId21" Type="http://schemas.openxmlformats.org/officeDocument/2006/relationships/styles" Target="styles.xml" /><Relationship Id="rId22" Type="http://schemas.microsoft.com/office/2011/relationships/people" Target="people.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footer" Target="footer1.xml" /><Relationship Id="rId6" Type="http://schemas.openxmlformats.org/officeDocument/2006/relationships/footer" Target="footer2.xml" /><Relationship Id="rId7" Type="http://schemas.openxmlformats.org/officeDocument/2006/relationships/footer" Target="footer3.xml" /><Relationship Id="rId8" Type="http://schemas.openxmlformats.org/officeDocument/2006/relationships/footer" Target="footer4.xml" /><Relationship Id="rId9" Type="http://schemas.openxmlformats.org/officeDocument/2006/relationships/footer" Target="footer5.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51F5FA4-0E2C-4C21-B9BF-AD6D5CEB0119}">
  <ds:schemaRefs/>
</ds:datastoreItem>
</file>

<file path=docProps/app.xml><?xml version="1.0" encoding="utf-8"?>
<Properties xmlns="http://schemas.openxmlformats.org/officeDocument/2006/extended-properties" xmlns:vt="http://schemas.openxmlformats.org/officeDocument/2006/docPropsVTypes">
  <Template>Normal</Template>
  <TotalTime>354</TotalTime>
  <Pages>8</Pages>
  <Words>3670</Words>
  <Characters>20920</Characters>
  <Application>Microsoft Office Word</Application>
  <DocSecurity>0</DocSecurity>
  <Lines>174</Lines>
  <Paragraphs>49</Paragraphs>
  <ScaleCrop>false</ScaleCrop>
  <Company>China</Company>
  <LinksUpToDate>false</LinksUpToDate>
  <CharactersWithSpaces>24541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辽宁石油化工大学研究生学位论文格式的统一要求</dc:title>
  <dc:creator>徐悦</dc:creator>
  <cp:lastModifiedBy>ABEEL</cp:lastModifiedBy>
  <cp:revision>40</cp:revision>
  <dcterms:created xsi:type="dcterms:W3CDTF">2021-05-07T09:37:00Z</dcterms:created>
  <dcterms:modified xsi:type="dcterms:W3CDTF">2024-01-20T11:04:33Z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3F8F56564F69491E840611950E4B75E5_13</vt:lpwstr>
  </property>
  <property fmtid="{D5CDD505-2E9C-101B-9397-08002B2CF9AE}" pid="3" name="KSOProductBuildVer">
    <vt:lpwstr>2052-12.1.0.16120</vt:lpwstr>
  </property>
</Properties>
</file>