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医废处理项目规划设计蓝图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67" w:history="1">
        <w:r>
          <w:rPr>
            <w:rFonts w:ascii="仿宋" w:eastAsia="仿宋" w:hAnsi="仿宋" w:cs="仿宋" w:hint="eastAsia"/>
            <w:lang w:eastAsia="zh-CN"/>
          </w:rPr>
          <w:t>前言</w:t>
        </w:r>
        <w:r>
          <w:tab/>
        </w:r>
        <w:r>
          <w:fldChar w:fldCharType="begin"/>
        </w:r>
        <w:r>
          <w:instrText xml:space="preserve"> PAGEREF _Toc27567 \h </w:instrText>
        </w:r>
        <w:r>
          <w:fldChar w:fldCharType="separate"/>
        </w:r>
        <w:r>
          <w:t>3</w:t>
        </w:r>
        <w:r>
          <w:fldChar w:fldCharType="end"/>
        </w:r>
      </w:hyperlink>
    </w:p>
    <w:p>
      <w:pPr>
        <w:pStyle w:val="TOC1"/>
        <w:tabs>
          <w:tab w:val="right" w:leader="dot" w:pos="8306"/>
        </w:tabs>
      </w:pPr>
      <w:hyperlink w:anchor="_Toc14075" w:history="1">
        <w:r>
          <w:rPr>
            <w:rFonts w:ascii="仿宋" w:eastAsia="仿宋" w:hAnsi="仿宋" w:cs="仿宋" w:hint="eastAsia"/>
            <w:lang w:eastAsia="zh-CN"/>
          </w:rPr>
          <w:t>一、医废处理项目建设单位说明</w:t>
        </w:r>
        <w:r>
          <w:tab/>
        </w:r>
        <w:r>
          <w:fldChar w:fldCharType="begin"/>
        </w:r>
        <w:r>
          <w:instrText xml:space="preserve"> PAGEREF _Toc14075 \h </w:instrText>
        </w:r>
        <w:r>
          <w:fldChar w:fldCharType="separate"/>
        </w:r>
        <w:r>
          <w:t>3</w:t>
        </w:r>
        <w:r>
          <w:fldChar w:fldCharType="end"/>
        </w:r>
      </w:hyperlink>
    </w:p>
    <w:p>
      <w:pPr>
        <w:pStyle w:val="TOC2"/>
        <w:tabs>
          <w:tab w:val="right" w:leader="dot" w:pos="8306"/>
        </w:tabs>
      </w:pPr>
      <w:hyperlink w:anchor="_Toc25872" w:history="1">
        <w:r>
          <w:rPr>
            <w:rFonts w:ascii="仿宋" w:eastAsia="仿宋" w:hAnsi="仿宋" w:cs="仿宋" w:hint="eastAsia"/>
            <w:lang w:eastAsia="zh-CN"/>
          </w:rPr>
          <w:t>(一)、医废处理项目承办单位基本情况</w:t>
        </w:r>
        <w:r>
          <w:tab/>
        </w:r>
        <w:r>
          <w:fldChar w:fldCharType="begin"/>
        </w:r>
        <w:r>
          <w:instrText xml:space="preserve"> PAGEREF _Toc25872 \h </w:instrText>
        </w:r>
        <w:r>
          <w:fldChar w:fldCharType="separate"/>
        </w:r>
        <w:r>
          <w:t>3</w:t>
        </w:r>
        <w:r>
          <w:fldChar w:fldCharType="end"/>
        </w:r>
      </w:hyperlink>
    </w:p>
    <w:p>
      <w:pPr>
        <w:pStyle w:val="TOC2"/>
        <w:tabs>
          <w:tab w:val="right" w:leader="dot" w:pos="8306"/>
        </w:tabs>
      </w:pPr>
      <w:hyperlink w:anchor="_Toc28886" w:history="1">
        <w:r>
          <w:rPr>
            <w:rFonts w:ascii="仿宋" w:eastAsia="仿宋" w:hAnsi="仿宋" w:cs="仿宋" w:hint="eastAsia"/>
            <w:lang w:eastAsia="zh-CN"/>
          </w:rPr>
          <w:t>(二)、公司经济效益分析</w:t>
        </w:r>
        <w:r>
          <w:tab/>
        </w:r>
        <w:r>
          <w:fldChar w:fldCharType="begin"/>
        </w:r>
        <w:r>
          <w:instrText xml:space="preserve"> PAGEREF _Toc28886 \h </w:instrText>
        </w:r>
        <w:r>
          <w:fldChar w:fldCharType="separate"/>
        </w:r>
        <w:r>
          <w:t>4</w:t>
        </w:r>
        <w:r>
          <w:fldChar w:fldCharType="end"/>
        </w:r>
      </w:hyperlink>
    </w:p>
    <w:p>
      <w:pPr>
        <w:pStyle w:val="TOC1"/>
        <w:tabs>
          <w:tab w:val="right" w:leader="dot" w:pos="8306"/>
        </w:tabs>
      </w:pPr>
      <w:hyperlink w:anchor="_Toc31139" w:history="1">
        <w:r>
          <w:rPr>
            <w:rFonts w:ascii="仿宋" w:eastAsia="仿宋" w:hAnsi="仿宋" w:cs="仿宋" w:hint="eastAsia"/>
            <w:lang w:eastAsia="zh-CN"/>
          </w:rPr>
          <w:t>二、医废处理项目土建工程</w:t>
        </w:r>
        <w:r>
          <w:tab/>
        </w:r>
        <w:r>
          <w:fldChar w:fldCharType="begin"/>
        </w:r>
        <w:r>
          <w:instrText xml:space="preserve"> PAGEREF _Toc31139 \h </w:instrText>
        </w:r>
        <w:r>
          <w:fldChar w:fldCharType="separate"/>
        </w:r>
        <w:r>
          <w:t>5</w:t>
        </w:r>
        <w:r>
          <w:fldChar w:fldCharType="end"/>
        </w:r>
      </w:hyperlink>
    </w:p>
    <w:p>
      <w:pPr>
        <w:pStyle w:val="TOC2"/>
        <w:tabs>
          <w:tab w:val="right" w:leader="dot" w:pos="8306"/>
        </w:tabs>
      </w:pPr>
      <w:hyperlink w:anchor="_Toc20560" w:history="1">
        <w:r>
          <w:rPr>
            <w:rFonts w:ascii="仿宋" w:eastAsia="仿宋" w:hAnsi="仿宋" w:cs="仿宋" w:hint="eastAsia"/>
            <w:lang w:eastAsia="zh-CN"/>
          </w:rPr>
          <w:t>(一)、建筑工程设计原则</w:t>
        </w:r>
        <w:r>
          <w:tab/>
        </w:r>
        <w:r>
          <w:fldChar w:fldCharType="begin"/>
        </w:r>
        <w:r>
          <w:instrText xml:space="preserve"> PAGEREF _Toc20560 \h </w:instrText>
        </w:r>
        <w:r>
          <w:fldChar w:fldCharType="separate"/>
        </w:r>
        <w:r>
          <w:t>5</w:t>
        </w:r>
        <w:r>
          <w:fldChar w:fldCharType="end"/>
        </w:r>
      </w:hyperlink>
    </w:p>
    <w:p>
      <w:pPr>
        <w:pStyle w:val="TOC2"/>
        <w:tabs>
          <w:tab w:val="right" w:leader="dot" w:pos="8306"/>
        </w:tabs>
      </w:pPr>
      <w:hyperlink w:anchor="_Toc22716" w:history="1">
        <w:r>
          <w:rPr>
            <w:rFonts w:ascii="仿宋" w:eastAsia="仿宋" w:hAnsi="仿宋" w:cs="仿宋" w:hint="eastAsia"/>
            <w:lang w:eastAsia="zh-CN"/>
          </w:rPr>
          <w:t>(二)、土建工程设计年限及安全等级</w:t>
        </w:r>
        <w:r>
          <w:tab/>
        </w:r>
        <w:r>
          <w:fldChar w:fldCharType="begin"/>
        </w:r>
        <w:r>
          <w:instrText xml:space="preserve"> PAGEREF _Toc22716 \h </w:instrText>
        </w:r>
        <w:r>
          <w:fldChar w:fldCharType="separate"/>
        </w:r>
        <w:r>
          <w:t>6</w:t>
        </w:r>
        <w:r>
          <w:fldChar w:fldCharType="end"/>
        </w:r>
      </w:hyperlink>
    </w:p>
    <w:p>
      <w:pPr>
        <w:pStyle w:val="TOC2"/>
        <w:tabs>
          <w:tab w:val="right" w:leader="dot" w:pos="8306"/>
        </w:tabs>
      </w:pPr>
      <w:hyperlink w:anchor="_Toc15118" w:history="1">
        <w:r>
          <w:rPr>
            <w:rFonts w:ascii="仿宋" w:eastAsia="仿宋" w:hAnsi="仿宋" w:cs="仿宋" w:hint="eastAsia"/>
            <w:lang w:eastAsia="zh-CN"/>
          </w:rPr>
          <w:t>(三)、建筑工程设计总体要求</w:t>
        </w:r>
        <w:r>
          <w:tab/>
        </w:r>
        <w:r>
          <w:fldChar w:fldCharType="begin"/>
        </w:r>
        <w:r>
          <w:instrText xml:space="preserve"> PAGEREF _Toc15118 \h </w:instrText>
        </w:r>
        <w:r>
          <w:fldChar w:fldCharType="separate"/>
        </w:r>
        <w:r>
          <w:t>7</w:t>
        </w:r>
        <w:r>
          <w:fldChar w:fldCharType="end"/>
        </w:r>
      </w:hyperlink>
    </w:p>
    <w:p>
      <w:pPr>
        <w:pStyle w:val="TOC2"/>
        <w:tabs>
          <w:tab w:val="right" w:leader="dot" w:pos="8306"/>
        </w:tabs>
      </w:pPr>
      <w:hyperlink w:anchor="_Toc32392" w:history="1">
        <w:r>
          <w:rPr>
            <w:rFonts w:ascii="仿宋" w:eastAsia="仿宋" w:hAnsi="仿宋" w:cs="仿宋" w:hint="eastAsia"/>
            <w:lang w:eastAsia="zh-CN"/>
          </w:rPr>
          <w:t>(四)、土建工程建设指标</w:t>
        </w:r>
        <w:r>
          <w:tab/>
        </w:r>
        <w:r>
          <w:fldChar w:fldCharType="begin"/>
        </w:r>
        <w:r>
          <w:instrText xml:space="preserve"> PAGEREF _Toc32392 \h </w:instrText>
        </w:r>
        <w:r>
          <w:fldChar w:fldCharType="separate"/>
        </w:r>
        <w:r>
          <w:t>8</w:t>
        </w:r>
        <w:r>
          <w:fldChar w:fldCharType="end"/>
        </w:r>
      </w:hyperlink>
    </w:p>
    <w:p>
      <w:pPr>
        <w:pStyle w:val="TOC1"/>
        <w:tabs>
          <w:tab w:val="right" w:leader="dot" w:pos="8306"/>
        </w:tabs>
      </w:pPr>
      <w:hyperlink w:anchor="_Toc7483" w:history="1">
        <w:r>
          <w:rPr>
            <w:rFonts w:ascii="仿宋" w:eastAsia="仿宋" w:hAnsi="仿宋" w:cs="仿宋" w:hint="eastAsia"/>
            <w:lang w:eastAsia="zh-CN"/>
          </w:rPr>
          <w:t>三、医废处理项目建设背景及必要性分析</w:t>
        </w:r>
        <w:r>
          <w:tab/>
        </w:r>
        <w:r>
          <w:fldChar w:fldCharType="begin"/>
        </w:r>
        <w:r>
          <w:instrText xml:space="preserve"> PAGEREF _Toc7483 \h </w:instrText>
        </w:r>
        <w:r>
          <w:fldChar w:fldCharType="separate"/>
        </w:r>
        <w:r>
          <w:t>8</w:t>
        </w:r>
        <w:r>
          <w:fldChar w:fldCharType="end"/>
        </w:r>
      </w:hyperlink>
    </w:p>
    <w:p>
      <w:pPr>
        <w:pStyle w:val="TOC2"/>
        <w:tabs>
          <w:tab w:val="right" w:leader="dot" w:pos="8306"/>
        </w:tabs>
      </w:pPr>
      <w:hyperlink w:anchor="_Toc19563" w:history="1">
        <w:r>
          <w:rPr>
            <w:rFonts w:ascii="仿宋" w:eastAsia="仿宋" w:hAnsi="仿宋" w:cs="仿宋" w:hint="eastAsia"/>
            <w:lang w:eastAsia="zh-CN"/>
          </w:rPr>
          <w:t>(一)、医废处理项目背景分析</w:t>
        </w:r>
        <w:r>
          <w:tab/>
        </w:r>
        <w:r>
          <w:fldChar w:fldCharType="begin"/>
        </w:r>
        <w:r>
          <w:instrText xml:space="preserve"> PAGEREF _Toc19563 \h </w:instrText>
        </w:r>
        <w:r>
          <w:fldChar w:fldCharType="separate"/>
        </w:r>
        <w:r>
          <w:t>8</w:t>
        </w:r>
        <w:r>
          <w:fldChar w:fldCharType="end"/>
        </w:r>
      </w:hyperlink>
    </w:p>
    <w:p>
      <w:pPr>
        <w:pStyle w:val="TOC2"/>
        <w:tabs>
          <w:tab w:val="right" w:leader="dot" w:pos="8306"/>
        </w:tabs>
      </w:pPr>
      <w:hyperlink w:anchor="_Toc2285" w:history="1">
        <w:r>
          <w:rPr>
            <w:rFonts w:ascii="仿宋" w:eastAsia="仿宋" w:hAnsi="仿宋" w:cs="仿宋" w:hint="eastAsia"/>
            <w:lang w:eastAsia="zh-CN"/>
          </w:rPr>
          <w:t>(二)、医废处理项目建设必要性分析</w:t>
        </w:r>
        <w:r>
          <w:tab/>
        </w:r>
        <w:r>
          <w:fldChar w:fldCharType="begin"/>
        </w:r>
        <w:r>
          <w:instrText xml:space="preserve"> PAGEREF _Toc2285 \h </w:instrText>
        </w:r>
        <w:r>
          <w:fldChar w:fldCharType="separate"/>
        </w:r>
        <w:r>
          <w:t>10</w:t>
        </w:r>
        <w:r>
          <w:fldChar w:fldCharType="end"/>
        </w:r>
      </w:hyperlink>
    </w:p>
    <w:p>
      <w:pPr>
        <w:pStyle w:val="TOC1"/>
        <w:tabs>
          <w:tab w:val="right" w:leader="dot" w:pos="8306"/>
        </w:tabs>
      </w:pPr>
      <w:hyperlink w:anchor="_Toc29028" w:history="1">
        <w:r>
          <w:rPr>
            <w:rFonts w:ascii="仿宋" w:eastAsia="仿宋" w:hAnsi="仿宋" w:cs="仿宋" w:hint="eastAsia"/>
            <w:lang w:eastAsia="zh-CN"/>
          </w:rPr>
          <w:t>四、医废处理项目选址可行性分析</w:t>
        </w:r>
        <w:r>
          <w:tab/>
        </w:r>
        <w:r>
          <w:fldChar w:fldCharType="begin"/>
        </w:r>
        <w:r>
          <w:instrText xml:space="preserve"> PAGEREF _Toc29028 \h </w:instrText>
        </w:r>
        <w:r>
          <w:fldChar w:fldCharType="separate"/>
        </w:r>
        <w:r>
          <w:t>11</w:t>
        </w:r>
        <w:r>
          <w:fldChar w:fldCharType="end"/>
        </w:r>
      </w:hyperlink>
    </w:p>
    <w:p>
      <w:pPr>
        <w:pStyle w:val="TOC2"/>
        <w:tabs>
          <w:tab w:val="right" w:leader="dot" w:pos="8306"/>
        </w:tabs>
      </w:pPr>
      <w:hyperlink w:anchor="_Toc10619" w:history="1">
        <w:r>
          <w:rPr>
            <w:rFonts w:ascii="仿宋" w:eastAsia="仿宋" w:hAnsi="仿宋" w:cs="仿宋" w:hint="eastAsia"/>
            <w:lang w:eastAsia="zh-CN"/>
          </w:rPr>
          <w:t>(一)、医废处理项目选址</w:t>
        </w:r>
        <w:r>
          <w:tab/>
        </w:r>
        <w:r>
          <w:fldChar w:fldCharType="begin"/>
        </w:r>
        <w:r>
          <w:instrText xml:space="preserve"> PAGEREF _Toc10619 \h </w:instrText>
        </w:r>
        <w:r>
          <w:fldChar w:fldCharType="separate"/>
        </w:r>
        <w:r>
          <w:t>11</w:t>
        </w:r>
        <w:r>
          <w:fldChar w:fldCharType="end"/>
        </w:r>
      </w:hyperlink>
    </w:p>
    <w:p>
      <w:pPr>
        <w:pStyle w:val="TOC2"/>
        <w:tabs>
          <w:tab w:val="right" w:leader="dot" w:pos="8306"/>
        </w:tabs>
      </w:pPr>
      <w:hyperlink w:anchor="_Toc2675" w:history="1">
        <w:r>
          <w:rPr>
            <w:rFonts w:ascii="仿宋" w:eastAsia="仿宋" w:hAnsi="仿宋" w:cs="仿宋" w:hint="eastAsia"/>
            <w:lang w:eastAsia="zh-CN"/>
          </w:rPr>
          <w:t>(二)、用地控制指标</w:t>
        </w:r>
        <w:r>
          <w:tab/>
        </w:r>
        <w:r>
          <w:fldChar w:fldCharType="begin"/>
        </w:r>
        <w:r>
          <w:instrText xml:space="preserve"> PAGEREF _Toc2675 \h </w:instrText>
        </w:r>
        <w:r>
          <w:fldChar w:fldCharType="separate"/>
        </w:r>
        <w:r>
          <w:t>11</w:t>
        </w:r>
        <w:r>
          <w:fldChar w:fldCharType="end"/>
        </w:r>
      </w:hyperlink>
    </w:p>
    <w:p>
      <w:pPr>
        <w:pStyle w:val="TOC2"/>
        <w:tabs>
          <w:tab w:val="right" w:leader="dot" w:pos="8306"/>
        </w:tabs>
      </w:pPr>
      <w:hyperlink w:anchor="_Toc29379" w:history="1">
        <w:r>
          <w:rPr>
            <w:rFonts w:ascii="仿宋" w:eastAsia="仿宋" w:hAnsi="仿宋" w:cs="仿宋" w:hint="eastAsia"/>
            <w:lang w:eastAsia="zh-CN"/>
          </w:rPr>
          <w:t>(三)、节约用地措施</w:t>
        </w:r>
        <w:r>
          <w:tab/>
        </w:r>
        <w:r>
          <w:fldChar w:fldCharType="begin"/>
        </w:r>
        <w:r>
          <w:instrText xml:space="preserve"> PAGEREF _Toc29379 \h </w:instrText>
        </w:r>
        <w:r>
          <w:fldChar w:fldCharType="separate"/>
        </w:r>
        <w:r>
          <w:t>13</w:t>
        </w:r>
        <w:r>
          <w:fldChar w:fldCharType="end"/>
        </w:r>
      </w:hyperlink>
    </w:p>
    <w:p>
      <w:pPr>
        <w:pStyle w:val="TOC2"/>
        <w:tabs>
          <w:tab w:val="right" w:leader="dot" w:pos="8306"/>
        </w:tabs>
      </w:pPr>
      <w:hyperlink w:anchor="_Toc25433" w:history="1">
        <w:r>
          <w:rPr>
            <w:rFonts w:ascii="仿宋" w:eastAsia="仿宋" w:hAnsi="仿宋" w:cs="仿宋" w:hint="eastAsia"/>
            <w:lang w:eastAsia="zh-CN"/>
          </w:rPr>
          <w:t>(四)、总图布置方案</w:t>
        </w:r>
        <w:r>
          <w:tab/>
        </w:r>
        <w:r>
          <w:fldChar w:fldCharType="begin"/>
        </w:r>
        <w:r>
          <w:instrText xml:space="preserve"> PAGEREF _Toc25433 \h </w:instrText>
        </w:r>
        <w:r>
          <w:fldChar w:fldCharType="separate"/>
        </w:r>
        <w:r>
          <w:t>14</w:t>
        </w:r>
        <w:r>
          <w:fldChar w:fldCharType="end"/>
        </w:r>
      </w:hyperlink>
    </w:p>
    <w:p>
      <w:pPr>
        <w:pStyle w:val="TOC2"/>
        <w:tabs>
          <w:tab w:val="right" w:leader="dot" w:pos="8306"/>
        </w:tabs>
      </w:pPr>
      <w:hyperlink w:anchor="_Toc29560" w:history="1">
        <w:r>
          <w:rPr>
            <w:rFonts w:ascii="仿宋" w:eastAsia="仿宋" w:hAnsi="仿宋" w:cs="仿宋" w:hint="eastAsia"/>
            <w:lang w:eastAsia="zh-CN"/>
          </w:rPr>
          <w:t>(五)、选址综合评价</w:t>
        </w:r>
        <w:r>
          <w:tab/>
        </w:r>
        <w:r>
          <w:fldChar w:fldCharType="begin"/>
        </w:r>
        <w:r>
          <w:instrText xml:space="preserve"> PAGEREF _Toc29560 \h </w:instrText>
        </w:r>
        <w:r>
          <w:fldChar w:fldCharType="separate"/>
        </w:r>
        <w:r>
          <w:t>15</w:t>
        </w:r>
        <w:r>
          <w:fldChar w:fldCharType="end"/>
        </w:r>
      </w:hyperlink>
    </w:p>
    <w:p>
      <w:pPr>
        <w:pStyle w:val="TOC1"/>
        <w:tabs>
          <w:tab w:val="right" w:leader="dot" w:pos="8306"/>
        </w:tabs>
      </w:pPr>
      <w:hyperlink w:anchor="_Toc16936" w:history="1">
        <w:r>
          <w:rPr>
            <w:rFonts w:ascii="仿宋" w:eastAsia="仿宋" w:hAnsi="仿宋" w:cs="仿宋" w:hint="eastAsia"/>
            <w:lang w:eastAsia="zh-CN"/>
          </w:rPr>
          <w:t>五、医废处理项目危机管理</w:t>
        </w:r>
        <w:r>
          <w:tab/>
        </w:r>
        <w:r>
          <w:fldChar w:fldCharType="begin"/>
        </w:r>
        <w:r>
          <w:instrText xml:space="preserve"> PAGEREF _Toc16936 \h </w:instrText>
        </w:r>
        <w:r>
          <w:fldChar w:fldCharType="separate"/>
        </w:r>
        <w:r>
          <w:t>16</w:t>
        </w:r>
        <w:r>
          <w:fldChar w:fldCharType="end"/>
        </w:r>
      </w:hyperlink>
    </w:p>
    <w:p>
      <w:pPr>
        <w:pStyle w:val="TOC2"/>
        <w:tabs>
          <w:tab w:val="right" w:leader="dot" w:pos="8306"/>
        </w:tabs>
      </w:pPr>
      <w:hyperlink w:anchor="_Toc10980" w:history="1">
        <w:r>
          <w:rPr>
            <w:rFonts w:ascii="仿宋" w:eastAsia="仿宋" w:hAnsi="仿宋" w:cs="仿宋" w:hint="eastAsia"/>
            <w:lang w:eastAsia="zh-CN"/>
          </w:rPr>
          <w:t>(一)、危机预警与识别</w:t>
        </w:r>
        <w:r>
          <w:tab/>
        </w:r>
        <w:r>
          <w:fldChar w:fldCharType="begin"/>
        </w:r>
        <w:r>
          <w:instrText xml:space="preserve"> PAGEREF _Toc10980 \h </w:instrText>
        </w:r>
        <w:r>
          <w:fldChar w:fldCharType="separate"/>
        </w:r>
        <w:r>
          <w:t>16</w:t>
        </w:r>
        <w:r>
          <w:fldChar w:fldCharType="end"/>
        </w:r>
      </w:hyperlink>
    </w:p>
    <w:p>
      <w:pPr>
        <w:pStyle w:val="TOC2"/>
        <w:tabs>
          <w:tab w:val="right" w:leader="dot" w:pos="8306"/>
        </w:tabs>
      </w:pPr>
      <w:hyperlink w:anchor="_Toc15482" w:history="1">
        <w:r>
          <w:rPr>
            <w:rFonts w:ascii="仿宋" w:eastAsia="仿宋" w:hAnsi="仿宋" w:cs="仿宋" w:hint="eastAsia"/>
            <w:lang w:eastAsia="zh-CN"/>
          </w:rPr>
          <w:t>(二)、危机应对与恢复</w:t>
        </w:r>
        <w:r>
          <w:tab/>
        </w:r>
        <w:r>
          <w:fldChar w:fldCharType="begin"/>
        </w:r>
        <w:r>
          <w:instrText xml:space="preserve"> PAGEREF _Toc15482 \h </w:instrText>
        </w:r>
        <w:r>
          <w:fldChar w:fldCharType="separate"/>
        </w:r>
        <w:r>
          <w:t>17</w:t>
        </w:r>
        <w:r>
          <w:fldChar w:fldCharType="end"/>
        </w:r>
      </w:hyperlink>
    </w:p>
    <w:p>
      <w:pPr>
        <w:pStyle w:val="TOC1"/>
        <w:tabs>
          <w:tab w:val="right" w:leader="dot" w:pos="8306"/>
        </w:tabs>
      </w:pPr>
      <w:hyperlink w:anchor="_Toc1482" w:history="1">
        <w:r>
          <w:rPr>
            <w:rFonts w:ascii="仿宋" w:eastAsia="仿宋" w:hAnsi="仿宋" w:cs="仿宋" w:hint="eastAsia"/>
            <w:lang w:eastAsia="zh-CN"/>
          </w:rPr>
          <w:t>六、产品规划分析</w:t>
        </w:r>
        <w:r>
          <w:tab/>
        </w:r>
        <w:r>
          <w:fldChar w:fldCharType="begin"/>
        </w:r>
        <w:r>
          <w:instrText xml:space="preserve"> PAGEREF _Toc1482 \h </w:instrText>
        </w:r>
        <w:r>
          <w:fldChar w:fldCharType="separate"/>
        </w:r>
        <w:r>
          <w:t>18</w:t>
        </w:r>
        <w:r>
          <w:fldChar w:fldCharType="end"/>
        </w:r>
      </w:hyperlink>
    </w:p>
    <w:p>
      <w:pPr>
        <w:pStyle w:val="TOC2"/>
        <w:tabs>
          <w:tab w:val="right" w:leader="dot" w:pos="8306"/>
        </w:tabs>
      </w:pPr>
      <w:hyperlink w:anchor="_Toc19279" w:history="1">
        <w:r>
          <w:rPr>
            <w:rFonts w:ascii="仿宋" w:eastAsia="仿宋" w:hAnsi="仿宋" w:cs="仿宋" w:hint="eastAsia"/>
            <w:lang w:eastAsia="zh-CN"/>
          </w:rPr>
          <w:t>(一)、产品规划</w:t>
        </w:r>
        <w:r>
          <w:tab/>
        </w:r>
        <w:r>
          <w:fldChar w:fldCharType="begin"/>
        </w:r>
        <w:r>
          <w:instrText xml:space="preserve"> PAGEREF _Toc19279 \h </w:instrText>
        </w:r>
        <w:r>
          <w:fldChar w:fldCharType="separate"/>
        </w:r>
        <w:r>
          <w:t>18</w:t>
        </w:r>
        <w:r>
          <w:fldChar w:fldCharType="end"/>
        </w:r>
      </w:hyperlink>
    </w:p>
    <w:p>
      <w:pPr>
        <w:pStyle w:val="TOC2"/>
        <w:tabs>
          <w:tab w:val="right" w:leader="dot" w:pos="8306"/>
        </w:tabs>
      </w:pPr>
      <w:hyperlink w:anchor="_Toc846" w:history="1">
        <w:r>
          <w:rPr>
            <w:rFonts w:ascii="仿宋" w:eastAsia="仿宋" w:hAnsi="仿宋" w:cs="仿宋" w:hint="eastAsia"/>
            <w:lang w:eastAsia="zh-CN"/>
          </w:rPr>
          <w:t>(二)、建设规模</w:t>
        </w:r>
        <w:r>
          <w:tab/>
        </w:r>
        <w:r>
          <w:fldChar w:fldCharType="begin"/>
        </w:r>
        <w:r>
          <w:instrText xml:space="preserve"> PAGEREF _Toc846 \h </w:instrText>
        </w:r>
        <w:r>
          <w:fldChar w:fldCharType="separate"/>
        </w:r>
        <w:r>
          <w:t>19</w:t>
        </w:r>
        <w:r>
          <w:fldChar w:fldCharType="end"/>
        </w:r>
      </w:hyperlink>
    </w:p>
    <w:p>
      <w:pPr>
        <w:pStyle w:val="TOC1"/>
        <w:tabs>
          <w:tab w:val="right" w:leader="dot" w:pos="8306"/>
        </w:tabs>
      </w:pPr>
      <w:hyperlink w:anchor="_Toc15069" w:history="1">
        <w:r>
          <w:rPr>
            <w:rFonts w:ascii="仿宋" w:eastAsia="仿宋" w:hAnsi="仿宋" w:cs="仿宋" w:hint="eastAsia"/>
            <w:lang w:eastAsia="zh-CN"/>
          </w:rPr>
          <w:t>七、医废处理项目经营效益</w:t>
        </w:r>
        <w:r>
          <w:tab/>
        </w:r>
        <w:r>
          <w:fldChar w:fldCharType="begin"/>
        </w:r>
        <w:r>
          <w:instrText xml:space="preserve"> PAGEREF _Toc15069 \h </w:instrText>
        </w:r>
        <w:r>
          <w:fldChar w:fldCharType="separate"/>
        </w:r>
        <w:r>
          <w:t>20</w:t>
        </w:r>
        <w:r>
          <w:fldChar w:fldCharType="end"/>
        </w:r>
      </w:hyperlink>
    </w:p>
    <w:p>
      <w:pPr>
        <w:pStyle w:val="TOC2"/>
        <w:tabs>
          <w:tab w:val="right" w:leader="dot" w:pos="8306"/>
        </w:tabs>
      </w:pPr>
      <w:hyperlink w:anchor="_Toc18943" w:history="1">
        <w:r>
          <w:rPr>
            <w:rFonts w:ascii="仿宋" w:eastAsia="仿宋" w:hAnsi="仿宋" w:cs="仿宋" w:hint="eastAsia"/>
            <w:lang w:eastAsia="zh-CN"/>
          </w:rPr>
          <w:t>(一)、经济评价财务测算</w:t>
        </w:r>
        <w:r>
          <w:tab/>
        </w:r>
        <w:r>
          <w:fldChar w:fldCharType="begin"/>
        </w:r>
        <w:r>
          <w:instrText xml:space="preserve"> PAGEREF _Toc18943 \h </w:instrText>
        </w:r>
        <w:r>
          <w:fldChar w:fldCharType="separate"/>
        </w:r>
        <w:r>
          <w:t>20</w:t>
        </w:r>
        <w:r>
          <w:fldChar w:fldCharType="end"/>
        </w:r>
      </w:hyperlink>
    </w:p>
    <w:p>
      <w:pPr>
        <w:pStyle w:val="TOC2"/>
        <w:tabs>
          <w:tab w:val="right" w:leader="dot" w:pos="8306"/>
        </w:tabs>
      </w:pPr>
      <w:hyperlink w:anchor="_Toc15830" w:history="1">
        <w:r>
          <w:rPr>
            <w:rFonts w:ascii="仿宋" w:eastAsia="仿宋" w:hAnsi="仿宋" w:cs="仿宋" w:hint="eastAsia"/>
            <w:lang w:eastAsia="zh-CN"/>
          </w:rPr>
          <w:t>(二)、医废处理项目盈利能力分析</w:t>
        </w:r>
        <w:r>
          <w:tab/>
        </w:r>
        <w:r>
          <w:fldChar w:fldCharType="begin"/>
        </w:r>
        <w:r>
          <w:instrText xml:space="preserve"> PAGEREF _Toc15830 \h </w:instrText>
        </w:r>
        <w:r>
          <w:fldChar w:fldCharType="separate"/>
        </w:r>
        <w:r>
          <w:t>22</w:t>
        </w:r>
        <w:r>
          <w:fldChar w:fldCharType="end"/>
        </w:r>
      </w:hyperlink>
    </w:p>
    <w:p>
      <w:pPr>
        <w:pStyle w:val="TOC1"/>
        <w:tabs>
          <w:tab w:val="right" w:leader="dot" w:pos="8306"/>
        </w:tabs>
      </w:pPr>
      <w:hyperlink w:anchor="_Toc30347" w:history="1">
        <w:r>
          <w:rPr>
            <w:rFonts w:ascii="仿宋" w:eastAsia="仿宋" w:hAnsi="仿宋" w:cs="仿宋" w:hint="eastAsia"/>
            <w:lang w:eastAsia="zh-CN"/>
          </w:rPr>
          <w:t>八、医废处理项目计划安排</w:t>
        </w:r>
        <w:r>
          <w:tab/>
        </w:r>
        <w:r>
          <w:fldChar w:fldCharType="begin"/>
        </w:r>
        <w:r>
          <w:instrText xml:space="preserve"> PAGEREF _Toc30347 \h </w:instrText>
        </w:r>
        <w:r>
          <w:fldChar w:fldCharType="separate"/>
        </w:r>
        <w:r>
          <w:t>22</w:t>
        </w:r>
        <w:r>
          <w:fldChar w:fldCharType="end"/>
        </w:r>
      </w:hyperlink>
    </w:p>
    <w:p>
      <w:pPr>
        <w:pStyle w:val="TOC2"/>
        <w:tabs>
          <w:tab w:val="right" w:leader="dot" w:pos="8306"/>
        </w:tabs>
      </w:pPr>
      <w:hyperlink w:anchor="_Toc26609" w:history="1">
        <w:r>
          <w:rPr>
            <w:rFonts w:ascii="仿宋" w:eastAsia="仿宋" w:hAnsi="仿宋" w:cs="仿宋" w:hint="eastAsia"/>
            <w:lang w:eastAsia="zh-CN"/>
          </w:rPr>
          <w:t>(一)、建设周期</w:t>
        </w:r>
        <w:r>
          <w:tab/>
        </w:r>
        <w:r>
          <w:fldChar w:fldCharType="begin"/>
        </w:r>
        <w:r>
          <w:instrText xml:space="preserve"> PAGEREF _Toc26609 \h </w:instrText>
        </w:r>
        <w:r>
          <w:fldChar w:fldCharType="separate"/>
        </w:r>
        <w:r>
          <w:t>22</w:t>
        </w:r>
        <w:r>
          <w:fldChar w:fldCharType="end"/>
        </w:r>
      </w:hyperlink>
    </w:p>
    <w:p>
      <w:pPr>
        <w:pStyle w:val="TOC2"/>
        <w:tabs>
          <w:tab w:val="right" w:leader="dot" w:pos="8306"/>
        </w:tabs>
      </w:pPr>
      <w:hyperlink w:anchor="_Toc30873" w:history="1">
        <w:r>
          <w:rPr>
            <w:rFonts w:ascii="仿宋" w:eastAsia="仿宋" w:hAnsi="仿宋" w:cs="仿宋" w:hint="eastAsia"/>
            <w:lang w:eastAsia="zh-CN"/>
          </w:rPr>
          <w:t>(二)、建设进度</w:t>
        </w:r>
        <w:r>
          <w:tab/>
        </w:r>
        <w:r>
          <w:fldChar w:fldCharType="begin"/>
        </w:r>
        <w:r>
          <w:instrText xml:space="preserve"> PAGEREF _Toc30873 \h </w:instrText>
        </w:r>
        <w:r>
          <w:fldChar w:fldCharType="separate"/>
        </w:r>
        <w:r>
          <w:t>23</w:t>
        </w:r>
        <w:r>
          <w:fldChar w:fldCharType="end"/>
        </w:r>
      </w:hyperlink>
    </w:p>
    <w:p>
      <w:pPr>
        <w:pStyle w:val="TOC2"/>
        <w:tabs>
          <w:tab w:val="right" w:leader="dot" w:pos="8306"/>
        </w:tabs>
      </w:pPr>
      <w:hyperlink w:anchor="_Toc12738" w:history="1">
        <w:r>
          <w:rPr>
            <w:rFonts w:ascii="仿宋" w:eastAsia="仿宋" w:hAnsi="仿宋" w:cs="仿宋" w:hint="eastAsia"/>
            <w:lang w:eastAsia="zh-CN"/>
          </w:rPr>
          <w:t>(三)、进度安排注意事项</w:t>
        </w:r>
        <w:r>
          <w:tab/>
        </w:r>
        <w:r>
          <w:fldChar w:fldCharType="begin"/>
        </w:r>
        <w:r>
          <w:instrText xml:space="preserve"> PAGEREF _Toc12738 \h </w:instrText>
        </w:r>
        <w:r>
          <w:fldChar w:fldCharType="separate"/>
        </w:r>
        <w:r>
          <w:t>24</w:t>
        </w:r>
        <w:r>
          <w:fldChar w:fldCharType="end"/>
        </w:r>
      </w:hyperlink>
    </w:p>
    <w:p>
      <w:pPr>
        <w:pStyle w:val="TOC2"/>
        <w:tabs>
          <w:tab w:val="right" w:leader="dot" w:pos="8306"/>
        </w:tabs>
      </w:pPr>
      <w:hyperlink w:anchor="_Toc14297" w:history="1">
        <w:r>
          <w:rPr>
            <w:rFonts w:ascii="仿宋" w:eastAsia="仿宋" w:hAnsi="仿宋" w:cs="仿宋" w:hint="eastAsia"/>
            <w:lang w:eastAsia="zh-CN"/>
          </w:rPr>
          <w:t>(四)、人力资源配置</w:t>
        </w:r>
        <w:r>
          <w:tab/>
        </w:r>
        <w:r>
          <w:fldChar w:fldCharType="begin"/>
        </w:r>
        <w:r>
          <w:instrText xml:space="preserve"> PAGEREF _Toc14297 \h </w:instrText>
        </w:r>
        <w:r>
          <w:fldChar w:fldCharType="separate"/>
        </w:r>
        <w:r>
          <w:t>26</w:t>
        </w:r>
        <w:r>
          <w:fldChar w:fldCharType="end"/>
        </w:r>
      </w:hyperlink>
    </w:p>
    <w:p>
      <w:pPr>
        <w:pStyle w:val="TOC1"/>
        <w:tabs>
          <w:tab w:val="right" w:leader="dot" w:pos="8306"/>
        </w:tabs>
      </w:pPr>
      <w:hyperlink w:anchor="_Toc30738" w:history="1">
        <w:r>
          <w:rPr>
            <w:rFonts w:ascii="仿宋" w:eastAsia="仿宋" w:hAnsi="仿宋" w:cs="仿宋" w:hint="eastAsia"/>
            <w:lang w:eastAsia="zh-CN"/>
          </w:rPr>
          <w:t>九、医废处理项目技术管理</w:t>
        </w:r>
        <w:r>
          <w:tab/>
        </w:r>
        <w:r>
          <w:fldChar w:fldCharType="begin"/>
        </w:r>
        <w:r>
          <w:instrText xml:space="preserve"> PAGEREF _Toc30738 \h </w:instrText>
        </w:r>
        <w:r>
          <w:fldChar w:fldCharType="separate"/>
        </w:r>
        <w:r>
          <w:t>27</w:t>
        </w:r>
        <w:r>
          <w:fldChar w:fldCharType="end"/>
        </w:r>
      </w:hyperlink>
    </w:p>
    <w:p>
      <w:pPr>
        <w:pStyle w:val="TOC2"/>
        <w:tabs>
          <w:tab w:val="right" w:leader="dot" w:pos="8306"/>
        </w:tabs>
      </w:pPr>
      <w:hyperlink w:anchor="_Toc19031" w:history="1">
        <w:r>
          <w:rPr>
            <w:rFonts w:ascii="仿宋" w:eastAsia="仿宋" w:hAnsi="仿宋" w:cs="仿宋" w:hint="eastAsia"/>
            <w:lang w:eastAsia="zh-CN"/>
          </w:rPr>
          <w:t>(一)、技术方案选用方向</w:t>
        </w:r>
        <w:r>
          <w:tab/>
        </w:r>
        <w:r>
          <w:fldChar w:fldCharType="begin"/>
        </w:r>
        <w:r>
          <w:instrText xml:space="preserve"> PAGEREF _Toc19031 \h </w:instrText>
        </w:r>
        <w:r>
          <w:fldChar w:fldCharType="separate"/>
        </w:r>
        <w:r>
          <w:t>27</w:t>
        </w:r>
        <w:r>
          <w:fldChar w:fldCharType="end"/>
        </w:r>
      </w:hyperlink>
    </w:p>
    <w:p>
      <w:pPr>
        <w:pStyle w:val="TOC2"/>
        <w:tabs>
          <w:tab w:val="right" w:leader="dot" w:pos="8306"/>
        </w:tabs>
      </w:pPr>
      <w:hyperlink w:anchor="_Toc15208" w:history="1">
        <w:r>
          <w:rPr>
            <w:rFonts w:ascii="仿宋" w:eastAsia="仿宋" w:hAnsi="仿宋" w:cs="仿宋" w:hint="eastAsia"/>
            <w:lang w:eastAsia="zh-CN"/>
          </w:rPr>
          <w:t>(二)、工艺技术方案选用原则</w:t>
        </w:r>
        <w:r>
          <w:tab/>
        </w:r>
        <w:r>
          <w:fldChar w:fldCharType="begin"/>
        </w:r>
        <w:r>
          <w:instrText xml:space="preserve"> PAGEREF _Toc15208 \h </w:instrText>
        </w:r>
        <w:r>
          <w:fldChar w:fldCharType="separate"/>
        </w:r>
        <w:r>
          <w:t>28</w:t>
        </w:r>
        <w:r>
          <w:fldChar w:fldCharType="end"/>
        </w:r>
      </w:hyperlink>
    </w:p>
    <w:p>
      <w:pPr>
        <w:pStyle w:val="TOC2"/>
        <w:tabs>
          <w:tab w:val="right" w:leader="dot" w:pos="8306"/>
        </w:tabs>
      </w:pPr>
      <w:hyperlink w:anchor="_Toc3721" w:history="1">
        <w:r>
          <w:rPr>
            <w:rFonts w:ascii="仿宋" w:eastAsia="仿宋" w:hAnsi="仿宋" w:cs="仿宋" w:hint="eastAsia"/>
            <w:lang w:eastAsia="zh-CN"/>
          </w:rPr>
          <w:t>(三)、工艺技术方案要求</w:t>
        </w:r>
        <w:r>
          <w:tab/>
        </w:r>
        <w:r>
          <w:fldChar w:fldCharType="begin"/>
        </w:r>
        <w:r>
          <w:instrText xml:space="preserve"> PAGEREF _Toc3721 \h </w:instrText>
        </w:r>
        <w:r>
          <w:fldChar w:fldCharType="separate"/>
        </w:r>
        <w:r>
          <w:t>30</w:t>
        </w:r>
        <w:r>
          <w:fldChar w:fldCharType="end"/>
        </w:r>
      </w:hyperlink>
    </w:p>
    <w:p>
      <w:pPr>
        <w:pStyle w:val="TOC1"/>
        <w:tabs>
          <w:tab w:val="right" w:leader="dot" w:pos="8306"/>
        </w:tabs>
      </w:pPr>
      <w:hyperlink w:anchor="_Toc18523" w:history="1">
        <w:r>
          <w:rPr>
            <w:rFonts w:ascii="仿宋" w:eastAsia="仿宋" w:hAnsi="仿宋" w:cs="仿宋" w:hint="eastAsia"/>
            <w:lang w:eastAsia="zh-CN"/>
          </w:rPr>
          <w:t>十、医废处理项目财务管理</w:t>
        </w:r>
        <w:r>
          <w:tab/>
        </w:r>
        <w:r>
          <w:fldChar w:fldCharType="begin"/>
        </w:r>
        <w:r>
          <w:instrText xml:space="preserve"> PAGEREF _Toc18523 \h </w:instrText>
        </w:r>
        <w:r>
          <w:fldChar w:fldCharType="separate"/>
        </w:r>
        <w:r>
          <w:t>33</w:t>
        </w:r>
        <w:r>
          <w:fldChar w:fldCharType="end"/>
        </w:r>
      </w:hyperlink>
    </w:p>
    <w:p>
      <w:pPr>
        <w:pStyle w:val="TOC2"/>
        <w:tabs>
          <w:tab w:val="right" w:leader="dot" w:pos="8306"/>
        </w:tabs>
      </w:pPr>
      <w:hyperlink w:anchor="_Toc20150" w:history="1">
        <w:r>
          <w:rPr>
            <w:rFonts w:ascii="仿宋" w:eastAsia="仿宋" w:hAnsi="仿宋" w:cs="仿宋" w:hint="eastAsia"/>
            <w:lang w:eastAsia="zh-CN"/>
          </w:rPr>
          <w:t>(一)、资金需求大</w:t>
        </w:r>
        <w:r>
          <w:tab/>
        </w:r>
        <w:r>
          <w:fldChar w:fldCharType="begin"/>
        </w:r>
        <w:r>
          <w:instrText xml:space="preserve"> PAGEREF _Toc20150 \h </w:instrText>
        </w:r>
        <w:r>
          <w:fldChar w:fldCharType="separate"/>
        </w:r>
        <w:r>
          <w:t>33</w:t>
        </w:r>
        <w:r>
          <w:fldChar w:fldCharType="end"/>
        </w:r>
      </w:hyperlink>
    </w:p>
    <w:p>
      <w:pPr>
        <w:pStyle w:val="TOC2"/>
        <w:tabs>
          <w:tab w:val="right" w:leader="dot" w:pos="8306"/>
        </w:tabs>
      </w:pPr>
      <w:hyperlink w:anchor="_Toc30688" w:history="1">
        <w:r>
          <w:rPr>
            <w:rFonts w:ascii="仿宋" w:eastAsia="仿宋" w:hAnsi="仿宋" w:cs="仿宋" w:hint="eastAsia"/>
            <w:lang w:eastAsia="zh-CN"/>
          </w:rPr>
          <w:t>(二)、研发周期长</w:t>
        </w:r>
        <w:r>
          <w:tab/>
        </w:r>
        <w:r>
          <w:fldChar w:fldCharType="begin"/>
        </w:r>
        <w:r>
          <w:instrText xml:space="preserve"> PAGEREF _Toc30688 \h </w:instrText>
        </w:r>
        <w:r>
          <w:fldChar w:fldCharType="separate"/>
        </w:r>
        <w:r>
          <w:t>34</w:t>
        </w:r>
        <w:r>
          <w:fldChar w:fldCharType="end"/>
        </w:r>
      </w:hyperlink>
    </w:p>
    <w:p>
      <w:pPr>
        <w:pStyle w:val="TOC2"/>
        <w:tabs>
          <w:tab w:val="right" w:leader="dot" w:pos="8306"/>
        </w:tabs>
      </w:pPr>
      <w:hyperlink w:anchor="_Toc165" w:history="1">
        <w:r>
          <w:rPr>
            <w:rFonts w:ascii="仿宋" w:eastAsia="仿宋" w:hAnsi="仿宋" w:cs="仿宋" w:hint="eastAsia"/>
            <w:lang w:eastAsia="zh-CN"/>
          </w:rPr>
          <w:t>(三)、市场风险大</w:t>
        </w:r>
        <w:r>
          <w:tab/>
        </w:r>
        <w:r>
          <w:fldChar w:fldCharType="begin"/>
        </w:r>
        <w:r>
          <w:instrText xml:space="preserve"> PAGEREF _Toc165 \h </w:instrText>
        </w:r>
        <w:r>
          <w:fldChar w:fldCharType="separate"/>
        </w:r>
        <w:r>
          <w:t>35</w:t>
        </w:r>
        <w:r>
          <w:fldChar w:fldCharType="end"/>
        </w:r>
      </w:hyperlink>
    </w:p>
    <w:p>
      <w:pPr>
        <w:pStyle w:val="TOC2"/>
        <w:tabs>
          <w:tab w:val="right" w:leader="dot" w:pos="8306"/>
        </w:tabs>
      </w:pPr>
      <w:hyperlink w:anchor="_Toc28348" w:history="1">
        <w:r>
          <w:rPr>
            <w:rFonts w:ascii="仿宋" w:eastAsia="仿宋" w:hAnsi="仿宋" w:cs="仿宋" w:hint="eastAsia"/>
            <w:lang w:eastAsia="zh-CN"/>
          </w:rPr>
          <w:t>(四)、利润率高</w:t>
        </w:r>
        <w:r>
          <w:tab/>
        </w:r>
        <w:r>
          <w:fldChar w:fldCharType="begin"/>
        </w:r>
        <w:r>
          <w:instrText xml:space="preserve"> PAGEREF _Toc28348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8" w:history="1">
        <w:r>
          <w:rPr>
            <w:rFonts w:ascii="仿宋" w:eastAsia="仿宋" w:hAnsi="仿宋" w:cs="仿宋" w:hint="eastAsia"/>
            <w:lang w:eastAsia="zh-CN"/>
          </w:rPr>
          <w:t>十一、医废处理项目人力资源管理</w:t>
        </w:r>
        <w:r>
          <w:tab/>
        </w:r>
        <w:r>
          <w:fldChar w:fldCharType="begin"/>
        </w:r>
        <w:r>
          <w:instrText xml:space="preserve"> PAGEREF _Toc2998 \h </w:instrText>
        </w:r>
        <w:r>
          <w:fldChar w:fldCharType="separate"/>
        </w:r>
        <w:r>
          <w:t>40</w:t>
        </w:r>
        <w:r>
          <w:fldChar w:fldCharType="end"/>
        </w:r>
      </w:hyperlink>
    </w:p>
    <w:p>
      <w:pPr>
        <w:pStyle w:val="TOC2"/>
        <w:tabs>
          <w:tab w:val="right" w:leader="dot" w:pos="8306"/>
        </w:tabs>
      </w:pPr>
      <w:hyperlink w:anchor="_Toc15799" w:history="1">
        <w:r>
          <w:rPr>
            <w:rFonts w:ascii="仿宋" w:eastAsia="仿宋" w:hAnsi="仿宋" w:cs="仿宋" w:hint="eastAsia"/>
            <w:lang w:eastAsia="zh-CN"/>
          </w:rPr>
          <w:t>(一)、建立健全的预算管理制度</w:t>
        </w:r>
        <w:r>
          <w:tab/>
        </w:r>
        <w:r>
          <w:fldChar w:fldCharType="begin"/>
        </w:r>
        <w:r>
          <w:instrText xml:space="preserve"> PAGEREF _Toc15799 \h </w:instrText>
        </w:r>
        <w:r>
          <w:fldChar w:fldCharType="separate"/>
        </w:r>
        <w:r>
          <w:t>40</w:t>
        </w:r>
        <w:r>
          <w:fldChar w:fldCharType="end"/>
        </w:r>
      </w:hyperlink>
    </w:p>
    <w:p>
      <w:pPr>
        <w:pStyle w:val="TOC2"/>
        <w:tabs>
          <w:tab w:val="right" w:leader="dot" w:pos="8306"/>
        </w:tabs>
      </w:pPr>
      <w:hyperlink w:anchor="_Toc4309" w:history="1">
        <w:r>
          <w:rPr>
            <w:rFonts w:ascii="仿宋" w:eastAsia="仿宋" w:hAnsi="仿宋" w:cs="仿宋" w:hint="eastAsia"/>
            <w:lang w:eastAsia="zh-CN"/>
          </w:rPr>
          <w:t>(二)、加强资金流动监控</w:t>
        </w:r>
        <w:r>
          <w:tab/>
        </w:r>
        <w:r>
          <w:fldChar w:fldCharType="begin"/>
        </w:r>
        <w:r>
          <w:instrText xml:space="preserve"> PAGEREF _Toc4309 \h </w:instrText>
        </w:r>
        <w:r>
          <w:fldChar w:fldCharType="separate"/>
        </w:r>
        <w:r>
          <w:t>41</w:t>
        </w:r>
        <w:r>
          <w:fldChar w:fldCharType="end"/>
        </w:r>
      </w:hyperlink>
    </w:p>
    <w:p>
      <w:pPr>
        <w:pStyle w:val="TOC2"/>
        <w:tabs>
          <w:tab w:val="right" w:leader="dot" w:pos="8306"/>
        </w:tabs>
      </w:pPr>
      <w:hyperlink w:anchor="_Toc4172" w:history="1">
        <w:r>
          <w:rPr>
            <w:rFonts w:ascii="仿宋" w:eastAsia="仿宋" w:hAnsi="仿宋" w:cs="仿宋" w:hint="eastAsia"/>
            <w:lang w:eastAsia="zh-CN"/>
          </w:rPr>
          <w:t>(三)、制定完善的风险控制机制</w:t>
        </w:r>
        <w:r>
          <w:tab/>
        </w:r>
        <w:r>
          <w:fldChar w:fldCharType="begin"/>
        </w:r>
        <w:r>
          <w:instrText xml:space="preserve"> PAGEREF _Toc4172 \h </w:instrText>
        </w:r>
        <w:r>
          <w:fldChar w:fldCharType="separate"/>
        </w:r>
        <w:r>
          <w:t>42</w:t>
        </w:r>
        <w:r>
          <w:fldChar w:fldCharType="end"/>
        </w:r>
      </w:hyperlink>
    </w:p>
    <w:p>
      <w:pPr>
        <w:pStyle w:val="TOC2"/>
        <w:tabs>
          <w:tab w:val="right" w:leader="dot" w:pos="8306"/>
        </w:tabs>
      </w:pPr>
      <w:hyperlink w:anchor="_Toc19169" w:history="1">
        <w:r>
          <w:rPr>
            <w:rFonts w:ascii="仿宋" w:eastAsia="仿宋" w:hAnsi="仿宋" w:cs="仿宋" w:hint="eastAsia"/>
            <w:lang w:eastAsia="zh-CN"/>
          </w:rPr>
          <w:t>(四)、优化成本管理</w:t>
        </w:r>
        <w:r>
          <w:tab/>
        </w:r>
        <w:r>
          <w:fldChar w:fldCharType="begin"/>
        </w:r>
        <w:r>
          <w:instrText xml:space="preserve"> PAGEREF _Toc19169 \h </w:instrText>
        </w:r>
        <w:r>
          <w:fldChar w:fldCharType="separate"/>
        </w:r>
        <w:r>
          <w:t>44</w:t>
        </w:r>
        <w:r>
          <w:fldChar w:fldCharType="end"/>
        </w:r>
      </w:hyperlink>
    </w:p>
    <w:p>
      <w:pPr>
        <w:pStyle w:val="TOC1"/>
        <w:tabs>
          <w:tab w:val="right" w:leader="dot" w:pos="8306"/>
        </w:tabs>
      </w:pPr>
      <w:hyperlink w:anchor="_Toc17892" w:history="1">
        <w:r>
          <w:rPr>
            <w:rFonts w:ascii="仿宋" w:eastAsia="仿宋" w:hAnsi="仿宋" w:cs="仿宋" w:hint="eastAsia"/>
            <w:lang w:eastAsia="zh-CN"/>
          </w:rPr>
          <w:t>十二、医废处理项目风险管理</w:t>
        </w:r>
        <w:r>
          <w:tab/>
        </w:r>
        <w:r>
          <w:fldChar w:fldCharType="begin"/>
        </w:r>
        <w:r>
          <w:instrText xml:space="preserve"> PAGEREF _Toc17892 \h </w:instrText>
        </w:r>
        <w:r>
          <w:fldChar w:fldCharType="separate"/>
        </w:r>
        <w:r>
          <w:t>45</w:t>
        </w:r>
        <w:r>
          <w:fldChar w:fldCharType="end"/>
        </w:r>
      </w:hyperlink>
    </w:p>
    <w:p>
      <w:pPr>
        <w:pStyle w:val="TOC2"/>
        <w:tabs>
          <w:tab w:val="right" w:leader="dot" w:pos="8306"/>
        </w:tabs>
      </w:pPr>
      <w:hyperlink w:anchor="_Toc4995" w:history="1">
        <w:r>
          <w:rPr>
            <w:rFonts w:ascii="仿宋" w:eastAsia="仿宋" w:hAnsi="仿宋" w:cs="仿宋" w:hint="eastAsia"/>
            <w:lang w:eastAsia="zh-CN"/>
          </w:rPr>
          <w:t>(一)、风险识别与评估</w:t>
        </w:r>
        <w:r>
          <w:tab/>
        </w:r>
        <w:r>
          <w:fldChar w:fldCharType="begin"/>
        </w:r>
        <w:r>
          <w:instrText xml:space="preserve"> PAGEREF _Toc4995 \h </w:instrText>
        </w:r>
        <w:r>
          <w:fldChar w:fldCharType="separate"/>
        </w:r>
        <w:r>
          <w:t>45</w:t>
        </w:r>
        <w:r>
          <w:fldChar w:fldCharType="end"/>
        </w:r>
      </w:hyperlink>
    </w:p>
    <w:p>
      <w:pPr>
        <w:pStyle w:val="TOC2"/>
        <w:tabs>
          <w:tab w:val="right" w:leader="dot" w:pos="8306"/>
        </w:tabs>
      </w:pPr>
      <w:hyperlink w:anchor="_Toc29152" w:history="1">
        <w:r>
          <w:rPr>
            <w:rFonts w:ascii="仿宋" w:eastAsia="仿宋" w:hAnsi="仿宋" w:cs="仿宋" w:hint="eastAsia"/>
            <w:lang w:eastAsia="zh-CN"/>
          </w:rPr>
          <w:t>(二)、风险应对策略</w:t>
        </w:r>
        <w:r>
          <w:tab/>
        </w:r>
        <w:r>
          <w:fldChar w:fldCharType="begin"/>
        </w:r>
        <w:r>
          <w:instrText xml:space="preserve"> PAGEREF _Toc29152 \h </w:instrText>
        </w:r>
        <w:r>
          <w:fldChar w:fldCharType="separate"/>
        </w:r>
        <w:r>
          <w:t>46</w:t>
        </w:r>
        <w:r>
          <w:fldChar w:fldCharType="end"/>
        </w:r>
      </w:hyperlink>
    </w:p>
    <w:p>
      <w:pPr>
        <w:pStyle w:val="TOC2"/>
        <w:tabs>
          <w:tab w:val="right" w:leader="dot" w:pos="8306"/>
        </w:tabs>
      </w:pPr>
      <w:hyperlink w:anchor="_Toc14218" w:history="1">
        <w:r>
          <w:rPr>
            <w:rFonts w:ascii="仿宋" w:eastAsia="仿宋" w:hAnsi="仿宋" w:cs="仿宋" w:hint="eastAsia"/>
            <w:lang w:eastAsia="zh-CN"/>
          </w:rPr>
          <w:t>(三)、风险监控与控制</w:t>
        </w:r>
        <w:r>
          <w:tab/>
        </w:r>
        <w:r>
          <w:fldChar w:fldCharType="begin"/>
        </w:r>
        <w:r>
          <w:instrText xml:space="preserve"> PAGEREF _Toc14218 \h </w:instrText>
        </w:r>
        <w:r>
          <w:fldChar w:fldCharType="separate"/>
        </w:r>
        <w:r>
          <w:t>48</w:t>
        </w:r>
        <w:r>
          <w:fldChar w:fldCharType="end"/>
        </w:r>
      </w:hyperlink>
    </w:p>
    <w:p>
      <w:pPr>
        <w:pStyle w:val="TOC1"/>
        <w:tabs>
          <w:tab w:val="right" w:leader="dot" w:pos="8306"/>
        </w:tabs>
      </w:pPr>
      <w:hyperlink w:anchor="_Toc24829" w:history="1">
        <w:r>
          <w:rPr>
            <w:rFonts w:ascii="仿宋" w:eastAsia="仿宋" w:hAnsi="仿宋" w:cs="仿宋" w:hint="eastAsia"/>
            <w:lang w:eastAsia="zh-CN"/>
          </w:rPr>
          <w:t>十三、质量管理体系</w:t>
        </w:r>
        <w:r>
          <w:tab/>
        </w:r>
        <w:r>
          <w:fldChar w:fldCharType="begin"/>
        </w:r>
        <w:r>
          <w:instrText xml:space="preserve"> PAGEREF _Toc24829 \h </w:instrText>
        </w:r>
        <w:r>
          <w:fldChar w:fldCharType="separate"/>
        </w:r>
        <w:r>
          <w:t>49</w:t>
        </w:r>
        <w:r>
          <w:fldChar w:fldCharType="end"/>
        </w:r>
      </w:hyperlink>
    </w:p>
    <w:p>
      <w:pPr>
        <w:pStyle w:val="TOC2"/>
        <w:tabs>
          <w:tab w:val="right" w:leader="dot" w:pos="8306"/>
        </w:tabs>
      </w:pPr>
      <w:hyperlink w:anchor="_Toc24382" w:history="1">
        <w:r>
          <w:rPr>
            <w:rFonts w:ascii="仿宋" w:eastAsia="仿宋" w:hAnsi="仿宋" w:cs="仿宋" w:hint="eastAsia"/>
            <w:lang w:eastAsia="zh-CN"/>
          </w:rPr>
          <w:t>(一)、质量目标与方针</w:t>
        </w:r>
        <w:r>
          <w:tab/>
        </w:r>
        <w:r>
          <w:fldChar w:fldCharType="begin"/>
        </w:r>
        <w:r>
          <w:instrText xml:space="preserve"> PAGEREF _Toc24382 \h </w:instrText>
        </w:r>
        <w:r>
          <w:fldChar w:fldCharType="separate"/>
        </w:r>
        <w:r>
          <w:t>49</w:t>
        </w:r>
        <w:r>
          <w:fldChar w:fldCharType="end"/>
        </w:r>
      </w:hyperlink>
    </w:p>
    <w:p>
      <w:pPr>
        <w:pStyle w:val="TOC2"/>
        <w:tabs>
          <w:tab w:val="right" w:leader="dot" w:pos="8306"/>
        </w:tabs>
      </w:pPr>
      <w:hyperlink w:anchor="_Toc30428" w:history="1">
        <w:r>
          <w:rPr>
            <w:rFonts w:ascii="仿宋" w:eastAsia="仿宋" w:hAnsi="仿宋" w:cs="仿宋" w:hint="eastAsia"/>
            <w:lang w:eastAsia="zh-CN"/>
          </w:rPr>
          <w:t>(二)、质量管理责任</w:t>
        </w:r>
        <w:r>
          <w:tab/>
        </w:r>
        <w:r>
          <w:fldChar w:fldCharType="begin"/>
        </w:r>
        <w:r>
          <w:instrText xml:space="preserve"> PAGEREF _Toc30428 \h </w:instrText>
        </w:r>
        <w:r>
          <w:fldChar w:fldCharType="separate"/>
        </w:r>
        <w:r>
          <w:t>50</w:t>
        </w:r>
        <w:r>
          <w:fldChar w:fldCharType="end"/>
        </w:r>
      </w:hyperlink>
    </w:p>
    <w:p>
      <w:pPr>
        <w:pStyle w:val="TOC2"/>
        <w:tabs>
          <w:tab w:val="right" w:leader="dot" w:pos="8306"/>
        </w:tabs>
      </w:pPr>
      <w:hyperlink w:anchor="_Toc12883" w:history="1">
        <w:r>
          <w:rPr>
            <w:rFonts w:ascii="仿宋" w:eastAsia="仿宋" w:hAnsi="仿宋" w:cs="仿宋" w:hint="eastAsia"/>
            <w:lang w:eastAsia="zh-CN"/>
          </w:rPr>
          <w:t>(三)、质量管理体系文件</w:t>
        </w:r>
        <w:r>
          <w:tab/>
        </w:r>
        <w:r>
          <w:fldChar w:fldCharType="begin"/>
        </w:r>
        <w:r>
          <w:instrText xml:space="preserve"> PAGEREF _Toc12883 \h </w:instrText>
        </w:r>
        <w:r>
          <w:fldChar w:fldCharType="separate"/>
        </w:r>
        <w:r>
          <w:t>51</w:t>
        </w:r>
        <w:r>
          <w:fldChar w:fldCharType="end"/>
        </w:r>
      </w:hyperlink>
    </w:p>
    <w:p>
      <w:pPr>
        <w:pStyle w:val="TOC2"/>
        <w:tabs>
          <w:tab w:val="right" w:leader="dot" w:pos="8306"/>
        </w:tabs>
      </w:pPr>
      <w:hyperlink w:anchor="_Toc3243" w:history="1">
        <w:r>
          <w:rPr>
            <w:rFonts w:ascii="仿宋" w:eastAsia="仿宋" w:hAnsi="仿宋" w:cs="仿宋" w:hint="eastAsia"/>
            <w:lang w:eastAsia="zh-CN"/>
          </w:rPr>
          <w:t>(四)、质量培训与教育</w:t>
        </w:r>
        <w:r>
          <w:tab/>
        </w:r>
        <w:r>
          <w:fldChar w:fldCharType="begin"/>
        </w:r>
        <w:r>
          <w:instrText xml:space="preserve"> PAGEREF _Toc3243 \h </w:instrText>
        </w:r>
        <w:r>
          <w:fldChar w:fldCharType="separate"/>
        </w:r>
        <w:r>
          <w:t>53</w:t>
        </w:r>
        <w:r>
          <w:fldChar w:fldCharType="end"/>
        </w:r>
      </w:hyperlink>
    </w:p>
    <w:p>
      <w:pPr>
        <w:pStyle w:val="TOC2"/>
        <w:tabs>
          <w:tab w:val="right" w:leader="dot" w:pos="8306"/>
        </w:tabs>
      </w:pPr>
      <w:hyperlink w:anchor="_Toc23644" w:history="1">
        <w:r>
          <w:rPr>
            <w:rFonts w:ascii="仿宋" w:eastAsia="仿宋" w:hAnsi="仿宋" w:cs="仿宋" w:hint="eastAsia"/>
            <w:lang w:eastAsia="zh-CN"/>
          </w:rPr>
          <w:t>(五)、质量审核与评价</w:t>
        </w:r>
        <w:r>
          <w:tab/>
        </w:r>
        <w:r>
          <w:fldChar w:fldCharType="begin"/>
        </w:r>
        <w:r>
          <w:instrText xml:space="preserve"> PAGEREF _Toc23644 \h </w:instrText>
        </w:r>
        <w:r>
          <w:fldChar w:fldCharType="separate"/>
        </w:r>
        <w:r>
          <w:t>55</w:t>
        </w:r>
        <w:r>
          <w:fldChar w:fldCharType="end"/>
        </w:r>
      </w:hyperlink>
    </w:p>
    <w:p>
      <w:pPr>
        <w:pStyle w:val="TOC2"/>
        <w:tabs>
          <w:tab w:val="right" w:leader="dot" w:pos="8306"/>
        </w:tabs>
      </w:pPr>
      <w:hyperlink w:anchor="_Toc585" w:history="1">
        <w:r>
          <w:rPr>
            <w:rFonts w:ascii="仿宋" w:eastAsia="仿宋" w:hAnsi="仿宋" w:cs="仿宋" w:hint="eastAsia"/>
            <w:lang w:eastAsia="zh-CN"/>
          </w:rPr>
          <w:t>(六)、不符合与纠正措施</w:t>
        </w:r>
        <w:r>
          <w:tab/>
        </w:r>
        <w:r>
          <w:fldChar w:fldCharType="begin"/>
        </w:r>
        <w:r>
          <w:instrText xml:space="preserve"> PAGEREF _Toc585 \h </w:instrText>
        </w:r>
        <w:r>
          <w:fldChar w:fldCharType="separate"/>
        </w:r>
        <w:r>
          <w:t>56</w:t>
        </w:r>
        <w:r>
          <w:fldChar w:fldCharType="end"/>
        </w:r>
      </w:hyperlink>
    </w:p>
    <w:p>
      <w:pPr>
        <w:pStyle w:val="TOC1"/>
        <w:tabs>
          <w:tab w:val="right" w:leader="dot" w:pos="8306"/>
        </w:tabs>
      </w:pPr>
      <w:hyperlink w:anchor="_Toc32242" w:history="1">
        <w:r>
          <w:rPr>
            <w:rFonts w:ascii="仿宋" w:eastAsia="仿宋" w:hAnsi="仿宋" w:cs="仿宋" w:hint="eastAsia"/>
            <w:lang w:eastAsia="zh-CN"/>
          </w:rPr>
          <w:t>十四、利益相关者分析与沟通计划</w:t>
        </w:r>
        <w:r>
          <w:tab/>
        </w:r>
        <w:r>
          <w:fldChar w:fldCharType="begin"/>
        </w:r>
        <w:r>
          <w:instrText xml:space="preserve"> PAGEREF _Toc32242 \h </w:instrText>
        </w:r>
        <w:r>
          <w:fldChar w:fldCharType="separate"/>
        </w:r>
        <w:r>
          <w:t>57</w:t>
        </w:r>
        <w:r>
          <w:fldChar w:fldCharType="end"/>
        </w:r>
      </w:hyperlink>
    </w:p>
    <w:p>
      <w:pPr>
        <w:pStyle w:val="TOC2"/>
        <w:tabs>
          <w:tab w:val="right" w:leader="dot" w:pos="8306"/>
        </w:tabs>
      </w:pPr>
      <w:hyperlink w:anchor="_Toc32092" w:history="1">
        <w:r>
          <w:rPr>
            <w:rFonts w:ascii="仿宋" w:eastAsia="仿宋" w:hAnsi="仿宋" w:cs="仿宋" w:hint="eastAsia"/>
            <w:lang w:eastAsia="zh-CN"/>
          </w:rPr>
          <w:t>(一)、利益相关者分析</w:t>
        </w:r>
        <w:r>
          <w:tab/>
        </w:r>
        <w:r>
          <w:fldChar w:fldCharType="begin"/>
        </w:r>
        <w:r>
          <w:instrText xml:space="preserve"> PAGEREF _Toc32092 \h </w:instrText>
        </w:r>
        <w:r>
          <w:fldChar w:fldCharType="separate"/>
        </w:r>
        <w:r>
          <w:t>57</w:t>
        </w:r>
        <w:r>
          <w:fldChar w:fldCharType="end"/>
        </w:r>
      </w:hyperlink>
    </w:p>
    <w:p>
      <w:pPr>
        <w:pStyle w:val="TOC2"/>
        <w:tabs>
          <w:tab w:val="right" w:leader="dot" w:pos="8306"/>
        </w:tabs>
      </w:pPr>
      <w:hyperlink w:anchor="_Toc14308" w:history="1">
        <w:r>
          <w:rPr>
            <w:rFonts w:ascii="仿宋" w:eastAsia="仿宋" w:hAnsi="仿宋" w:cs="仿宋" w:hint="eastAsia"/>
            <w:lang w:eastAsia="zh-CN"/>
          </w:rPr>
          <w:t>(二)、沟通计划</w:t>
        </w:r>
        <w:r>
          <w:tab/>
        </w:r>
        <w:r>
          <w:fldChar w:fldCharType="begin"/>
        </w:r>
        <w:r>
          <w:instrText xml:space="preserve"> PAGEREF _Toc14308 \h </w:instrText>
        </w:r>
        <w:r>
          <w:fldChar w:fldCharType="separate"/>
        </w:r>
        <w:r>
          <w:t>58</w:t>
        </w:r>
        <w:r>
          <w:fldChar w:fldCharType="end"/>
        </w:r>
      </w:hyperlink>
    </w:p>
    <w:p>
      <w:pPr>
        <w:pStyle w:val="TOC1"/>
        <w:tabs>
          <w:tab w:val="right" w:leader="dot" w:pos="8306"/>
        </w:tabs>
      </w:pPr>
      <w:hyperlink w:anchor="_Toc28200" w:history="1">
        <w:r>
          <w:rPr>
            <w:rFonts w:ascii="仿宋" w:eastAsia="仿宋" w:hAnsi="仿宋" w:cs="仿宋" w:hint="eastAsia"/>
            <w:lang w:eastAsia="zh-CN"/>
          </w:rPr>
          <w:t>十五、医废处理项目治理与监督</w:t>
        </w:r>
        <w:r>
          <w:tab/>
        </w:r>
        <w:r>
          <w:fldChar w:fldCharType="begin"/>
        </w:r>
        <w:r>
          <w:instrText xml:space="preserve"> PAGEREF _Toc28200 \h </w:instrText>
        </w:r>
        <w:r>
          <w:fldChar w:fldCharType="separate"/>
        </w:r>
        <w:r>
          <w:t>59</w:t>
        </w:r>
        <w:r>
          <w:fldChar w:fldCharType="end"/>
        </w:r>
      </w:hyperlink>
    </w:p>
    <w:p>
      <w:pPr>
        <w:pStyle w:val="TOC2"/>
        <w:tabs>
          <w:tab w:val="right" w:leader="dot" w:pos="8306"/>
        </w:tabs>
      </w:pPr>
      <w:hyperlink w:anchor="_Toc10548" w:history="1">
        <w:r>
          <w:rPr>
            <w:rFonts w:ascii="仿宋" w:eastAsia="仿宋" w:hAnsi="仿宋" w:cs="仿宋" w:hint="eastAsia"/>
            <w:lang w:eastAsia="zh-CN"/>
          </w:rPr>
          <w:t>(一)、医废处理项目治理结构</w:t>
        </w:r>
        <w:r>
          <w:tab/>
        </w:r>
        <w:r>
          <w:fldChar w:fldCharType="begin"/>
        </w:r>
        <w:r>
          <w:instrText xml:space="preserve"> PAGEREF _Toc10548 \h </w:instrText>
        </w:r>
        <w:r>
          <w:fldChar w:fldCharType="separate"/>
        </w:r>
        <w:r>
          <w:t>59</w:t>
        </w:r>
        <w:r>
          <w:fldChar w:fldCharType="end"/>
        </w:r>
      </w:hyperlink>
    </w:p>
    <w:p>
      <w:pPr>
        <w:pStyle w:val="TOC2"/>
        <w:tabs>
          <w:tab w:val="right" w:leader="dot" w:pos="8306"/>
        </w:tabs>
      </w:pPr>
      <w:hyperlink w:anchor="_Toc28727" w:history="1">
        <w:r>
          <w:rPr>
            <w:rFonts w:ascii="仿宋" w:eastAsia="仿宋" w:hAnsi="仿宋" w:cs="仿宋" w:hint="eastAsia"/>
            <w:lang w:eastAsia="zh-CN"/>
          </w:rPr>
          <w:t>(二)、监督与审计</w:t>
        </w:r>
        <w:r>
          <w:tab/>
        </w:r>
        <w:r>
          <w:fldChar w:fldCharType="begin"/>
        </w:r>
        <w:r>
          <w:instrText xml:space="preserve"> PAGEREF _Toc28727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75"/>
      <w:r>
        <w:rPr>
          <w:rFonts w:ascii="仿宋" w:eastAsia="仿宋" w:hAnsi="仿宋" w:cs="仿宋" w:hint="eastAsia"/>
          <w:sz w:val="28"/>
          <w:lang w:eastAsia="zh-CN"/>
        </w:rPr>
        <w:t>一、医废处理项目建设单位说明</w:t>
      </w:r>
      <w:bookmarkEnd w:id="2"/>
    </w:p>
    <w:p>
      <w:pPr>
        <w:pStyle w:val="Heading2"/>
        <w:rPr>
          <w:rFonts w:ascii="仿宋" w:eastAsia="仿宋" w:hAnsi="仿宋" w:cs="仿宋" w:hint="eastAsia"/>
          <w:lang w:eastAsia="zh-CN"/>
        </w:rPr>
      </w:pPr>
      <w:bookmarkStart w:id="3" w:name="_Toc25872"/>
      <w:r>
        <w:rPr>
          <w:rFonts w:ascii="仿宋" w:eastAsia="仿宋" w:hAnsi="仿宋" w:cs="仿宋" w:hint="eastAsia"/>
          <w:lang w:eastAsia="zh-CN"/>
        </w:rPr>
        <w:t>(一)、医废处理项目承办单位基本情况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88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废处理项目承办单位的XXXX，我们着眼于实现可持续的经济效益。通过技术创新和解决方案的提供，公司预计在医废处理项目执行期间将获得可观的收入增长。这一收入来源主要包括医废处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同时，我们注重成本控制和效率提升，以确保医废处理项目的可持续盈利。透过精细的管理和资源优化，公司期望实现医废处理项目利润最大化。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废处理项目实施进行全面的投资评估，包括医废处理项目启动阶段的资金投入和后续运营成本。通过对医废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废处理项目实施过程中具备足够的资金流动性，公司将进行详尽的现金流分析。这包括资金需求的合理预测、医废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139"/>
      <w:r>
        <w:rPr>
          <w:rFonts w:ascii="仿宋" w:eastAsia="仿宋" w:hAnsi="仿宋" w:cs="仿宋" w:hint="eastAsia"/>
          <w:sz w:val="28"/>
          <w:lang w:eastAsia="zh-CN"/>
        </w:rPr>
        <w:t>二、医废处理项目土建工程</w:t>
      </w:r>
      <w:bookmarkEnd w:id="5"/>
    </w:p>
    <w:p>
      <w:pPr>
        <w:pStyle w:val="Heading2"/>
        <w:rPr>
          <w:rFonts w:ascii="仿宋" w:eastAsia="仿宋" w:hAnsi="仿宋" w:cs="仿宋" w:hint="eastAsia"/>
          <w:lang w:eastAsia="zh-CN"/>
        </w:rPr>
      </w:pPr>
      <w:bookmarkStart w:id="6" w:name="_Toc2056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在医废处理项目的建筑工程设计中，我们将秉承一系列重要的设计原则，以确保医废处理项目建筑在功能、美观、可持续性等方面达到最佳效果。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首要原则是确保建筑的功能性得到最大化的发挥。我们将充分理解医废处理项目的实际需求，合理布局各个功能区域，保证建筑在满足业务需求的同时，提供高效的工作环境。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在建筑设计中，我们将综合考虑建设和运营成本。通过精细的经济效益分析，确保设计方案在高效利用资源的同时，对医废处理项目的长期盈利能力有积极的贡献。</w:t>
      </w:r>
    </w:p>
    <w:p>
      <w:pPr>
        <w:pStyle w:val="Heading2"/>
        <w:ind w:firstLine="560" w:firstLineChars="200"/>
        <w:rPr>
          <w:rFonts w:ascii="仿宋" w:eastAsia="仿宋" w:hAnsi="仿宋" w:cs="仿宋" w:hint="eastAsia"/>
          <w:sz w:val="28"/>
          <w:lang w:eastAsia="zh-CN"/>
        </w:rPr>
      </w:pPr>
      <w:bookmarkStart w:id="7" w:name="_Toc2271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废处理项目的土建工程设计中，我们将精准设定设计年限，结合医废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废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11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医废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废处理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废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39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本期工程医废处理项目预计总建筑面积XXX平方米，其中：计容建筑面积XXX平方米，计划建筑工程投资XX万元，占医废处理项目总投资的XX%。</w:t>
      </w:r>
    </w:p>
    <w:p>
      <w:pPr>
        <w:pStyle w:val="Heading1"/>
        <w:ind w:firstLine="560" w:firstLineChars="200"/>
        <w:rPr>
          <w:rFonts w:ascii="仿宋" w:eastAsia="仿宋" w:hAnsi="仿宋" w:cs="仿宋" w:hint="eastAsia"/>
          <w:sz w:val="28"/>
          <w:lang w:eastAsia="zh-CN"/>
        </w:rPr>
      </w:pPr>
      <w:bookmarkStart w:id="10" w:name="_Toc7483"/>
      <w:r>
        <w:rPr>
          <w:rFonts w:ascii="仿宋" w:eastAsia="仿宋" w:hAnsi="仿宋" w:cs="仿宋" w:hint="eastAsia"/>
          <w:sz w:val="28"/>
          <w:lang w:eastAsia="zh-CN"/>
        </w:rPr>
        <w:t>三、医废处理项目建设背景及必要性分析</w:t>
      </w:r>
      <w:bookmarkEnd w:id="10"/>
    </w:p>
    <w:p>
      <w:pPr>
        <w:pStyle w:val="Heading2"/>
        <w:rPr>
          <w:rFonts w:ascii="仿宋" w:eastAsia="仿宋" w:hAnsi="仿宋" w:cs="仿宋" w:hint="eastAsia"/>
          <w:lang w:eastAsia="zh-CN"/>
        </w:rPr>
      </w:pPr>
      <w:bookmarkStart w:id="11" w:name="_Toc19563"/>
      <w:r>
        <w:rPr>
          <w:rFonts w:ascii="仿宋" w:eastAsia="仿宋" w:hAnsi="仿宋" w:cs="仿宋" w:hint="eastAsia"/>
          <w:lang w:eastAsia="zh-CN"/>
        </w:rPr>
        <w:t>(一)、医废处理项目背景分析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废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废处理项目在这个潮流中的定位。同时，我们将关注行业内涌现的新兴机遇，以便医废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废处理项目提供了强大的发展动力。我们将聚焦于行业内最新的技术发展趋势，包括但不限于人工智能、大数据分析、物联网等领域。通过深度的技术研究，我们将确保医废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废处理项目发展的源泉。我们将投入更多的精力对市场需求进行深入剖析，超越表面的需求，深入挖掘潜在的市场痛点和机遇。通过对市场需求的细致了解，医废处理项目将更有针对性地设计解决方案，满足市场的多样化需求，从而更好地促进医废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废处理项目战略至关重要。我们将对竞争态势进行更为深入的分析，包括但不限于市场份额、产品特点、客户满意度等多个维度。通过深度的竞争分析，医废处理项目将能够更准确地把握市场脉搏，制定具有竞争力的医废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医废处理项目的发展具有直接的影响。我们将进行更为全面的法规和政策分析，了解行业发展中的潜在法律风险和合规挑战。通过充分了解和遵守相关法规，医废处理项目将确保在法律框架内合法合规运营，为医废处理项目的稳健发展提供有力支持。</w:t>
      </w:r>
    </w:p>
    <w:p>
      <w:pPr>
        <w:pStyle w:val="Heading2"/>
        <w:ind w:firstLine="560" w:firstLineChars="200"/>
        <w:rPr>
          <w:rFonts w:ascii="仿宋" w:eastAsia="仿宋" w:hAnsi="仿宋" w:cs="仿宋" w:hint="eastAsia"/>
          <w:sz w:val="28"/>
          <w:lang w:eastAsia="zh-CN"/>
        </w:rPr>
      </w:pPr>
      <w:bookmarkStart w:id="12" w:name="_Toc2285"/>
      <w:r>
        <w:rPr>
          <w:rFonts w:ascii="仿宋" w:eastAsia="仿宋" w:hAnsi="仿宋" w:cs="仿宋" w:hint="eastAsia"/>
          <w:sz w:val="28"/>
          <w:lang w:eastAsia="zh-CN"/>
        </w:rPr>
        <w:t>(二)、医废处理项目建设必要性分析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建设的迫切性源于对行业发展趋势的深刻洞察。我们正处于一个行业变革的时代，科技创新、数字化转型成为企业发展的关键动力。医废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建设不仅仅是为了跟上潮流，更是为了通过技术创新推动企业的持续发展。通过引入先进的技术和解决方案，医废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废处理项目的建设成为必然选择，通过提高产品质量、拓展服务领域，从而在竞争中获得更多的机会。医废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医废处理项目建设的必要性体现在对客户需求更精准的满足。通过医废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建设的背后是对企业持续创新的追求。只有通过不断创新，企业才能在竞争中立于不败之地。医废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9028"/>
      <w:r>
        <w:rPr>
          <w:rFonts w:ascii="仿宋" w:eastAsia="仿宋" w:hAnsi="仿宋" w:cs="仿宋" w:hint="eastAsia"/>
          <w:sz w:val="28"/>
          <w:lang w:eastAsia="zh-CN"/>
        </w:rPr>
        <w:t>四、医废处理项目选址可行性分析</w:t>
      </w:r>
      <w:bookmarkEnd w:id="13"/>
    </w:p>
    <w:p>
      <w:pPr>
        <w:pStyle w:val="Heading2"/>
        <w:rPr>
          <w:rFonts w:ascii="仿宋" w:eastAsia="仿宋" w:hAnsi="仿宋" w:cs="仿宋" w:hint="eastAsia"/>
          <w:lang w:eastAsia="zh-CN"/>
        </w:rPr>
      </w:pPr>
      <w:bookmarkStart w:id="14" w:name="_Toc10619"/>
      <w:r>
        <w:rPr>
          <w:rFonts w:ascii="仿宋" w:eastAsia="仿宋" w:hAnsi="仿宋" w:cs="仿宋" w:hint="eastAsia"/>
          <w:lang w:eastAsia="zh-CN"/>
        </w:rPr>
        <w:t>(一)、医废处理项目选址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该医废处理项目选址位于XX省XX市XX区XXX街道</w:t>
      </w:r>
    </w:p>
    <w:p>
      <w:pPr>
        <w:pStyle w:val="Heading2"/>
        <w:ind w:firstLine="560" w:firstLineChars="200"/>
        <w:rPr>
          <w:rFonts w:ascii="仿宋" w:eastAsia="仿宋" w:hAnsi="仿宋" w:cs="仿宋" w:hint="eastAsia"/>
          <w:sz w:val="28"/>
          <w:lang w:eastAsia="zh-CN"/>
        </w:rPr>
      </w:pPr>
      <w:bookmarkStart w:id="15" w:name="_Toc267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医废处理项目的征地面积将根据医废处理项目的实际规模和需求进行精确规划。具体面积XXX平方米，旨在确保医废处理项目不仅能够满足当前的发展需求，还能够预留空间以适应未来的扩展。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净用地面积是在征地面积基础上去除不可利用面积后的实际可开发用地。具体面积XXX平方米，考虑到环保、交通、安全等多方面因素，以确保医废处理项目在整体利用效率上达到最优。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医废处理项目计划建设的建筑总规模具体面积XXX平方米。这一规模的确定综合考虑了医废处理项目的性质、规模，以及城市规划的相关要求，确保建筑布局与周边环境协调一致。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绿地率是医废处理项目用地中被规划为绿地的比例。具体面积XXX平方米，旨在通过合理规划绿地，改善医废处理项目周边环境，提升居民生活质量，并符合城市整体绿化规划。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容积率是用地上可以建设的建筑总体积与用地面积之比。具体面积XXX，通过合理的容积率规划，确保医废处理项目建筑规模与周边环境和谐共生。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确保医废处理项目选址与当地城市规划相一致，具体面积XXX平方米。通过与城市规划部门深入沟通，确保医废处理项目不仅符合城市的整体发展方向，还能够融入城市的发展布局，为城市的长远发展贡献力量。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废处理项目选址符合当地产业政策，具体面积XXX平方米。这包括医废处理项目对当地经济的促进作用，以及对相关产业的带动效应，确保医废处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用地总体要求必须符合环保和可持续发展的原则，具体面积XXX平方米。通过采用绿色建筑设计、节能减排等措施，确保医废处理项目在建设和运营过程中对环境的影响最小化，达到可持续发展的要求。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确保医废处理项目选址具备必要的公共设施配套，具体面积XXX平方米。这包括交通便利性、教育、医疗等基础设施，以提高居民生活品质，使得医废处理项目选址更具吸引力。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考虑用地总体要求对当地社会稳定性的影响，具体面积XXX平方米。通过深入了解当地社区反馈，确保医废处理项目的选址和建设过程对当地社会和谐稳定产生积极作用。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废处理项目选址不仅符合法规和规划，还在实际操作中具有可行性。这一全面规划将为医废处理项目的成功实施提供坚实的基础，确保医废处理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937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废处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废处理项目的设备规划和空间设计中，我们将采取灵活设备布局的措施。设备布局将根据实际需求进行灵活设计，避免不必要的浪费。通过合理规划设备摆放位置，我们将提高设备的利用率，减少设备间距，以确保医废处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废处理项目内部引入共享设施的概念，例如共享会议室、办公区等。通过这种方式，我们可以减少对资源的重复建设，提高资源共享效率，从而减小医废处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543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废处理项目的总图布置中，我们将不同功能区域进行明确的规划，以最大程度满足医废处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956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废处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医废处理项目对环境的影响是综合评价的重要因素之一。我们将详细考虑选址周边的自然环境、生态保护区、水源地等情况，确保医废处理项目的建设和运营对环境影响最小化，并符合当地的环保法规标准。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对选址的评价还需充分考虑当地政府的产业政策和法规。我们将详细了解医废处理项目所在地的相关政策，确保医废处理项目的规划和运营与当地法规相符，降低不必要的法律风险。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考虑到社会稳定性对企业运营的重要性，我们将评估选址地区的社会安全情况、劳工关系、社区反馈等方面，以确保医废处理项目的建设和运营不会受到社会稳定性的负面影响。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最后，我们将综合考虑用地成本，包括土地购置费用、土地开发成本等。通过对用地成本的详细评估，我们能够做出更为精确的经济效益分析，为医废处理项目的投资决策提供有力支持。</w:t>
      </w:r>
    </w:p>
    <w:p>
      <w:pPr>
        <w:pStyle w:val="Heading1"/>
        <w:ind w:firstLine="560" w:firstLineChars="200"/>
        <w:rPr>
          <w:rFonts w:ascii="仿宋" w:eastAsia="仿宋" w:hAnsi="仿宋" w:cs="仿宋" w:hint="eastAsia"/>
          <w:sz w:val="28"/>
          <w:lang w:eastAsia="zh-CN"/>
        </w:rPr>
      </w:pPr>
      <w:bookmarkStart w:id="19" w:name="_Toc16936"/>
      <w:r>
        <w:rPr>
          <w:rFonts w:ascii="仿宋" w:eastAsia="仿宋" w:hAnsi="仿宋" w:cs="仿宋" w:hint="eastAsia"/>
          <w:sz w:val="28"/>
          <w:lang w:eastAsia="zh-CN"/>
        </w:rPr>
        <w:t>五、医废处理项目危机管理</w:t>
      </w:r>
      <w:bookmarkEnd w:id="19"/>
    </w:p>
    <w:p>
      <w:pPr>
        <w:pStyle w:val="Heading2"/>
        <w:rPr>
          <w:rFonts w:ascii="仿宋" w:eastAsia="仿宋" w:hAnsi="仿宋" w:cs="仿宋" w:hint="eastAsia"/>
          <w:lang w:eastAsia="zh-CN"/>
        </w:rPr>
      </w:pPr>
      <w:bookmarkStart w:id="20" w:name="_Toc1098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医废处理项目危机管理中，危机预警与识别是确保医废处理项目稳健运行的核心步骤。通过建立全面的监测机制，医废处理项目团队旨在及时发现和理解潜在的风险和危机因素，以便采取及时的预防和应对措施，确保医废处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首先，通过深入的风险评估，医废处理项目团队全面分析了整个医废处理项目和各个阶段可能存在的威胁。这包括准确评估每个潜在风险的发生概率和可能影响的程度，为后续危机预警提供了有力支持。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https://d.book118.com/378140140050006024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0815EF"/>
    <w:rsid w:val="070815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4014005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2024-01-05T11:43:00Z</dcterms:created>
  <dcterms:modified xsi:type="dcterms:W3CDTF">2024-01-05T11:43:15Z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7D9F90B63E0740C0B78F6EE7271FDA4A_11</vt:lpwstr>
  </property>
  <property fmtid="{D5CDD505-2E9C-101B-9397-08002B2CF9AE}" pid="3" name="KSOProductBuildVer">
    <vt:lpwstr>2052-12.1.0.16120</vt:lpwstr>
  </property>
</Properties>
</file>