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宋体" w:eastAsia="宋体" w:hAnsi="宋体" w:cs="Times New Roman"/>
          <w:b/>
          <w:color w:val="auto"/>
          <w:kern w:val="2"/>
          <w:sz w:val="28"/>
          <w:szCs w:val="28"/>
        </w:rPr>
        <w:id w:val="1753697560"/>
        <w:docPartObj>
          <w:docPartGallery w:val="Table of Contents"/>
          <w:docPartUnique/>
        </w:docPartObj>
      </w:sdtPr>
      <w:sdtEndPr>
        <w:rPr>
          <w:rStyle w:val="Hyperlink"/>
          <w:rFonts w:ascii="宋体" w:eastAsia="宋体" w:hAnsi="宋体" w:cstheme="minorBidi"/>
          <w:b w:val="0"/>
          <w:color w:val="0563C1" w:themeColor="hyperlink"/>
          <w:kern w:val="2"/>
          <w:sz w:val="24"/>
          <w:szCs w:val="24"/>
          <w:u w:val="single"/>
          <w14:textFill>
            <w14:solidFill>
              <w14:schemeClr w14:val="hlink"/>
            </w14:solidFill>
          </w14:textFill>
        </w:rPr>
      </w:sdtEndPr>
      <w:sdtContent>
        <w:p>
          <w:pPr>
            <w:widowControl/>
            <w:ind w:firstLine="0" w:firstLineChars="0"/>
            <w:jc w:val="center"/>
            <w:rPr>
              <w:rFonts w:ascii="黑体" w:eastAsia="黑体" w:hAnsi="黑体"/>
              <w:b/>
              <w:bCs/>
              <w:sz w:val="36"/>
              <w:szCs w:val="36"/>
            </w:rPr>
          </w:pPr>
          <w:bookmarkStart w:id="0" w:name="_GoBack"/>
          <w:r>
            <w:rPr>
              <w:rFonts w:ascii="黑体" w:eastAsia="黑体" w:hAnsi="黑体" w:hint="eastAsia"/>
              <w:b/>
              <w:bCs/>
              <w:sz w:val="36"/>
              <w:szCs w:val="36"/>
              <w:lang w:eastAsia="zh-CN"/>
            </w:rPr>
            <w:t>四方国际贸易</w:t>
          </w:r>
          <w:r>
            <w:rPr>
              <w:rFonts w:ascii="黑体" w:eastAsia="黑体" w:hAnsi="黑体" w:hint="eastAsia"/>
              <w:b/>
              <w:bCs/>
              <w:sz w:val="36"/>
              <w:szCs w:val="36"/>
            </w:rPr>
            <w:t>公司进出口贸易风险及其防范对策研究</w:t>
          </w:r>
        </w:p>
        <w:bookmarkEnd w:id="0"/>
        <w:p>
          <w:pPr>
            <w:pStyle w:val="TOC10"/>
            <w:ind w:firstLine="420"/>
            <w:jc w:val="center"/>
            <w:rPr>
              <w:rFonts w:ascii="宋体" w:eastAsia="宋体" w:hAnsi="宋体"/>
              <w:color w:val="000000" w:themeColor="text1"/>
              <w:sz w:val="28"/>
              <w:szCs w:val="28"/>
              <w:lang w:val="zh-CN"/>
              <w14:textFill>
                <w14:solidFill>
                  <w14:schemeClr w14:val="tx1"/>
                </w14:solidFill>
              </w14:textFill>
            </w:rPr>
          </w:pPr>
        </w:p>
        <w:p>
          <w:pPr>
            <w:ind w:firstLine="420"/>
            <w:rPr>
              <w:lang w:val="zh-CN"/>
            </w:rPr>
          </w:pPr>
        </w:p>
        <w:p>
          <w:pPr>
            <w:pStyle w:val="TOC1"/>
          </w:pPr>
          <w:r>
            <w:rPr>
              <w:rStyle w:val="Hyperlink"/>
            </w:rPr>
            <w:fldChar w:fldCharType="begin"/>
          </w:r>
          <w:r>
            <w:rPr>
              <w:rStyle w:val="Hyperlink"/>
            </w:rPr>
            <w:instrText xml:space="preserve"> TOC \o "1-3" \h \z \u </w:instrText>
          </w:r>
          <w:r>
            <w:rPr>
              <w:rStyle w:val="Hyperlink"/>
            </w:rPr>
            <w:fldChar w:fldCharType="separate"/>
          </w:r>
          <w:hyperlink w:anchor="_Toc70939559" w:history="1">
            <w:r>
              <w:rPr>
                <w:rStyle w:val="Hyperlink"/>
              </w:rPr>
              <w:t>一、引言</w:t>
            </w:r>
            <w:r>
              <w:tab/>
            </w:r>
            <w:r>
              <w:fldChar w:fldCharType="begin"/>
            </w:r>
            <w:r>
              <w:instrText xml:space="preserve"> PAGEREF _Toc70939559 \h </w:instrText>
            </w:r>
            <w:r>
              <w:fldChar w:fldCharType="separate"/>
            </w:r>
            <w:r>
              <w:t>2</w:t>
            </w:r>
            <w:r>
              <w:fldChar w:fldCharType="end"/>
            </w:r>
          </w:hyperlink>
        </w:p>
        <w:p>
          <w:pPr>
            <w:pStyle w:val="TOC1"/>
          </w:pPr>
          <w:hyperlink w:anchor="_Toc70939560" w:history="1">
            <w:r>
              <w:rPr>
                <w:rStyle w:val="Hyperlink"/>
              </w:rPr>
              <w:t>二、进出口贸易风险及其防范的理论综述</w:t>
            </w:r>
            <w:r>
              <w:tab/>
            </w:r>
            <w:r>
              <w:fldChar w:fldCharType="begin"/>
            </w:r>
            <w:r>
              <w:instrText xml:space="preserve"> PAGEREF _Toc70939560 \h </w:instrText>
            </w:r>
            <w:r>
              <w:fldChar w:fldCharType="separate"/>
            </w:r>
            <w:r>
              <w:t>3</w:t>
            </w:r>
            <w:r>
              <w:fldChar w:fldCharType="end"/>
            </w:r>
          </w:hyperlink>
        </w:p>
        <w:p>
          <w:pPr>
            <w:pStyle w:val="TOC1"/>
          </w:pPr>
          <w:hyperlink w:anchor="_Toc70939561" w:history="1">
            <w:r>
              <w:rPr>
                <w:rStyle w:val="Hyperlink"/>
              </w:rPr>
              <w:t>三、</w:t>
            </w:r>
            <w:r>
              <w:rPr>
                <w:rStyle w:val="Hyperlink"/>
                <w:rFonts w:hint="eastAsia"/>
                <w:lang w:eastAsia="zh-CN"/>
              </w:rPr>
              <w:t>四方</w:t>
            </w:r>
            <w:r>
              <w:rPr>
                <w:rStyle w:val="Hyperlink"/>
              </w:rPr>
              <w:t>公司进出口贸易的风险识别</w:t>
            </w:r>
            <w:r>
              <w:tab/>
            </w:r>
            <w:r>
              <w:fldChar w:fldCharType="begin"/>
            </w:r>
            <w:r>
              <w:instrText xml:space="preserve"> PAGEREF _Toc70939561 \h </w:instrText>
            </w:r>
            <w:r>
              <w:fldChar w:fldCharType="separate"/>
            </w:r>
            <w:r>
              <w:t>5</w:t>
            </w:r>
            <w:r>
              <w:fldChar w:fldCharType="end"/>
            </w:r>
          </w:hyperlink>
        </w:p>
        <w:p>
          <w:pPr>
            <w:pStyle w:val="TOC2"/>
            <w:tabs>
              <w:tab w:val="right" w:leader="dot" w:pos="8296"/>
            </w:tabs>
            <w:ind w:firstLine="480"/>
            <w:rPr>
              <w:rFonts w:ascii="宋体" w:eastAsia="宋体" w:hAnsi="宋体"/>
              <w:sz w:val="24"/>
              <w:szCs w:val="24"/>
            </w:rPr>
          </w:pPr>
          <w:hyperlink w:anchor="_Toc70939562" w:history="1">
            <w:r>
              <w:rPr>
                <w:rStyle w:val="Hyperlink"/>
                <w:rFonts w:ascii="宋体" w:eastAsia="宋体" w:hAnsi="宋体"/>
                <w:sz w:val="24"/>
                <w:szCs w:val="24"/>
              </w:rPr>
              <w:t>（一）</w:t>
            </w:r>
            <w:r>
              <w:rPr>
                <w:rStyle w:val="Hyperlink"/>
                <w:rFonts w:ascii="宋体" w:eastAsia="宋体" w:hAnsi="宋体" w:hint="eastAsia"/>
                <w:sz w:val="24"/>
                <w:szCs w:val="24"/>
                <w:lang w:eastAsia="zh-CN"/>
              </w:rPr>
              <w:t>四方</w:t>
            </w:r>
            <w:r>
              <w:rPr>
                <w:rStyle w:val="Hyperlink"/>
                <w:rFonts w:ascii="宋体" w:eastAsia="宋体" w:hAnsi="宋体"/>
                <w:sz w:val="24"/>
                <w:szCs w:val="24"/>
              </w:rPr>
              <w:t>公司介绍</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_Toc70939562 \h </w:instrText>
            </w:r>
            <w:r>
              <w:rPr>
                <w:rFonts w:ascii="宋体" w:eastAsia="宋体" w:hAnsi="宋体"/>
                <w:sz w:val="24"/>
                <w:szCs w:val="24"/>
              </w:rPr>
              <w:fldChar w:fldCharType="separate"/>
            </w:r>
            <w:r>
              <w:rPr>
                <w:rFonts w:ascii="宋体" w:eastAsia="宋体" w:hAnsi="宋体"/>
                <w:sz w:val="24"/>
                <w:szCs w:val="24"/>
              </w:rPr>
              <w:t>5</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63" w:history="1">
            <w:r>
              <w:rPr>
                <w:rStyle w:val="Hyperlink"/>
                <w:rFonts w:ascii="宋体" w:eastAsia="宋体" w:hAnsi="宋体"/>
                <w:sz w:val="24"/>
                <w:szCs w:val="24"/>
              </w:rPr>
              <w:t>1.</w:t>
            </w:r>
            <w:r>
              <w:rPr>
                <w:rStyle w:val="Hyperlink"/>
                <w:rFonts w:ascii="宋体" w:eastAsia="宋体" w:hAnsi="宋体" w:hint="eastAsia"/>
                <w:sz w:val="24"/>
                <w:szCs w:val="24"/>
                <w:lang w:eastAsia="zh-CN"/>
              </w:rPr>
              <w:t>四方</w:t>
            </w:r>
            <w:r>
              <w:rPr>
                <w:rStyle w:val="Hyperlink"/>
                <w:rFonts w:ascii="宋体" w:eastAsia="宋体" w:hAnsi="宋体"/>
                <w:sz w:val="24"/>
                <w:szCs w:val="24"/>
              </w:rPr>
              <w:t>公司的概况</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_Toc70939563 \h </w:instrText>
            </w:r>
            <w:r>
              <w:rPr>
                <w:rFonts w:ascii="宋体" w:eastAsia="宋体" w:hAnsi="宋体"/>
                <w:sz w:val="24"/>
                <w:szCs w:val="24"/>
              </w:rPr>
              <w:fldChar w:fldCharType="separate"/>
            </w:r>
            <w:r>
              <w:rPr>
                <w:rFonts w:ascii="宋体" w:eastAsia="宋体" w:hAnsi="宋体"/>
                <w:sz w:val="24"/>
                <w:szCs w:val="24"/>
              </w:rPr>
              <w:t>5</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64" w:history="1">
            <w:r>
              <w:rPr>
                <w:rStyle w:val="Hyperlink"/>
                <w:rFonts w:ascii="宋体" w:eastAsia="宋体" w:hAnsi="宋体"/>
                <w:sz w:val="24"/>
                <w:szCs w:val="24"/>
              </w:rPr>
              <w:t>2．</w:t>
            </w:r>
            <w:r>
              <w:rPr>
                <w:rStyle w:val="Hyperlink"/>
                <w:rFonts w:ascii="宋体" w:eastAsia="宋体" w:hAnsi="宋体" w:hint="eastAsia"/>
                <w:sz w:val="24"/>
                <w:szCs w:val="24"/>
                <w:lang w:eastAsia="zh-CN"/>
              </w:rPr>
              <w:t>四方</w:t>
            </w:r>
            <w:r>
              <w:rPr>
                <w:rStyle w:val="Hyperlink"/>
                <w:rFonts w:ascii="宋体" w:eastAsia="宋体" w:hAnsi="宋体"/>
                <w:sz w:val="24"/>
                <w:szCs w:val="24"/>
              </w:rPr>
              <w:t>公司的产品销售状况</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_Toc70939564 \h </w:instrText>
            </w:r>
            <w:r>
              <w:rPr>
                <w:rFonts w:ascii="宋体" w:eastAsia="宋体" w:hAnsi="宋体"/>
                <w:sz w:val="24"/>
                <w:szCs w:val="24"/>
              </w:rPr>
              <w:fldChar w:fldCharType="separate"/>
            </w:r>
            <w:r>
              <w:rPr>
                <w:rFonts w:ascii="宋体" w:eastAsia="宋体" w:hAnsi="宋体"/>
                <w:sz w:val="24"/>
                <w:szCs w:val="24"/>
              </w:rPr>
              <w:t>5</w:t>
            </w:r>
            <w:r>
              <w:rPr>
                <w:rFonts w:ascii="宋体" w:eastAsia="宋体" w:hAnsi="宋体"/>
                <w:sz w:val="24"/>
                <w:szCs w:val="24"/>
              </w:rPr>
              <w:fldChar w:fldCharType="end"/>
            </w:r>
          </w:hyperlink>
        </w:p>
        <w:p>
          <w:pPr>
            <w:pStyle w:val="TOC2"/>
            <w:tabs>
              <w:tab w:val="right" w:leader="dot" w:pos="8296"/>
            </w:tabs>
            <w:ind w:firstLine="480"/>
            <w:rPr>
              <w:rFonts w:ascii="宋体" w:eastAsia="宋体" w:hAnsi="宋体"/>
              <w:sz w:val="24"/>
              <w:szCs w:val="24"/>
            </w:rPr>
          </w:pPr>
          <w:hyperlink w:anchor="_Toc70939565" w:history="1">
            <w:r>
              <w:rPr>
                <w:rStyle w:val="Hyperlink"/>
                <w:rFonts w:ascii="宋体" w:eastAsia="宋体" w:hAnsi="宋体"/>
                <w:sz w:val="24"/>
                <w:szCs w:val="24"/>
              </w:rPr>
              <w:t>（二）风险识别</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_Toc70939565 \h </w:instrText>
            </w:r>
            <w:r>
              <w:rPr>
                <w:rFonts w:ascii="宋体" w:eastAsia="宋体" w:hAnsi="宋体"/>
                <w:sz w:val="24"/>
                <w:szCs w:val="24"/>
              </w:rPr>
              <w:fldChar w:fldCharType="separate"/>
            </w:r>
            <w:r>
              <w:rPr>
                <w:rFonts w:ascii="宋体" w:eastAsia="宋体" w:hAnsi="宋体"/>
                <w:sz w:val="24"/>
                <w:szCs w:val="24"/>
              </w:rPr>
              <w:t>7</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66" w:history="1">
            <w:r>
              <w:rPr>
                <w:rStyle w:val="Hyperlink"/>
                <w:rFonts w:ascii="宋体" w:eastAsia="宋体" w:hAnsi="宋体"/>
                <w:sz w:val="24"/>
                <w:szCs w:val="24"/>
              </w:rPr>
              <w:t>1.国家性风险</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_Toc70939566 \h </w:instrText>
            </w:r>
            <w:r>
              <w:rPr>
                <w:rFonts w:ascii="宋体" w:eastAsia="宋体" w:hAnsi="宋体"/>
                <w:sz w:val="24"/>
                <w:szCs w:val="24"/>
              </w:rPr>
              <w:fldChar w:fldCharType="separate"/>
            </w:r>
            <w:r>
              <w:rPr>
                <w:rFonts w:ascii="宋体" w:eastAsia="宋体" w:hAnsi="宋体"/>
                <w:sz w:val="24"/>
                <w:szCs w:val="24"/>
              </w:rPr>
              <w:t>7</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67" w:history="1">
            <w:r>
              <w:rPr>
                <w:rStyle w:val="Hyperlink"/>
                <w:rFonts w:ascii="宋体" w:eastAsia="宋体" w:hAnsi="宋体"/>
                <w:sz w:val="24"/>
                <w:szCs w:val="24"/>
              </w:rPr>
              <w:t>2.外汇风险</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_Toc70939567 \h </w:instrText>
            </w:r>
            <w:r>
              <w:rPr>
                <w:rFonts w:ascii="宋体" w:eastAsia="宋体" w:hAnsi="宋体"/>
                <w:sz w:val="24"/>
                <w:szCs w:val="24"/>
              </w:rPr>
              <w:fldChar w:fldCharType="separate"/>
            </w:r>
            <w:r>
              <w:rPr>
                <w:rFonts w:ascii="宋体" w:eastAsia="宋体" w:hAnsi="宋体"/>
                <w:sz w:val="24"/>
                <w:szCs w:val="24"/>
              </w:rPr>
              <w:t>10</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68" w:history="1">
            <w:r>
              <w:rPr>
                <w:rStyle w:val="Hyperlink"/>
                <w:rFonts w:ascii="宋体" w:eastAsia="宋体" w:hAnsi="宋体"/>
                <w:sz w:val="24"/>
                <w:szCs w:val="24"/>
              </w:rPr>
              <w:t>3.合同风险</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_Toc70939568 \h </w:instrText>
            </w:r>
            <w:r>
              <w:rPr>
                <w:rFonts w:ascii="宋体" w:eastAsia="宋体" w:hAnsi="宋体"/>
                <w:sz w:val="24"/>
                <w:szCs w:val="24"/>
              </w:rPr>
              <w:fldChar w:fldCharType="separate"/>
            </w:r>
            <w:r>
              <w:rPr>
                <w:rFonts w:ascii="宋体" w:eastAsia="宋体" w:hAnsi="宋体"/>
                <w:sz w:val="24"/>
                <w:szCs w:val="24"/>
              </w:rPr>
              <w:t>13</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69" w:history="1">
            <w:r>
              <w:rPr>
                <w:rStyle w:val="Hyperlink"/>
                <w:rFonts w:ascii="宋体" w:eastAsia="宋体" w:hAnsi="宋体"/>
                <w:sz w:val="24"/>
                <w:szCs w:val="24"/>
              </w:rPr>
              <w:t>4.结算风险</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_Toc70939569 \h </w:instrText>
            </w:r>
            <w:r>
              <w:rPr>
                <w:rFonts w:ascii="宋体" w:eastAsia="宋体" w:hAnsi="宋体"/>
                <w:sz w:val="24"/>
                <w:szCs w:val="24"/>
              </w:rPr>
              <w:fldChar w:fldCharType="separate"/>
            </w:r>
            <w:r>
              <w:rPr>
                <w:rFonts w:ascii="宋体" w:eastAsia="宋体" w:hAnsi="宋体"/>
                <w:sz w:val="24"/>
                <w:szCs w:val="24"/>
              </w:rPr>
              <w:t>14</w:t>
            </w:r>
            <w:r>
              <w:rPr>
                <w:rFonts w:ascii="宋体" w:eastAsia="宋体" w:hAnsi="宋体"/>
                <w:sz w:val="24"/>
                <w:szCs w:val="24"/>
              </w:rPr>
              <w:fldChar w:fldCharType="end"/>
            </w:r>
          </w:hyperlink>
        </w:p>
        <w:p>
          <w:pPr>
            <w:pStyle w:val="TOC1"/>
          </w:pPr>
          <w:hyperlink w:anchor="_Toc70939570" w:history="1">
            <w:r>
              <w:rPr>
                <w:rStyle w:val="Hyperlink"/>
              </w:rPr>
              <w:t>四、国际贸易风险的管理和防范</w:t>
            </w:r>
            <w:r>
              <w:tab/>
            </w:r>
            <w:r>
              <w:fldChar w:fldCharType="begin"/>
            </w:r>
            <w:r>
              <w:instrText xml:space="preserve"> PAGEREF _Toc70939570 \h </w:instrText>
            </w:r>
            <w:r>
              <w:fldChar w:fldCharType="separate"/>
            </w:r>
            <w:r>
              <w:t>16</w:t>
            </w:r>
            <w:r>
              <w:fldChar w:fldCharType="end"/>
            </w:r>
          </w:hyperlink>
        </w:p>
        <w:p>
          <w:pPr>
            <w:pStyle w:val="TOC2"/>
            <w:tabs>
              <w:tab w:val="right" w:leader="dot" w:pos="8296"/>
            </w:tabs>
            <w:ind w:firstLine="480"/>
            <w:rPr>
              <w:rFonts w:ascii="宋体" w:eastAsia="宋体" w:hAnsi="宋体"/>
              <w:sz w:val="24"/>
              <w:szCs w:val="24"/>
            </w:rPr>
          </w:pPr>
          <w:hyperlink w:anchor="_Toc70939571" w:history="1">
            <w:r>
              <w:rPr>
                <w:rStyle w:val="Hyperlink"/>
                <w:rFonts w:ascii="宋体" w:eastAsia="宋体" w:hAnsi="宋体"/>
                <w:sz w:val="24"/>
                <w:szCs w:val="24"/>
              </w:rPr>
              <w:t>（一）国际贸易风险管理的企业对策</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_Toc70939571 \h </w:instrText>
            </w:r>
            <w:r>
              <w:rPr>
                <w:rFonts w:ascii="宋体" w:eastAsia="宋体" w:hAnsi="宋体"/>
                <w:sz w:val="24"/>
                <w:szCs w:val="24"/>
              </w:rPr>
              <w:fldChar w:fldCharType="separate"/>
            </w:r>
            <w:r>
              <w:rPr>
                <w:rFonts w:ascii="宋体" w:eastAsia="宋体" w:hAnsi="宋体"/>
                <w:sz w:val="24"/>
                <w:szCs w:val="24"/>
              </w:rPr>
              <w:t>16</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72" w:history="1">
            <w:r>
              <w:rPr>
                <w:rStyle w:val="Hyperlink"/>
                <w:rFonts w:ascii="宋体" w:eastAsia="宋体" w:hAnsi="宋体"/>
                <w:sz w:val="24"/>
                <w:szCs w:val="24"/>
              </w:rPr>
              <w:t>1.国家性风险的对策</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_Toc70939572 \h </w:instrText>
            </w:r>
            <w:r>
              <w:rPr>
                <w:rFonts w:ascii="宋体" w:eastAsia="宋体" w:hAnsi="宋体"/>
                <w:sz w:val="24"/>
                <w:szCs w:val="24"/>
              </w:rPr>
              <w:fldChar w:fldCharType="separate"/>
            </w:r>
            <w:r>
              <w:rPr>
                <w:rFonts w:ascii="宋体" w:eastAsia="宋体" w:hAnsi="宋体"/>
                <w:sz w:val="24"/>
                <w:szCs w:val="24"/>
              </w:rPr>
              <w:t>16</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73" w:history="1">
            <w:r>
              <w:rPr>
                <w:rStyle w:val="Hyperlink"/>
                <w:rFonts w:ascii="宋体" w:eastAsia="宋体" w:hAnsi="宋体"/>
                <w:sz w:val="24"/>
                <w:szCs w:val="24"/>
              </w:rPr>
              <w:t>2.外汇风险的应对</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_Toc70939573 \h </w:instrText>
            </w:r>
            <w:r>
              <w:rPr>
                <w:rFonts w:ascii="宋体" w:eastAsia="宋体" w:hAnsi="宋体"/>
                <w:sz w:val="24"/>
                <w:szCs w:val="24"/>
              </w:rPr>
              <w:fldChar w:fldCharType="separate"/>
            </w:r>
            <w:r>
              <w:rPr>
                <w:rFonts w:ascii="宋体" w:eastAsia="宋体" w:hAnsi="宋体"/>
                <w:sz w:val="24"/>
                <w:szCs w:val="24"/>
              </w:rPr>
              <w:t>17</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74" w:history="1">
            <w:r>
              <w:rPr>
                <w:rStyle w:val="Hyperlink"/>
                <w:rFonts w:ascii="宋体" w:eastAsia="宋体" w:hAnsi="宋体"/>
                <w:sz w:val="24"/>
                <w:szCs w:val="24"/>
              </w:rPr>
              <w:t>3.合同风险的应对</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_Toc70939574 \h </w:instrText>
            </w:r>
            <w:r>
              <w:rPr>
                <w:rFonts w:ascii="宋体" w:eastAsia="宋体" w:hAnsi="宋体"/>
                <w:sz w:val="24"/>
                <w:szCs w:val="24"/>
              </w:rPr>
              <w:fldChar w:fldCharType="separate"/>
            </w:r>
            <w:r>
              <w:rPr>
                <w:rFonts w:ascii="宋体" w:eastAsia="宋体" w:hAnsi="宋体"/>
                <w:sz w:val="24"/>
                <w:szCs w:val="24"/>
              </w:rPr>
              <w:t>18</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75" w:history="1">
            <w:r>
              <w:rPr>
                <w:rStyle w:val="Hyperlink"/>
                <w:rFonts w:ascii="宋体" w:eastAsia="宋体" w:hAnsi="宋体"/>
                <w:sz w:val="24"/>
                <w:szCs w:val="24"/>
              </w:rPr>
              <w:t>4.结算风险的应对</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_Toc70939575 \h </w:instrText>
            </w:r>
            <w:r>
              <w:rPr>
                <w:rFonts w:ascii="宋体" w:eastAsia="宋体" w:hAnsi="宋体"/>
                <w:sz w:val="24"/>
                <w:szCs w:val="24"/>
              </w:rPr>
              <w:fldChar w:fldCharType="separate"/>
            </w:r>
            <w:r>
              <w:rPr>
                <w:rFonts w:ascii="宋体" w:eastAsia="宋体" w:hAnsi="宋体"/>
                <w:sz w:val="24"/>
                <w:szCs w:val="24"/>
              </w:rPr>
              <w:t>18</w:t>
            </w:r>
            <w:r>
              <w:rPr>
                <w:rFonts w:ascii="宋体" w:eastAsia="宋体" w:hAnsi="宋体"/>
                <w:sz w:val="24"/>
                <w:szCs w:val="24"/>
              </w:rPr>
              <w:fldChar w:fldCharType="end"/>
            </w:r>
          </w:hyperlink>
        </w:p>
        <w:p>
          <w:pPr>
            <w:pStyle w:val="TOC2"/>
            <w:tabs>
              <w:tab w:val="right" w:leader="dot" w:pos="8296"/>
            </w:tabs>
            <w:ind w:firstLine="480"/>
            <w:rPr>
              <w:rFonts w:ascii="宋体" w:eastAsia="宋体" w:hAnsi="宋体"/>
              <w:sz w:val="24"/>
              <w:szCs w:val="24"/>
            </w:rPr>
          </w:pPr>
          <w:hyperlink w:anchor="_Toc70939576" w:history="1">
            <w:r>
              <w:rPr>
                <w:rStyle w:val="Hyperlink"/>
                <w:rFonts w:ascii="宋体" w:eastAsia="宋体" w:hAnsi="宋体"/>
                <w:sz w:val="24"/>
                <w:szCs w:val="24"/>
              </w:rPr>
              <w:t>（二）企业内部控制</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_Toc70939576 \h </w:instrText>
            </w:r>
            <w:r>
              <w:rPr>
                <w:rFonts w:ascii="宋体" w:eastAsia="宋体" w:hAnsi="宋体"/>
                <w:sz w:val="24"/>
                <w:szCs w:val="24"/>
              </w:rPr>
              <w:fldChar w:fldCharType="separate"/>
            </w:r>
            <w:r>
              <w:rPr>
                <w:rFonts w:ascii="宋体" w:eastAsia="宋体" w:hAnsi="宋体"/>
                <w:sz w:val="24"/>
                <w:szCs w:val="24"/>
              </w:rPr>
              <w:t>19</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77" w:history="1">
            <w:r>
              <w:rPr>
                <w:rStyle w:val="Hyperlink"/>
                <w:rFonts w:ascii="宋体" w:eastAsia="宋体" w:hAnsi="宋体"/>
                <w:sz w:val="24"/>
                <w:szCs w:val="24"/>
              </w:rPr>
              <w:t>1. 调整员工知识结构</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_Toc70939577 \h </w:instrText>
            </w:r>
            <w:r>
              <w:rPr>
                <w:rFonts w:ascii="宋体" w:eastAsia="宋体" w:hAnsi="宋体"/>
                <w:sz w:val="24"/>
                <w:szCs w:val="24"/>
              </w:rPr>
              <w:fldChar w:fldCharType="separate"/>
            </w:r>
            <w:r>
              <w:rPr>
                <w:rFonts w:ascii="宋体" w:eastAsia="宋体" w:hAnsi="宋体"/>
                <w:sz w:val="24"/>
                <w:szCs w:val="24"/>
              </w:rPr>
              <w:t>19</w:t>
            </w:r>
            <w:r>
              <w:rPr>
                <w:rFonts w:ascii="宋体" w:eastAsia="宋体" w:hAnsi="宋体"/>
                <w:sz w:val="24"/>
                <w:szCs w:val="24"/>
              </w:rPr>
              <w:fldChar w:fldCharType="end"/>
            </w:r>
          </w:hyperlink>
        </w:p>
        <w:p>
          <w:pPr>
            <w:pStyle w:val="TOC3"/>
            <w:tabs>
              <w:tab w:val="right" w:leader="dot" w:pos="8296"/>
            </w:tabs>
            <w:ind w:firstLine="480"/>
            <w:rPr>
              <w:rFonts w:ascii="宋体" w:eastAsia="宋体" w:hAnsi="宋体"/>
              <w:sz w:val="24"/>
              <w:szCs w:val="24"/>
            </w:rPr>
          </w:pPr>
          <w:hyperlink w:anchor="_Toc70939578" w:history="1">
            <w:r>
              <w:rPr>
                <w:rStyle w:val="Hyperlink"/>
                <w:rFonts w:ascii="宋体" w:eastAsia="宋体" w:hAnsi="宋体"/>
                <w:sz w:val="24"/>
                <w:szCs w:val="24"/>
              </w:rPr>
              <w:t>2. 进行风险管理的能力培训</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_Toc70939578 \h </w:instrText>
            </w:r>
            <w:r>
              <w:rPr>
                <w:rFonts w:ascii="宋体" w:eastAsia="宋体" w:hAnsi="宋体"/>
                <w:sz w:val="24"/>
                <w:szCs w:val="24"/>
              </w:rPr>
              <w:fldChar w:fldCharType="separate"/>
            </w:r>
            <w:r>
              <w:rPr>
                <w:rFonts w:ascii="宋体" w:eastAsia="宋体" w:hAnsi="宋体"/>
                <w:sz w:val="24"/>
                <w:szCs w:val="24"/>
              </w:rPr>
              <w:t>19</w:t>
            </w:r>
            <w:r>
              <w:rPr>
                <w:rFonts w:ascii="宋体" w:eastAsia="宋体" w:hAnsi="宋体"/>
                <w:sz w:val="24"/>
                <w:szCs w:val="24"/>
              </w:rPr>
              <w:fldChar w:fldCharType="end"/>
            </w:r>
          </w:hyperlink>
        </w:p>
        <w:p>
          <w:pPr>
            <w:pStyle w:val="TOC1"/>
          </w:pPr>
          <w:hyperlink w:anchor="_Toc70939579" w:history="1">
            <w:r>
              <w:rPr>
                <w:rStyle w:val="Hyperlink"/>
              </w:rPr>
              <w:t>五、结论</w:t>
            </w:r>
            <w:r>
              <w:tab/>
            </w:r>
            <w:r>
              <w:fldChar w:fldCharType="begin"/>
            </w:r>
            <w:r>
              <w:instrText xml:space="preserve"> PAGEREF _Toc70939579 \h </w:instrText>
            </w:r>
            <w:r>
              <w:fldChar w:fldCharType="separate"/>
            </w:r>
            <w:r>
              <w:t>20</w:t>
            </w:r>
            <w:r>
              <w:fldChar w:fldCharType="end"/>
            </w:r>
          </w:hyperlink>
        </w:p>
        <w:p>
          <w:pPr>
            <w:pStyle w:val="TOC1"/>
            <w:rPr>
              <w:rFonts w:asciiTheme="minorHAnsi" w:eastAsiaTheme="minorEastAsia" w:hAnsiTheme="minorHAnsi"/>
              <w:sz w:val="21"/>
              <w:szCs w:val="22"/>
            </w:rPr>
          </w:pPr>
          <w:hyperlink w:anchor="_Toc70939580" w:history="1">
            <w:r>
              <w:rPr>
                <w:rStyle w:val="Hyperlink"/>
              </w:rPr>
              <w:t>参考文献</w:t>
            </w:r>
            <w:r>
              <w:tab/>
            </w:r>
            <w:r>
              <w:fldChar w:fldCharType="begin"/>
            </w:r>
            <w:r>
              <w:instrText xml:space="preserve"> PAGEREF _Toc70939580 \h </w:instrText>
            </w:r>
            <w:r>
              <w:fldChar w:fldCharType="separate"/>
            </w:r>
            <w:r>
              <w:t>21</w:t>
            </w:r>
            <w:r>
              <w:fldChar w:fldCharType="end"/>
            </w:r>
          </w:hyperlink>
        </w:p>
        <w:p>
          <w:pPr>
            <w:ind w:firstLine="0" w:firstLineChars="0"/>
            <w:rPr>
              <w:rFonts w:ascii="宋体" w:eastAsia="宋体" w:hAnsi="宋体"/>
              <w:color w:val="0563C1" w:themeColor="hyperlink"/>
              <w:sz w:val="24"/>
              <w:szCs w:val="24"/>
              <w:u w:val="single"/>
              <w14:textFill>
                <w14:solidFill>
                  <w14:schemeClr w14:val="hlink"/>
                </w14:solidFill>
              </w14:textFill>
            </w:rPr>
            <w:sectPr>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num="1" w:space="0"/>
              <w:docGrid w:type="lines" w:linePitch="312" w:charSpace="0"/>
            </w:sectPr>
          </w:pPr>
          <w:r>
            <w:rPr>
              <w:rStyle w:val="Hyperlink"/>
              <w:rFonts w:ascii="宋体" w:eastAsia="宋体" w:hAnsi="宋体"/>
              <w:sz w:val="24"/>
              <w:szCs w:val="24"/>
            </w:rPr>
            <w:fldChar w:fldCharType="end"/>
          </w:r>
        </w:p>
      </w:sdtContent>
    </w:sdt>
    <w:p>
      <w:pPr>
        <w:widowControl/>
        <w:ind w:firstLine="0" w:firstLineChars="0"/>
        <w:jc w:val="center"/>
        <w:rPr>
          <w:rFonts w:ascii="黑体" w:eastAsia="黑体" w:hAnsi="黑体"/>
          <w:b/>
          <w:bCs/>
          <w:sz w:val="36"/>
          <w:szCs w:val="36"/>
        </w:rPr>
      </w:pPr>
    </w:p>
    <w:p>
      <w:pPr>
        <w:widowControl/>
        <w:ind w:firstLine="0" w:firstLineChars="0"/>
        <w:jc w:val="center"/>
        <w:rPr>
          <w:rFonts w:ascii="黑体" w:eastAsia="黑体" w:hAnsi="黑体"/>
          <w:b/>
          <w:bCs/>
          <w:sz w:val="36"/>
          <w:szCs w:val="36"/>
        </w:rPr>
      </w:pPr>
      <w:bookmarkStart w:id="1" w:name="_Hlk69850440"/>
      <w:r>
        <w:rPr>
          <w:rFonts w:ascii="黑体" w:eastAsia="黑体" w:hAnsi="黑体" w:hint="eastAsia"/>
          <w:b/>
          <w:bCs/>
          <w:sz w:val="36"/>
          <w:szCs w:val="36"/>
          <w:lang w:eastAsia="zh-CN"/>
        </w:rPr>
        <w:t>四方国际贸易</w:t>
      </w:r>
      <w:r>
        <w:rPr>
          <w:rFonts w:ascii="黑体" w:eastAsia="黑体" w:hAnsi="黑体" w:hint="eastAsia"/>
          <w:b/>
          <w:bCs/>
          <w:sz w:val="36"/>
          <w:szCs w:val="36"/>
        </w:rPr>
        <w:t>公司进出口贸易风险及其防范对策研究</w:t>
      </w:r>
    </w:p>
    <w:bookmarkEnd w:id="1"/>
    <w:p>
      <w:pPr>
        <w:widowControl/>
        <w:ind w:firstLine="0" w:firstLineChars="0"/>
        <w:jc w:val="center"/>
        <w:rPr>
          <w:rFonts w:ascii="黑体" w:eastAsia="黑体" w:hAnsi="黑体"/>
          <w:b/>
          <w:bCs/>
          <w:sz w:val="36"/>
          <w:szCs w:val="36"/>
        </w:rPr>
      </w:pPr>
    </w:p>
    <w:p>
      <w:pPr>
        <w:widowControl/>
        <w:ind w:firstLine="0" w:firstLineChars="0"/>
        <w:rPr>
          <w:rFonts w:ascii="宋体" w:eastAsia="宋体" w:hAnsi="宋体"/>
          <w:szCs w:val="21"/>
        </w:rPr>
      </w:pPr>
      <w:r>
        <w:rPr>
          <w:rFonts w:ascii="黑体" w:eastAsia="黑体" w:hAnsi="黑体" w:hint="eastAsia"/>
          <w:b/>
          <w:bCs/>
          <w:szCs w:val="21"/>
        </w:rPr>
        <w:t>摘要：</w:t>
      </w:r>
      <w:r>
        <w:rPr>
          <w:rFonts w:ascii="宋体" w:eastAsia="宋体" w:hAnsi="宋体" w:hint="eastAsia"/>
          <w:szCs w:val="21"/>
        </w:rPr>
        <w:t>改革开放以来，中国对外贸易的发展逐渐取得了规模扩大。因此，很多中小型的外贸企业也是如雨后春笋般的出现。他们成为了进出口贸易额的主要贡献者。那么中小企业往往在风险的管理和防控上面缺乏经验。本文首先介绍</w:t>
      </w:r>
      <w:r>
        <w:rPr>
          <w:rFonts w:ascii="宋体" w:eastAsia="宋体" w:hAnsi="宋体" w:hint="eastAsia"/>
          <w:szCs w:val="21"/>
          <w:lang w:eastAsia="zh-CN"/>
        </w:rPr>
        <w:t>四方</w:t>
      </w:r>
      <w:r>
        <w:rPr>
          <w:rFonts w:ascii="宋体" w:eastAsia="宋体" w:hAnsi="宋体" w:hint="eastAsia"/>
          <w:szCs w:val="21"/>
        </w:rPr>
        <w:t>公司的基本情况，结合</w:t>
      </w:r>
      <w:r>
        <w:rPr>
          <w:rFonts w:ascii="宋体" w:eastAsia="宋体" w:hAnsi="宋体" w:hint="eastAsia"/>
          <w:szCs w:val="21"/>
          <w:lang w:eastAsia="zh-CN"/>
        </w:rPr>
        <w:t>四方</w:t>
      </w:r>
      <w:r>
        <w:rPr>
          <w:rFonts w:ascii="宋体" w:eastAsia="宋体" w:hAnsi="宋体" w:hint="eastAsia"/>
          <w:szCs w:val="21"/>
        </w:rPr>
        <w:t>公司的实际业务，通过对国家性风险、外汇风险、合同风险、结算风险这些进出口企业将会面临的主要风险进行分析。接着，从内部和外部两个方向展开，分析如何防范和加强对风险的管理。</w:t>
      </w:r>
      <w:r>
        <w:rPr>
          <w:rFonts w:ascii="宋体" w:eastAsia="宋体" w:hAnsi="宋体"/>
          <w:szCs w:val="21"/>
        </w:rPr>
        <w:t>力求为外贸企业从事国际贸易</w:t>
      </w:r>
      <w:r>
        <w:rPr>
          <w:rFonts w:ascii="宋体" w:eastAsia="宋体" w:hAnsi="宋体" w:hint="eastAsia"/>
          <w:szCs w:val="21"/>
        </w:rPr>
        <w:t>风险管理提供一定的参考和借鉴。</w:t>
      </w:r>
    </w:p>
    <w:p>
      <w:pPr>
        <w:widowControl/>
        <w:ind w:firstLine="0" w:firstLineChars="0"/>
        <w:rPr>
          <w:rFonts w:ascii="宋体" w:eastAsia="宋体" w:hAnsi="宋体"/>
          <w:szCs w:val="21"/>
        </w:rPr>
      </w:pPr>
      <w:r>
        <w:rPr>
          <w:rFonts w:ascii="黑体" w:eastAsia="黑体" w:hAnsi="黑体" w:hint="eastAsia"/>
          <w:b/>
          <w:bCs/>
          <w:szCs w:val="21"/>
        </w:rPr>
        <w:t>关键词：</w:t>
      </w:r>
      <w:r>
        <w:rPr>
          <w:rFonts w:ascii="宋体" w:eastAsia="宋体" w:hAnsi="宋体" w:hint="eastAsia"/>
          <w:szCs w:val="21"/>
        </w:rPr>
        <w:t>国际贸易；风险；进出口商；防范</w:t>
      </w:r>
    </w:p>
    <w:p>
      <w:pPr>
        <w:pStyle w:val="Heading1"/>
        <w:ind w:firstLine="602"/>
      </w:pPr>
      <w:bookmarkStart w:id="2" w:name="_Toc70939559"/>
      <w:r>
        <w:rPr>
          <w:rFonts w:hint="eastAsia"/>
        </w:rPr>
        <w:t>一、引言</w:t>
      </w:r>
      <w:bookmarkEnd w:id="2"/>
    </w:p>
    <w:p>
      <w:pPr>
        <w:ind w:firstLine="480"/>
        <w:jc w:val="left"/>
        <w:rPr>
          <w:rFonts w:ascii="宋体" w:eastAsia="宋体" w:hAnsi="宋体"/>
          <w:sz w:val="24"/>
          <w:szCs w:val="24"/>
        </w:rPr>
      </w:pPr>
      <w:r>
        <w:rPr>
          <w:rFonts w:ascii="宋体" w:eastAsia="宋体" w:hAnsi="宋体" w:hint="eastAsia"/>
          <w:sz w:val="24"/>
          <w:szCs w:val="24"/>
        </w:rPr>
        <w:t>中国一直以来都是一个幅员辽阔，资源丰富的大国。随着改革开放的进程不断深入，中国从一个被自给自足的自然经济长期统治的国家，成为了世界制造中心和贸易大国。新中国成立</w:t>
      </w:r>
      <w:r>
        <w:rPr>
          <w:rFonts w:ascii="宋体" w:eastAsia="宋体" w:hAnsi="宋体"/>
          <w:sz w:val="24"/>
          <w:szCs w:val="24"/>
        </w:rPr>
        <w:t>70年以来，是最不平凡最不容易的70年。中国是一个传统的农业大国，改革开放初期，中国的出口产品结构落后并且产品竞争力较弱，需要进口大量的西方国家的物品，那么当时的对外贸易基本处于逆差的状态。1992年以后中国进入市场经济阶段，这个时候的出口的商品逐渐升级，由工业制成品替代初级产品，对外贸易也开始逐渐走向顺差。20世纪90年代中后期，外资的增加使得中国</w:t>
      </w:r>
      <w:r>
        <w:rPr>
          <w:rFonts w:ascii="宋体" w:eastAsia="宋体" w:hAnsi="宋体" w:hint="eastAsia"/>
          <w:sz w:val="24"/>
          <w:szCs w:val="24"/>
        </w:rPr>
        <w:t>产业结构得到了一个迅速升级，这时期的外商直接投资集中在微电子、汽车制造、通信设备、仪器仪表等资本密集型产业。</w:t>
      </w:r>
    </w:p>
    <w:p>
      <w:pPr>
        <w:ind w:firstLine="480"/>
        <w:jc w:val="left"/>
        <w:rPr>
          <w:rFonts w:ascii="宋体" w:eastAsia="宋体" w:hAnsi="宋体"/>
          <w:sz w:val="24"/>
          <w:szCs w:val="24"/>
        </w:rPr>
      </w:pPr>
      <w:r>
        <w:rPr>
          <w:rFonts w:ascii="宋体" w:eastAsia="宋体" w:hAnsi="宋体" w:hint="eastAsia"/>
          <w:sz w:val="24"/>
          <w:szCs w:val="24"/>
        </w:rPr>
        <w:t>那么，什么时候中国对外贸易取得了一个巨大的飞跃呢？自</w:t>
      </w:r>
      <w:r>
        <w:rPr>
          <w:rFonts w:ascii="宋体" w:eastAsia="宋体" w:hAnsi="宋体"/>
          <w:sz w:val="24"/>
          <w:szCs w:val="24"/>
        </w:rPr>
        <w:t>2001年12月</w:t>
      </w:r>
      <w:r>
        <w:rPr>
          <w:rFonts w:ascii="宋体" w:eastAsia="宋体" w:hAnsi="宋体" w:hint="eastAsia"/>
          <w:sz w:val="24"/>
          <w:szCs w:val="24"/>
        </w:rPr>
        <w:t>我们国家</w:t>
      </w:r>
      <w:r>
        <w:rPr>
          <w:rFonts w:ascii="宋体" w:eastAsia="宋体" w:hAnsi="宋体"/>
          <w:sz w:val="24"/>
          <w:szCs w:val="24"/>
        </w:rPr>
        <w:t>正式加入了世界贸易组织WTO</w:t>
      </w:r>
      <w:r>
        <w:rPr>
          <w:rFonts w:ascii="宋体" w:eastAsia="宋体" w:hAnsi="宋体" w:hint="eastAsia"/>
          <w:sz w:val="24"/>
          <w:szCs w:val="24"/>
        </w:rPr>
        <w:t>。这一举措，</w:t>
      </w:r>
      <w:r>
        <w:rPr>
          <w:rFonts w:ascii="宋体" w:eastAsia="宋体" w:hAnsi="宋体"/>
          <w:sz w:val="24"/>
          <w:szCs w:val="24"/>
        </w:rPr>
        <w:t>进一步的提高了中国出口商品的对外竞争能力，同时也提高了进出口贸易</w:t>
      </w:r>
      <w:r>
        <w:rPr>
          <w:rFonts w:ascii="宋体" w:eastAsia="宋体" w:hAnsi="宋体" w:hint="eastAsia"/>
          <w:sz w:val="24"/>
          <w:szCs w:val="24"/>
        </w:rPr>
        <w:t>所带来</w:t>
      </w:r>
      <w:r>
        <w:rPr>
          <w:rFonts w:ascii="宋体" w:eastAsia="宋体" w:hAnsi="宋体"/>
          <w:sz w:val="24"/>
          <w:szCs w:val="24"/>
        </w:rPr>
        <w:t>的效益，大大的改善了中国的贸易条件。</w:t>
      </w:r>
    </w:p>
    <w:p>
      <w:pPr>
        <w:ind w:firstLine="480"/>
        <w:jc w:val="left"/>
        <w:rPr>
          <w:rFonts w:ascii="宋体" w:eastAsia="宋体" w:hAnsi="宋体"/>
          <w:sz w:val="24"/>
          <w:szCs w:val="24"/>
        </w:rPr>
      </w:pPr>
      <w:r>
        <w:rPr>
          <w:rFonts w:ascii="宋体" w:eastAsia="宋体" w:hAnsi="宋体" w:hint="eastAsia"/>
          <w:sz w:val="24"/>
          <w:szCs w:val="24"/>
        </w:rPr>
        <w:t>在当时来说，机遇非常的重要，而政府和企业，恰恰抓住了这个机遇。在</w:t>
      </w:r>
      <w:r>
        <w:rPr>
          <w:rFonts w:ascii="宋体" w:eastAsia="宋体" w:hAnsi="宋体"/>
          <w:sz w:val="24"/>
          <w:szCs w:val="24"/>
        </w:rPr>
        <w:t>2018年，中国GDP已经从1978年世界排名第十达到了世界排名第二，GDP增长了224倍。取得了惊人的成就。这种成就与中国采用外贸促进政策，积极发展对外贸易是分不开的。</w:t>
      </w:r>
    </w:p>
    <w:p>
      <w:pPr>
        <w:ind w:firstLine="480"/>
        <w:jc w:val="left"/>
        <w:rPr>
          <w:rFonts w:ascii="宋体" w:eastAsia="宋体" w:hAnsi="宋体"/>
          <w:sz w:val="24"/>
          <w:szCs w:val="24"/>
        </w:rPr>
        <w:sectPr>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pgNumType w:start="1"/>
          <w:cols w:num="1" w:space="0"/>
          <w:docGrid w:type="lines" w:linePitch="312" w:charSpace="0"/>
        </w:sectPr>
      </w:pPr>
      <w:r>
        <w:rPr>
          <w:rFonts w:ascii="宋体" w:eastAsia="宋体" w:hAnsi="宋体"/>
          <w:sz w:val="24"/>
          <w:szCs w:val="24"/>
        </w:rPr>
        <w:t>2015年至2019年，加工贸易进出口额分别124</w:t>
      </w:r>
      <w:r>
        <w:rPr>
          <w:rFonts w:ascii="宋体" w:eastAsia="宋体" w:hAnsi="宋体" w:hint="eastAsia"/>
          <w:sz w:val="24"/>
          <w:szCs w:val="24"/>
        </w:rPr>
        <w:t>00</w:t>
      </w:r>
      <w:r>
        <w:rPr>
          <w:rFonts w:ascii="宋体" w:eastAsia="宋体" w:hAnsi="宋体"/>
          <w:sz w:val="24"/>
          <w:szCs w:val="24"/>
        </w:rPr>
        <w:t>亿美元、111</w:t>
      </w:r>
      <w:r>
        <w:rPr>
          <w:rFonts w:ascii="宋体" w:eastAsia="宋体" w:hAnsi="宋体" w:hint="eastAsia"/>
          <w:sz w:val="24"/>
          <w:szCs w:val="24"/>
        </w:rPr>
        <w:t>00</w:t>
      </w:r>
    </w:p>
    <w:p>
      <w:pPr>
        <w:ind w:firstLine="480"/>
        <w:jc w:val="left"/>
        <w:rPr>
          <w:rFonts w:ascii="宋体" w:eastAsia="宋体" w:hAnsi="宋体"/>
          <w:sz w:val="24"/>
          <w:szCs w:val="24"/>
        </w:rPr>
      </w:pPr>
      <w:r>
        <w:rPr>
          <w:rFonts w:ascii="宋体" w:eastAsia="宋体" w:hAnsi="宋体"/>
          <w:sz w:val="24"/>
          <w:szCs w:val="24"/>
        </w:rPr>
        <w:t>亿美元、119</w:t>
      </w:r>
      <w:r>
        <w:rPr>
          <w:rFonts w:ascii="宋体" w:eastAsia="宋体" w:hAnsi="宋体" w:hint="eastAsia"/>
          <w:sz w:val="24"/>
          <w:szCs w:val="24"/>
        </w:rPr>
        <w:t>00</w:t>
      </w:r>
      <w:r>
        <w:rPr>
          <w:rFonts w:ascii="宋体" w:eastAsia="宋体" w:hAnsi="宋体"/>
          <w:sz w:val="24"/>
          <w:szCs w:val="24"/>
        </w:rPr>
        <w:t>亿美元、127</w:t>
      </w:r>
      <w:r>
        <w:rPr>
          <w:rFonts w:ascii="宋体" w:eastAsia="宋体" w:hAnsi="宋体" w:hint="eastAsia"/>
          <w:sz w:val="24"/>
          <w:szCs w:val="24"/>
        </w:rPr>
        <w:t>00</w:t>
      </w:r>
      <w:r>
        <w:rPr>
          <w:rFonts w:ascii="宋体" w:eastAsia="宋体" w:hAnsi="宋体"/>
          <w:sz w:val="24"/>
          <w:szCs w:val="24"/>
        </w:rPr>
        <w:t>亿美元和115</w:t>
      </w:r>
      <w:r>
        <w:rPr>
          <w:rFonts w:ascii="宋体" w:eastAsia="宋体" w:hAnsi="宋体" w:hint="eastAsia"/>
          <w:sz w:val="24"/>
          <w:szCs w:val="24"/>
        </w:rPr>
        <w:t>00</w:t>
      </w:r>
      <w:r>
        <w:rPr>
          <w:rFonts w:ascii="宋体" w:eastAsia="宋体" w:hAnsi="宋体"/>
          <w:sz w:val="24"/>
          <w:szCs w:val="24"/>
        </w:rPr>
        <w:t>亿美元，分别占进出口总额的31.5%、30.1%、29.0%、27.5%和25.2%。所占比重逐年减少。2015年至2019年，中国一般贸易进出口额分别为214</w:t>
      </w:r>
      <w:r>
        <w:rPr>
          <w:rFonts w:ascii="宋体" w:eastAsia="宋体" w:hAnsi="宋体" w:hint="eastAsia"/>
          <w:sz w:val="24"/>
          <w:szCs w:val="24"/>
        </w:rPr>
        <w:t>00</w:t>
      </w:r>
      <w:r>
        <w:rPr>
          <w:rFonts w:ascii="宋体" w:eastAsia="宋体" w:hAnsi="宋体"/>
          <w:sz w:val="24"/>
          <w:szCs w:val="24"/>
        </w:rPr>
        <w:t>亿美元、2037</w:t>
      </w:r>
      <w:r>
        <w:rPr>
          <w:rFonts w:ascii="宋体" w:eastAsia="宋体" w:hAnsi="宋体" w:hint="eastAsia"/>
          <w:sz w:val="24"/>
          <w:szCs w:val="24"/>
        </w:rPr>
        <w:t>0</w:t>
      </w:r>
      <w:r>
        <w:rPr>
          <w:rFonts w:ascii="宋体" w:eastAsia="宋体" w:hAnsi="宋体"/>
          <w:sz w:val="24"/>
          <w:szCs w:val="24"/>
        </w:rPr>
        <w:t>亿美元、231</w:t>
      </w:r>
      <w:r>
        <w:rPr>
          <w:rFonts w:ascii="宋体" w:eastAsia="宋体" w:hAnsi="宋体" w:hint="eastAsia"/>
          <w:sz w:val="24"/>
          <w:szCs w:val="24"/>
        </w:rPr>
        <w:t>00</w:t>
      </w:r>
      <w:r>
        <w:rPr>
          <w:rFonts w:ascii="宋体" w:eastAsia="宋体" w:hAnsi="宋体"/>
          <w:sz w:val="24"/>
          <w:szCs w:val="24"/>
        </w:rPr>
        <w:t>亿美元、267</w:t>
      </w:r>
      <w:r>
        <w:rPr>
          <w:rFonts w:ascii="宋体" w:eastAsia="宋体" w:hAnsi="宋体" w:hint="eastAsia"/>
          <w:sz w:val="24"/>
          <w:szCs w:val="24"/>
        </w:rPr>
        <w:t>00</w:t>
      </w:r>
      <w:r>
        <w:rPr>
          <w:rFonts w:ascii="宋体" w:eastAsia="宋体" w:hAnsi="宋体"/>
          <w:sz w:val="24"/>
          <w:szCs w:val="24"/>
        </w:rPr>
        <w:t>亿美元和27</w:t>
      </w:r>
      <w:r>
        <w:rPr>
          <w:rFonts w:ascii="宋体" w:eastAsia="宋体" w:hAnsi="宋体" w:hint="eastAsia"/>
          <w:sz w:val="24"/>
          <w:szCs w:val="24"/>
        </w:rPr>
        <w:t>000</w:t>
      </w:r>
      <w:r>
        <w:rPr>
          <w:rFonts w:ascii="宋体" w:eastAsia="宋体" w:hAnsi="宋体"/>
          <w:sz w:val="24"/>
          <w:szCs w:val="24"/>
        </w:rPr>
        <w:t>亿美元，分别占</w:t>
      </w:r>
      <w:r>
        <w:rPr>
          <w:rFonts w:ascii="宋体" w:eastAsia="宋体" w:hAnsi="宋体" w:hint="eastAsia"/>
          <w:sz w:val="24"/>
          <w:szCs w:val="24"/>
        </w:rPr>
        <w:t>了当年</w:t>
      </w:r>
      <w:r>
        <w:rPr>
          <w:rFonts w:ascii="宋体" w:eastAsia="宋体" w:hAnsi="宋体"/>
          <w:sz w:val="24"/>
          <w:szCs w:val="24"/>
        </w:rPr>
        <w:t>中国贸易进出口总额的54.1%、55%、56.4%、57.8%和59.0%，总体呈现快速增长态势。由此可见，中国对外贸易方式的结构在不断</w:t>
      </w:r>
      <w:r>
        <w:rPr>
          <w:rFonts w:ascii="宋体" w:eastAsia="宋体" w:hAnsi="宋体" w:hint="eastAsia"/>
          <w:sz w:val="24"/>
          <w:szCs w:val="24"/>
        </w:rPr>
        <w:t>的优化。一般贸易进出口的比重在不断上升，而加工贸易进出口比重呈现下降趋势，这无疑提升了我国产业链的价值和贸易竞争力。</w:t>
      </w:r>
    </w:p>
    <w:p>
      <w:pPr>
        <w:ind w:firstLine="480"/>
        <w:jc w:val="left"/>
        <w:rPr>
          <w:rFonts w:ascii="宋体" w:eastAsia="宋体" w:hAnsi="宋体"/>
          <w:sz w:val="24"/>
          <w:szCs w:val="24"/>
        </w:rPr>
      </w:pPr>
      <w:r>
        <w:rPr>
          <w:rFonts w:ascii="宋体" w:eastAsia="宋体" w:hAnsi="宋体" w:hint="eastAsia"/>
          <w:sz w:val="24"/>
          <w:szCs w:val="24"/>
        </w:rPr>
        <w:t>进出口贸易在促进我国经济发展上发挥了非常重要的作用。但是，这必然是伴随着一定的风险的。各国之间汇率的波动，政策和文化之间的差异，都会提升贸易摩擦发生的概率。因此，作为世界经济体的一部分，我们不能受到影响。在国际贸易中做好风险防范非常的重要。</w:t>
      </w:r>
    </w:p>
    <w:p>
      <w:pPr>
        <w:ind w:firstLine="480"/>
        <w:jc w:val="left"/>
      </w:pPr>
      <w:r>
        <w:rPr>
          <w:rFonts w:ascii="宋体" w:eastAsia="宋体" w:hAnsi="宋体" w:hint="eastAsia"/>
          <w:sz w:val="24"/>
          <w:szCs w:val="24"/>
        </w:rPr>
        <w:t>那么在众多外贸企业中，更需要引起我们的注意的是一些中小型企业。作为出入外贸领域的新人企业，在发展的过程中很容易碰到一些问题，严重的甚至会导致公司的破产，而这其中最需要我们引起注意的就是进出口商在国际贸易活动中存在的风险。由于这些新成立的中小型企业经验不足，且我国的进出口商在国际贸易活动中的风险意识普遍不强，这就为风险的产生提供了较大的可能，而一旦产生风险，对于小企业而言可能是致命的打击。从这方面来看，研究进出口业务中进出口商所存在的风险及其防范对于中小型企业而言是具有必要性的。</w:t>
      </w:r>
    </w:p>
    <w:p>
      <w:pPr>
        <w:ind w:firstLine="480"/>
        <w:jc w:val="left"/>
        <w:rPr>
          <w:rFonts w:ascii="宋体" w:eastAsia="宋体" w:hAnsi="宋体"/>
          <w:sz w:val="24"/>
          <w:szCs w:val="24"/>
        </w:rPr>
      </w:pPr>
      <w:r>
        <w:rPr>
          <w:rFonts w:ascii="宋体" w:eastAsia="宋体" w:hAnsi="宋体" w:hint="eastAsia"/>
          <w:sz w:val="24"/>
          <w:szCs w:val="24"/>
        </w:rPr>
        <w:t>温州的外贸企业发展一直都是和多个国家的不同企业进行合作。从各个欧美的发达国家到一些经济条件不是特别好的发展中国家，都有进出口的交易。在这样的大前提下，一个企业遇到不同风险的可能性也会大大提高，通过对这方面的研究，可以有效避免外贸企业在对外贸易的过程中可能受到的经济方面的损失。</w:t>
      </w:r>
    </w:p>
    <w:p>
      <w:pPr>
        <w:ind w:firstLine="480"/>
        <w:jc w:val="left"/>
        <w:rPr>
          <w:rFonts w:ascii="宋体" w:eastAsia="宋体" w:hAnsi="宋体"/>
          <w:sz w:val="24"/>
          <w:szCs w:val="24"/>
        </w:rPr>
      </w:pPr>
      <w:r>
        <w:rPr>
          <w:rFonts w:ascii="宋体" w:eastAsia="宋体" w:hAnsi="宋体" w:hint="eastAsia"/>
          <w:sz w:val="24"/>
          <w:szCs w:val="24"/>
        </w:rPr>
        <w:t>而对于不同的贸易对象和贸易方式，可能受到的风险的内容也不是完全相同的。在进行这次课题研究的同时，也旨在试图寻找关于不同的贸易对象，如何采取更加适当的对外交易方式，来尽可能的减少损失，为企业的长期发展提供良好的途径。</w:t>
      </w:r>
    </w:p>
    <w:p>
      <w:pPr>
        <w:ind w:firstLine="480"/>
        <w:jc w:val="left"/>
        <w:rPr>
          <w:rFonts w:ascii="宋体" w:eastAsia="宋体" w:hAnsi="宋体"/>
          <w:sz w:val="24"/>
          <w:szCs w:val="24"/>
        </w:rPr>
      </w:pPr>
    </w:p>
    <w:p>
      <w:pPr>
        <w:pStyle w:val="Heading1"/>
        <w:ind w:firstLine="602"/>
        <w:rPr>
          <w:sz w:val="36"/>
          <w:szCs w:val="36"/>
        </w:rPr>
      </w:pPr>
      <w:bookmarkStart w:id="3" w:name="_Toc70939560"/>
      <w:r>
        <w:rPr>
          <w:rFonts w:hint="eastAsia"/>
        </w:rPr>
        <w:t>二、进出口贸易风险及其防范的理论综述</w:t>
      </w:r>
      <w:bookmarkEnd w:id="3"/>
    </w:p>
    <w:p>
      <w:pPr>
        <w:ind w:firstLine="480"/>
        <w:jc w:val="left"/>
        <w:rPr>
          <w:rFonts w:ascii="宋体" w:eastAsia="宋体" w:hAnsi="宋体"/>
          <w:sz w:val="24"/>
          <w:szCs w:val="24"/>
        </w:rPr>
      </w:pPr>
    </w:p>
    <w:p>
      <w:pPr>
        <w:ind w:firstLine="480"/>
        <w:rPr>
          <w:rFonts w:ascii="宋体" w:eastAsia="宋体" w:hAnsi="宋体"/>
          <w:sz w:val="24"/>
          <w:szCs w:val="24"/>
        </w:rPr>
        <w:sectPr>
          <w:headerReference w:type="even" r:id="rId20"/>
          <w:headerReference w:type="default" r:id="rId21"/>
          <w:footerReference w:type="even" r:id="rId22"/>
          <w:footerReference w:type="default" r:id="rId23"/>
          <w:headerReference w:type="first" r:id="rId24"/>
          <w:footerReference w:type="first" r:id="rId25"/>
          <w:type w:val="nextPage"/>
          <w:pgSz w:w="11906" w:h="16838"/>
          <w:pgMar w:top="1440" w:right="1800" w:bottom="1440" w:left="1800" w:header="851" w:footer="992" w:gutter="0"/>
          <w:pgNumType w:start="2"/>
          <w:cols w:num="1" w:space="0"/>
          <w:titlePg w:val="0"/>
          <w:docGrid w:type="lines" w:linePitch="312" w:charSpace="0"/>
        </w:sectPr>
      </w:pPr>
    </w:p>
    <w:p>
      <w:pPr>
        <w:ind w:firstLine="480"/>
        <w:rPr>
          <w:rFonts w:ascii="宋体" w:eastAsia="宋体" w:hAnsi="宋体"/>
          <w:sz w:val="24"/>
          <w:szCs w:val="24"/>
        </w:rPr>
      </w:pPr>
      <w:r>
        <w:rPr>
          <w:rFonts w:ascii="宋体" w:eastAsia="宋体" w:hAnsi="宋体" w:hint="eastAsia"/>
          <w:sz w:val="24"/>
          <w:szCs w:val="24"/>
        </w:rPr>
        <w:t>由于风险的普遍性，并且与人们的日常生活，不仅仅是利益，存在着不可分离的关系。伴随着世界经济的迅速发展，风险这一概念也被越来越多学者所研究。最开始，风险一词是由资本家提出的，在当时的风险被认为和资本家的利润息息相关。</w:t>
      </w:r>
    </w:p>
    <w:p>
      <w:pPr>
        <w:ind w:firstLine="480"/>
        <w:rPr>
          <w:rFonts w:ascii="宋体" w:eastAsia="宋体" w:hAnsi="宋体"/>
          <w:sz w:val="24"/>
          <w:szCs w:val="24"/>
        </w:rPr>
      </w:pPr>
      <w:r>
        <w:rPr>
          <w:rFonts w:ascii="宋体" w:eastAsia="宋体" w:hAnsi="宋体" w:hint="eastAsia"/>
          <w:sz w:val="24"/>
          <w:szCs w:val="24"/>
        </w:rPr>
        <w:t>发达国家对于风险理论的研究早于我们，直到二十世纪后期，我国才开始了风险管理方面的理论研究。随着经济全球化的发展，我国进出口贸易也有了很大的进步，近些年不断取得优秀的成绩。但是巨大的利益一定是伴随着相应的风险的。</w:t>
      </w:r>
    </w:p>
    <w:p>
      <w:pPr>
        <w:ind w:firstLine="562"/>
        <w:rPr>
          <w:rFonts w:ascii="宋体" w:eastAsia="宋体" w:hAnsi="宋体"/>
          <w:sz w:val="24"/>
          <w:szCs w:val="24"/>
        </w:rPr>
      </w:pPr>
      <w:r>
        <w:rPr>
          <w:rFonts w:ascii="黑体" w:eastAsia="黑体" w:hAnsi="黑体" w:cs="黑体" w:hint="eastAsia"/>
          <w:b/>
          <w:bCs/>
          <w:sz w:val="28"/>
          <w:szCs w:val="28"/>
        </w:rPr>
        <w:t>（一）国外研究现状</w:t>
      </w:r>
    </w:p>
    <w:p>
      <w:pPr>
        <w:ind w:firstLine="480"/>
        <w:rPr>
          <w:rFonts w:ascii="宋体" w:eastAsia="宋体" w:hAnsi="宋体"/>
          <w:sz w:val="24"/>
          <w:szCs w:val="24"/>
        </w:rPr>
      </w:pPr>
      <w:r>
        <w:rPr>
          <w:rFonts w:ascii="宋体" w:eastAsia="宋体" w:hAnsi="宋体" w:hint="eastAsia"/>
          <w:sz w:val="24"/>
          <w:szCs w:val="24"/>
        </w:rPr>
        <w:t>海尼斯（</w:t>
      </w:r>
      <w:r>
        <w:rPr>
          <w:rFonts w:ascii="Times New Roman" w:eastAsia="宋体" w:hAnsi="Times New Roman" w:cs="Times New Roman"/>
          <w:sz w:val="24"/>
          <w:szCs w:val="24"/>
        </w:rPr>
        <w:t>J.Haynes</w:t>
      </w:r>
      <w:r>
        <w:rPr>
          <w:rFonts w:ascii="宋体" w:eastAsia="宋体" w:hAnsi="宋体" w:hint="eastAsia"/>
          <w:sz w:val="24"/>
          <w:szCs w:val="24"/>
        </w:rPr>
        <w:t>）在 1895 年就指出风险就是意味着损失或损害的某种可能性。美国学者海姆斯认为风险与发生的地方，环境，时间和其他因素有关，并且不能将风险视为独立事件。</w:t>
      </w:r>
      <w:r>
        <w:rPr>
          <w:rFonts w:ascii="宋体" w:eastAsia="宋体" w:hAnsi="宋体"/>
          <w:sz w:val="24"/>
          <w:szCs w:val="24"/>
        </w:rPr>
        <w:t xml:space="preserve"> 通过努力加强系统中各种因素的管理和控制，可以完全减少相关风险的发生。</w:t>
      </w:r>
      <w:r>
        <w:rPr>
          <w:rFonts w:ascii="Times New Roman" w:eastAsia="宋体" w:hAnsi="Times New Roman" w:cs="Times New Roman"/>
          <w:sz w:val="24"/>
          <w:szCs w:val="24"/>
        </w:rPr>
        <w:t>Mazadzhiev N</w:t>
      </w:r>
      <w:r>
        <w:rPr>
          <w:rFonts w:ascii="宋体" w:eastAsia="宋体" w:hAnsi="宋体" w:hint="eastAsia"/>
          <w:sz w:val="24"/>
          <w:szCs w:val="24"/>
        </w:rPr>
        <w:t>（2016）指出企业的财务风险有不同形式的风险如金融风险货币、利率和信用风险，需要根据风险的类型，从而提出不同的风险管理方法，从企业的运营，运营风险管理的可能性和手段等进行调控。</w:t>
      </w:r>
      <w:r>
        <w:rPr>
          <w:rFonts w:ascii="Times New Roman" w:eastAsia="宋体" w:hAnsi="Times New Roman" w:cs="Times New Roman"/>
          <w:sz w:val="24"/>
          <w:szCs w:val="24"/>
        </w:rPr>
        <w:t>François Boutin Dufresne、 Patrick Savaria</w:t>
      </w:r>
      <w:r>
        <w:rPr>
          <w:rFonts w:ascii="宋体" w:eastAsia="宋体" w:hAnsi="宋体" w:hint="eastAsia"/>
          <w:sz w:val="24"/>
          <w:szCs w:val="24"/>
        </w:rPr>
        <w:t>（2009）对于认为自己具有社会责任感的公司，采用企业社会责任行为准则可以帮助降低公司的整体业务风险，甚至可以改善其长期风险调整绩效。</w:t>
      </w:r>
    </w:p>
    <w:p>
      <w:pPr>
        <w:ind w:firstLine="562"/>
        <w:rPr>
          <w:rFonts w:ascii="宋体" w:eastAsia="宋体" w:hAnsi="宋体"/>
          <w:sz w:val="24"/>
          <w:szCs w:val="24"/>
        </w:rPr>
      </w:pPr>
      <w:r>
        <w:rPr>
          <w:rFonts w:ascii="黑体" w:eastAsia="黑体" w:hAnsi="黑体" w:cs="黑体" w:hint="eastAsia"/>
          <w:b/>
          <w:bCs/>
          <w:sz w:val="28"/>
          <w:szCs w:val="28"/>
        </w:rPr>
        <w:t>（二）国内研究现状</w:t>
      </w:r>
    </w:p>
    <w:p>
      <w:pPr>
        <w:ind w:firstLine="480"/>
        <w:rPr>
          <w:rFonts w:ascii="宋体" w:eastAsia="宋体" w:hAnsi="宋体"/>
          <w:sz w:val="24"/>
          <w:szCs w:val="24"/>
        </w:rPr>
        <w:sectPr>
          <w:headerReference w:type="even" r:id="rId26"/>
          <w:headerReference w:type="default" r:id="rId27"/>
          <w:footerReference w:type="even" r:id="rId28"/>
          <w:footerReference w:type="default" r:id="rId29"/>
          <w:headerReference w:type="first" r:id="rId30"/>
          <w:footerReference w:type="first" r:id="rId31"/>
          <w:type w:val="nextPage"/>
          <w:pgSz w:w="11906" w:h="16838"/>
          <w:pgMar w:top="1440" w:right="1800" w:bottom="1440" w:left="1800" w:header="851" w:footer="992" w:gutter="0"/>
          <w:pgNumType w:start="3"/>
          <w:cols w:num="1" w:space="0"/>
          <w:titlePg w:val="0"/>
          <w:docGrid w:type="lines" w:linePitch="312" w:charSpace="0"/>
        </w:sectPr>
      </w:pPr>
      <w:r>
        <w:rPr>
          <w:rFonts w:ascii="宋体" w:eastAsia="宋体" w:hAnsi="宋体" w:hint="eastAsia"/>
          <w:sz w:val="24"/>
          <w:szCs w:val="24"/>
        </w:rPr>
        <w:t>李荣（2017）《誉航进出口公司国际结算风险管理研究》中提出，中小企业是我国对外进出口贸易的重要组成部分。</w:t>
      </w:r>
      <w:r>
        <w:rPr>
          <w:rFonts w:ascii="宋体" w:eastAsia="宋体" w:hAnsi="宋体"/>
          <w:sz w:val="24"/>
          <w:szCs w:val="24"/>
        </w:rPr>
        <w:t xml:space="preserve"> 例如，外国文化差异，商业习惯和商业规则，语言，汇率，政治局势等方面的影响，使中小企业面临着多样化的结算风险，国际商业风险也比较复杂。</w:t>
      </w:r>
      <w:r>
        <w:rPr>
          <w:rFonts w:ascii="宋体" w:eastAsia="宋体" w:hAnsi="宋体" w:hint="eastAsia"/>
          <w:sz w:val="24"/>
          <w:szCs w:val="24"/>
        </w:rPr>
        <w:t>以誉航进出口公司</w:t>
      </w:r>
      <w:r>
        <w:rPr>
          <w:rFonts w:ascii="宋体" w:eastAsia="宋体" w:hAnsi="宋体"/>
          <w:sz w:val="24"/>
          <w:szCs w:val="24"/>
        </w:rPr>
        <w:t>为具体研究背景，运用定量分析方法，提出了一些风险防范措施和对策。</w:t>
      </w:r>
      <w:r>
        <w:rPr>
          <w:rFonts w:ascii="宋体" w:eastAsia="宋体" w:hAnsi="宋体" w:hint="eastAsia"/>
          <w:sz w:val="24"/>
          <w:szCs w:val="24"/>
        </w:rPr>
        <w:t>姚錄盛（2015）《ＧＯＦ进出口贸易公司财务风险控制研究》中提出，</w:t>
      </w:r>
      <w:r>
        <w:rPr>
          <w:rFonts w:ascii="宋体" w:eastAsia="宋体" w:hAnsi="宋体"/>
          <w:sz w:val="24"/>
          <w:szCs w:val="24"/>
        </w:rPr>
        <w:t xml:space="preserve"> </w:t>
      </w:r>
      <w:r>
        <w:rPr>
          <w:rFonts w:ascii="宋体" w:eastAsia="宋体" w:hAnsi="宋体" w:hint="eastAsia"/>
          <w:sz w:val="24"/>
          <w:szCs w:val="24"/>
        </w:rPr>
        <w:t>根据财务风险控制理论，通过对</w:t>
      </w:r>
      <w:r>
        <w:rPr>
          <w:rFonts w:ascii="宋体" w:eastAsia="宋体" w:hAnsi="宋体"/>
          <w:sz w:val="24"/>
          <w:szCs w:val="24"/>
        </w:rPr>
        <w:t>GOF进出口贸易公司的</w:t>
      </w:r>
      <w:r>
        <w:rPr>
          <w:rFonts w:ascii="宋体" w:eastAsia="宋体" w:hAnsi="宋体" w:hint="eastAsia"/>
          <w:sz w:val="24"/>
          <w:szCs w:val="24"/>
        </w:rPr>
        <w:t>财务</w:t>
      </w:r>
      <w:r>
        <w:rPr>
          <w:rFonts w:ascii="宋体" w:eastAsia="宋体" w:hAnsi="宋体"/>
          <w:sz w:val="24"/>
          <w:szCs w:val="24"/>
        </w:rPr>
        <w:t>风险进行研究，对其现有</w:t>
      </w:r>
      <w:r>
        <w:rPr>
          <w:rFonts w:ascii="宋体" w:eastAsia="宋体" w:hAnsi="宋体" w:hint="eastAsia"/>
          <w:sz w:val="24"/>
          <w:szCs w:val="24"/>
        </w:rPr>
        <w:t>财务</w:t>
      </w:r>
      <w:r>
        <w:rPr>
          <w:rFonts w:ascii="宋体" w:eastAsia="宋体" w:hAnsi="宋体"/>
          <w:sz w:val="24"/>
          <w:szCs w:val="24"/>
        </w:rPr>
        <w:t>风险进行定性分析，对其风险进行定量分析，并对其</w:t>
      </w:r>
      <w:r>
        <w:rPr>
          <w:rFonts w:ascii="宋体" w:eastAsia="宋体" w:hAnsi="宋体" w:hint="eastAsia"/>
          <w:sz w:val="24"/>
          <w:szCs w:val="24"/>
        </w:rPr>
        <w:t>财务</w:t>
      </w:r>
      <w:r>
        <w:rPr>
          <w:rFonts w:ascii="宋体" w:eastAsia="宋体" w:hAnsi="宋体"/>
          <w:sz w:val="24"/>
          <w:szCs w:val="24"/>
        </w:rPr>
        <w:t>风险状况进行量化； 最后，针对这些问题，GOF进出口贸易公司旨在优化财务风险控制和实施措施。 讨论我国外贸企业的财务风险。 本文对于研究我国进出口企业面临的</w:t>
      </w:r>
      <w:r>
        <w:rPr>
          <w:rFonts w:ascii="宋体" w:eastAsia="宋体" w:hAnsi="宋体" w:hint="eastAsia"/>
          <w:sz w:val="24"/>
          <w:szCs w:val="24"/>
        </w:rPr>
        <w:t>财务</w:t>
      </w:r>
      <w:r>
        <w:rPr>
          <w:rFonts w:ascii="宋体" w:eastAsia="宋体" w:hAnsi="宋体"/>
          <w:sz w:val="24"/>
          <w:szCs w:val="24"/>
        </w:rPr>
        <w:t>风险问题以及解决外贸背景下的企业管理问题具有十分重要的意义和研究价值。</w:t>
      </w:r>
      <w:r>
        <w:rPr>
          <w:rFonts w:ascii="宋体" w:eastAsia="宋体" w:hAnsi="宋体" w:hint="eastAsia"/>
          <w:sz w:val="24"/>
          <w:szCs w:val="24"/>
        </w:rPr>
        <w:t>胡涛（2016）《进出口商存在的市场风险及其管理策略分析》提到由于缺乏经验，我国的进出口商风险意识低，缺乏应对策略。</w:t>
      </w:r>
      <w:r>
        <w:rPr>
          <w:rFonts w:ascii="宋体" w:eastAsia="宋体" w:hAnsi="宋体"/>
          <w:sz w:val="24"/>
          <w:szCs w:val="24"/>
        </w:rPr>
        <w:t>一旦商业风险爆发，很容易造成不必要的损失，在严重的情况下，甚至进出口商</w:t>
      </w:r>
      <w:r>
        <w:rPr>
          <w:rFonts w:ascii="宋体" w:eastAsia="宋体" w:hAnsi="宋体" w:hint="eastAsia"/>
          <w:sz w:val="24"/>
          <w:szCs w:val="24"/>
        </w:rPr>
        <w:t>会从此一蹶不振</w:t>
      </w:r>
      <w:r>
        <w:rPr>
          <w:rFonts w:ascii="宋体" w:eastAsia="宋体" w:hAnsi="宋体"/>
          <w:sz w:val="24"/>
          <w:szCs w:val="24"/>
        </w:rPr>
        <w:t>。</w:t>
      </w:r>
      <w:r>
        <w:rPr>
          <w:rFonts w:ascii="宋体" w:eastAsia="宋体" w:hAnsi="宋体" w:hint="eastAsia"/>
          <w:sz w:val="24"/>
          <w:szCs w:val="24"/>
        </w:rPr>
        <w:t>胡涛</w:t>
      </w:r>
      <w:r>
        <w:rPr>
          <w:rFonts w:ascii="宋体" w:eastAsia="宋体" w:hAnsi="宋体"/>
          <w:sz w:val="24"/>
          <w:szCs w:val="24"/>
        </w:rPr>
        <w:t>以中石化国际贸易公司为案例分析对象，则在对</w:t>
      </w:r>
      <w:r>
        <w:rPr>
          <w:rFonts w:ascii="宋体" w:eastAsia="宋体" w:hAnsi="宋体" w:hint="eastAsia"/>
          <w:sz w:val="24"/>
          <w:szCs w:val="24"/>
        </w:rPr>
        <w:t>其面临的</w:t>
      </w:r>
      <w:r>
        <w:rPr>
          <w:rFonts w:ascii="宋体" w:eastAsia="宋体" w:hAnsi="宋体"/>
          <w:sz w:val="24"/>
          <w:szCs w:val="24"/>
        </w:rPr>
        <w:t>问题进行详细分析的基础上，提出有效的预防措施。</w:t>
      </w:r>
      <w:r>
        <w:rPr>
          <w:rFonts w:ascii="宋体" w:eastAsia="宋体" w:hAnsi="宋体" w:hint="eastAsia"/>
          <w:sz w:val="24"/>
          <w:szCs w:val="24"/>
        </w:rPr>
        <w:t>王鹏（2018）《FTC</w:t>
      </w:r>
      <w:r>
        <w:rPr>
          <w:rFonts w:ascii="宋体" w:eastAsia="宋体" w:hAnsi="宋体" w:hint="eastAsia"/>
          <w:sz w:val="24"/>
          <w:szCs w:val="24"/>
        </w:rPr>
        <w:t xml:space="preserve"> 公司代理进出口业务风险管理案例分析》根据</w:t>
      </w:r>
    </w:p>
    <w:p>
      <w:pPr>
        <w:ind w:firstLine="480"/>
        <w:rPr>
          <w:rFonts w:ascii="宋体" w:eastAsia="宋体" w:hAnsi="宋体"/>
          <w:sz w:val="24"/>
          <w:szCs w:val="24"/>
        </w:rPr>
      </w:pPr>
      <w:r>
        <w:rPr>
          <w:rFonts w:ascii="宋体" w:eastAsia="宋体" w:hAnsi="宋体" w:hint="eastAsia"/>
          <w:sz w:val="24"/>
          <w:szCs w:val="24"/>
        </w:rPr>
        <w:t xml:space="preserve"> FTC公司在业务操纵中总结出了外贸代理企业在业务实践中应该重点关注的风险漏洞，并据此从外贸政策层面、行业环境层面、业务操作层面和风险救济层面提出了外贸代理企业应该遵循的风险防范和管理原则，</w:t>
      </w:r>
      <w:r>
        <w:rPr>
          <w:rFonts w:ascii="宋体" w:eastAsia="宋体" w:hAnsi="宋体"/>
          <w:sz w:val="24"/>
          <w:szCs w:val="24"/>
        </w:rPr>
        <w:t>并为我国外贸代理机构体系的风险管理提供了切实可行的建议。</w:t>
      </w:r>
      <w:r>
        <w:rPr>
          <w:rFonts w:ascii="宋体" w:eastAsia="宋体" w:hAnsi="宋体" w:hint="eastAsia"/>
          <w:sz w:val="24"/>
          <w:szCs w:val="24"/>
        </w:rPr>
        <w:t>董宇（2017）《远期信用证结算风险与防范》本文首先详细介绍了四种远期信用证以及进出口商和银行的优缺点，并对它们进行了比较和总结。</w:t>
      </w:r>
      <w:r>
        <w:rPr>
          <w:rFonts w:ascii="宋体" w:eastAsia="宋体" w:hAnsi="宋体"/>
          <w:sz w:val="24"/>
          <w:szCs w:val="24"/>
        </w:rPr>
        <w:t>其次，对远期信用证的风险进行了详细分析。最后，根据中国最新的贸易政策，在实际操作的基础上，结合银行，进出口方等不同方面的实际案例分析，结合理论与实践进行深入的分析研究， 提出了降低风险的预防措施。 为加强对信用证各方使用远期信用证进行结算时的风险防范，确保交易的安全性，并确保国际贸易的顺利进行是有益的。</w:t>
      </w:r>
      <w:r>
        <w:rPr>
          <w:rFonts w:ascii="宋体" w:eastAsia="宋体" w:hAnsi="宋体" w:hint="eastAsia"/>
          <w:sz w:val="24"/>
          <w:szCs w:val="24"/>
        </w:rPr>
        <w:t>常埠(2016)《小商品贸易企业汇率风险分析及规避研究》我国是世界上最大的小商品购买基地，出口小商品一直是我们最为关注的事情。常埠在</w:t>
      </w:r>
      <w:r>
        <w:rPr>
          <w:rFonts w:ascii="宋体" w:eastAsia="宋体" w:hAnsi="宋体"/>
          <w:sz w:val="24"/>
          <w:szCs w:val="24"/>
        </w:rPr>
        <w:t>文章还解释了国内外外汇市场的环境。强调汇率风险会影响小商品贸易公司的利润降低，出口收入增长降低和国际竞争加剧，以及如何应对这些不利影响。</w:t>
      </w:r>
    </w:p>
    <w:p>
      <w:pPr>
        <w:ind w:firstLine="562"/>
        <w:rPr>
          <w:rFonts w:ascii="宋体" w:eastAsia="宋体" w:hAnsi="宋体"/>
          <w:sz w:val="24"/>
          <w:szCs w:val="24"/>
        </w:rPr>
      </w:pPr>
      <w:r>
        <w:rPr>
          <w:rFonts w:ascii="黑体" w:eastAsia="黑体" w:hAnsi="黑体" w:cs="黑体" w:hint="eastAsia"/>
          <w:b/>
          <w:bCs/>
          <w:sz w:val="28"/>
          <w:szCs w:val="28"/>
        </w:rPr>
        <w:t>（三）文献综述评价</w:t>
      </w:r>
    </w:p>
    <w:p>
      <w:pPr>
        <w:ind w:firstLine="480"/>
        <w:rPr>
          <w:rFonts w:ascii="宋体" w:eastAsia="宋体" w:hAnsi="宋体"/>
          <w:sz w:val="24"/>
          <w:szCs w:val="24"/>
        </w:rPr>
      </w:pPr>
      <w:r>
        <w:rPr>
          <w:rFonts w:ascii="宋体" w:eastAsia="宋体" w:hAnsi="宋体" w:hint="eastAsia"/>
          <w:sz w:val="24"/>
          <w:szCs w:val="24"/>
        </w:rPr>
        <w:t>国内外许多学者对进出口贸易的风险进行了研究。较多的研究是在国际结算和汇率之间的风险。这对一些中小型的外贸公司具有一定的意义。都有结合一些具体的公司中的一些情况进行定性和定量的分析，具有实际参考意义。但是一些企业也需要结合实际情况来判断和分析。</w:t>
      </w:r>
    </w:p>
    <w:p>
      <w:pPr>
        <w:widowControl/>
        <w:ind w:firstLine="480"/>
        <w:jc w:val="left"/>
        <w:rPr>
          <w:rFonts w:ascii="宋体" w:eastAsia="宋体" w:hAnsi="宋体" w:cs="宋体"/>
          <w:sz w:val="24"/>
          <w:szCs w:val="24"/>
        </w:rPr>
      </w:pPr>
      <w:r>
        <w:rPr>
          <w:rFonts w:ascii="宋体" w:eastAsia="宋体" w:hAnsi="宋体" w:cs="宋体" w:hint="eastAsia"/>
          <w:sz w:val="24"/>
          <w:szCs w:val="24"/>
        </w:rPr>
        <w:t>国际贸易的风险，具有一定的客观性。风险是必然存在的。对于风险，我们并不能完全消除，但是我们可以有效的规避，将风险控制在一定的量里面。需要注意的是，有时候一些风险往往是在进出口商无意识中发生。进出口商需要对风险有一个衡量和评估，对于风险有一个正确的判断，面对风险做出有意识的防范。</w:t>
      </w:r>
    </w:p>
    <w:p>
      <w:pPr>
        <w:pStyle w:val="Heading1"/>
        <w:ind w:firstLine="602"/>
      </w:pPr>
      <w:bookmarkStart w:id="4" w:name="_Toc70939561"/>
      <w:r>
        <w:rPr>
          <w:rFonts w:hint="eastAsia"/>
        </w:rPr>
        <w:t>三、</w:t>
      </w:r>
      <w:r>
        <w:rPr>
          <w:rFonts w:hint="eastAsia"/>
          <w:lang w:eastAsia="zh-CN"/>
        </w:rPr>
        <w:t>四方</w:t>
      </w:r>
      <w:r>
        <w:rPr>
          <w:rFonts w:hint="eastAsia"/>
        </w:rPr>
        <w:t>公司进出口贸易的风险识别</w:t>
      </w:r>
      <w:bookmarkEnd w:id="4"/>
    </w:p>
    <w:p>
      <w:pPr>
        <w:pStyle w:val="Heading2"/>
        <w:spacing w:line="300" w:lineRule="auto"/>
      </w:pPr>
      <w:bookmarkStart w:id="5" w:name="_Toc70939562"/>
      <w:r>
        <w:rPr>
          <w:rFonts w:hint="eastAsia"/>
        </w:rPr>
        <w:t>（一）</w:t>
      </w:r>
      <w:r>
        <w:rPr>
          <w:rFonts w:hint="eastAsia"/>
          <w:lang w:eastAsia="zh-CN"/>
        </w:rPr>
        <w:t>四方</w:t>
      </w:r>
      <w:r>
        <w:rPr>
          <w:rFonts w:hint="eastAsia"/>
        </w:rPr>
        <w:t>公司介绍</w:t>
      </w:r>
      <w:bookmarkEnd w:id="5"/>
    </w:p>
    <w:p>
      <w:pPr>
        <w:pStyle w:val="Heading3"/>
        <w:spacing w:line="300" w:lineRule="auto"/>
        <w:ind w:firstLine="480" w:firstLineChars="200"/>
      </w:pPr>
      <w:bookmarkStart w:id="6" w:name="_Toc70939563"/>
      <w:r>
        <w:t>1.</w:t>
      </w:r>
      <w:r>
        <w:rPr>
          <w:rFonts w:hint="eastAsia"/>
          <w:lang w:eastAsia="zh-CN"/>
        </w:rPr>
        <w:t>四方</w:t>
      </w:r>
      <w:r>
        <w:rPr>
          <w:rFonts w:hint="eastAsia"/>
        </w:rPr>
        <w:t>公司的概况</w:t>
      </w:r>
      <w:bookmarkEnd w:id="6"/>
    </w:p>
    <w:p>
      <w:pPr>
        <w:ind w:firstLine="480"/>
        <w:rPr>
          <w:rFonts w:ascii="宋体" w:eastAsia="宋体" w:hAnsi="宋体"/>
          <w:sz w:val="24"/>
          <w:szCs w:val="24"/>
        </w:rPr>
      </w:pPr>
      <w:r>
        <w:rPr>
          <w:rFonts w:ascii="宋体" w:eastAsia="宋体" w:hAnsi="宋体" w:hint="eastAsia"/>
          <w:sz w:val="24"/>
          <w:szCs w:val="24"/>
          <w:lang w:eastAsia="zh-CN"/>
        </w:rPr>
        <w:t>四方</w:t>
      </w:r>
      <w:r>
        <w:rPr>
          <w:rFonts w:ascii="宋体" w:eastAsia="宋体" w:hAnsi="宋体" w:hint="eastAsia"/>
          <w:sz w:val="24"/>
          <w:szCs w:val="24"/>
        </w:rPr>
        <w:t>贸易有限公司成立于2010年，是一家工贸一体化的国际贸易和国内贸易的综合性企业。其主要经营产品为家居浴室用品，其中包括浴帘、地垫、陶瓷浴室套件、塑料浴室套件等等。目前也在慢慢扩大经营范围，不局限于浴室用品。</w:t>
      </w:r>
    </w:p>
    <w:p>
      <w:pPr>
        <w:ind w:firstLine="480"/>
        <w:rPr>
          <w:rFonts w:ascii="宋体" w:eastAsia="宋体" w:hAnsi="宋体"/>
          <w:sz w:val="24"/>
          <w:szCs w:val="24"/>
        </w:rPr>
      </w:pPr>
      <w:r>
        <w:rPr>
          <w:rFonts w:ascii="宋体" w:eastAsia="宋体" w:hAnsi="宋体"/>
          <w:sz w:val="24"/>
          <w:szCs w:val="24"/>
        </w:rPr>
        <w:br/>
      </w:r>
      <w:r>
        <w:rPr>
          <w:rFonts w:ascii="宋体" w:eastAsia="宋体" w:hAnsi="宋体"/>
          <w:sz w:val="24"/>
          <w:szCs w:val="2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https://d.book118.com/385030333004011111</w:t>
        </w:r>
      </w:hyperlink>
    </w:p>
    <w:p>
      <w:pPr>
        <w:ind w:firstLine="480"/>
        <w:rPr>
          <w:rFonts w:ascii="宋体" w:eastAsia="宋体" w:hAnsi="宋体"/>
          <w:sz w:val="24"/>
          <w:szCs w:val="24"/>
        </w:rPr>
      </w:pPr>
    </w:p>
    <w:sectPr>
      <w:headerReference w:type="even" r:id="rId33"/>
      <w:headerReference w:type="default" r:id="rId34"/>
      <w:footerReference w:type="even" r:id="rId35"/>
      <w:footerReference w:type="default" r:id="rId36"/>
      <w:headerReference w:type="first" r:id="rId37"/>
      <w:footerReference w:type="first" r:id="rId38"/>
      <w:type w:val="nextPage"/>
      <w:pgSz w:w="11906" w:h="16838"/>
      <w:pgMar w:top="1440" w:right="1800" w:bottom="1440" w:left="1800" w:header="851" w:footer="992" w:gutter="0"/>
      <w:pgNumType w:start="4"/>
      <w:cols w:num="1" w:space="0"/>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3762896"/>
      <w:richText/>
    </w:sdtPr>
    <w:sdtContent>
      <w:p>
        <w:pPr>
          <w:pStyle w:val="Footer"/>
          <w:ind w:firstLine="360"/>
          <w:jc w:val="center"/>
        </w:pPr>
        <w:r>
          <w:fldChar w:fldCharType="begin"/>
        </w:r>
        <w:r>
          <w:instrText>PAGE   \* MERGEFORMAT</w:instrText>
        </w:r>
        <w:r>
          <w:fldChar w:fldCharType="separate"/>
        </w:r>
        <w:r>
          <w:rPr>
            <w:lang w:val="zh-CN"/>
          </w:rPr>
          <w:t>1</w:t>
        </w:r>
        <w:r>
          <w:fldChar w:fldCharType="end"/>
        </w:r>
      </w:p>
    </w:sdtContent>
  </w:sdt>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10594631"/>
      <w:richText/>
    </w:sdtPr>
    <w:sdtContent>
      <w:p>
        <w:pPr>
          <w:pStyle w:val="Footer"/>
          <w:ind w:firstLine="360"/>
          <w:jc w:val="center"/>
        </w:pPr>
        <w:r>
          <w:fldChar w:fldCharType="begin"/>
        </w:r>
        <w:r>
          <w:instrText>PAGE   \* MERGEFORMAT</w:instrText>
        </w:r>
        <w:r>
          <w:fldChar w:fldCharType="separate"/>
        </w:r>
        <w:r>
          <w:rPr>
            <w:lang w:val="zh-CN"/>
          </w:rPr>
          <w:t>1</w:t>
        </w:r>
        <w:r>
          <w:fldChar w:fldCharType="end"/>
        </w:r>
      </w:p>
    </w:sdtContent>
  </w:sdt>
  <w:p>
    <w:pPr>
      <w:pStyle w:val="Footer"/>
      <w:ind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4191420"/>
      <w:richText/>
    </w:sdtPr>
    <w:sdtContent>
      <w:p>
        <w:pPr>
          <w:pStyle w:val="Footer"/>
          <w:ind w:firstLine="360"/>
          <w:jc w:val="center"/>
        </w:pPr>
        <w:r>
          <w:fldChar w:fldCharType="begin"/>
        </w:r>
        <w:r>
          <w:instrText>PAGE   \* MERGEFORMAT</w:instrText>
        </w:r>
        <w:r>
          <w:fldChar w:fldCharType="separate"/>
        </w:r>
        <w:r>
          <w:rPr>
            <w:lang w:val="zh-CN"/>
          </w:rPr>
          <w:t>2</w:t>
        </w:r>
        <w:r>
          <w:fldChar w:fldCharType="end"/>
        </w:r>
      </w:p>
    </w:sdtContent>
  </w:sdt>
  <w:p>
    <w:pPr>
      <w:pStyle w:val="Footer"/>
      <w:ind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68284843"/>
      <w:richText/>
    </w:sdtPr>
    <w:sdtContent>
      <w:p>
        <w:pPr>
          <w:pStyle w:val="Footer"/>
          <w:ind w:firstLine="360"/>
          <w:jc w:val="center"/>
        </w:pPr>
        <w:r>
          <w:fldChar w:fldCharType="begin"/>
        </w:r>
        <w:r>
          <w:instrText>PAGE   \* MERGEFORMAT</w:instrText>
        </w:r>
        <w:r>
          <w:fldChar w:fldCharType="separate"/>
        </w:r>
        <w:r>
          <w:rPr>
            <w:lang w:val="zh-CN"/>
          </w:rPr>
          <w:t>4</w:t>
        </w:r>
        <w:r>
          <w:fldChar w:fldCharType="end"/>
        </w:r>
      </w:p>
    </w:sdtContent>
  </w:sdt>
  <w:p>
    <w:pPr>
      <w:pStyle w:val="Footer"/>
      <w:ind w:firstLine="360"/>
      <w:jc w:val="cen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78472072"/>
      <w:richText/>
    </w:sdtPr>
    <w:sdtContent>
      <w:p>
        <w:pPr>
          <w:pStyle w:val="Footer"/>
          <w:ind w:firstLine="360"/>
          <w:jc w:val="center"/>
        </w:pPr>
        <w:r>
          <w:fldChar w:fldCharType="begin"/>
        </w:r>
        <w:r>
          <w:instrText>PAGE   \* MERGEFORMAT</w:instrText>
        </w:r>
        <w:r>
          <w:fldChar w:fldCharType="separate"/>
        </w:r>
        <w:r>
          <w:rPr>
            <w:lang w:val="zh-CN"/>
          </w:rPr>
          <w:t>4</w:t>
        </w:r>
        <w:r>
          <w:fldChar w:fldCharType="end"/>
        </w:r>
      </w:p>
    </w:sdtContent>
  </w:sdt>
  <w:p>
    <w:pPr>
      <w:pStyle w:val="Footer"/>
      <w:ind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00" w:lineRule="auto"/>
        <w:ind w:firstLine="420"/>
      </w:pPr>
      <w:r>
        <w:separator/>
      </w:r>
    </w:p>
  </w:footnote>
  <w:footnote w:type="continuationSeparator" w:id="1">
    <w:p>
      <w:pPr>
        <w:spacing w:line="30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5962A38"/>
    <w:multiLevelType w:val="singleLevel"/>
    <w:tmpl w:val="45962A38"/>
    <w:lvl w:ilvl="0">
      <w:start w:val="14"/>
      <w:numFmt w:val="decimal"/>
      <w:suff w:val="space"/>
      <w:lvlText w:val="[%1]"/>
      <w:lvlJc w:val="left"/>
    </w:lvl>
  </w:abstractNum>
  <w:abstractNum w:abstractNumId="1">
    <w:nsid w:val="514D47FB"/>
    <w:multiLevelType w:val="multilevel"/>
    <w:tmpl w:val="514D47FB"/>
    <w:lvl w:ilvl="0">
      <w:start w:val="1"/>
      <w:numFmt w:val="chineseCountingThousand"/>
      <w:pStyle w:val="Title"/>
      <w:lvlText w:val="%1."/>
      <w:lvlJc w:val="left"/>
      <w:pPr>
        <w:ind w:left="420" w:hanging="420"/>
      </w:pPr>
      <w:rPr>
        <w:rFonts w:eastAsia="宋体" w:hint="eastAsia"/>
        <w:sz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707F7ED7"/>
    <w:multiLevelType w:val="multilevel"/>
    <w:tmpl w:val="707F7ED7"/>
    <w:lvl w:ilvl="0">
      <w:start w:val="1"/>
      <w:numFmt w:val="decimal"/>
      <w:pStyle w:val="Subtitle"/>
      <w:lvlText w:val="1.%1"/>
      <w:lvlJc w:val="left"/>
      <w:pPr>
        <w:ind w:left="420" w:hanging="420"/>
      </w:pPr>
      <w:rPr>
        <w:rFonts w:eastAsia="宋体" w:hint="eastAsia"/>
        <w:sz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1B3"/>
    <w:rsid w:val="00066DDF"/>
    <w:rsid w:val="000740A6"/>
    <w:rsid w:val="0007640A"/>
    <w:rsid w:val="000774CD"/>
    <w:rsid w:val="00081836"/>
    <w:rsid w:val="00084ACE"/>
    <w:rsid w:val="000877AC"/>
    <w:rsid w:val="00090FAE"/>
    <w:rsid w:val="000B3541"/>
    <w:rsid w:val="000D48E4"/>
    <w:rsid w:val="000F26A1"/>
    <w:rsid w:val="00124459"/>
    <w:rsid w:val="001318A1"/>
    <w:rsid w:val="0013502E"/>
    <w:rsid w:val="00152936"/>
    <w:rsid w:val="001612E2"/>
    <w:rsid w:val="00165A25"/>
    <w:rsid w:val="00166C36"/>
    <w:rsid w:val="00172846"/>
    <w:rsid w:val="0018130C"/>
    <w:rsid w:val="001A7770"/>
    <w:rsid w:val="001B0C7B"/>
    <w:rsid w:val="0020044B"/>
    <w:rsid w:val="00201AAA"/>
    <w:rsid w:val="00204E58"/>
    <w:rsid w:val="002050E3"/>
    <w:rsid w:val="00206E38"/>
    <w:rsid w:val="00211E81"/>
    <w:rsid w:val="002148D3"/>
    <w:rsid w:val="00223885"/>
    <w:rsid w:val="002617EB"/>
    <w:rsid w:val="00273A30"/>
    <w:rsid w:val="002876A5"/>
    <w:rsid w:val="002A277A"/>
    <w:rsid w:val="002C2942"/>
    <w:rsid w:val="002C2A29"/>
    <w:rsid w:val="002E49F8"/>
    <w:rsid w:val="002E6498"/>
    <w:rsid w:val="003063B2"/>
    <w:rsid w:val="0033115C"/>
    <w:rsid w:val="00331865"/>
    <w:rsid w:val="00342D4A"/>
    <w:rsid w:val="003444B1"/>
    <w:rsid w:val="0036756F"/>
    <w:rsid w:val="0037170A"/>
    <w:rsid w:val="00372065"/>
    <w:rsid w:val="003842E3"/>
    <w:rsid w:val="0039246F"/>
    <w:rsid w:val="0039512A"/>
    <w:rsid w:val="003A3536"/>
    <w:rsid w:val="003A4BF1"/>
    <w:rsid w:val="003A5FCF"/>
    <w:rsid w:val="003A7E67"/>
    <w:rsid w:val="003B4912"/>
    <w:rsid w:val="003D3E56"/>
    <w:rsid w:val="004039C5"/>
    <w:rsid w:val="004057E6"/>
    <w:rsid w:val="00410D81"/>
    <w:rsid w:val="0042489F"/>
    <w:rsid w:val="00435774"/>
    <w:rsid w:val="00441553"/>
    <w:rsid w:val="00452531"/>
    <w:rsid w:val="00454E4D"/>
    <w:rsid w:val="004640B5"/>
    <w:rsid w:val="00464F65"/>
    <w:rsid w:val="00490764"/>
    <w:rsid w:val="00497662"/>
    <w:rsid w:val="004B3015"/>
    <w:rsid w:val="004C112D"/>
    <w:rsid w:val="004C3158"/>
    <w:rsid w:val="004E7AAC"/>
    <w:rsid w:val="004F1DFF"/>
    <w:rsid w:val="005224BE"/>
    <w:rsid w:val="0052512D"/>
    <w:rsid w:val="0052646B"/>
    <w:rsid w:val="00530647"/>
    <w:rsid w:val="00537FC1"/>
    <w:rsid w:val="00541A50"/>
    <w:rsid w:val="0057470A"/>
    <w:rsid w:val="00580DC0"/>
    <w:rsid w:val="005813DC"/>
    <w:rsid w:val="00591EFE"/>
    <w:rsid w:val="005A3346"/>
    <w:rsid w:val="005D634C"/>
    <w:rsid w:val="005E50B8"/>
    <w:rsid w:val="005E5B4F"/>
    <w:rsid w:val="005E76DD"/>
    <w:rsid w:val="005F2A0A"/>
    <w:rsid w:val="006033B5"/>
    <w:rsid w:val="00606D40"/>
    <w:rsid w:val="00616339"/>
    <w:rsid w:val="006261F9"/>
    <w:rsid w:val="0063305F"/>
    <w:rsid w:val="006336AB"/>
    <w:rsid w:val="00643DBD"/>
    <w:rsid w:val="00670025"/>
    <w:rsid w:val="006708FE"/>
    <w:rsid w:val="00670D63"/>
    <w:rsid w:val="006800E9"/>
    <w:rsid w:val="0068046D"/>
    <w:rsid w:val="006979A6"/>
    <w:rsid w:val="006A1FA2"/>
    <w:rsid w:val="006B223E"/>
    <w:rsid w:val="006B2441"/>
    <w:rsid w:val="006D67F0"/>
    <w:rsid w:val="006E6813"/>
    <w:rsid w:val="006F36D7"/>
    <w:rsid w:val="006F5FF7"/>
    <w:rsid w:val="00716AF2"/>
    <w:rsid w:val="007319C5"/>
    <w:rsid w:val="00766E40"/>
    <w:rsid w:val="00771773"/>
    <w:rsid w:val="007B2258"/>
    <w:rsid w:val="007B4EBC"/>
    <w:rsid w:val="007D36EA"/>
    <w:rsid w:val="008005D0"/>
    <w:rsid w:val="00806342"/>
    <w:rsid w:val="0081046C"/>
    <w:rsid w:val="00835A69"/>
    <w:rsid w:val="00853B3C"/>
    <w:rsid w:val="008567BA"/>
    <w:rsid w:val="0086266C"/>
    <w:rsid w:val="00874BB9"/>
    <w:rsid w:val="0088024D"/>
    <w:rsid w:val="00884FA4"/>
    <w:rsid w:val="00894B8F"/>
    <w:rsid w:val="008A0E14"/>
    <w:rsid w:val="008A51B3"/>
    <w:rsid w:val="008C166D"/>
    <w:rsid w:val="008C5881"/>
    <w:rsid w:val="008E3DF5"/>
    <w:rsid w:val="008E7681"/>
    <w:rsid w:val="008E7A78"/>
    <w:rsid w:val="008F3454"/>
    <w:rsid w:val="00905BF2"/>
    <w:rsid w:val="00910B82"/>
    <w:rsid w:val="009252B3"/>
    <w:rsid w:val="009322D5"/>
    <w:rsid w:val="00934F5C"/>
    <w:rsid w:val="00956334"/>
    <w:rsid w:val="00961FD7"/>
    <w:rsid w:val="009A666A"/>
    <w:rsid w:val="009B34CC"/>
    <w:rsid w:val="009D147F"/>
    <w:rsid w:val="00A04FE4"/>
    <w:rsid w:val="00A10602"/>
    <w:rsid w:val="00A111B0"/>
    <w:rsid w:val="00A36F3F"/>
    <w:rsid w:val="00A4330F"/>
    <w:rsid w:val="00A525C0"/>
    <w:rsid w:val="00A64925"/>
    <w:rsid w:val="00A768AC"/>
    <w:rsid w:val="00A91089"/>
    <w:rsid w:val="00AA0BB6"/>
    <w:rsid w:val="00AA522B"/>
    <w:rsid w:val="00AA554F"/>
    <w:rsid w:val="00AA591C"/>
    <w:rsid w:val="00AB0E6E"/>
    <w:rsid w:val="00AB4430"/>
    <w:rsid w:val="00AE60DE"/>
    <w:rsid w:val="00AF0DAB"/>
    <w:rsid w:val="00B0231E"/>
    <w:rsid w:val="00B26CFC"/>
    <w:rsid w:val="00B55673"/>
    <w:rsid w:val="00B61460"/>
    <w:rsid w:val="00B7269C"/>
    <w:rsid w:val="00B80BC6"/>
    <w:rsid w:val="00B80F4F"/>
    <w:rsid w:val="00B97DC1"/>
    <w:rsid w:val="00BA5658"/>
    <w:rsid w:val="00BA5F5C"/>
    <w:rsid w:val="00BC2475"/>
    <w:rsid w:val="00BD139F"/>
    <w:rsid w:val="00BE437F"/>
    <w:rsid w:val="00BF1777"/>
    <w:rsid w:val="00BF1EFF"/>
    <w:rsid w:val="00BF21FE"/>
    <w:rsid w:val="00C2350A"/>
    <w:rsid w:val="00C420AD"/>
    <w:rsid w:val="00C4589C"/>
    <w:rsid w:val="00C518A6"/>
    <w:rsid w:val="00C65272"/>
    <w:rsid w:val="00C75611"/>
    <w:rsid w:val="00C94E1A"/>
    <w:rsid w:val="00CA33D4"/>
    <w:rsid w:val="00CB3574"/>
    <w:rsid w:val="00CC3343"/>
    <w:rsid w:val="00CC44BF"/>
    <w:rsid w:val="00CE138C"/>
    <w:rsid w:val="00CE5282"/>
    <w:rsid w:val="00CE7DE7"/>
    <w:rsid w:val="00D324C7"/>
    <w:rsid w:val="00D337CD"/>
    <w:rsid w:val="00D33E21"/>
    <w:rsid w:val="00D4257A"/>
    <w:rsid w:val="00D44638"/>
    <w:rsid w:val="00D82D6F"/>
    <w:rsid w:val="00D93252"/>
    <w:rsid w:val="00D96D6F"/>
    <w:rsid w:val="00DE2121"/>
    <w:rsid w:val="00DE2780"/>
    <w:rsid w:val="00DF16CE"/>
    <w:rsid w:val="00DF674E"/>
    <w:rsid w:val="00E10BF1"/>
    <w:rsid w:val="00E15E46"/>
    <w:rsid w:val="00E41333"/>
    <w:rsid w:val="00E4385F"/>
    <w:rsid w:val="00E45B3E"/>
    <w:rsid w:val="00E50953"/>
    <w:rsid w:val="00E701F9"/>
    <w:rsid w:val="00E7071A"/>
    <w:rsid w:val="00E9408E"/>
    <w:rsid w:val="00E94331"/>
    <w:rsid w:val="00EA5D19"/>
    <w:rsid w:val="00EB1E0D"/>
    <w:rsid w:val="00ED7C33"/>
    <w:rsid w:val="00F10619"/>
    <w:rsid w:val="00F135E1"/>
    <w:rsid w:val="00F30746"/>
    <w:rsid w:val="00F51901"/>
    <w:rsid w:val="00F540AE"/>
    <w:rsid w:val="00F55CF4"/>
    <w:rsid w:val="00F62C25"/>
    <w:rsid w:val="00F911CE"/>
    <w:rsid w:val="00F93443"/>
    <w:rsid w:val="00F93521"/>
    <w:rsid w:val="00FA0E6E"/>
    <w:rsid w:val="00FA46F1"/>
    <w:rsid w:val="00FB3CED"/>
    <w:rsid w:val="00FC7652"/>
    <w:rsid w:val="00FE789B"/>
    <w:rsid w:val="038861E5"/>
    <w:rsid w:val="106E226B"/>
    <w:rsid w:val="13170036"/>
    <w:rsid w:val="142E72C7"/>
    <w:rsid w:val="1AE37A77"/>
    <w:rsid w:val="318F7C22"/>
    <w:rsid w:val="382C0A3A"/>
    <w:rsid w:val="4057113C"/>
    <w:rsid w:val="4A4D34D2"/>
    <w:rsid w:val="59632D46"/>
    <w:rsid w:val="622545F5"/>
    <w:rsid w:val="6F8432FB"/>
    <w:rsid w:val="6F9F4A7C"/>
    <w:rsid w:val="74EF05A2"/>
    <w:rsid w:val="7CF73209"/>
    <w:rsid w:val="7E777BEA"/>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qFormat="1"/>
    <w:lsdException w:name="annotation text"/>
    <w:lsdException w:name="header" w:semiHidden="0" w:uiPriority="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ind w:firstLine="200" w:firstLineChars="20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uiPriority w:val="9"/>
    <w:qFormat/>
    <w:pPr>
      <w:keepNext/>
      <w:keepLines/>
      <w:spacing w:line="578" w:lineRule="auto"/>
      <w:jc w:val="center"/>
      <w:outlineLvl w:val="0"/>
    </w:pPr>
    <w:rPr>
      <w:rFonts w:eastAsia="黑体"/>
      <w:b/>
      <w:bCs/>
      <w:kern w:val="44"/>
      <w:sz w:val="30"/>
      <w:szCs w:val="44"/>
    </w:rPr>
  </w:style>
  <w:style w:type="paragraph" w:styleId="Heading2">
    <w:name w:val="heading 2"/>
    <w:basedOn w:val="Normal"/>
    <w:next w:val="Normal"/>
    <w:link w:val="2"/>
    <w:autoRedefine/>
    <w:uiPriority w:val="9"/>
    <w:unhideWhenUsed/>
    <w:qFormat/>
    <w:pPr>
      <w:keepNext/>
      <w:keepLines/>
      <w:spacing w:before="260" w:after="260" w:line="415" w:lineRule="auto"/>
      <w:ind w:firstLine="0" w:firstLineChars="0"/>
      <w:jc w:val="left"/>
      <w:outlineLvl w:val="1"/>
    </w:pPr>
    <w:rPr>
      <w:rFonts w:eastAsia="黑体" w:asciiTheme="majorHAnsi" w:hAnsiTheme="majorHAnsi" w:cstheme="majorBidi"/>
      <w:b/>
      <w:bCs/>
      <w:sz w:val="28"/>
      <w:szCs w:val="32"/>
    </w:rPr>
  </w:style>
  <w:style w:type="paragraph" w:styleId="Heading3">
    <w:name w:val="heading 3"/>
    <w:basedOn w:val="Normal"/>
    <w:next w:val="Normal"/>
    <w:link w:val="3"/>
    <w:autoRedefine/>
    <w:uiPriority w:val="9"/>
    <w:unhideWhenUsed/>
    <w:qFormat/>
    <w:pPr>
      <w:spacing w:line="360" w:lineRule="auto"/>
      <w:ind w:firstLine="0" w:firstLineChars="0"/>
      <w:outlineLvl w:val="2"/>
    </w:pPr>
    <w:rPr>
      <w:rFonts w:ascii="宋体" w:eastAsia="宋体" w:hAnsi="宋体"/>
      <w:b/>
      <w:bCs/>
      <w:sz w:val="24"/>
      <w:szCs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aption">
    <w:name w:val="caption"/>
    <w:basedOn w:val="Normal"/>
    <w:next w:val="Normal"/>
    <w:autoRedefine/>
    <w:uiPriority w:val="35"/>
    <w:unhideWhenUsed/>
    <w:qFormat/>
    <w:rPr>
      <w:rFonts w:eastAsia="黑体" w:asciiTheme="majorHAnsi" w:hAnsiTheme="majorHAnsi" w:cstheme="majorBidi"/>
      <w:sz w:val="20"/>
      <w:szCs w:val="20"/>
    </w:rPr>
  </w:style>
  <w:style w:type="paragraph" w:styleId="TOC3">
    <w:name w:val="toc 3"/>
    <w:basedOn w:val="Normal"/>
    <w:next w:val="Normal"/>
    <w:autoRedefine/>
    <w:uiPriority w:val="39"/>
    <w:unhideWhenUsed/>
    <w:qFormat/>
    <w:pPr>
      <w:ind w:left="840" w:leftChars="400"/>
    </w:p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8296"/>
      </w:tabs>
      <w:ind w:firstLine="480"/>
      <w:jc w:val="left"/>
    </w:pPr>
    <w:rPr>
      <w:rFonts w:ascii="宋体" w:eastAsia="宋体" w:hAnsi="宋体"/>
      <w:sz w:val="24"/>
      <w:szCs w:val="24"/>
    </w:rPr>
  </w:style>
  <w:style w:type="paragraph" w:styleId="Subtitle">
    <w:name w:val="Subtitle"/>
    <w:basedOn w:val="Normal"/>
    <w:next w:val="Normal"/>
    <w:link w:val="a2"/>
    <w:autoRedefine/>
    <w:uiPriority w:val="11"/>
    <w:qFormat/>
    <w:pPr>
      <w:numPr>
        <w:ilvl w:val="0"/>
        <w:numId w:val="1"/>
      </w:numPr>
      <w:spacing w:before="240" w:after="60" w:line="312" w:lineRule="auto"/>
      <w:jc w:val="left"/>
      <w:outlineLvl w:val="1"/>
    </w:pPr>
    <w:rPr>
      <w:rFonts w:eastAsia="宋体"/>
      <w:b/>
      <w:bCs/>
      <w:kern w:val="28"/>
      <w:sz w:val="28"/>
      <w:szCs w:val="32"/>
    </w:rPr>
  </w:style>
  <w:style w:type="paragraph" w:styleId="FootnoteText">
    <w:name w:val="footnote text"/>
    <w:basedOn w:val="Normal"/>
    <w:link w:val="a3"/>
    <w:autoRedefine/>
    <w:uiPriority w:val="99"/>
    <w:unhideWhenUsed/>
    <w:qFormat/>
    <w:pPr>
      <w:widowControl/>
      <w:spacing w:line="240" w:lineRule="auto"/>
      <w:ind w:firstLine="0" w:firstLineChars="0"/>
      <w:jc w:val="left"/>
    </w:pPr>
    <w:rPr>
      <w:rFonts w:cs="Times New Roman"/>
      <w:kern w:val="0"/>
      <w:sz w:val="20"/>
      <w:szCs w:val="20"/>
    </w:rPr>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uiPriority w:val="99"/>
    <w:semiHidden/>
    <w:unhideWhenUsed/>
    <w:pPr>
      <w:widowControl/>
      <w:spacing w:before="100" w:beforeAutospacing="1" w:after="100" w:afterAutospacing="1" w:line="240" w:lineRule="auto"/>
      <w:ind w:firstLine="0" w:firstLineChars="0"/>
      <w:jc w:val="left"/>
    </w:pPr>
    <w:rPr>
      <w:rFonts w:ascii="宋体" w:eastAsia="宋体" w:hAnsi="宋体" w:cs="宋体"/>
      <w:kern w:val="0"/>
      <w:sz w:val="24"/>
      <w:szCs w:val="24"/>
    </w:rPr>
  </w:style>
  <w:style w:type="paragraph" w:styleId="Title">
    <w:name w:val="Title"/>
    <w:basedOn w:val="Normal"/>
    <w:next w:val="Normal"/>
    <w:link w:val="a1"/>
    <w:uiPriority w:val="10"/>
    <w:qFormat/>
    <w:pPr>
      <w:numPr>
        <w:ilvl w:val="0"/>
        <w:numId w:val="2"/>
      </w:numPr>
      <w:spacing w:before="240" w:after="60"/>
      <w:jc w:val="center"/>
      <w:outlineLvl w:val="0"/>
    </w:pPr>
    <w:rPr>
      <w:rFonts w:asciiTheme="majorHAnsi" w:eastAsiaTheme="majorEastAsia" w:hAnsiTheme="majorHAnsi" w:cstheme="majorBidi"/>
      <w:b/>
      <w:bCs/>
      <w:sz w:val="32"/>
      <w:szCs w:val="32"/>
    </w:r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autoRedefine/>
    <w:uiPriority w:val="60"/>
    <w:qFormat/>
    <w:rPr>
      <w:rFonts w:asciiTheme="minorHAnsi" w:eastAsiaTheme="minorEastAsia" w:hAnsiTheme="minorHAnsi" w:cstheme="minorBidi"/>
      <w:color w:val="2F5597" w:themeColor="accent1" w:themeShade="BF"/>
      <w:sz w:val="22"/>
      <w:szCs w:val="22"/>
    </w:rPr>
    <w:tblPr>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CF0" w:themeFill="accent1" w:themeFillTint="3F"/>
      </w:tcPr>
    </w:tblStylePr>
    <w:tblStylePr w:type="band1Horz">
      <w:tblPr/>
      <w:tcPr>
        <w:tcBorders>
          <w:left w:val="nil"/>
          <w:right w:val="nil"/>
          <w:insideH w:val="nil"/>
          <w:insideV w:val="nil"/>
        </w:tcBorders>
        <w:shd w:val="clear" w:color="auto" w:fill="D0DCF0" w:themeFill="accent1" w:themeFillTint="3F"/>
      </w:tcPr>
    </w:tblStyle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styleId="ListParagraph">
    <w:name w:val="List Paragraph"/>
    <w:basedOn w:val="Normal"/>
    <w:uiPriority w:val="34"/>
    <w:qFormat/>
    <w:pPr>
      <w:ind w:firstLine="420"/>
    </w:pPr>
  </w:style>
  <w:style w:type="character" w:customStyle="1" w:styleId="1">
    <w:name w:val="标题 1 字符"/>
    <w:basedOn w:val="DefaultParagraphFont"/>
    <w:link w:val="Heading1"/>
    <w:uiPriority w:val="9"/>
    <w:qFormat/>
    <w:rPr>
      <w:rFonts w:eastAsia="黑体" w:asciiTheme="minorHAnsi" w:hAnsiTheme="minorHAnsi" w:cstheme="minorBidi"/>
      <w:b/>
      <w:bCs/>
      <w:kern w:val="44"/>
      <w:sz w:val="30"/>
      <w:szCs w:val="44"/>
    </w:rPr>
  </w:style>
  <w:style w:type="character" w:customStyle="1" w:styleId="a1">
    <w:name w:val="标题 字符"/>
    <w:basedOn w:val="DefaultParagraphFont"/>
    <w:link w:val="Title"/>
    <w:autoRedefine/>
    <w:uiPriority w:val="10"/>
    <w:qFormat/>
    <w:rPr>
      <w:rFonts w:asciiTheme="majorHAnsi" w:eastAsiaTheme="majorEastAsia" w:hAnsiTheme="majorHAnsi" w:cstheme="majorBidi"/>
      <w:b/>
      <w:bCs/>
      <w:kern w:val="2"/>
      <w:sz w:val="32"/>
      <w:szCs w:val="32"/>
    </w:rPr>
  </w:style>
  <w:style w:type="character" w:customStyle="1" w:styleId="a2">
    <w:name w:val="副标题 字符"/>
    <w:basedOn w:val="DefaultParagraphFont"/>
    <w:link w:val="Subtitle"/>
    <w:uiPriority w:val="11"/>
    <w:qFormat/>
    <w:rPr>
      <w:rFonts w:asciiTheme="minorHAnsi" w:hAnsiTheme="minorHAnsi" w:cstheme="minorBidi"/>
      <w:b/>
      <w:bCs/>
      <w:kern w:val="28"/>
      <w:sz w:val="28"/>
      <w:szCs w:val="32"/>
    </w:rPr>
  </w:style>
  <w:style w:type="character" w:customStyle="1" w:styleId="2">
    <w:name w:val="标题 2 字符"/>
    <w:basedOn w:val="DefaultParagraphFont"/>
    <w:link w:val="Heading2"/>
    <w:uiPriority w:val="9"/>
    <w:qFormat/>
    <w:rPr>
      <w:rFonts w:eastAsia="黑体" w:asciiTheme="majorHAnsi" w:hAnsiTheme="majorHAnsi" w:cstheme="majorBidi"/>
      <w:b/>
      <w:bCs/>
      <w:kern w:val="2"/>
      <w:sz w:val="28"/>
      <w:szCs w:val="32"/>
    </w:rPr>
  </w:style>
  <w:style w:type="character" w:customStyle="1" w:styleId="3">
    <w:name w:val="标题 3 字符"/>
    <w:basedOn w:val="DefaultParagraphFont"/>
    <w:link w:val="Heading3"/>
    <w:uiPriority w:val="9"/>
    <w:qFormat/>
    <w:rPr>
      <w:rFonts w:ascii="宋体" w:hAnsi="宋体" w:cstheme="minorBidi"/>
      <w:b/>
      <w:bCs/>
      <w:kern w:val="2"/>
      <w:sz w:val="24"/>
      <w:szCs w:val="24"/>
    </w:rPr>
  </w:style>
  <w:style w:type="paragraph" w:customStyle="1" w:styleId="TOC10">
    <w:name w:val="TOC 标题1"/>
    <w:basedOn w:val="Heading1"/>
    <w:next w:val="Normal"/>
    <w:uiPriority w:val="39"/>
    <w:unhideWhenUsed/>
    <w:qFormat/>
    <w:pPr>
      <w:widowControl/>
      <w:spacing w:before="240" w:line="259" w:lineRule="auto"/>
      <w:ind w:firstLine="0" w:firstLineChars="0"/>
      <w:jc w:val="left"/>
      <w:outlineLvl w:val="9"/>
    </w:pPr>
    <w:rPr>
      <w:rFonts w:asciiTheme="majorHAnsi" w:eastAsiaTheme="majorEastAsia" w:hAnsiTheme="majorHAnsi" w:cstheme="majorBidi"/>
      <w:b w:val="0"/>
      <w:bCs w:val="0"/>
      <w:color w:val="2F5597" w:themeColor="accent1" w:themeShade="BF"/>
      <w:kern w:val="0"/>
      <w:sz w:val="32"/>
      <w:szCs w:val="32"/>
    </w:rPr>
  </w:style>
  <w:style w:type="character" w:customStyle="1" w:styleId="Char">
    <w:name w:val="页眉 Char"/>
    <w:qFormat/>
    <w:rPr>
      <w:kern w:val="2"/>
      <w:sz w:val="18"/>
      <w:szCs w:val="18"/>
    </w:rPr>
  </w:style>
  <w:style w:type="table" w:customStyle="1" w:styleId="31">
    <w:name w:val="无格式表格 31"/>
    <w:basedOn w:val="TableNormal"/>
    <w:uiPriority w:val="43"/>
    <w:qFormat/>
    <w:tblPr/>
    <w:tblStylePr w:type="firstRow">
      <w:rPr>
        <w:b/>
        <w:bCs/>
        <w:caps/>
      </w:rPr>
      <w:tblPr/>
      <w:tcPr>
        <w:tcBorders>
          <w:bottom w:val="single" w:sz="4" w:space="0" w:color="7E7E7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E7E7E" w:themeColor="text1" w:themeTint="80"/>
        </w:tcBorders>
      </w:tcPr>
    </w:tblStylePr>
    <w:tblStylePr w:type="lastCol">
      <w:rPr>
        <w:b/>
        <w:bCs/>
        <w:caps/>
      </w:rPr>
      <w:tblPr/>
      <w:tcPr>
        <w:tcBorders>
          <w:left w:val="nil"/>
        </w:tcBorders>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11">
    <w:name w:val="无格式表格 11"/>
    <w:basedOn w:val="TableNormal"/>
    <w:uiPriority w:val="41"/>
    <w:qFormat/>
    <w:tblPr>
      <w:tblBorders>
        <w:top w:val="single" w:sz="4" w:space="0" w:color="80C588" w:themeColor="background1" w:themeShade="BF"/>
        <w:left w:val="single" w:sz="4" w:space="0" w:color="80C588" w:themeColor="background1" w:themeShade="BF"/>
        <w:bottom w:val="single" w:sz="4" w:space="0" w:color="80C588" w:themeColor="background1" w:themeShade="BF"/>
        <w:right w:val="single" w:sz="4" w:space="0" w:color="80C588" w:themeColor="background1" w:themeShade="BF"/>
        <w:insideH w:val="single" w:sz="4" w:space="0" w:color="80C588" w:themeColor="background1" w:themeShade="BF"/>
        <w:insideV w:val="single" w:sz="4" w:space="0" w:color="80C588" w:themeColor="background1" w:themeShade="BF"/>
      </w:tblBorders>
    </w:tblPr>
    <w:tblStylePr w:type="firstRow">
      <w:rPr>
        <w:b/>
        <w:bCs/>
      </w:rPr>
    </w:tblStylePr>
    <w:tblStylePr w:type="lastRow">
      <w:rPr>
        <w:b/>
        <w:bCs/>
      </w:rPr>
      <w:tblPr/>
      <w:tcPr>
        <w:tcBorders>
          <w:top w:val="double" w:sz="4" w:space="0" w:color="80C588" w:themeColor="background1" w:themeShade="BF"/>
        </w:tcBorders>
      </w:tc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table" w:customStyle="1" w:styleId="21">
    <w:name w:val="无格式表格 21"/>
    <w:basedOn w:val="TableNormal"/>
    <w:uiPriority w:val="42"/>
    <w:qFormat/>
    <w:tblPr>
      <w:tblBorders>
        <w:top w:val="single" w:sz="4" w:space="0" w:color="7E7E7E" w:themeColor="text1" w:themeTint="80"/>
        <w:bottom w:val="single" w:sz="4" w:space="0" w:color="7E7E7E" w:themeColor="text1" w:themeTint="80"/>
      </w:tblBorders>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 w:type="paragraph" w:customStyle="1" w:styleId="DecimalAligned">
    <w:name w:val="Decimal Aligned"/>
    <w:basedOn w:val="Normal"/>
    <w:uiPriority w:val="40"/>
    <w:qFormat/>
    <w:pPr>
      <w:widowControl/>
      <w:tabs>
        <w:tab w:val="decimal" w:pos="360"/>
      </w:tabs>
      <w:spacing w:after="200" w:line="276" w:lineRule="auto"/>
      <w:ind w:firstLine="0" w:firstLineChars="0"/>
      <w:jc w:val="left"/>
    </w:pPr>
    <w:rPr>
      <w:rFonts w:cs="Times New Roman"/>
      <w:kern w:val="0"/>
      <w:sz w:val="22"/>
    </w:rPr>
  </w:style>
  <w:style w:type="character" w:customStyle="1" w:styleId="a3">
    <w:name w:val="脚注文本 字符"/>
    <w:basedOn w:val="DefaultParagraphFont"/>
    <w:link w:val="FootnoteText"/>
    <w:uiPriority w:val="99"/>
    <w:rPr>
      <w:rFonts w:asciiTheme="minorHAnsi" w:eastAsiaTheme="minorEastAsia" w:hAnsiTheme="minorHAnsi"/>
    </w:rPr>
  </w:style>
  <w:style w:type="character" w:customStyle="1" w:styleId="10">
    <w:name w:val="不明显强调1"/>
    <w:basedOn w:val="DefaultParagraphFont"/>
    <w:uiPriority w:val="19"/>
    <w:qFormat/>
    <w:rPr>
      <w:i/>
      <w:iCs/>
    </w:rPr>
  </w:style>
  <w:style w:type="character" w:customStyle="1" w:styleId="12">
    <w:name w:val="未处理的提及1"/>
    <w:basedOn w:val="DefaultParagraphFont"/>
    <w:autoRedefine/>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yperlink" Target="https://d.book118.com/385030333004011111" TargetMode="External" /><Relationship Id="rId33" Type="http://schemas.openxmlformats.org/officeDocument/2006/relationships/header" Target="header13.xml" /><Relationship Id="rId34" Type="http://schemas.openxmlformats.org/officeDocument/2006/relationships/header" Target="header14.xml" /><Relationship Id="rId35" Type="http://schemas.openxmlformats.org/officeDocument/2006/relationships/footer" Target="footer13.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theme" Target="theme/theme1.xml" /><Relationship Id="rId4" Type="http://schemas.openxmlformats.org/officeDocument/2006/relationships/webSettings" Target="webSettings.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82278A-A31A-40CA-8B51-B5591A09BF9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2894</Words>
  <Characters>16502</Characters>
  <Application>Microsoft Office Word</Application>
  <DocSecurity>0</DocSecurity>
  <Lines>137</Lines>
  <Paragraphs>38</Paragraphs>
  <ScaleCrop>false</ScaleCrop>
  <Company/>
  <LinksUpToDate>false</LinksUpToDate>
  <CharactersWithSpaces>19358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纯纯 胡</dc:creator>
  <cp:lastModifiedBy>ABEEL</cp:lastModifiedBy>
  <cp:revision>11</cp:revision>
  <dcterms:created xsi:type="dcterms:W3CDTF">2021-04-26T02:03:00Z</dcterms:created>
  <dcterms:modified xsi:type="dcterms:W3CDTF">2024-02-20T03:47:12Z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9B3D9DB327984A8EB7ADB35FBF0E2E73_13</vt:lpwstr>
  </property>
  <property fmtid="{D5CDD505-2E9C-101B-9397-08002B2CF9AE}" pid="3" name="KSOProductBuildVer">
    <vt:lpwstr>2052-12.1.0.16388</vt:lpwstr>
  </property>
</Properties>
</file>