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640"/>
        <w:jc w:val="center"/>
        <w:rPr>
          <w:rFonts w:eastAsia="黑体" w:hint="eastAsia"/>
          <w:b/>
          <w:bCs/>
          <w:color w:val="auto"/>
          <w:sz w:val="44"/>
          <w:szCs w:val="36"/>
        </w:rPr>
      </w:pPr>
      <w:r>
        <w:rPr>
          <w:rStyle w:val="Hyperlink"/>
          <w:rFonts w:eastAsia="黑体" w:hint="eastAsia"/>
          <w:b/>
          <w:bCs/>
          <w:color w:val="auto"/>
          <w:sz w:val="28"/>
          <w:szCs w:val="36"/>
        </w:rPr>
        <w:t>上海现行互联网</w:t>
      </w:r>
      <w:r>
        <w:rPr>
          <w:rStyle w:val="Hyperlink"/>
          <w:rFonts w:eastAsia="黑体"/>
          <w:b/>
          <w:bCs/>
          <w:color w:val="auto"/>
          <w:sz w:val="28"/>
          <w:szCs w:val="36"/>
        </w:rPr>
        <w:t>+</w:t>
      </w:r>
      <w:r>
        <w:rPr>
          <w:rStyle w:val="Hyperlink"/>
          <w:rFonts w:eastAsia="黑体" w:hint="eastAsia"/>
          <w:b/>
          <w:bCs/>
          <w:color w:val="auto"/>
          <w:sz w:val="28"/>
          <w:szCs w:val="36"/>
        </w:rPr>
        <w:t>背景下养老服务机制</w:t>
      </w:r>
      <w:r>
        <w:rPr>
          <w:rStyle w:val="Hyperlink"/>
          <w:rFonts w:eastAsia="黑体" w:hint="eastAsia"/>
          <w:b/>
          <w:bCs/>
          <w:color w:val="auto"/>
          <w:sz w:val="28"/>
          <w:szCs w:val="36"/>
          <w:lang w:eastAsia="zh-CN"/>
        </w:rPr>
        <w:t>问题及完善对策研究</w:t>
      </w:r>
    </w:p>
    <w:p>
      <w:pPr>
        <w:pStyle w:val="Heading1"/>
        <w:spacing w:before="0" w:after="0" w:line="360" w:lineRule="auto"/>
        <w:jc w:val="center"/>
        <w:rPr>
          <w:rFonts w:eastAsia="黑体"/>
          <w:b w:val="0"/>
          <w:color w:val="auto"/>
          <w:sz w:val="32"/>
        </w:rPr>
      </w:pPr>
      <w:bookmarkStart w:id="0" w:name="_Toc70859655"/>
      <w:r>
        <w:rPr>
          <w:rFonts w:eastAsia="黑体" w:hint="eastAsia"/>
          <w:b w:val="0"/>
          <w:color w:val="auto"/>
          <w:sz w:val="32"/>
        </w:rPr>
        <w:t>摘要</w:t>
      </w:r>
      <w:bookmarkEnd w:id="0"/>
    </w:p>
    <w:p>
      <w:pPr>
        <w:spacing w:line="360" w:lineRule="auto"/>
        <w:jc w:val="center"/>
        <w:rPr>
          <w:rFonts w:ascii="黑体" w:eastAsia="黑体" w:hAnsi="黑体"/>
          <w:color w:val="auto"/>
          <w:sz w:val="32"/>
        </w:rPr>
      </w:pPr>
      <w:r>
        <w:rPr>
          <w:rFonts w:ascii="黑体" w:eastAsia="黑体" w:hAnsi="黑体" w:hint="eastAsia"/>
          <w:color w:val="auto"/>
          <w:sz w:val="32"/>
        </w:rPr>
        <w:t>目</w:t>
      </w:r>
      <w:r>
        <w:rPr>
          <w:rFonts w:ascii="黑体" w:eastAsia="黑体" w:hAnsi="黑体"/>
          <w:color w:val="auto"/>
          <w:sz w:val="32"/>
        </w:rPr>
        <w:t xml:space="preserve">  </w:t>
      </w:r>
      <w:r>
        <w:rPr>
          <w:rFonts w:ascii="黑体" w:eastAsia="黑体" w:hAnsi="黑体" w:hint="eastAsia"/>
          <w:color w:val="auto"/>
          <w:sz w:val="32"/>
        </w:rPr>
        <w:t>录</w:t>
      </w:r>
    </w:p>
    <w:p>
      <w:pPr>
        <w:pStyle w:val="TOC1"/>
        <w:tabs>
          <w:tab w:val="right" w:leader="dot" w:pos="8296"/>
        </w:tabs>
        <w:rPr>
          <w:rFonts w:ascii="Calibri" w:eastAsia="宋体" w:hAnsi="Calibri" w:cs="宋体"/>
          <w:color w:val="auto"/>
          <w:sz w:val="21"/>
          <w:szCs w:val="22"/>
        </w:rPr>
      </w:pPr>
      <w:r>
        <w:rPr>
          <w:rFonts w:ascii="宋体" w:hAnsi="宋体"/>
          <w:color w:val="auto"/>
        </w:rPr>
        <w:fldChar w:fldCharType="begin"/>
      </w:r>
      <w:r>
        <w:rPr>
          <w:rFonts w:ascii="宋体" w:hAnsi="宋体"/>
          <w:color w:val="auto"/>
        </w:rPr>
        <w:instrText xml:space="preserve"> </w:instrText>
      </w:r>
      <w:r>
        <w:rPr>
          <w:rFonts w:ascii="宋体" w:hAnsi="宋体" w:hint="eastAsia"/>
          <w:color w:val="auto"/>
        </w:rPr>
        <w:instrText>TOC \o "1-3" \h \z \u</w:instrText>
      </w:r>
      <w:r>
        <w:rPr>
          <w:rFonts w:ascii="宋体" w:hAnsi="宋体"/>
          <w:color w:val="auto"/>
        </w:rPr>
        <w:instrText xml:space="preserve"> </w:instrText>
      </w:r>
      <w:r>
        <w:rPr>
          <w:rFonts w:ascii="宋体" w:hAnsi="宋体"/>
          <w:color w:val="auto"/>
        </w:rPr>
        <w:fldChar w:fldCharType="separate"/>
      </w:r>
      <w:hyperlink w:anchor="_Toc70859655" w:history="1">
        <w:r>
          <w:rPr>
            <w:rStyle w:val="Hyperlink"/>
            <w:rFonts w:eastAsia="黑体" w:hint="eastAsia"/>
            <w:color w:val="auto"/>
          </w:rPr>
          <w:t>摘要</w:t>
        </w:r>
        <w:r>
          <w:rPr>
            <w:color w:val="auto"/>
          </w:rPr>
          <w:tab/>
        </w:r>
        <w:r>
          <w:rPr>
            <w:color w:val="auto"/>
          </w:rPr>
          <w:fldChar w:fldCharType="begin"/>
        </w:r>
        <w:r>
          <w:rPr>
            <w:color w:val="auto"/>
          </w:rPr>
          <w:instrText xml:space="preserve"> PAGEREF _Toc70859655 \h </w:instrText>
        </w:r>
        <w:r>
          <w:rPr>
            <w:color w:val="auto"/>
          </w:rPr>
          <w:fldChar w:fldCharType="separate"/>
        </w:r>
        <w:r>
          <w:rPr>
            <w:color w:val="auto"/>
          </w:rPr>
          <w:t>I</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57" w:history="1">
        <w:r>
          <w:rPr>
            <w:rStyle w:val="Hyperlink"/>
            <w:rFonts w:eastAsia="黑体" w:hint="eastAsia"/>
            <w:color w:val="auto"/>
          </w:rPr>
          <w:t>第一章</w:t>
        </w:r>
        <w:r>
          <w:rPr>
            <w:rStyle w:val="Hyperlink"/>
            <w:rFonts w:eastAsia="黑体"/>
            <w:color w:val="auto"/>
          </w:rPr>
          <w:t xml:space="preserve"> </w:t>
        </w:r>
        <w:r>
          <w:rPr>
            <w:rStyle w:val="Hyperlink"/>
            <w:rFonts w:eastAsia="黑体" w:hint="eastAsia"/>
            <w:color w:val="auto"/>
          </w:rPr>
          <w:t>绪论</w:t>
        </w:r>
        <w:r>
          <w:rPr>
            <w:color w:val="auto"/>
          </w:rPr>
          <w:tab/>
        </w:r>
        <w:r>
          <w:rPr>
            <w:color w:val="auto"/>
          </w:rPr>
          <w:fldChar w:fldCharType="begin"/>
        </w:r>
        <w:r>
          <w:rPr>
            <w:color w:val="auto"/>
          </w:rPr>
          <w:instrText xml:space="preserve"> PAGEREF _Toc70859657 \h </w:instrText>
        </w:r>
        <w:r>
          <w:rPr>
            <w:color w:val="auto"/>
          </w:rPr>
          <w:fldChar w:fldCharType="separate"/>
        </w:r>
        <w:r>
          <w:rPr>
            <w:color w:val="auto"/>
          </w:rPr>
          <w:t>1</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58" w:history="1">
        <w:r>
          <w:rPr>
            <w:rStyle w:val="Hyperlink"/>
            <w:rFonts w:eastAsia="黑体" w:hint="eastAsia"/>
            <w:color w:val="auto"/>
          </w:rPr>
          <w:t>一、研究背景及意义</w:t>
        </w:r>
        <w:r>
          <w:rPr>
            <w:color w:val="auto"/>
          </w:rPr>
          <w:tab/>
        </w:r>
        <w:r>
          <w:rPr>
            <w:color w:val="auto"/>
          </w:rPr>
          <w:fldChar w:fldCharType="begin"/>
        </w:r>
        <w:r>
          <w:rPr>
            <w:color w:val="auto"/>
          </w:rPr>
          <w:instrText xml:space="preserve"> PAGEREF _Toc70859658 \h </w:instrText>
        </w:r>
        <w:r>
          <w:rPr>
            <w:color w:val="auto"/>
          </w:rPr>
          <w:fldChar w:fldCharType="separate"/>
        </w:r>
        <w:r>
          <w:rPr>
            <w:color w:val="auto"/>
          </w:rPr>
          <w:t>1</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59" w:history="1">
        <w:r>
          <w:rPr>
            <w:rStyle w:val="Hyperlink"/>
            <w:rFonts w:eastAsia="黑体"/>
            <w:color w:val="auto"/>
          </w:rPr>
          <w:t>1</w:t>
        </w:r>
        <w:r>
          <w:rPr>
            <w:rStyle w:val="Hyperlink"/>
            <w:rFonts w:eastAsia="黑体" w:hint="eastAsia"/>
            <w:color w:val="auto"/>
          </w:rPr>
          <w:t>、研究背景</w:t>
        </w:r>
        <w:r>
          <w:rPr>
            <w:color w:val="auto"/>
          </w:rPr>
          <w:tab/>
        </w:r>
        <w:r>
          <w:rPr>
            <w:color w:val="auto"/>
          </w:rPr>
          <w:fldChar w:fldCharType="begin"/>
        </w:r>
        <w:r>
          <w:rPr>
            <w:color w:val="auto"/>
          </w:rPr>
          <w:instrText xml:space="preserve"> PAGEREF _Toc70859659 \h </w:instrText>
        </w:r>
        <w:r>
          <w:rPr>
            <w:color w:val="auto"/>
          </w:rPr>
          <w:fldChar w:fldCharType="separate"/>
        </w:r>
        <w:r>
          <w:rPr>
            <w:color w:val="auto"/>
          </w:rPr>
          <w:t>1</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60" w:history="1">
        <w:r>
          <w:rPr>
            <w:rStyle w:val="Hyperlink"/>
            <w:rFonts w:eastAsia="黑体"/>
            <w:color w:val="auto"/>
          </w:rPr>
          <w:t>2</w:t>
        </w:r>
        <w:r>
          <w:rPr>
            <w:rStyle w:val="Hyperlink"/>
            <w:rFonts w:eastAsia="黑体" w:hint="eastAsia"/>
            <w:color w:val="auto"/>
          </w:rPr>
          <w:t>、研究意义</w:t>
        </w:r>
        <w:r>
          <w:rPr>
            <w:color w:val="auto"/>
          </w:rPr>
          <w:tab/>
        </w:r>
        <w:r>
          <w:rPr>
            <w:color w:val="auto"/>
          </w:rPr>
          <w:fldChar w:fldCharType="begin"/>
        </w:r>
        <w:r>
          <w:rPr>
            <w:color w:val="auto"/>
          </w:rPr>
          <w:instrText xml:space="preserve"> PAGEREF _Toc70859660 \h </w:instrText>
        </w:r>
        <w:r>
          <w:rPr>
            <w:color w:val="auto"/>
          </w:rPr>
          <w:fldChar w:fldCharType="separate"/>
        </w:r>
        <w:r>
          <w:rPr>
            <w:color w:val="auto"/>
          </w:rPr>
          <w:t>1</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61" w:history="1">
        <w:r>
          <w:rPr>
            <w:rStyle w:val="Hyperlink"/>
            <w:rFonts w:eastAsia="黑体" w:hint="eastAsia"/>
            <w:color w:val="auto"/>
          </w:rPr>
          <w:t>二、研究思路及方法</w:t>
        </w:r>
        <w:r>
          <w:rPr>
            <w:color w:val="auto"/>
          </w:rPr>
          <w:tab/>
        </w:r>
        <w:r>
          <w:rPr>
            <w:color w:val="auto"/>
          </w:rPr>
          <w:fldChar w:fldCharType="begin"/>
        </w:r>
        <w:r>
          <w:rPr>
            <w:color w:val="auto"/>
          </w:rPr>
          <w:instrText xml:space="preserve"> PAGEREF _Toc70859661 \h </w:instrText>
        </w:r>
        <w:r>
          <w:rPr>
            <w:color w:val="auto"/>
          </w:rPr>
          <w:fldChar w:fldCharType="separate"/>
        </w:r>
        <w:r>
          <w:rPr>
            <w:color w:val="auto"/>
          </w:rPr>
          <w:t>2</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62" w:history="1">
        <w:r>
          <w:rPr>
            <w:rStyle w:val="Hyperlink"/>
            <w:rFonts w:eastAsia="黑体" w:hint="eastAsia"/>
            <w:color w:val="auto"/>
          </w:rPr>
          <w:t>第二章</w:t>
        </w:r>
        <w:r>
          <w:rPr>
            <w:rStyle w:val="Hyperlink"/>
            <w:rFonts w:eastAsia="黑体"/>
            <w:color w:val="auto"/>
          </w:rPr>
          <w:t xml:space="preserve"> </w:t>
        </w:r>
        <w:r>
          <w:rPr>
            <w:rStyle w:val="Hyperlink"/>
            <w:rFonts w:eastAsia="黑体" w:hint="eastAsia"/>
            <w:color w:val="auto"/>
          </w:rPr>
          <w:t>互联网</w:t>
        </w:r>
        <w:r>
          <w:rPr>
            <w:rStyle w:val="Hyperlink"/>
            <w:rFonts w:eastAsia="黑体"/>
            <w:color w:val="auto"/>
          </w:rPr>
          <w:t>+</w:t>
        </w:r>
        <w:r>
          <w:rPr>
            <w:rStyle w:val="Hyperlink"/>
            <w:rFonts w:eastAsia="黑体" w:hint="eastAsia"/>
            <w:color w:val="auto"/>
          </w:rPr>
          <w:t>背景下养老服务的理论诠释</w:t>
        </w:r>
        <w:r>
          <w:rPr>
            <w:color w:val="auto"/>
          </w:rPr>
          <w:tab/>
        </w:r>
        <w:r>
          <w:rPr>
            <w:color w:val="auto"/>
          </w:rPr>
          <w:fldChar w:fldCharType="begin"/>
        </w:r>
        <w:r>
          <w:rPr>
            <w:color w:val="auto"/>
          </w:rPr>
          <w:instrText xml:space="preserve"> PAGEREF _Toc70859662 \h </w:instrText>
        </w:r>
        <w:r>
          <w:rPr>
            <w:color w:val="auto"/>
          </w:rPr>
          <w:fldChar w:fldCharType="separate"/>
        </w:r>
        <w:r>
          <w:rPr>
            <w:color w:val="auto"/>
          </w:rPr>
          <w:t>3</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63" w:history="1">
        <w:r>
          <w:rPr>
            <w:rStyle w:val="Hyperlink"/>
            <w:rFonts w:eastAsia="黑体" w:hint="eastAsia"/>
            <w:color w:val="auto"/>
          </w:rPr>
          <w:t>一、相关概念界定</w:t>
        </w:r>
        <w:r>
          <w:rPr>
            <w:color w:val="auto"/>
          </w:rPr>
          <w:tab/>
        </w:r>
        <w:r>
          <w:rPr>
            <w:color w:val="auto"/>
          </w:rPr>
          <w:fldChar w:fldCharType="begin"/>
        </w:r>
        <w:r>
          <w:rPr>
            <w:color w:val="auto"/>
          </w:rPr>
          <w:instrText xml:space="preserve"> PAGEREF _Toc70859663 \h </w:instrText>
        </w:r>
        <w:r>
          <w:rPr>
            <w:color w:val="auto"/>
          </w:rPr>
          <w:fldChar w:fldCharType="separate"/>
        </w:r>
        <w:r>
          <w:rPr>
            <w:color w:val="auto"/>
          </w:rPr>
          <w:t>3</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64" w:history="1">
        <w:r>
          <w:rPr>
            <w:rStyle w:val="Hyperlink"/>
            <w:rFonts w:eastAsia="黑体"/>
            <w:color w:val="auto"/>
          </w:rPr>
          <w:t>1</w:t>
        </w:r>
        <w:r>
          <w:rPr>
            <w:rStyle w:val="Hyperlink"/>
            <w:rFonts w:eastAsia="黑体" w:hint="eastAsia"/>
            <w:color w:val="auto"/>
          </w:rPr>
          <w:t>、“互联网</w:t>
        </w:r>
        <w:r>
          <w:rPr>
            <w:rStyle w:val="Hyperlink"/>
            <w:rFonts w:eastAsia="黑体"/>
            <w:color w:val="auto"/>
          </w:rPr>
          <w:t>+</w:t>
        </w:r>
        <w:r>
          <w:rPr>
            <w:rStyle w:val="Hyperlink"/>
            <w:rFonts w:eastAsia="黑体" w:hint="eastAsia"/>
            <w:color w:val="auto"/>
          </w:rPr>
          <w:t>”的概念</w:t>
        </w:r>
        <w:r>
          <w:rPr>
            <w:color w:val="auto"/>
          </w:rPr>
          <w:tab/>
        </w:r>
        <w:r>
          <w:rPr>
            <w:color w:val="auto"/>
          </w:rPr>
          <w:fldChar w:fldCharType="begin"/>
        </w:r>
        <w:r>
          <w:rPr>
            <w:color w:val="auto"/>
          </w:rPr>
          <w:instrText xml:space="preserve"> PAGEREF _Toc70859664 \h </w:instrText>
        </w:r>
        <w:r>
          <w:rPr>
            <w:color w:val="auto"/>
          </w:rPr>
          <w:fldChar w:fldCharType="separate"/>
        </w:r>
        <w:r>
          <w:rPr>
            <w:color w:val="auto"/>
          </w:rPr>
          <w:t>3</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65" w:history="1">
        <w:r>
          <w:rPr>
            <w:rStyle w:val="Hyperlink"/>
            <w:rFonts w:eastAsia="黑体"/>
            <w:color w:val="auto"/>
          </w:rPr>
          <w:t>2</w:t>
        </w:r>
        <w:r>
          <w:rPr>
            <w:rStyle w:val="Hyperlink"/>
            <w:rFonts w:eastAsia="黑体" w:hint="eastAsia"/>
            <w:color w:val="auto"/>
          </w:rPr>
          <w:t>、虚拟养老模式概念解析</w:t>
        </w:r>
        <w:r>
          <w:rPr>
            <w:color w:val="auto"/>
          </w:rPr>
          <w:tab/>
        </w:r>
        <w:r>
          <w:rPr>
            <w:color w:val="auto"/>
          </w:rPr>
          <w:fldChar w:fldCharType="begin"/>
        </w:r>
        <w:r>
          <w:rPr>
            <w:color w:val="auto"/>
          </w:rPr>
          <w:instrText xml:space="preserve"> PAGEREF _Toc70859665 \h </w:instrText>
        </w:r>
        <w:r>
          <w:rPr>
            <w:color w:val="auto"/>
          </w:rPr>
          <w:fldChar w:fldCharType="separate"/>
        </w:r>
        <w:r>
          <w:rPr>
            <w:color w:val="auto"/>
          </w:rPr>
          <w:t>3</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66" w:history="1">
        <w:r>
          <w:rPr>
            <w:rStyle w:val="Hyperlink"/>
            <w:rFonts w:eastAsia="黑体" w:hint="eastAsia"/>
            <w:color w:val="auto"/>
          </w:rPr>
          <w:t>二、理论基础</w:t>
        </w:r>
        <w:r>
          <w:rPr>
            <w:color w:val="auto"/>
          </w:rPr>
          <w:tab/>
        </w:r>
        <w:r>
          <w:rPr>
            <w:color w:val="auto"/>
          </w:rPr>
          <w:fldChar w:fldCharType="begin"/>
        </w:r>
        <w:r>
          <w:rPr>
            <w:color w:val="auto"/>
          </w:rPr>
          <w:instrText xml:space="preserve"> PAGEREF _Toc70859666 \h </w:instrText>
        </w:r>
        <w:r>
          <w:rPr>
            <w:color w:val="auto"/>
          </w:rPr>
          <w:fldChar w:fldCharType="separate"/>
        </w:r>
        <w:r>
          <w:rPr>
            <w:color w:val="auto"/>
          </w:rPr>
          <w:t>4</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67" w:history="1">
        <w:r>
          <w:rPr>
            <w:rStyle w:val="Hyperlink"/>
            <w:rFonts w:eastAsia="黑体"/>
            <w:color w:val="auto"/>
          </w:rPr>
          <w:t>1</w:t>
        </w:r>
        <w:r>
          <w:rPr>
            <w:rStyle w:val="Hyperlink"/>
            <w:rFonts w:eastAsia="黑体" w:hint="eastAsia"/>
            <w:color w:val="auto"/>
          </w:rPr>
          <w:t>、福利多元主义</w:t>
        </w:r>
        <w:r>
          <w:rPr>
            <w:color w:val="auto"/>
          </w:rPr>
          <w:tab/>
        </w:r>
        <w:r>
          <w:rPr>
            <w:color w:val="auto"/>
          </w:rPr>
          <w:fldChar w:fldCharType="begin"/>
        </w:r>
        <w:r>
          <w:rPr>
            <w:color w:val="auto"/>
          </w:rPr>
          <w:instrText xml:space="preserve"> PAGEREF _Toc70859667 \h </w:instrText>
        </w:r>
        <w:r>
          <w:rPr>
            <w:color w:val="auto"/>
          </w:rPr>
          <w:fldChar w:fldCharType="separate"/>
        </w:r>
        <w:r>
          <w:rPr>
            <w:color w:val="auto"/>
          </w:rPr>
          <w:t>4</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68" w:history="1">
        <w:r>
          <w:rPr>
            <w:rStyle w:val="Hyperlink"/>
            <w:rFonts w:eastAsia="黑体"/>
            <w:color w:val="auto"/>
          </w:rPr>
          <w:t>2</w:t>
        </w:r>
        <w:r>
          <w:rPr>
            <w:rStyle w:val="Hyperlink"/>
            <w:rFonts w:eastAsia="黑体" w:hint="eastAsia"/>
            <w:color w:val="auto"/>
          </w:rPr>
          <w:t>、马斯洛需求层次理论</w:t>
        </w:r>
        <w:r>
          <w:rPr>
            <w:color w:val="auto"/>
          </w:rPr>
          <w:tab/>
        </w:r>
        <w:r>
          <w:rPr>
            <w:color w:val="auto"/>
          </w:rPr>
          <w:fldChar w:fldCharType="begin"/>
        </w:r>
        <w:r>
          <w:rPr>
            <w:color w:val="auto"/>
          </w:rPr>
          <w:instrText xml:space="preserve"> PAGEREF _Toc70859668 \h </w:instrText>
        </w:r>
        <w:r>
          <w:rPr>
            <w:color w:val="auto"/>
          </w:rPr>
          <w:fldChar w:fldCharType="separate"/>
        </w:r>
        <w:r>
          <w:rPr>
            <w:color w:val="auto"/>
          </w:rPr>
          <w:t>4</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69" w:history="1">
        <w:r>
          <w:rPr>
            <w:rStyle w:val="Hyperlink"/>
            <w:rFonts w:eastAsia="黑体" w:hint="eastAsia"/>
            <w:color w:val="auto"/>
          </w:rPr>
          <w:t>第三章</w:t>
        </w:r>
        <w:r>
          <w:rPr>
            <w:rStyle w:val="Hyperlink"/>
            <w:rFonts w:eastAsia="黑体"/>
            <w:color w:val="auto"/>
          </w:rPr>
          <w:t xml:space="preserve"> </w:t>
        </w:r>
        <w:r>
          <w:rPr>
            <w:rStyle w:val="Hyperlink"/>
            <w:rFonts w:eastAsia="黑体" w:hint="eastAsia"/>
            <w:color w:val="auto"/>
          </w:rPr>
          <w:t>上海现行互联网</w:t>
        </w:r>
        <w:r>
          <w:rPr>
            <w:rStyle w:val="Hyperlink"/>
            <w:rFonts w:eastAsia="黑体"/>
            <w:color w:val="auto"/>
          </w:rPr>
          <w:t>+</w:t>
        </w:r>
        <w:r>
          <w:rPr>
            <w:rStyle w:val="Hyperlink"/>
            <w:rFonts w:eastAsia="黑体" w:hint="eastAsia"/>
            <w:color w:val="auto"/>
          </w:rPr>
          <w:t>背景下养老服务机制的分析</w:t>
        </w:r>
        <w:r>
          <w:rPr>
            <w:color w:val="auto"/>
          </w:rPr>
          <w:tab/>
        </w:r>
        <w:r>
          <w:rPr>
            <w:color w:val="auto"/>
          </w:rPr>
          <w:fldChar w:fldCharType="begin"/>
        </w:r>
        <w:r>
          <w:rPr>
            <w:color w:val="auto"/>
          </w:rPr>
          <w:instrText xml:space="preserve"> PAGEREF _Toc70859669 \h </w:instrText>
        </w:r>
        <w:r>
          <w:rPr>
            <w:color w:val="auto"/>
          </w:rPr>
          <w:fldChar w:fldCharType="separate"/>
        </w:r>
        <w:r>
          <w:rPr>
            <w:color w:val="auto"/>
          </w:rPr>
          <w:t>4</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70" w:history="1">
        <w:r>
          <w:rPr>
            <w:rStyle w:val="Hyperlink"/>
            <w:rFonts w:eastAsia="黑体" w:hint="eastAsia"/>
            <w:color w:val="auto"/>
          </w:rPr>
          <w:t>一、虚拟养老院的需求及认可度调查</w:t>
        </w:r>
        <w:r>
          <w:rPr>
            <w:color w:val="auto"/>
          </w:rPr>
          <w:tab/>
        </w:r>
        <w:r>
          <w:rPr>
            <w:color w:val="auto"/>
          </w:rPr>
          <w:fldChar w:fldCharType="begin"/>
        </w:r>
        <w:r>
          <w:rPr>
            <w:color w:val="auto"/>
          </w:rPr>
          <w:instrText xml:space="preserve"> PAGEREF _Toc70859670 \h </w:instrText>
        </w:r>
        <w:r>
          <w:rPr>
            <w:color w:val="auto"/>
          </w:rPr>
          <w:fldChar w:fldCharType="separate"/>
        </w:r>
        <w:r>
          <w:rPr>
            <w:color w:val="auto"/>
          </w:rPr>
          <w:t>5</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1" w:history="1">
        <w:r>
          <w:rPr>
            <w:rStyle w:val="Hyperlink"/>
            <w:rFonts w:eastAsia="黑体"/>
            <w:color w:val="auto"/>
          </w:rPr>
          <w:t>1</w:t>
        </w:r>
        <w:r>
          <w:rPr>
            <w:rStyle w:val="Hyperlink"/>
            <w:rFonts w:eastAsia="黑体" w:hint="eastAsia"/>
            <w:color w:val="auto"/>
          </w:rPr>
          <w:t>、调查对象基本情况</w:t>
        </w:r>
        <w:r>
          <w:rPr>
            <w:color w:val="auto"/>
          </w:rPr>
          <w:tab/>
        </w:r>
        <w:r>
          <w:rPr>
            <w:color w:val="auto"/>
          </w:rPr>
          <w:fldChar w:fldCharType="begin"/>
        </w:r>
        <w:r>
          <w:rPr>
            <w:color w:val="auto"/>
          </w:rPr>
          <w:instrText xml:space="preserve"> PAGEREF _Toc70859671 \h </w:instrText>
        </w:r>
        <w:r>
          <w:rPr>
            <w:color w:val="auto"/>
          </w:rPr>
          <w:fldChar w:fldCharType="separate"/>
        </w:r>
        <w:r>
          <w:rPr>
            <w:color w:val="auto"/>
          </w:rPr>
          <w:t>5</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2" w:history="1">
        <w:r>
          <w:rPr>
            <w:rStyle w:val="Hyperlink"/>
            <w:rFonts w:eastAsia="黑体"/>
            <w:color w:val="auto"/>
          </w:rPr>
          <w:t>2</w:t>
        </w:r>
        <w:r>
          <w:rPr>
            <w:rStyle w:val="Hyperlink"/>
            <w:rFonts w:eastAsia="黑体" w:hint="eastAsia"/>
            <w:color w:val="auto"/>
          </w:rPr>
          <w:t>、老人养老现状</w:t>
        </w:r>
        <w:r>
          <w:rPr>
            <w:color w:val="auto"/>
          </w:rPr>
          <w:tab/>
        </w:r>
        <w:r>
          <w:rPr>
            <w:color w:val="auto"/>
          </w:rPr>
          <w:fldChar w:fldCharType="begin"/>
        </w:r>
        <w:r>
          <w:rPr>
            <w:color w:val="auto"/>
          </w:rPr>
          <w:instrText xml:space="preserve"> PAGEREF _Toc70859672 \h </w:instrText>
        </w:r>
        <w:r>
          <w:rPr>
            <w:color w:val="auto"/>
          </w:rPr>
          <w:fldChar w:fldCharType="separate"/>
        </w:r>
        <w:r>
          <w:rPr>
            <w:color w:val="auto"/>
          </w:rPr>
          <w:t>10</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3" w:history="1">
        <w:r>
          <w:rPr>
            <w:rStyle w:val="Hyperlink"/>
            <w:rFonts w:eastAsia="黑体"/>
            <w:color w:val="auto"/>
          </w:rPr>
          <w:t>3</w:t>
        </w:r>
        <w:r>
          <w:rPr>
            <w:rStyle w:val="Hyperlink"/>
            <w:rFonts w:eastAsia="黑体" w:hint="eastAsia"/>
            <w:color w:val="auto"/>
          </w:rPr>
          <w:t>、对养老服务的需求</w:t>
        </w:r>
        <w:r>
          <w:rPr>
            <w:color w:val="auto"/>
          </w:rPr>
          <w:tab/>
        </w:r>
        <w:r>
          <w:rPr>
            <w:color w:val="auto"/>
          </w:rPr>
          <w:fldChar w:fldCharType="begin"/>
        </w:r>
        <w:r>
          <w:rPr>
            <w:color w:val="auto"/>
          </w:rPr>
          <w:instrText xml:space="preserve"> PAGEREF _Toc70859673 \h </w:instrText>
        </w:r>
        <w:r>
          <w:rPr>
            <w:color w:val="auto"/>
          </w:rPr>
          <w:fldChar w:fldCharType="separate"/>
        </w:r>
        <w:r>
          <w:rPr>
            <w:color w:val="auto"/>
          </w:rPr>
          <w:t>10</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74" w:history="1">
        <w:r>
          <w:rPr>
            <w:rStyle w:val="Hyperlink"/>
            <w:rFonts w:eastAsia="黑体" w:hint="eastAsia"/>
            <w:color w:val="auto"/>
          </w:rPr>
          <w:t>二、养老服务机制存在的问题</w:t>
        </w:r>
        <w:r>
          <w:rPr>
            <w:color w:val="auto"/>
          </w:rPr>
          <w:tab/>
        </w:r>
        <w:r>
          <w:rPr>
            <w:color w:val="auto"/>
          </w:rPr>
          <w:fldChar w:fldCharType="begin"/>
        </w:r>
        <w:r>
          <w:rPr>
            <w:color w:val="auto"/>
          </w:rPr>
          <w:instrText xml:space="preserve"> PAGEREF _Toc70859674 \h </w:instrText>
        </w:r>
        <w:r>
          <w:rPr>
            <w:color w:val="auto"/>
          </w:rPr>
          <w:fldChar w:fldCharType="separate"/>
        </w:r>
        <w:r>
          <w:rPr>
            <w:color w:val="auto"/>
          </w:rPr>
          <w:t>13</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5" w:history="1">
        <w:r>
          <w:rPr>
            <w:rStyle w:val="Hyperlink"/>
            <w:rFonts w:eastAsia="黑体"/>
            <w:color w:val="auto"/>
          </w:rPr>
          <w:t>1</w:t>
        </w:r>
        <w:r>
          <w:rPr>
            <w:rStyle w:val="Hyperlink"/>
            <w:rFonts w:eastAsia="黑体" w:hint="eastAsia"/>
            <w:color w:val="auto"/>
          </w:rPr>
          <w:t>、商业模式尚未成熟</w:t>
        </w:r>
        <w:r>
          <w:rPr>
            <w:color w:val="auto"/>
          </w:rPr>
          <w:tab/>
        </w:r>
        <w:r>
          <w:rPr>
            <w:color w:val="auto"/>
          </w:rPr>
          <w:fldChar w:fldCharType="begin"/>
        </w:r>
        <w:r>
          <w:rPr>
            <w:color w:val="auto"/>
          </w:rPr>
          <w:instrText xml:space="preserve"> PAGEREF _Toc70859675 \h </w:instrText>
        </w:r>
        <w:r>
          <w:rPr>
            <w:color w:val="auto"/>
          </w:rPr>
          <w:fldChar w:fldCharType="separate"/>
        </w:r>
        <w:r>
          <w:rPr>
            <w:color w:val="auto"/>
          </w:rPr>
          <w:t>13</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6" w:history="1">
        <w:r>
          <w:rPr>
            <w:rStyle w:val="Hyperlink"/>
            <w:rFonts w:eastAsia="黑体"/>
            <w:color w:val="auto"/>
          </w:rPr>
          <w:t>2</w:t>
        </w:r>
        <w:r>
          <w:rPr>
            <w:rStyle w:val="Hyperlink"/>
            <w:rFonts w:eastAsia="黑体" w:hint="eastAsia"/>
            <w:color w:val="auto"/>
          </w:rPr>
          <w:t>、老年人接受程度低</w:t>
        </w:r>
        <w:r>
          <w:rPr>
            <w:color w:val="auto"/>
          </w:rPr>
          <w:tab/>
        </w:r>
        <w:r>
          <w:rPr>
            <w:color w:val="auto"/>
          </w:rPr>
          <w:fldChar w:fldCharType="begin"/>
        </w:r>
        <w:r>
          <w:rPr>
            <w:color w:val="auto"/>
          </w:rPr>
          <w:instrText xml:space="preserve"> PAGEREF _Toc70859676 \h </w:instrText>
        </w:r>
        <w:r>
          <w:rPr>
            <w:color w:val="auto"/>
          </w:rPr>
          <w:fldChar w:fldCharType="separate"/>
        </w:r>
        <w:r>
          <w:rPr>
            <w:color w:val="auto"/>
          </w:rPr>
          <w:t>13</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7" w:history="1">
        <w:r>
          <w:rPr>
            <w:rStyle w:val="Hyperlink"/>
            <w:rFonts w:eastAsia="黑体"/>
            <w:color w:val="auto"/>
          </w:rPr>
          <w:t>3</w:t>
        </w:r>
        <w:r>
          <w:rPr>
            <w:rStyle w:val="Hyperlink"/>
            <w:rFonts w:eastAsia="黑体" w:hint="eastAsia"/>
            <w:color w:val="auto"/>
          </w:rPr>
          <w:t>、信息安全存在隐患</w:t>
        </w:r>
        <w:r>
          <w:rPr>
            <w:color w:val="auto"/>
          </w:rPr>
          <w:tab/>
        </w:r>
        <w:r>
          <w:rPr>
            <w:color w:val="auto"/>
          </w:rPr>
          <w:fldChar w:fldCharType="begin"/>
        </w:r>
        <w:r>
          <w:rPr>
            <w:color w:val="auto"/>
          </w:rPr>
          <w:instrText xml:space="preserve"> PAGEREF _Toc70859677 \h </w:instrText>
        </w:r>
        <w:r>
          <w:rPr>
            <w:color w:val="auto"/>
          </w:rPr>
          <w:fldChar w:fldCharType="separate"/>
        </w:r>
        <w:r>
          <w:rPr>
            <w:color w:val="auto"/>
          </w:rPr>
          <w:t>14</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78" w:history="1">
        <w:r>
          <w:rPr>
            <w:rStyle w:val="Hyperlink"/>
            <w:rFonts w:eastAsia="黑体"/>
            <w:color w:val="auto"/>
          </w:rPr>
          <w:t>4</w:t>
        </w:r>
        <w:r>
          <w:rPr>
            <w:rStyle w:val="Hyperlink"/>
            <w:rFonts w:eastAsia="黑体" w:hint="eastAsia"/>
            <w:color w:val="auto"/>
          </w:rPr>
          <w:t>、服务监管力度缺乏，社会参与组织不足</w:t>
        </w:r>
        <w:r>
          <w:rPr>
            <w:color w:val="auto"/>
          </w:rPr>
          <w:tab/>
        </w:r>
        <w:r>
          <w:rPr>
            <w:color w:val="auto"/>
          </w:rPr>
          <w:fldChar w:fldCharType="begin"/>
        </w:r>
        <w:r>
          <w:rPr>
            <w:color w:val="auto"/>
          </w:rPr>
          <w:instrText xml:space="preserve"> PAGEREF _Toc70859678 \h </w:instrText>
        </w:r>
        <w:r>
          <w:rPr>
            <w:color w:val="auto"/>
          </w:rPr>
          <w:fldChar w:fldCharType="separate"/>
        </w:r>
        <w:r>
          <w:rPr>
            <w:color w:val="auto"/>
          </w:rPr>
          <w:t>14</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79" w:history="1">
        <w:r>
          <w:rPr>
            <w:rStyle w:val="Hyperlink"/>
            <w:rFonts w:eastAsia="黑体" w:hint="eastAsia"/>
            <w:color w:val="auto"/>
          </w:rPr>
          <w:t>第四章</w:t>
        </w:r>
        <w:r>
          <w:rPr>
            <w:rStyle w:val="Hyperlink"/>
            <w:rFonts w:eastAsia="黑体"/>
            <w:color w:val="auto"/>
          </w:rPr>
          <w:t xml:space="preserve"> </w:t>
        </w:r>
        <w:r>
          <w:rPr>
            <w:rStyle w:val="Hyperlink"/>
            <w:rFonts w:eastAsia="黑体" w:hint="eastAsia"/>
            <w:color w:val="auto"/>
          </w:rPr>
          <w:t>进一步完善互联网</w:t>
        </w:r>
        <w:r>
          <w:rPr>
            <w:rStyle w:val="Hyperlink"/>
            <w:rFonts w:eastAsia="黑体"/>
            <w:color w:val="auto"/>
          </w:rPr>
          <w:t>+</w:t>
        </w:r>
        <w:r>
          <w:rPr>
            <w:rStyle w:val="Hyperlink"/>
            <w:rFonts w:eastAsia="黑体" w:hint="eastAsia"/>
            <w:color w:val="auto"/>
          </w:rPr>
          <w:t>背景下养老服务机制的路径</w:t>
        </w:r>
        <w:r>
          <w:rPr>
            <w:color w:val="auto"/>
          </w:rPr>
          <w:tab/>
        </w:r>
        <w:r>
          <w:rPr>
            <w:color w:val="auto"/>
          </w:rPr>
          <w:fldChar w:fldCharType="begin"/>
        </w:r>
        <w:r>
          <w:rPr>
            <w:color w:val="auto"/>
          </w:rPr>
          <w:instrText xml:space="preserve"> PAGEREF _Toc70859679 \h </w:instrText>
        </w:r>
        <w:r>
          <w:rPr>
            <w:color w:val="auto"/>
          </w:rPr>
          <w:fldChar w:fldCharType="separate"/>
        </w:r>
        <w:r>
          <w:rPr>
            <w:color w:val="auto"/>
          </w:rPr>
          <w:t>14</w:t>
        </w:r>
        <w:r>
          <w:rPr>
            <w:color w:val="auto"/>
          </w:rPr>
          <w:fldChar w:fldCharType="end"/>
        </w:r>
      </w:hyperlink>
    </w:p>
    <w:p>
      <w:pPr>
        <w:pStyle w:val="TOC2"/>
        <w:tabs>
          <w:tab w:val="right" w:leader="dot" w:pos="8296"/>
        </w:tabs>
        <w:ind w:left="420"/>
        <w:rPr>
          <w:rFonts w:ascii="Calibri" w:eastAsia="宋体" w:hAnsi="Calibri" w:cs="宋体"/>
          <w:color w:val="auto"/>
          <w:sz w:val="21"/>
          <w:szCs w:val="22"/>
        </w:rPr>
        <w:sectPr>
          <w:footerReference w:type="even" r:id="rId5"/>
          <w:footerReference w:type="default" r:id="rId6"/>
          <w:pgSz w:w="11906" w:h="16838"/>
          <w:pgMar w:top="1440" w:right="1800" w:bottom="1440" w:left="1800" w:header="851" w:footer="992" w:gutter="0"/>
          <w:pgNumType w:fmt="upperRoman" w:start="1"/>
          <w:cols w:num="1" w:space="425"/>
          <w:docGrid w:type="lines" w:linePitch="312" w:charSpace="0"/>
        </w:sectPr>
      </w:pPr>
      <w:hyperlink w:anchor="_Toc70859680" w:history="1">
        <w:r>
          <w:rPr>
            <w:rStyle w:val="Hyperlink"/>
            <w:rFonts w:eastAsia="黑体" w:hint="eastAsia"/>
            <w:color w:val="auto"/>
          </w:rPr>
          <w:t>一、多元主体共同参与</w:t>
        </w:r>
        <w:r>
          <w:rPr>
            <w:color w:val="auto"/>
          </w:rPr>
          <w:tab/>
        </w:r>
        <w:r>
          <w:rPr>
            <w:color w:val="auto"/>
          </w:rPr>
          <w:fldChar w:fldCharType="begin"/>
        </w:r>
        <w:r>
          <w:rPr>
            <w:color w:val="auto"/>
          </w:rPr>
          <w:instrText xml:space="preserve"> PAGEREF _Toc70859680 \h </w:instrText>
        </w:r>
        <w:r>
          <w:rPr>
            <w:color w:val="auto"/>
          </w:rPr>
          <w:fldChar w:fldCharType="separate"/>
        </w:r>
        <w:r>
          <w:rPr>
            <w:color w:val="auto"/>
          </w:rPr>
          <w:t>15</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1" w:history="1">
        <w:r>
          <w:rPr>
            <w:rStyle w:val="Hyperlink"/>
            <w:rFonts w:eastAsia="黑体"/>
            <w:color w:val="auto"/>
          </w:rPr>
          <w:t>1</w:t>
        </w:r>
        <w:r>
          <w:rPr>
            <w:rStyle w:val="Hyperlink"/>
            <w:rFonts w:eastAsia="黑体" w:hint="eastAsia"/>
            <w:color w:val="auto"/>
          </w:rPr>
          <w:t>、强化政府主导，健全制度规划</w:t>
        </w:r>
        <w:r>
          <w:rPr>
            <w:color w:val="auto"/>
          </w:rPr>
          <w:tab/>
        </w:r>
        <w:r>
          <w:rPr>
            <w:color w:val="auto"/>
          </w:rPr>
          <w:fldChar w:fldCharType="begin"/>
        </w:r>
        <w:r>
          <w:rPr>
            <w:color w:val="auto"/>
          </w:rPr>
          <w:instrText xml:space="preserve"> PAGEREF _Toc70859681 \h </w:instrText>
        </w:r>
        <w:r>
          <w:rPr>
            <w:color w:val="auto"/>
          </w:rPr>
          <w:fldChar w:fldCharType="separate"/>
        </w:r>
        <w:r>
          <w:rPr>
            <w:color w:val="auto"/>
          </w:rPr>
          <w:t>15</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2" w:history="1">
        <w:r>
          <w:rPr>
            <w:rStyle w:val="Hyperlink"/>
            <w:rFonts w:eastAsia="黑体"/>
            <w:color w:val="auto"/>
          </w:rPr>
          <w:t>2</w:t>
        </w:r>
        <w:r>
          <w:rPr>
            <w:rStyle w:val="Hyperlink"/>
            <w:rFonts w:eastAsia="黑体" w:hint="eastAsia"/>
            <w:color w:val="auto"/>
          </w:rPr>
          <w:t>、动员社会力量，壮大服务队伍</w:t>
        </w:r>
        <w:r>
          <w:rPr>
            <w:color w:val="auto"/>
          </w:rPr>
          <w:tab/>
        </w:r>
        <w:r>
          <w:rPr>
            <w:color w:val="auto"/>
          </w:rPr>
          <w:fldChar w:fldCharType="begin"/>
        </w:r>
        <w:r>
          <w:rPr>
            <w:color w:val="auto"/>
          </w:rPr>
          <w:instrText xml:space="preserve"> PAGEREF _Toc70859682 \h </w:instrText>
        </w:r>
        <w:r>
          <w:rPr>
            <w:color w:val="auto"/>
          </w:rPr>
          <w:fldChar w:fldCharType="separate"/>
        </w:r>
        <w:r>
          <w:rPr>
            <w:color w:val="auto"/>
          </w:rPr>
          <w:t>15</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83" w:history="1">
        <w:r>
          <w:rPr>
            <w:rStyle w:val="Hyperlink"/>
            <w:rFonts w:eastAsia="黑体" w:hint="eastAsia"/>
            <w:color w:val="auto"/>
          </w:rPr>
          <w:t>二、扶持老年群体，激发有效需求</w:t>
        </w:r>
        <w:r>
          <w:rPr>
            <w:color w:val="auto"/>
          </w:rPr>
          <w:tab/>
        </w:r>
        <w:r>
          <w:rPr>
            <w:color w:val="auto"/>
          </w:rPr>
          <w:fldChar w:fldCharType="begin"/>
        </w:r>
        <w:r>
          <w:rPr>
            <w:color w:val="auto"/>
          </w:rPr>
          <w:instrText xml:space="preserve"> PAGEREF _Toc70859683 \h </w:instrText>
        </w:r>
        <w:r>
          <w:rPr>
            <w:color w:val="auto"/>
          </w:rPr>
          <w:fldChar w:fldCharType="separate"/>
        </w:r>
        <w:r>
          <w:rPr>
            <w:color w:val="auto"/>
          </w:rPr>
          <w:t>16</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4" w:history="1">
        <w:r>
          <w:rPr>
            <w:rStyle w:val="Hyperlink"/>
            <w:rFonts w:eastAsia="黑体"/>
            <w:color w:val="auto"/>
          </w:rPr>
          <w:t>1</w:t>
        </w:r>
        <w:r>
          <w:rPr>
            <w:rStyle w:val="Hyperlink"/>
            <w:rFonts w:eastAsia="黑体" w:hint="eastAsia"/>
            <w:color w:val="auto"/>
          </w:rPr>
          <w:t>、建立相关补助制度</w:t>
        </w:r>
        <w:r>
          <w:rPr>
            <w:color w:val="auto"/>
          </w:rPr>
          <w:tab/>
        </w:r>
        <w:r>
          <w:rPr>
            <w:color w:val="auto"/>
          </w:rPr>
          <w:fldChar w:fldCharType="begin"/>
        </w:r>
        <w:r>
          <w:rPr>
            <w:color w:val="auto"/>
          </w:rPr>
          <w:instrText xml:space="preserve"> PAGEREF _Toc70859684 \h </w:instrText>
        </w:r>
        <w:r>
          <w:rPr>
            <w:color w:val="auto"/>
          </w:rPr>
          <w:fldChar w:fldCharType="separate"/>
        </w:r>
        <w:r>
          <w:rPr>
            <w:color w:val="auto"/>
          </w:rPr>
          <w:t>16</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5" w:history="1">
        <w:r>
          <w:rPr>
            <w:rStyle w:val="Hyperlink"/>
            <w:rFonts w:eastAsia="黑体"/>
            <w:color w:val="auto"/>
          </w:rPr>
          <w:t>2</w:t>
        </w:r>
        <w:r>
          <w:rPr>
            <w:rStyle w:val="Hyperlink"/>
            <w:rFonts w:eastAsia="黑体" w:hint="eastAsia"/>
            <w:color w:val="auto"/>
          </w:rPr>
          <w:t>、设立具有针对所有老年人口的普惠政策</w:t>
        </w:r>
        <w:r>
          <w:rPr>
            <w:color w:val="auto"/>
          </w:rPr>
          <w:tab/>
        </w:r>
        <w:r>
          <w:rPr>
            <w:color w:val="auto"/>
          </w:rPr>
          <w:fldChar w:fldCharType="begin"/>
        </w:r>
        <w:r>
          <w:rPr>
            <w:color w:val="auto"/>
          </w:rPr>
          <w:instrText xml:space="preserve"> PAGEREF _Toc70859685 \h </w:instrText>
        </w:r>
        <w:r>
          <w:rPr>
            <w:color w:val="auto"/>
          </w:rPr>
          <w:fldChar w:fldCharType="separate"/>
        </w:r>
        <w:r>
          <w:rPr>
            <w:color w:val="auto"/>
          </w:rPr>
          <w:t>16</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86" w:history="1">
        <w:r>
          <w:rPr>
            <w:rStyle w:val="Hyperlink"/>
            <w:rFonts w:eastAsia="黑体" w:hint="eastAsia"/>
            <w:color w:val="auto"/>
          </w:rPr>
          <w:t>三、构建服务网络平台，保证数据安全</w:t>
        </w:r>
        <w:r>
          <w:rPr>
            <w:color w:val="auto"/>
          </w:rPr>
          <w:tab/>
        </w:r>
        <w:r>
          <w:rPr>
            <w:color w:val="auto"/>
          </w:rPr>
          <w:fldChar w:fldCharType="begin"/>
        </w:r>
        <w:r>
          <w:rPr>
            <w:color w:val="auto"/>
          </w:rPr>
          <w:instrText xml:space="preserve"> PAGEREF _Toc70859686 \h </w:instrText>
        </w:r>
        <w:r>
          <w:rPr>
            <w:color w:val="auto"/>
          </w:rPr>
          <w:fldChar w:fldCharType="separate"/>
        </w:r>
        <w:r>
          <w:rPr>
            <w:color w:val="auto"/>
          </w:rPr>
          <w:t>17</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7" w:history="1">
        <w:r>
          <w:rPr>
            <w:rStyle w:val="Hyperlink"/>
            <w:rFonts w:eastAsia="黑体"/>
            <w:color w:val="auto"/>
          </w:rPr>
          <w:t>1</w:t>
        </w:r>
        <w:r>
          <w:rPr>
            <w:rStyle w:val="Hyperlink"/>
            <w:rFonts w:eastAsia="黑体" w:hint="eastAsia"/>
            <w:color w:val="auto"/>
          </w:rPr>
          <w:t>、利用统分结合平台，管理需求与供给信息</w:t>
        </w:r>
        <w:r>
          <w:rPr>
            <w:color w:val="auto"/>
          </w:rPr>
          <w:tab/>
        </w:r>
        <w:r>
          <w:rPr>
            <w:color w:val="auto"/>
          </w:rPr>
          <w:fldChar w:fldCharType="begin"/>
        </w:r>
        <w:r>
          <w:rPr>
            <w:color w:val="auto"/>
          </w:rPr>
          <w:instrText xml:space="preserve"> PAGEREF _Toc70859687 \h </w:instrText>
        </w:r>
        <w:r>
          <w:rPr>
            <w:color w:val="auto"/>
          </w:rPr>
          <w:fldChar w:fldCharType="separate"/>
        </w:r>
        <w:r>
          <w:rPr>
            <w:color w:val="auto"/>
          </w:rPr>
          <w:t>17</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88" w:history="1">
        <w:r>
          <w:rPr>
            <w:rStyle w:val="Hyperlink"/>
            <w:rFonts w:eastAsia="黑体"/>
            <w:color w:val="auto"/>
          </w:rPr>
          <w:t>2</w:t>
        </w:r>
        <w:r>
          <w:rPr>
            <w:rStyle w:val="Hyperlink"/>
            <w:rFonts w:eastAsia="黑体" w:hint="eastAsia"/>
            <w:color w:val="auto"/>
          </w:rPr>
          <w:t>、建立网络安全和数据安全机制</w:t>
        </w:r>
        <w:r>
          <w:rPr>
            <w:color w:val="auto"/>
          </w:rPr>
          <w:tab/>
        </w:r>
        <w:r>
          <w:rPr>
            <w:color w:val="auto"/>
          </w:rPr>
          <w:fldChar w:fldCharType="begin"/>
        </w:r>
        <w:r>
          <w:rPr>
            <w:color w:val="auto"/>
          </w:rPr>
          <w:instrText xml:space="preserve"> PAGEREF _Toc70859688 \h </w:instrText>
        </w:r>
        <w:r>
          <w:rPr>
            <w:color w:val="auto"/>
          </w:rPr>
          <w:fldChar w:fldCharType="separate"/>
        </w:r>
        <w:r>
          <w:rPr>
            <w:color w:val="auto"/>
          </w:rPr>
          <w:t>17</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89" w:history="1">
        <w:r>
          <w:rPr>
            <w:rStyle w:val="Hyperlink"/>
            <w:rFonts w:eastAsia="黑体" w:hint="eastAsia"/>
            <w:color w:val="auto"/>
          </w:rPr>
          <w:t>四、建立机制，规范管理</w:t>
        </w:r>
        <w:r>
          <w:rPr>
            <w:color w:val="auto"/>
          </w:rPr>
          <w:tab/>
        </w:r>
        <w:r>
          <w:rPr>
            <w:color w:val="auto"/>
          </w:rPr>
          <w:fldChar w:fldCharType="begin"/>
        </w:r>
        <w:r>
          <w:rPr>
            <w:color w:val="auto"/>
          </w:rPr>
          <w:instrText xml:space="preserve"> PAGEREF _Toc70859689 \h </w:instrText>
        </w:r>
        <w:r>
          <w:rPr>
            <w:color w:val="auto"/>
          </w:rPr>
          <w:fldChar w:fldCharType="separate"/>
        </w:r>
        <w:r>
          <w:rPr>
            <w:color w:val="auto"/>
          </w:rPr>
          <w:t>17</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90" w:history="1">
        <w:r>
          <w:rPr>
            <w:rStyle w:val="Hyperlink"/>
            <w:rFonts w:eastAsia="黑体"/>
            <w:color w:val="auto"/>
          </w:rPr>
          <w:t>1</w:t>
        </w:r>
        <w:r>
          <w:rPr>
            <w:rStyle w:val="Hyperlink"/>
            <w:rFonts w:eastAsia="黑体" w:hint="eastAsia"/>
            <w:color w:val="auto"/>
          </w:rPr>
          <w:t>、建立养老服务行业标准</w:t>
        </w:r>
        <w:r>
          <w:rPr>
            <w:color w:val="auto"/>
          </w:rPr>
          <w:tab/>
        </w:r>
        <w:r>
          <w:rPr>
            <w:color w:val="auto"/>
          </w:rPr>
          <w:fldChar w:fldCharType="begin"/>
        </w:r>
        <w:r>
          <w:rPr>
            <w:color w:val="auto"/>
          </w:rPr>
          <w:instrText xml:space="preserve"> PAGEREF _Toc70859690 \h </w:instrText>
        </w:r>
        <w:r>
          <w:rPr>
            <w:color w:val="auto"/>
          </w:rPr>
          <w:fldChar w:fldCharType="separate"/>
        </w:r>
        <w:r>
          <w:rPr>
            <w:color w:val="auto"/>
          </w:rPr>
          <w:t>17</w:t>
        </w:r>
        <w:r>
          <w:rPr>
            <w:color w:val="auto"/>
          </w:rPr>
          <w:fldChar w:fldCharType="end"/>
        </w:r>
      </w:hyperlink>
    </w:p>
    <w:p>
      <w:pPr>
        <w:pStyle w:val="TOC3"/>
        <w:tabs>
          <w:tab w:val="right" w:leader="dot" w:pos="8296"/>
        </w:tabs>
        <w:ind w:left="840"/>
        <w:rPr>
          <w:rFonts w:ascii="Calibri" w:eastAsia="宋体" w:hAnsi="Calibri" w:cs="宋体"/>
          <w:color w:val="auto"/>
          <w:sz w:val="21"/>
          <w:szCs w:val="22"/>
        </w:rPr>
      </w:pPr>
      <w:hyperlink w:anchor="_Toc70859691" w:history="1">
        <w:r>
          <w:rPr>
            <w:rStyle w:val="Hyperlink"/>
            <w:rFonts w:eastAsia="黑体"/>
            <w:color w:val="auto"/>
          </w:rPr>
          <w:t>2</w:t>
        </w:r>
        <w:r>
          <w:rPr>
            <w:rStyle w:val="Hyperlink"/>
            <w:rFonts w:eastAsia="黑体" w:hint="eastAsia"/>
            <w:color w:val="auto"/>
          </w:rPr>
          <w:t>、加强服务质量监管，规范统一行业标准</w:t>
        </w:r>
        <w:r>
          <w:rPr>
            <w:color w:val="auto"/>
          </w:rPr>
          <w:tab/>
        </w:r>
        <w:r>
          <w:rPr>
            <w:color w:val="auto"/>
          </w:rPr>
          <w:fldChar w:fldCharType="begin"/>
        </w:r>
        <w:r>
          <w:rPr>
            <w:color w:val="auto"/>
          </w:rPr>
          <w:instrText xml:space="preserve"> PAGEREF _Toc70859691 \h </w:instrText>
        </w:r>
        <w:r>
          <w:rPr>
            <w:color w:val="auto"/>
          </w:rPr>
          <w:fldChar w:fldCharType="separate"/>
        </w:r>
        <w:r>
          <w:rPr>
            <w:color w:val="auto"/>
          </w:rPr>
          <w:t>18</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92" w:history="1">
        <w:r>
          <w:rPr>
            <w:rStyle w:val="Hyperlink"/>
            <w:rFonts w:eastAsia="黑体" w:hint="eastAsia"/>
            <w:color w:val="auto"/>
          </w:rPr>
          <w:t>第五章</w:t>
        </w:r>
        <w:r>
          <w:rPr>
            <w:rStyle w:val="Hyperlink"/>
            <w:rFonts w:eastAsia="黑体"/>
            <w:color w:val="auto"/>
          </w:rPr>
          <w:t xml:space="preserve"> </w:t>
        </w:r>
        <w:r>
          <w:rPr>
            <w:rStyle w:val="Hyperlink"/>
            <w:rFonts w:eastAsia="黑体" w:hint="eastAsia"/>
            <w:color w:val="auto"/>
          </w:rPr>
          <w:t>结论及展望</w:t>
        </w:r>
        <w:r>
          <w:rPr>
            <w:color w:val="auto"/>
          </w:rPr>
          <w:tab/>
        </w:r>
        <w:r>
          <w:rPr>
            <w:color w:val="auto"/>
          </w:rPr>
          <w:fldChar w:fldCharType="begin"/>
        </w:r>
        <w:r>
          <w:rPr>
            <w:color w:val="auto"/>
          </w:rPr>
          <w:instrText xml:space="preserve"> PAGEREF _Toc70859692 \h </w:instrText>
        </w:r>
        <w:r>
          <w:rPr>
            <w:color w:val="auto"/>
          </w:rPr>
          <w:fldChar w:fldCharType="separate"/>
        </w:r>
        <w:r>
          <w:rPr>
            <w:color w:val="auto"/>
          </w:rPr>
          <w:t>18</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93" w:history="1">
        <w:r>
          <w:rPr>
            <w:rStyle w:val="Hyperlink"/>
            <w:rFonts w:eastAsia="黑体"/>
            <w:color w:val="auto"/>
          </w:rPr>
          <w:t>1</w:t>
        </w:r>
        <w:r>
          <w:rPr>
            <w:rStyle w:val="Hyperlink"/>
            <w:rFonts w:eastAsia="黑体" w:hint="eastAsia"/>
            <w:color w:val="auto"/>
          </w:rPr>
          <w:t>、结论</w:t>
        </w:r>
        <w:r>
          <w:rPr>
            <w:color w:val="auto"/>
          </w:rPr>
          <w:tab/>
        </w:r>
        <w:r>
          <w:rPr>
            <w:color w:val="auto"/>
          </w:rPr>
          <w:fldChar w:fldCharType="begin"/>
        </w:r>
        <w:r>
          <w:rPr>
            <w:color w:val="auto"/>
          </w:rPr>
          <w:instrText xml:space="preserve"> PAGEREF _Toc70859693 \h </w:instrText>
        </w:r>
        <w:r>
          <w:rPr>
            <w:color w:val="auto"/>
          </w:rPr>
          <w:fldChar w:fldCharType="separate"/>
        </w:r>
        <w:r>
          <w:rPr>
            <w:color w:val="auto"/>
          </w:rPr>
          <w:t>18</w:t>
        </w:r>
        <w:r>
          <w:rPr>
            <w:color w:val="auto"/>
          </w:rPr>
          <w:fldChar w:fldCharType="end"/>
        </w:r>
      </w:hyperlink>
    </w:p>
    <w:p>
      <w:pPr>
        <w:pStyle w:val="TOC2"/>
        <w:tabs>
          <w:tab w:val="right" w:leader="dot" w:pos="8296"/>
        </w:tabs>
        <w:ind w:left="420"/>
        <w:rPr>
          <w:rFonts w:ascii="Calibri" w:eastAsia="宋体" w:hAnsi="Calibri" w:cs="宋体"/>
          <w:color w:val="auto"/>
          <w:sz w:val="21"/>
          <w:szCs w:val="22"/>
        </w:rPr>
      </w:pPr>
      <w:hyperlink w:anchor="_Toc70859694" w:history="1">
        <w:r>
          <w:rPr>
            <w:rStyle w:val="Hyperlink"/>
            <w:rFonts w:eastAsia="黑体"/>
            <w:color w:val="auto"/>
          </w:rPr>
          <w:t>2</w:t>
        </w:r>
        <w:r>
          <w:rPr>
            <w:rStyle w:val="Hyperlink"/>
            <w:rFonts w:eastAsia="黑体" w:hint="eastAsia"/>
            <w:color w:val="auto"/>
          </w:rPr>
          <w:t>、展望</w:t>
        </w:r>
        <w:r>
          <w:rPr>
            <w:color w:val="auto"/>
          </w:rPr>
          <w:tab/>
        </w:r>
        <w:r>
          <w:rPr>
            <w:color w:val="auto"/>
          </w:rPr>
          <w:fldChar w:fldCharType="begin"/>
        </w:r>
        <w:r>
          <w:rPr>
            <w:color w:val="auto"/>
          </w:rPr>
          <w:instrText xml:space="preserve"> PAGEREF _Toc70859694 \h </w:instrText>
        </w:r>
        <w:r>
          <w:rPr>
            <w:color w:val="auto"/>
          </w:rPr>
          <w:fldChar w:fldCharType="separate"/>
        </w:r>
        <w:r>
          <w:rPr>
            <w:color w:val="auto"/>
          </w:rPr>
          <w:t>18</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95" w:history="1">
        <w:r>
          <w:rPr>
            <w:rStyle w:val="Hyperlink"/>
            <w:rFonts w:eastAsia="黑体" w:hint="eastAsia"/>
            <w:color w:val="auto"/>
          </w:rPr>
          <w:t>参考文献</w:t>
        </w:r>
        <w:r>
          <w:rPr>
            <w:color w:val="auto"/>
          </w:rPr>
          <w:tab/>
        </w:r>
        <w:r>
          <w:rPr>
            <w:color w:val="auto"/>
          </w:rPr>
          <w:fldChar w:fldCharType="begin"/>
        </w:r>
        <w:r>
          <w:rPr>
            <w:color w:val="auto"/>
          </w:rPr>
          <w:instrText xml:space="preserve"> PAGEREF _Toc70859695 \h </w:instrText>
        </w:r>
        <w:r>
          <w:rPr>
            <w:color w:val="auto"/>
          </w:rPr>
          <w:fldChar w:fldCharType="separate"/>
        </w:r>
        <w:r>
          <w:rPr>
            <w:color w:val="auto"/>
          </w:rPr>
          <w:t>19</w:t>
        </w:r>
        <w:r>
          <w:rPr>
            <w:color w:val="auto"/>
          </w:rPr>
          <w:fldChar w:fldCharType="end"/>
        </w:r>
      </w:hyperlink>
    </w:p>
    <w:p>
      <w:pPr>
        <w:pStyle w:val="TOC1"/>
        <w:tabs>
          <w:tab w:val="right" w:leader="dot" w:pos="8296"/>
        </w:tabs>
        <w:rPr>
          <w:rFonts w:ascii="Calibri" w:eastAsia="宋体" w:hAnsi="Calibri" w:cs="宋体"/>
          <w:color w:val="auto"/>
          <w:sz w:val="21"/>
          <w:szCs w:val="22"/>
        </w:rPr>
      </w:pPr>
      <w:hyperlink w:anchor="_Toc70859696" w:history="1">
        <w:r>
          <w:rPr>
            <w:rStyle w:val="Hyperlink"/>
            <w:rFonts w:eastAsia="黑体" w:hint="eastAsia"/>
            <w:color w:val="auto"/>
          </w:rPr>
          <w:t>附录</w:t>
        </w:r>
        <w:r>
          <w:rPr>
            <w:color w:val="auto"/>
          </w:rPr>
          <w:tab/>
        </w:r>
        <w:r>
          <w:rPr>
            <w:color w:val="auto"/>
          </w:rPr>
          <w:fldChar w:fldCharType="begin"/>
        </w:r>
        <w:r>
          <w:rPr>
            <w:color w:val="auto"/>
          </w:rPr>
          <w:instrText xml:space="preserve"> PAGEREF _Toc70859696 \h </w:instrText>
        </w:r>
        <w:r>
          <w:rPr>
            <w:color w:val="auto"/>
          </w:rPr>
          <w:fldChar w:fldCharType="separate"/>
        </w:r>
        <w:r>
          <w:rPr>
            <w:color w:val="auto"/>
          </w:rPr>
          <w:t>21</w:t>
        </w:r>
        <w:r>
          <w:rPr>
            <w:color w:val="auto"/>
          </w:rPr>
          <w:fldChar w:fldCharType="end"/>
        </w:r>
      </w:hyperlink>
    </w:p>
    <w:p>
      <w:pPr>
        <w:spacing w:line="360" w:lineRule="auto"/>
        <w:jc w:val="center"/>
        <w:rPr>
          <w:rFonts w:ascii="宋体" w:hAnsi="宋体"/>
          <w:color w:val="auto"/>
          <w:sz w:val="24"/>
        </w:rPr>
        <w:sectPr>
          <w:footerReference w:type="even" r:id="rId7"/>
          <w:footerReference w:type="default" r:id="rId8"/>
          <w:type w:val="nextPage"/>
          <w:pgSz w:w="11906" w:h="16838"/>
          <w:pgMar w:top="1440" w:right="1800" w:bottom="1440" w:left="1800" w:header="851" w:footer="992" w:gutter="0"/>
          <w:pgNumType w:fmt="upperRoman" w:start="2"/>
          <w:cols w:num="1" w:space="425"/>
          <w:titlePg w:val="0"/>
          <w:docGrid w:type="lines" w:linePitch="312" w:charSpace="0"/>
        </w:sectPr>
      </w:pPr>
      <w:r>
        <w:rPr>
          <w:rFonts w:ascii="宋体" w:hAnsi="宋体"/>
          <w:color w:val="auto"/>
          <w:sz w:val="24"/>
        </w:rPr>
        <w:fldChar w:fldCharType="end"/>
      </w:r>
    </w:p>
    <w:p>
      <w:pPr>
        <w:pStyle w:val="Heading1"/>
        <w:spacing w:before="0" w:after="0" w:line="360" w:lineRule="auto"/>
        <w:jc w:val="center"/>
        <w:rPr>
          <w:rFonts w:eastAsia="黑体"/>
          <w:b w:val="0"/>
          <w:color w:val="auto"/>
          <w:sz w:val="32"/>
        </w:rPr>
      </w:pPr>
      <w:bookmarkStart w:id="1" w:name="_Toc70859657"/>
      <w:r>
        <w:rPr>
          <w:rFonts w:eastAsia="黑体" w:hint="eastAsia"/>
          <w:b w:val="0"/>
          <w:color w:val="auto"/>
          <w:sz w:val="32"/>
        </w:rPr>
        <w:t>第一章 绪论</w:t>
      </w:r>
      <w:bookmarkEnd w:id="1"/>
    </w:p>
    <w:p>
      <w:pPr>
        <w:pStyle w:val="Heading2"/>
        <w:spacing w:before="0" w:after="0" w:line="360" w:lineRule="auto"/>
        <w:ind w:firstLine="560" w:firstLineChars="200"/>
        <w:jc w:val="left"/>
        <w:rPr>
          <w:rFonts w:ascii="Times New Roman" w:eastAsia="黑体" w:hAnsi="Times New Roman"/>
          <w:b w:val="0"/>
          <w:color w:val="auto"/>
          <w:sz w:val="28"/>
        </w:rPr>
      </w:pPr>
      <w:bookmarkStart w:id="2" w:name="_Toc70859658"/>
      <w:r>
        <w:rPr>
          <w:rFonts w:ascii="Times New Roman" w:eastAsia="黑体" w:hAnsi="Times New Roman" w:hint="eastAsia"/>
          <w:b w:val="0"/>
          <w:color w:val="auto"/>
          <w:sz w:val="28"/>
        </w:rPr>
        <w:t>一、研究</w:t>
      </w:r>
      <w:r>
        <w:rPr>
          <w:rFonts w:ascii="Times New Roman" w:eastAsia="黑体" w:hAnsi="Times New Roman"/>
          <w:b w:val="0"/>
          <w:color w:val="auto"/>
          <w:sz w:val="28"/>
        </w:rPr>
        <w:t>背景</w:t>
      </w:r>
      <w:r>
        <w:rPr>
          <w:rFonts w:ascii="Times New Roman" w:eastAsia="黑体" w:hAnsi="Times New Roman" w:hint="eastAsia"/>
          <w:b w:val="0"/>
          <w:color w:val="auto"/>
          <w:sz w:val="28"/>
        </w:rPr>
        <w:t>及意义</w:t>
      </w:r>
      <w:bookmarkEnd w:id="2"/>
    </w:p>
    <w:p>
      <w:pPr>
        <w:pStyle w:val="Heading3"/>
        <w:spacing w:before="0" w:after="0" w:line="360" w:lineRule="auto"/>
        <w:ind w:firstLine="480" w:firstLineChars="200"/>
        <w:jc w:val="left"/>
        <w:rPr>
          <w:rFonts w:eastAsia="黑体"/>
          <w:b w:val="0"/>
          <w:color w:val="auto"/>
          <w:sz w:val="24"/>
        </w:rPr>
      </w:pPr>
      <w:bookmarkStart w:id="3" w:name="_Toc70859659"/>
      <w:r>
        <w:rPr>
          <w:rFonts w:eastAsia="黑体" w:hint="eastAsia"/>
          <w:b w:val="0"/>
          <w:color w:val="auto"/>
          <w:sz w:val="24"/>
        </w:rPr>
        <w:t>1、</w:t>
      </w:r>
      <w:r>
        <w:rPr>
          <w:rFonts w:eastAsia="黑体"/>
          <w:b w:val="0"/>
          <w:color w:val="auto"/>
          <w:sz w:val="24"/>
        </w:rPr>
        <w:t>研究背景</w:t>
      </w:r>
      <w:bookmarkEnd w:id="3"/>
    </w:p>
    <w:p>
      <w:pPr>
        <w:spacing w:line="360" w:lineRule="auto"/>
        <w:ind w:firstLine="480" w:firstLineChars="200"/>
        <w:rPr>
          <w:color w:val="auto"/>
          <w:sz w:val="24"/>
        </w:rPr>
      </w:pPr>
      <w:r>
        <w:rPr>
          <w:rFonts w:hint="eastAsia"/>
          <w:color w:val="auto"/>
          <w:sz w:val="24"/>
        </w:rPr>
        <w:t>居家养老的社会根源在于工业化的发展，社会关系是此种模式的基本支持系统，家庭、社会与政府将作为</w:t>
      </w:r>
      <w:bookmarkStart w:id="4" w:name="_GoBack"/>
      <w:bookmarkEnd w:id="4"/>
      <w:r>
        <w:rPr>
          <w:rFonts w:hint="eastAsia"/>
          <w:color w:val="auto"/>
          <w:sz w:val="24"/>
        </w:rPr>
        <w:t>其责任主体与保障单位。因此居家养老模式在养老服务体系建设中居于基础地位，是对传统家庭养老模式的补充与更新，符合我国传统文化并且适合我国的基本国情，有助于应对银发浪潮的冲击。现阶段，我国居家养老服务正在由前期探索阶段向稳步发展阶段转变，但在具体的实践中，存在着养老资源供需不匹配、市场运行机制滞后、服务队伍建设缺乏等问题，限制了居家养老的可持续性发展。</w:t>
      </w:r>
    </w:p>
    <w:p>
      <w:pPr>
        <w:spacing w:line="360" w:lineRule="auto"/>
        <w:ind w:firstLine="480" w:firstLineChars="200"/>
        <w:rPr>
          <w:color w:val="auto"/>
          <w:sz w:val="24"/>
        </w:rPr>
      </w:pPr>
      <w:r>
        <w:rPr>
          <w:rFonts w:hint="eastAsia"/>
          <w:color w:val="auto"/>
          <w:sz w:val="24"/>
        </w:rPr>
        <w:t>互联网在生活中的参与程度随着互联网、物联网和云计算等技术的发展日益加深。2015年，“互联网+”行动首次在政府工作报告中出现，随后“互联网+”成功改造了很多传统行业，正成为新一轮产业革命发展的重要驱动力。若将“互联网+”引入到传统的居家养老服务模式中，利用互联网对传统居家养老服务模式进行改造升级，将互联网思维、信息技术和人工智能与居家养老服务机制建设深度融合，实现多方养老资源的优化配置，共同为居家老人提供个性、高效的智能养老服务</w:t>
      </w:r>
      <w:r>
        <w:rPr>
          <w:rFonts w:hint="eastAsia"/>
          <w:color w:val="auto"/>
          <w:sz w:val="24"/>
          <w:vertAlign w:val="superscript"/>
        </w:rPr>
        <w:t>[</w:t>
      </w:r>
      <w:r>
        <w:rPr>
          <w:color w:val="auto"/>
          <w:sz w:val="24"/>
          <w:vertAlign w:val="superscript"/>
        </w:rPr>
        <w:t>2</w:t>
      </w:r>
      <w:r>
        <w:rPr>
          <w:rFonts w:hint="eastAsia"/>
          <w:color w:val="auto"/>
          <w:sz w:val="24"/>
          <w:vertAlign w:val="superscript"/>
        </w:rPr>
        <w:t>]</w:t>
      </w:r>
      <w:r>
        <w:rPr>
          <w:rFonts w:hint="eastAsia"/>
          <w:color w:val="auto"/>
          <w:sz w:val="24"/>
        </w:rPr>
        <w:t>。在我国己有不少有益的探索，比如，南京市鼓楼区建设了养老服务物联网络系统，该系统具备紧急呼叫、远程医疗等功能，家中电器及感应监测器件通过与智能视频终端的网络连接实现远程监控。这套居家养老服务物联网系统对改善老年人，尤其是对空巢独居老年人的照护发挥了重要作用，打造了真正意义上的“家庭养老院”。所以，互联网给我们的生活带来很多便利的同时，也应该而且可以将“互联网+”引入到居家养老服务中，让历经沧桑的老年人享受到科技发展带来的高质量服务。</w:t>
      </w:r>
    </w:p>
    <w:p>
      <w:pPr>
        <w:pStyle w:val="Heading3"/>
        <w:spacing w:before="0" w:after="0" w:line="360" w:lineRule="auto"/>
        <w:ind w:firstLine="480" w:firstLineChars="200"/>
        <w:jc w:val="left"/>
        <w:rPr>
          <w:rFonts w:eastAsia="黑体"/>
          <w:b w:val="0"/>
          <w:color w:val="auto"/>
          <w:sz w:val="24"/>
        </w:rPr>
      </w:pPr>
      <w:bookmarkStart w:id="5" w:name="_Toc70859660"/>
      <w:r>
        <w:rPr>
          <w:rFonts w:eastAsia="黑体"/>
          <w:b w:val="0"/>
          <w:color w:val="auto"/>
          <w:sz w:val="24"/>
        </w:rPr>
        <w:t>2</w:t>
      </w:r>
      <w:r>
        <w:rPr>
          <w:rFonts w:eastAsia="黑体" w:hint="eastAsia"/>
          <w:b w:val="0"/>
          <w:color w:val="auto"/>
          <w:sz w:val="24"/>
        </w:rPr>
        <w:t>、研究</w:t>
      </w:r>
      <w:r>
        <w:rPr>
          <w:rFonts w:eastAsia="黑体"/>
          <w:b w:val="0"/>
          <w:color w:val="auto"/>
          <w:sz w:val="24"/>
        </w:rPr>
        <w:t>意义</w:t>
      </w:r>
      <w:bookmarkEnd w:id="5"/>
    </w:p>
    <w:p>
      <w:pPr>
        <w:spacing w:line="360" w:lineRule="auto"/>
        <w:ind w:firstLine="480" w:firstLineChars="200"/>
        <w:rPr>
          <w:color w:val="auto"/>
          <w:sz w:val="24"/>
        </w:rPr>
      </w:pPr>
      <w:r>
        <w:rPr>
          <w:rFonts w:hint="eastAsia"/>
          <w:color w:val="auto"/>
          <w:sz w:val="24"/>
        </w:rPr>
        <w:t>（1）理论意义</w:t>
      </w:r>
    </w:p>
    <w:p>
      <w:pPr>
        <w:spacing w:line="360" w:lineRule="auto"/>
        <w:ind w:firstLine="480" w:firstLineChars="200"/>
        <w:rPr>
          <w:color w:val="auto"/>
          <w:sz w:val="24"/>
        </w:rPr>
        <w:sectPr>
          <w:footerReference w:type="even" r:id="rId9"/>
          <w:footerReference w:type="default" r:id="rId10"/>
          <w:pgSz w:w="11906" w:h="16838"/>
          <w:pgMar w:top="1440" w:right="1800" w:bottom="1440" w:left="1800" w:header="851" w:footer="992" w:gutter="0"/>
          <w:pgNumType w:start="1"/>
          <w:cols w:num="1" w:space="425"/>
          <w:docGrid w:type="lines" w:linePitch="312" w:charSpace="0"/>
        </w:sectPr>
      </w:pPr>
      <w:r>
        <w:rPr>
          <w:rFonts w:hint="eastAsia"/>
          <w:color w:val="auto"/>
          <w:sz w:val="24"/>
        </w:rPr>
        <w:t>老年服务属于社会福利的一种，所以在福利提供主体的选择上，本文运用了福利多元主义理论，认为互联网+居家养老服务的提供，需要政府、市场、社会三方共同协作，所以，文中对于福利多元主义在互联网背景下虚拟居家养老服务提供主体方面的应用，拓展了该理论的内涵和外延。</w:t>
      </w:r>
    </w:p>
    <w:p>
      <w:pPr>
        <w:spacing w:line="360" w:lineRule="auto"/>
        <w:ind w:firstLine="480" w:firstLineChars="200"/>
        <w:rPr>
          <w:color w:val="auto"/>
          <w:sz w:val="24"/>
        </w:rPr>
      </w:pPr>
      <w:r>
        <w:rPr>
          <w:rFonts w:hint="eastAsia"/>
          <w:color w:val="auto"/>
          <w:sz w:val="24"/>
        </w:rPr>
        <w:t>同时，本文对于互联网背景下虚拟居家养老服务在我国的适用性分析，为今后的此类研究奠定了一定的基础，对于现有国内成功经验的借鉴分析，为今后更深入研究提供了参考。最后，对于互联网背景下虚拟居家养老服务的基本理念、发展领域的构想以及实现路径的探索，有助于丰富现有的理论研究，拓宽研究的深度和广度。</w:t>
      </w:r>
    </w:p>
    <w:p>
      <w:pPr>
        <w:spacing w:line="360" w:lineRule="auto"/>
        <w:ind w:firstLine="480" w:firstLineChars="200"/>
        <w:rPr>
          <w:color w:val="auto"/>
          <w:sz w:val="24"/>
        </w:rPr>
      </w:pPr>
      <w:r>
        <w:rPr>
          <w:rFonts w:hint="eastAsia"/>
          <w:color w:val="auto"/>
          <w:sz w:val="24"/>
        </w:rPr>
        <w:t>（2）实践意义</w:t>
      </w:r>
    </w:p>
    <w:p>
      <w:pPr>
        <w:spacing w:line="360" w:lineRule="auto"/>
        <w:ind w:firstLine="480" w:firstLineChars="200"/>
        <w:rPr>
          <w:color w:val="auto"/>
          <w:sz w:val="24"/>
        </w:rPr>
      </w:pPr>
      <w:r>
        <w:rPr>
          <w:rFonts w:hint="eastAsia"/>
          <w:color w:val="auto"/>
          <w:sz w:val="24"/>
        </w:rPr>
        <w:t>进入二十一世纪以来，科学技术的发展极大的改善了人们的生存环境，人们的生活水平也在不断的提高。但是新的世纪也有新的挑战，随着人口数量的增多，人类平均寿命的延长，所带来的人口老龄化问题逐渐成为发达国家与发展中国家共同面临的难题，在此背景下，许多国家都在积极探索未来养老问题的解决方法。我国的人口老龄化问题也非常严峻，加之传统的家庭养老与社会性的机构养老已经逐渐丧失以往的地位与功能，人们迫切需要寻求一种新的养老方式，虚拟养老模式恰好此时“映入中国人的眼帘”，从已有的实践经验来看，虚拟养老模式为缓解我国的养老困难的确起到了不可忽视的作用，因此本文立足我国当前养老困难的现实，深入研究居家养老的新模式一一虚拟养老，理论结合实际，对于目前虚拟养老的困境提出了建设性意见，对于我国养老模式改革具有实践意义。</w:t>
      </w:r>
    </w:p>
    <w:p>
      <w:pPr>
        <w:pStyle w:val="Heading2"/>
        <w:spacing w:before="0" w:after="0" w:line="360" w:lineRule="auto"/>
        <w:ind w:firstLine="560" w:firstLineChars="200"/>
        <w:jc w:val="left"/>
        <w:rPr>
          <w:rFonts w:ascii="Times New Roman" w:eastAsia="黑体" w:hAnsi="Times New Roman"/>
          <w:b w:val="0"/>
          <w:color w:val="auto"/>
          <w:sz w:val="28"/>
        </w:rPr>
      </w:pPr>
      <w:bookmarkStart w:id="6" w:name="_Toc70859661"/>
      <w:r>
        <w:rPr>
          <w:rFonts w:ascii="Times New Roman" w:eastAsia="黑体" w:hAnsi="Times New Roman" w:hint="eastAsia"/>
          <w:b w:val="0"/>
          <w:color w:val="auto"/>
          <w:sz w:val="28"/>
        </w:rPr>
        <w:t>二、研究思路及方法</w:t>
      </w:r>
      <w:bookmarkEnd w:id="6"/>
    </w:p>
    <w:p>
      <w:pPr>
        <w:spacing w:line="360" w:lineRule="auto"/>
        <w:ind w:firstLine="480" w:firstLineChars="200"/>
        <w:jc w:val="left"/>
        <w:rPr>
          <w:rFonts w:ascii="宋体" w:hAnsi="宋体"/>
          <w:color w:val="auto"/>
          <w:sz w:val="24"/>
        </w:rPr>
      </w:pPr>
      <w:r>
        <w:rPr>
          <w:rFonts w:ascii="宋体" w:hAnsi="宋体" w:hint="eastAsia"/>
          <w:color w:val="auto"/>
          <w:sz w:val="24"/>
        </w:rPr>
        <w:t>本文通过对养老服务模式进行阐述，以上海为研究对象，深入分析虚拟养老模式产生的社会背景及</w:t>
      </w:r>
      <w:r>
        <w:rPr>
          <w:rFonts w:ascii="宋体" w:hAnsi="宋体"/>
          <w:color w:val="auto"/>
          <w:sz w:val="24"/>
        </w:rPr>
        <w:t>困境</w:t>
      </w:r>
      <w:r>
        <w:rPr>
          <w:rFonts w:ascii="宋体" w:hAnsi="宋体" w:hint="eastAsia"/>
          <w:color w:val="auto"/>
          <w:sz w:val="24"/>
        </w:rPr>
        <w:t>，通过与传统家庭养老和机构养老的对比发现虚拟养老模式的优势。通过对上海虚拟养老院的建立背景及运营模式研究，发现该模式的发展困境，最后总结出解决对策，希望对我国虚拟养老未来的发展提供可借鉴的有效经验。</w:t>
      </w:r>
    </w:p>
    <w:p>
      <w:pPr>
        <w:spacing w:line="360" w:lineRule="auto"/>
        <w:ind w:firstLine="480" w:firstLineChars="200"/>
        <w:rPr>
          <w:color w:val="auto"/>
          <w:sz w:val="24"/>
        </w:rPr>
      </w:pPr>
      <w:r>
        <w:rPr>
          <w:rFonts w:hint="eastAsia"/>
          <w:color w:val="auto"/>
          <w:sz w:val="24"/>
        </w:rPr>
        <w:t>本研究主要采用了文献分析法、对比分析法和案例研究法三种研究方法。</w:t>
      </w:r>
    </w:p>
    <w:p>
      <w:pPr>
        <w:spacing w:line="360" w:lineRule="auto"/>
        <w:ind w:firstLine="480" w:firstLineChars="200"/>
        <w:rPr>
          <w:color w:val="auto"/>
          <w:sz w:val="24"/>
        </w:rPr>
      </w:pPr>
      <w:r>
        <w:rPr>
          <w:rFonts w:hint="eastAsia"/>
          <w:color w:val="auto"/>
          <w:sz w:val="24"/>
        </w:rPr>
        <w:t>首先，文献分析法：通过查阅图书资料、文献检索系统和网络资源，搜集有关虚拟居家养老服务模式以及“互联网+”相关研究成果和文献资料。</w:t>
      </w:r>
    </w:p>
    <w:p>
      <w:pPr>
        <w:spacing w:line="360" w:lineRule="auto"/>
        <w:ind w:firstLine="480" w:firstLineChars="200"/>
        <w:rPr>
          <w:color w:val="auto"/>
          <w:sz w:val="24"/>
        </w:rPr>
      </w:pPr>
      <w:r>
        <w:rPr>
          <w:rFonts w:hint="eastAsia"/>
          <w:color w:val="auto"/>
          <w:sz w:val="24"/>
        </w:rPr>
        <w:t>其次，问卷调查法：通过</w:t>
      </w:r>
      <w:r>
        <w:rPr>
          <w:color w:val="auto"/>
          <w:sz w:val="24"/>
        </w:rPr>
        <w:t>问卷调查分析互联</w:t>
      </w:r>
      <w:r>
        <w:rPr>
          <w:rFonts w:hint="eastAsia"/>
          <w:color w:val="auto"/>
          <w:sz w:val="24"/>
        </w:rPr>
        <w:t>网</w:t>
      </w:r>
      <w:r>
        <w:rPr>
          <w:color w:val="auto"/>
          <w:sz w:val="24"/>
        </w:rPr>
        <w:t>+</w:t>
      </w:r>
      <w:r>
        <w:rPr>
          <w:rFonts w:hint="eastAsia"/>
          <w:color w:val="auto"/>
          <w:sz w:val="24"/>
        </w:rPr>
        <w:t>背景</w:t>
      </w:r>
      <w:r>
        <w:rPr>
          <w:color w:val="auto"/>
          <w:sz w:val="24"/>
        </w:rPr>
        <w:t>下虚拟养老院的认可度，了解上海虚拟养老</w:t>
      </w:r>
      <w:r>
        <w:rPr>
          <w:rFonts w:hint="eastAsia"/>
          <w:color w:val="auto"/>
          <w:sz w:val="24"/>
        </w:rPr>
        <w:t>院</w:t>
      </w:r>
      <w:r>
        <w:rPr>
          <w:color w:val="auto"/>
          <w:sz w:val="24"/>
        </w:rPr>
        <w:t>的</w:t>
      </w:r>
      <w:r>
        <w:rPr>
          <w:rFonts w:hint="eastAsia"/>
          <w:color w:val="auto"/>
          <w:sz w:val="24"/>
        </w:rPr>
        <w:t>问题</w:t>
      </w:r>
      <w:r>
        <w:rPr>
          <w:color w:val="auto"/>
          <w:sz w:val="24"/>
        </w:rPr>
        <w:t>。</w:t>
      </w:r>
    </w:p>
    <w:p>
      <w:pPr>
        <w:spacing w:line="360" w:lineRule="auto"/>
        <w:ind w:firstLine="480" w:firstLineChars="200"/>
        <w:rPr>
          <w:color w:val="auto"/>
          <w:sz w:val="24"/>
        </w:rPr>
        <w:sectPr>
          <w:footerReference w:type="even" r:id="rId11"/>
          <w:footerReference w:type="default" r:id="rId12"/>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color w:val="auto"/>
          <w:sz w:val="24"/>
        </w:rPr>
      </w:pPr>
      <w:r>
        <w:rPr>
          <w:rFonts w:hint="eastAsia"/>
          <w:color w:val="auto"/>
          <w:sz w:val="24"/>
        </w:rPr>
        <w:t>最后，案例研究法:选取我国比较有代表性的互联网+虚拟居家养老服务的案例进行研究和探讨，深入剖析案例的运行机制和值得肯定的经验，为构建适合我国的互联网+居家养老服务模式提供了借鉴。</w:t>
      </w:r>
    </w:p>
    <w:p>
      <w:pPr>
        <w:pStyle w:val="Heading1"/>
        <w:spacing w:before="0" w:after="0" w:line="360" w:lineRule="auto"/>
        <w:jc w:val="center"/>
        <w:rPr>
          <w:rFonts w:eastAsia="黑体"/>
          <w:b w:val="0"/>
          <w:color w:val="auto"/>
          <w:sz w:val="32"/>
        </w:rPr>
      </w:pPr>
      <w:bookmarkStart w:id="7" w:name="_Toc70859662"/>
      <w:r>
        <w:rPr>
          <w:rFonts w:eastAsia="黑体" w:hint="eastAsia"/>
          <w:b w:val="0"/>
          <w:color w:val="auto"/>
          <w:sz w:val="32"/>
        </w:rPr>
        <w:t>第二章 互联网+背景下养老服务的理论诠释</w:t>
      </w:r>
      <w:bookmarkEnd w:id="7"/>
    </w:p>
    <w:p>
      <w:pPr>
        <w:pStyle w:val="Heading2"/>
        <w:spacing w:before="0" w:after="0" w:line="360" w:lineRule="auto"/>
        <w:ind w:firstLine="560" w:firstLineChars="200"/>
        <w:jc w:val="left"/>
        <w:rPr>
          <w:rFonts w:ascii="Times New Roman" w:eastAsia="黑体" w:hAnsi="Times New Roman"/>
          <w:b w:val="0"/>
          <w:color w:val="auto"/>
          <w:sz w:val="28"/>
        </w:rPr>
      </w:pPr>
      <w:bookmarkStart w:id="8" w:name="_Toc70859663"/>
      <w:r>
        <w:rPr>
          <w:rFonts w:ascii="Times New Roman" w:eastAsia="黑体" w:hAnsi="Times New Roman" w:hint="eastAsia"/>
          <w:b w:val="0"/>
          <w:color w:val="auto"/>
          <w:sz w:val="28"/>
        </w:rPr>
        <w:t>一、相关概念界定</w:t>
      </w:r>
      <w:bookmarkEnd w:id="8"/>
    </w:p>
    <w:p>
      <w:pPr>
        <w:pStyle w:val="Heading3"/>
        <w:spacing w:before="0" w:after="0" w:line="360" w:lineRule="auto"/>
        <w:ind w:firstLine="480" w:firstLineChars="200"/>
        <w:jc w:val="left"/>
        <w:rPr>
          <w:rFonts w:eastAsia="黑体"/>
          <w:b w:val="0"/>
          <w:color w:val="auto"/>
          <w:sz w:val="24"/>
        </w:rPr>
      </w:pPr>
      <w:bookmarkStart w:id="9" w:name="_Toc70859664"/>
      <w:r>
        <w:rPr>
          <w:rFonts w:eastAsia="黑体"/>
          <w:b w:val="0"/>
          <w:color w:val="auto"/>
          <w:sz w:val="24"/>
        </w:rPr>
        <w:t>1</w:t>
      </w:r>
      <w:r>
        <w:rPr>
          <w:rFonts w:eastAsia="黑体" w:hint="eastAsia"/>
          <w:b w:val="0"/>
          <w:color w:val="auto"/>
          <w:sz w:val="24"/>
        </w:rPr>
        <w:t>、“互联网+”的概念</w:t>
      </w:r>
      <w:bookmarkEnd w:id="9"/>
    </w:p>
    <w:p>
      <w:pPr>
        <w:spacing w:line="360" w:lineRule="auto"/>
        <w:ind w:firstLine="480" w:firstLineChars="200"/>
        <w:rPr>
          <w:color w:val="auto"/>
          <w:sz w:val="24"/>
        </w:rPr>
      </w:pPr>
      <w:r>
        <w:rPr>
          <w:rFonts w:hint="eastAsia"/>
          <w:color w:val="auto"/>
          <w:sz w:val="24"/>
        </w:rPr>
        <w:t xml:space="preserve">  “互联网+”作为新兴概念，是时代发展的产物，内涵颇丰，具体是指利用互联网对传统行业进行改造升级，实现整个行业生产要素配置方式的转变和融合，通过优化生产要素、更新业务体系、重构商业模式途径来实现经济的转型和升级。所谓优化生产要素，指通过互联网增加不同生产要素之间的互联互通，使所需资源的获得超越时间空间的限制，属于“互联网+”的初级阶段；更新业务体系主要体现在要想实现资源的相互调配，需要一系列相应的配套设施和服务的支持，业务体系便会因此得以更新升级；最后，深度融合使得经济社会发展出现了新形态，各个行业出现了新生态，随着业务体系的发展成熟，便会形成整个行业的商业模式，使得经济的发展实现从传统的靠政策转变为靠市场，从传统的靠资源转变为靠智慧，从传统的靠劳动力转变为靠创新，最终实现经济整体的转型和升级</w:t>
      </w:r>
      <w:r>
        <w:rPr>
          <w:rFonts w:hint="eastAsia"/>
          <w:color w:val="auto"/>
          <w:sz w:val="24"/>
          <w:vertAlign w:val="superscript"/>
        </w:rPr>
        <w:t>[</w:t>
      </w:r>
      <w:r>
        <w:rPr>
          <w:color w:val="auto"/>
          <w:sz w:val="24"/>
          <w:vertAlign w:val="superscript"/>
        </w:rPr>
        <w:t>3</w:t>
      </w:r>
      <w:r>
        <w:rPr>
          <w:rFonts w:hint="eastAsia"/>
          <w:color w:val="auto"/>
          <w:sz w:val="24"/>
          <w:vertAlign w:val="superscript"/>
        </w:rPr>
        <w:t>]</w:t>
      </w:r>
      <w:r>
        <w:rPr>
          <w:rFonts w:hint="eastAsia"/>
          <w:color w:val="auto"/>
          <w:sz w:val="24"/>
        </w:rPr>
        <w:t>。</w:t>
      </w:r>
    </w:p>
    <w:p>
      <w:pPr>
        <w:pStyle w:val="Heading3"/>
        <w:spacing w:before="0" w:after="0" w:line="360" w:lineRule="auto"/>
        <w:ind w:firstLine="480" w:firstLineChars="200"/>
        <w:jc w:val="left"/>
        <w:rPr>
          <w:rFonts w:eastAsia="黑体"/>
          <w:b w:val="0"/>
          <w:color w:val="auto"/>
          <w:sz w:val="24"/>
        </w:rPr>
      </w:pPr>
      <w:bookmarkStart w:id="10" w:name="_Toc70859665"/>
      <w:r>
        <w:rPr>
          <w:rFonts w:eastAsia="黑体"/>
          <w:b w:val="0"/>
          <w:color w:val="auto"/>
          <w:sz w:val="24"/>
        </w:rPr>
        <w:t>2</w:t>
      </w:r>
      <w:r>
        <w:rPr>
          <w:rFonts w:eastAsia="黑体" w:hint="eastAsia"/>
          <w:b w:val="0"/>
          <w:color w:val="auto"/>
          <w:sz w:val="24"/>
        </w:rPr>
        <w:t>、虚拟养老模式概念解析</w:t>
      </w:r>
      <w:bookmarkEnd w:id="10"/>
    </w:p>
    <w:p>
      <w:pPr>
        <w:spacing w:line="360" w:lineRule="auto"/>
        <w:ind w:firstLine="480" w:firstLineChars="200"/>
        <w:rPr>
          <w:color w:val="auto"/>
          <w:sz w:val="24"/>
        </w:rPr>
        <w:sectPr>
          <w:footerReference w:type="even" r:id="rId13"/>
          <w:footerReference w:type="default" r:id="rId14"/>
          <w:type w:val="nextPage"/>
          <w:pgSz w:w="11906" w:h="16838"/>
          <w:pgMar w:top="1440" w:right="1800" w:bottom="1440" w:left="1800" w:header="851" w:footer="992" w:gutter="0"/>
          <w:pgNumType w:start="3"/>
          <w:cols w:num="1" w:space="425"/>
          <w:titlePg w:val="0"/>
          <w:docGrid w:type="lines" w:linePitch="312" w:charSpace="0"/>
        </w:sectPr>
      </w:pPr>
      <w:r>
        <w:rPr>
          <w:rFonts w:hint="eastAsia"/>
          <w:color w:val="auto"/>
          <w:sz w:val="24"/>
        </w:rPr>
        <w:t>虚拟养老模式是现代居家养老的新模式，它借助先进的互联网技术，整合社区、医院、餐厅、家政公司、养老院等服务性机构的丰富资源，为网络内部的老年人提供“足不出户”的一站式养老院服务。虽然在该模式下老年人也是居住在自己家中养老，但是它与传统的家庭养老有着根本性不同，虚拟养老是一种专业化的养老模式，它利用现有的各项社会组织资源，借助互联网的平台，为老人提供专业化的养老服务，是一个“没有围墙的养老院”。虚拟养老模式不仅可以实现老人们在家养老的意愿，同时又能为老人们提供全面专业的养老服务，极大得照顾到老人的情绪，也能有效的避免机构养老缺乏人性化的缺点</w:t>
      </w:r>
      <w:r>
        <w:rPr>
          <w:rFonts w:hint="eastAsia"/>
          <w:color w:val="auto"/>
          <w:sz w:val="24"/>
          <w:vertAlign w:val="superscript"/>
        </w:rPr>
        <w:t>[4]</w:t>
      </w:r>
      <w:r>
        <w:rPr>
          <w:rFonts w:hint="eastAsia"/>
          <w:color w:val="auto"/>
          <w:sz w:val="24"/>
        </w:rPr>
        <w:t>。与此同时，虚拟养老模式还能解决机构养老投入成本高、床位有限等现实问题。该模式综合了家庭养老与机构养老的优点，把养老服务进行市场化的运作，收获了不错的效果。</w:t>
      </w:r>
    </w:p>
    <w:p>
      <w:pPr>
        <w:pStyle w:val="Heading2"/>
        <w:spacing w:before="0" w:after="0" w:line="360" w:lineRule="auto"/>
        <w:ind w:firstLine="560" w:firstLineChars="200"/>
        <w:jc w:val="left"/>
        <w:rPr>
          <w:rFonts w:ascii="Times New Roman" w:eastAsia="黑体" w:hAnsi="Times New Roman"/>
          <w:b w:val="0"/>
          <w:color w:val="auto"/>
          <w:sz w:val="28"/>
        </w:rPr>
      </w:pPr>
      <w:bookmarkStart w:id="11" w:name="_Toc27560628"/>
      <w:bookmarkStart w:id="12" w:name="_Toc70859666"/>
      <w:r>
        <w:rPr>
          <w:rFonts w:ascii="Times New Roman" w:eastAsia="黑体" w:hAnsi="Times New Roman" w:hint="eastAsia"/>
          <w:b w:val="0"/>
          <w:color w:val="auto"/>
          <w:sz w:val="28"/>
        </w:rPr>
        <w:t>二、理论基础</w:t>
      </w:r>
      <w:bookmarkEnd w:id="11"/>
      <w:bookmarkEnd w:id="12"/>
    </w:p>
    <w:p>
      <w:pPr>
        <w:pStyle w:val="Heading3"/>
        <w:spacing w:before="0" w:after="0" w:line="360" w:lineRule="auto"/>
        <w:ind w:firstLine="480" w:firstLineChars="200"/>
        <w:jc w:val="left"/>
        <w:rPr>
          <w:rFonts w:eastAsia="黑体"/>
          <w:b w:val="0"/>
          <w:color w:val="auto"/>
          <w:sz w:val="24"/>
        </w:rPr>
      </w:pPr>
      <w:bookmarkStart w:id="13" w:name="_Toc27560629"/>
      <w:bookmarkStart w:id="14" w:name="_Toc70859667"/>
      <w:r>
        <w:rPr>
          <w:rFonts w:eastAsia="黑体"/>
          <w:b w:val="0"/>
          <w:color w:val="auto"/>
          <w:sz w:val="24"/>
        </w:rPr>
        <w:t>1</w:t>
      </w:r>
      <w:r>
        <w:rPr>
          <w:rFonts w:eastAsia="黑体" w:hint="eastAsia"/>
          <w:b w:val="0"/>
          <w:color w:val="auto"/>
          <w:sz w:val="24"/>
        </w:rPr>
        <w:t>、福利多元主义</w:t>
      </w:r>
      <w:bookmarkEnd w:id="13"/>
      <w:bookmarkEnd w:id="14"/>
    </w:p>
    <w:p>
      <w:pPr>
        <w:spacing w:line="360" w:lineRule="auto"/>
        <w:ind w:firstLine="480" w:firstLineChars="200"/>
        <w:rPr>
          <w:color w:val="auto"/>
          <w:sz w:val="24"/>
        </w:rPr>
      </w:pPr>
      <w:r>
        <w:rPr>
          <w:rFonts w:hint="eastAsia"/>
          <w:color w:val="auto"/>
          <w:sz w:val="24"/>
        </w:rPr>
        <w:t>福利多元主义主张的是将社会多方群体纳入福利的提供者行列，政府不再是福利的单一提供者。这些社会群体可以是盈利组织、公共部门、非盈利组织、社区、家庭等。</w:t>
      </w:r>
    </w:p>
    <w:p>
      <w:pPr>
        <w:spacing w:line="360" w:lineRule="auto"/>
        <w:ind w:firstLine="480" w:firstLineChars="200"/>
        <w:rPr>
          <w:color w:val="auto"/>
          <w:sz w:val="24"/>
        </w:rPr>
      </w:pPr>
      <w:r>
        <w:rPr>
          <w:rFonts w:hint="eastAsia"/>
          <w:color w:val="auto"/>
          <w:sz w:val="24"/>
        </w:rPr>
        <w:t>关于福利多元主义概念最早的定义，出现在英国政府于1978年发布的《沃尔芬德志愿组织的未来报告》，报告的结果显示志愿者组织也应当成为福利的提供者。根据英国伦敦的学者Hatch &amp; Mocroft的解释，福利多元主义指的是社会健康的输送应该由以下几个部分构成，即商业部门、政府部门、志愿者组织部门以及其他非正式部门。该理论在一般应用中，指的是政府较少担任支出角色，政府将不再是社会福利供给的唯一提供者</w:t>
      </w:r>
      <w:r>
        <w:rPr>
          <w:rFonts w:hint="eastAsia"/>
          <w:color w:val="auto"/>
          <w:sz w:val="24"/>
          <w:vertAlign w:val="superscript"/>
        </w:rPr>
        <w:t>[</w:t>
      </w:r>
      <w:r>
        <w:rPr>
          <w:color w:val="auto"/>
          <w:sz w:val="24"/>
          <w:vertAlign w:val="superscript"/>
        </w:rPr>
        <w:t>5</w:t>
      </w:r>
      <w:r>
        <w:rPr>
          <w:rFonts w:hint="eastAsia"/>
          <w:color w:val="auto"/>
          <w:sz w:val="24"/>
          <w:vertAlign w:val="superscript"/>
        </w:rPr>
        <w:t>]</w:t>
      </w:r>
      <w:r>
        <w:rPr>
          <w:rFonts w:hint="eastAsia"/>
          <w:color w:val="auto"/>
          <w:sz w:val="24"/>
        </w:rPr>
        <w:t>。</w:t>
      </w:r>
    </w:p>
    <w:p>
      <w:pPr>
        <w:pStyle w:val="Heading3"/>
        <w:spacing w:before="0" w:after="0" w:line="360" w:lineRule="auto"/>
        <w:ind w:firstLine="480" w:firstLineChars="200"/>
        <w:jc w:val="left"/>
        <w:rPr>
          <w:rFonts w:eastAsia="黑体"/>
          <w:b w:val="0"/>
          <w:color w:val="auto"/>
          <w:sz w:val="24"/>
        </w:rPr>
      </w:pPr>
      <w:bookmarkStart w:id="15" w:name="_Toc27560630"/>
      <w:bookmarkStart w:id="16" w:name="_Toc70859668"/>
      <w:r>
        <w:rPr>
          <w:rFonts w:eastAsia="黑体"/>
          <w:b w:val="0"/>
          <w:color w:val="auto"/>
          <w:sz w:val="24"/>
        </w:rPr>
        <w:t>2</w:t>
      </w:r>
      <w:r>
        <w:rPr>
          <w:rFonts w:eastAsia="黑体" w:hint="eastAsia"/>
          <w:b w:val="0"/>
          <w:color w:val="auto"/>
          <w:sz w:val="24"/>
        </w:rPr>
        <w:t>、马斯洛需求层次理论</w:t>
      </w:r>
      <w:bookmarkEnd w:id="15"/>
      <w:bookmarkEnd w:id="16"/>
    </w:p>
    <w:p>
      <w:pPr>
        <w:spacing w:line="360" w:lineRule="auto"/>
        <w:ind w:firstLine="480" w:firstLineChars="200"/>
        <w:rPr>
          <w:color w:val="auto"/>
          <w:sz w:val="24"/>
        </w:rPr>
      </w:pPr>
      <w:r>
        <w:rPr>
          <w:rFonts w:hint="eastAsia"/>
          <w:color w:val="auto"/>
          <w:sz w:val="24"/>
        </w:rPr>
        <w:t>美国心理学家马斯洛提出的需求层次理论，是当代行为科学界的重要理论之一。</w:t>
      </w:r>
    </w:p>
    <w:p>
      <w:pPr>
        <w:spacing w:line="360" w:lineRule="auto"/>
        <w:ind w:firstLine="480" w:firstLineChars="200"/>
        <w:rPr>
          <w:color w:val="auto"/>
          <w:sz w:val="24"/>
        </w:rPr>
      </w:pPr>
      <w:r>
        <w:rPr>
          <w:rFonts w:hint="eastAsia"/>
          <w:color w:val="auto"/>
          <w:sz w:val="24"/>
        </w:rPr>
        <w:t>1943年，马斯洛发表了名为《人类激励理论》的一篇论文，在文中提出了人类需求层次理论，他指出人类的需求按照先后顺序可以分为五种，即生理需求、安全需求、情感和归属的需求、尊重需求、自我实现需求。这五层需求由低至高依次排列，当前一层需求被满足时，人类就会产生更高一层次的需求</w:t>
      </w:r>
      <w:r>
        <w:rPr>
          <w:rFonts w:hint="eastAsia"/>
          <w:color w:val="auto"/>
          <w:sz w:val="24"/>
          <w:vertAlign w:val="superscript"/>
        </w:rPr>
        <w:t>[</w:t>
      </w:r>
      <w:r>
        <w:rPr>
          <w:color w:val="auto"/>
          <w:sz w:val="24"/>
          <w:vertAlign w:val="superscript"/>
        </w:rPr>
        <w:t>7</w:t>
      </w:r>
      <w:r>
        <w:rPr>
          <w:rFonts w:hint="eastAsia"/>
          <w:color w:val="auto"/>
          <w:sz w:val="24"/>
          <w:vertAlign w:val="superscript"/>
        </w:rPr>
        <w:t>]</w:t>
      </w:r>
      <w:r>
        <w:rPr>
          <w:rFonts w:hint="eastAsia"/>
          <w:color w:val="auto"/>
          <w:sz w:val="24"/>
        </w:rPr>
        <w:t>。其中生理需求主要指的是食物、水、呼吸、睡眠、性等;安全需求指的是人生安全、健康保障、工作保障、财产保障、家庭安全等等;第三层包括亲情、友情、爱情等情感需要;尊重需求则指的是尊重自己与尊重他人，以及被他人尊重等;最后也是最高一层需求是自我实现需求，它指的是人的自我追求、理想抱负以及对于现实的接收程度等。</w:t>
      </w:r>
    </w:p>
    <w:p>
      <w:pPr>
        <w:pStyle w:val="Heading1"/>
        <w:spacing w:before="0" w:after="0" w:line="360" w:lineRule="auto"/>
        <w:jc w:val="center"/>
        <w:rPr>
          <w:rFonts w:eastAsia="黑体"/>
          <w:b w:val="0"/>
          <w:color w:val="auto"/>
          <w:sz w:val="32"/>
        </w:rPr>
      </w:pPr>
      <w:bookmarkStart w:id="17" w:name="_Toc70859669"/>
      <w:r>
        <w:rPr>
          <w:rFonts w:eastAsia="黑体" w:hint="eastAsia"/>
          <w:b w:val="0"/>
          <w:color w:val="auto"/>
          <w:sz w:val="32"/>
        </w:rPr>
        <w:t>第三章 上海现行互联网+背景下养老服务机制的分析</w:t>
      </w:r>
      <w:bookmarkEnd w:id="17"/>
    </w:p>
    <w:p>
      <w:pPr>
        <w:spacing w:line="360" w:lineRule="auto"/>
        <w:ind w:firstLine="480" w:firstLineChars="200"/>
        <w:rPr>
          <w:color w:val="auto"/>
          <w:sz w:val="24"/>
        </w:rPr>
        <w:sectPr>
          <w:footerReference w:type="even" r:id="rId15"/>
          <w:footerReference w:type="default" r:id="rId16"/>
          <w:type w:val="nextPage"/>
          <w:pgSz w:w="11906" w:h="16838"/>
          <w:pgMar w:top="1440" w:right="1800" w:bottom="1440" w:left="1800" w:header="851" w:footer="992" w:gutter="0"/>
          <w:pgNumType w:start="4"/>
          <w:cols w:num="1" w:space="425"/>
          <w:titlePg w:val="0"/>
          <w:docGrid w:type="lines" w:linePitch="312" w:charSpace="0"/>
        </w:sectPr>
      </w:pPr>
      <w:r>
        <w:rPr>
          <w:rFonts w:hint="eastAsia"/>
          <w:color w:val="auto"/>
          <w:sz w:val="24"/>
        </w:rPr>
        <w:t>虚拟养老院是由当地政府建立的一个信息服务平台，当老年人有服务需要时，拨一个电话给信息服务平台，平台就会按照老年人的要求，派服务员工上门为老年人提供服务，同时对服务质量进行监督</w:t>
      </w:r>
      <w:r>
        <w:rPr>
          <w:rFonts w:hint="eastAsia"/>
          <w:color w:val="auto"/>
          <w:sz w:val="24"/>
          <w:vertAlign w:val="superscript"/>
        </w:rPr>
        <w:t>[</w:t>
      </w:r>
      <w:r>
        <w:rPr>
          <w:color w:val="auto"/>
          <w:sz w:val="24"/>
          <w:vertAlign w:val="superscript"/>
        </w:rPr>
        <w:t>23</w:t>
      </w:r>
      <w:r>
        <w:rPr>
          <w:rFonts w:hint="eastAsia"/>
          <w:color w:val="auto"/>
          <w:sz w:val="24"/>
          <w:vertAlign w:val="superscript"/>
        </w:rPr>
        <w:t>]</w:t>
      </w:r>
      <w:r>
        <w:rPr>
          <w:rFonts w:hint="eastAsia"/>
          <w:color w:val="auto"/>
          <w:sz w:val="24"/>
        </w:rPr>
        <w:t>。养老服务由互联网构建了一个更为庞大的“虚拟社区”，通过智慧居家养老信息化服务平台建立的服务体系，为老年人进行服务。</w:t>
      </w:r>
    </w:p>
    <w:p>
      <w:pPr>
        <w:pStyle w:val="Heading2"/>
        <w:spacing w:before="0" w:after="0" w:line="360" w:lineRule="auto"/>
        <w:ind w:firstLine="560" w:firstLineChars="200"/>
        <w:jc w:val="left"/>
        <w:rPr>
          <w:rFonts w:ascii="Times New Roman" w:eastAsia="黑体" w:hAnsi="Times New Roman"/>
          <w:b w:val="0"/>
          <w:color w:val="auto"/>
          <w:sz w:val="28"/>
        </w:rPr>
      </w:pPr>
      <w:bookmarkStart w:id="18" w:name="_Toc70859670"/>
      <w:r>
        <w:rPr>
          <w:rFonts w:ascii="Times New Roman" w:eastAsia="黑体" w:hAnsi="Times New Roman" w:hint="eastAsia"/>
          <w:b w:val="0"/>
          <w:color w:val="auto"/>
          <w:sz w:val="28"/>
        </w:rPr>
        <w:t>一、虚拟养老院的需求及</w:t>
      </w:r>
      <w:r>
        <w:rPr>
          <w:rFonts w:ascii="Times New Roman" w:eastAsia="黑体" w:hAnsi="Times New Roman"/>
          <w:b w:val="0"/>
          <w:color w:val="auto"/>
          <w:sz w:val="28"/>
        </w:rPr>
        <w:t>认可度</w:t>
      </w:r>
      <w:r>
        <w:rPr>
          <w:rFonts w:ascii="Times New Roman" w:eastAsia="黑体" w:hAnsi="Times New Roman" w:hint="eastAsia"/>
          <w:b w:val="0"/>
          <w:color w:val="auto"/>
          <w:sz w:val="28"/>
        </w:rPr>
        <w:t>调查</w:t>
      </w:r>
      <w:bookmarkEnd w:id="18"/>
    </w:p>
    <w:p>
      <w:pPr>
        <w:spacing w:line="360" w:lineRule="auto"/>
        <w:ind w:firstLine="480" w:firstLineChars="200"/>
        <w:rPr>
          <w:color w:val="auto"/>
          <w:sz w:val="24"/>
        </w:rPr>
      </w:pPr>
      <w:r>
        <w:rPr>
          <w:rFonts w:hint="eastAsia"/>
          <w:color w:val="auto"/>
          <w:sz w:val="24"/>
        </w:rPr>
        <w:t>本文通过抽样问卷调查的方式，对虚拟养老院进行了认可度调研。根据研究目的将调研问卷设计完毕后，采取随机的方式，发放</w:t>
      </w:r>
      <w:r>
        <w:rPr>
          <w:color w:val="auto"/>
          <w:sz w:val="24"/>
        </w:rPr>
        <w:t>问卷</w:t>
      </w:r>
      <w:r>
        <w:rPr>
          <w:rFonts w:hint="eastAsia"/>
          <w:color w:val="auto"/>
          <w:sz w:val="24"/>
        </w:rPr>
        <w:t>300份</w:t>
      </w:r>
      <w:r>
        <w:rPr>
          <w:color w:val="auto"/>
          <w:sz w:val="24"/>
        </w:rPr>
        <w:t>，</w:t>
      </w:r>
      <w:r>
        <w:rPr>
          <w:rFonts w:hint="eastAsia"/>
          <w:color w:val="auto"/>
          <w:sz w:val="24"/>
        </w:rPr>
        <w:t>回收有效问卷239份。本研究239个样本数据中，老年人的基本情况包括:婚姻状态、从总体看，健康状况、过去从事的职业、子女数、居住状况、年龄、受教育程度、月收入和月支出等。</w:t>
      </w:r>
    </w:p>
    <w:p>
      <w:pPr>
        <w:pStyle w:val="Heading3"/>
        <w:spacing w:before="0" w:after="0" w:line="360" w:lineRule="auto"/>
        <w:ind w:firstLine="480" w:firstLineChars="200"/>
        <w:jc w:val="left"/>
        <w:rPr>
          <w:color w:val="auto"/>
          <w:sz w:val="24"/>
        </w:rPr>
      </w:pPr>
      <w:bookmarkStart w:id="19" w:name="_Toc70859671"/>
      <w:bookmarkStart w:id="20" w:name="_Toc27560647"/>
      <w:r>
        <w:rPr>
          <w:rFonts w:eastAsia="黑体"/>
          <w:b w:val="0"/>
          <w:color w:val="auto"/>
          <w:sz w:val="24"/>
        </w:rPr>
        <w:t>1</w:t>
      </w:r>
      <w:r>
        <w:rPr>
          <w:rFonts w:eastAsia="黑体" w:hint="eastAsia"/>
          <w:b w:val="0"/>
          <w:color w:val="auto"/>
          <w:sz w:val="24"/>
        </w:rPr>
        <w:t>、调查</w:t>
      </w:r>
      <w:r>
        <w:rPr>
          <w:rFonts w:eastAsia="黑体"/>
          <w:b w:val="0"/>
          <w:color w:val="auto"/>
          <w:sz w:val="24"/>
        </w:rPr>
        <w:t>对象</w:t>
      </w:r>
      <w:r>
        <w:rPr>
          <w:rFonts w:eastAsia="黑体" w:hint="eastAsia"/>
          <w:b w:val="0"/>
          <w:color w:val="auto"/>
          <w:sz w:val="24"/>
        </w:rPr>
        <w:t>基本情况</w:t>
      </w:r>
      <w:bookmarkEnd w:id="19"/>
      <w:bookmarkEnd w:id="20"/>
      <w:r>
        <w:rPr>
          <w:rFonts w:eastAsia="黑体" w:hint="eastAsia"/>
          <w:b w:val="0"/>
          <w:color w:val="auto"/>
          <w:sz w:val="24"/>
        </w:rPr>
        <w:t xml:space="preserve">  </w:t>
      </w:r>
      <w:r>
        <w:rPr>
          <w:rFonts w:hint="eastAsia"/>
          <w:color w:val="auto"/>
          <w:sz w:val="24"/>
        </w:rPr>
        <w:t xml:space="preserve">  </w:t>
      </w:r>
    </w:p>
    <w:p>
      <w:pPr>
        <w:spacing w:line="360" w:lineRule="auto"/>
        <w:ind w:firstLine="480" w:firstLineChars="200"/>
        <w:rPr>
          <w:color w:val="auto"/>
          <w:sz w:val="24"/>
        </w:rPr>
      </w:pPr>
      <w:r>
        <w:rPr>
          <w:rFonts w:hint="eastAsia"/>
          <w:color w:val="auto"/>
          <w:sz w:val="24"/>
        </w:rPr>
        <w:t>样本基本情况如下描述：</w:t>
      </w:r>
    </w:p>
    <w:p>
      <w:pPr>
        <w:spacing w:line="360" w:lineRule="auto"/>
        <w:ind w:firstLine="480" w:firstLineChars="200"/>
        <w:rPr>
          <w:color w:val="auto"/>
          <w:sz w:val="24"/>
        </w:rPr>
      </w:pPr>
      <w:r>
        <w:rPr>
          <w:rFonts w:hint="eastAsia"/>
          <w:color w:val="auto"/>
          <w:sz w:val="24"/>
        </w:rPr>
        <w:t>（1）性别</w:t>
      </w:r>
    </w:p>
    <w:p>
      <w:pPr>
        <w:spacing w:line="360" w:lineRule="auto"/>
        <w:ind w:firstLine="480" w:firstLineChars="200"/>
        <w:rPr>
          <w:color w:val="auto"/>
          <w:sz w:val="24"/>
        </w:rPr>
      </w:pPr>
      <w:r>
        <w:rPr>
          <w:rFonts w:hint="eastAsia"/>
          <w:color w:val="auto"/>
          <w:sz w:val="24"/>
        </w:rPr>
        <w:t>调研对象的性别比例情况如表</w:t>
      </w:r>
      <w:r>
        <w:rPr>
          <w:color w:val="auto"/>
          <w:sz w:val="24"/>
        </w:rPr>
        <w:t>4</w:t>
      </w:r>
      <w:r>
        <w:rPr>
          <w:rFonts w:hint="eastAsia"/>
          <w:color w:val="auto"/>
          <w:sz w:val="24"/>
        </w:rPr>
        <w:t>-</w:t>
      </w:r>
      <w:r>
        <w:rPr>
          <w:color w:val="auto"/>
          <w:sz w:val="24"/>
        </w:rPr>
        <w:t>1</w:t>
      </w:r>
      <w:r>
        <w:rPr>
          <w:rFonts w:hint="eastAsia"/>
          <w:color w:val="auto"/>
          <w:sz w:val="24"/>
        </w:rPr>
        <w:t>所示:其中，男性老年人为102人，占样本总体的42.7</w:t>
      </w:r>
      <w:r>
        <w:rPr>
          <w:color w:val="auto"/>
          <w:sz w:val="24"/>
        </w:rPr>
        <w:t>%，</w:t>
      </w:r>
      <w:r>
        <w:rPr>
          <w:rFonts w:hint="eastAsia"/>
          <w:color w:val="auto"/>
          <w:sz w:val="24"/>
        </w:rPr>
        <w:t>女性老年人的数量为137人，占样本总体的57.3</w:t>
      </w:r>
      <w:r>
        <w:rPr>
          <w:color w:val="auto"/>
          <w:sz w:val="24"/>
        </w:rPr>
        <w:t>%</w:t>
      </w:r>
      <w:r>
        <w:rPr>
          <w:rFonts w:hint="eastAsia"/>
          <w:color w:val="auto"/>
          <w:sz w:val="24"/>
        </w:rPr>
        <w:t>。女性老年人所占比例较多，但从总体看相差不大。</w:t>
      </w:r>
    </w:p>
    <w:p>
      <w:pPr>
        <w:spacing w:line="360" w:lineRule="auto"/>
        <w:ind w:firstLine="480"/>
        <w:jc w:val="center"/>
        <w:rPr>
          <w:color w:val="auto"/>
          <w:sz w:val="24"/>
        </w:rPr>
      </w:pPr>
      <w:r>
        <w:rPr>
          <w:rFonts w:hint="eastAsia"/>
          <w:color w:val="auto"/>
          <w:sz w:val="24"/>
        </w:rPr>
        <w:t>表</w:t>
      </w:r>
      <w:r>
        <w:rPr>
          <w:color w:val="auto"/>
          <w:sz w:val="24"/>
        </w:rPr>
        <w:t>3</w:t>
      </w:r>
      <w:r>
        <w:rPr>
          <w:rFonts w:hint="eastAsia"/>
          <w:color w:val="auto"/>
          <w:sz w:val="24"/>
        </w:rPr>
        <w:t>-</w:t>
      </w:r>
      <w:r>
        <w:rPr>
          <w:color w:val="auto"/>
          <w:sz w:val="24"/>
        </w:rPr>
        <w:t>1</w:t>
      </w:r>
      <w:r>
        <w:rPr>
          <w:rFonts w:hint="eastAsia"/>
          <w:color w:val="auto"/>
          <w:sz w:val="24"/>
        </w:rPr>
        <w:t>性别结构情况</w:t>
      </w:r>
    </w:p>
    <w:tbl>
      <w:tblPr>
        <w:tblStyle w:val="TableGrid0"/>
        <w:tblW w:w="829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65"/>
        <w:gridCol w:w="2765"/>
        <w:gridCol w:w="2766"/>
      </w:tblGrid>
      <w:tr>
        <w:tblPrEx>
          <w:tblW w:w="829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性别</w:t>
            </w:r>
          </w:p>
        </w:tc>
        <w:tc>
          <w:tcPr>
            <w:tcW w:w="2765" w:type="dxa"/>
          </w:tcPr>
          <w:p>
            <w:pPr>
              <w:spacing w:line="360" w:lineRule="auto"/>
              <w:jc w:val="center"/>
              <w:rPr>
                <w:color w:val="auto"/>
                <w:sz w:val="24"/>
              </w:rPr>
            </w:pPr>
            <w:r>
              <w:rPr>
                <w:rFonts w:hint="eastAsia"/>
                <w:color w:val="auto"/>
                <w:sz w:val="24"/>
              </w:rPr>
              <w:t>频数</w:t>
            </w:r>
          </w:p>
        </w:tc>
        <w:tc>
          <w:tcPr>
            <w:tcW w:w="2766" w:type="dxa"/>
          </w:tcPr>
          <w:p>
            <w:pPr>
              <w:spacing w:line="360" w:lineRule="auto"/>
              <w:jc w:val="center"/>
              <w:rPr>
                <w:color w:val="auto"/>
                <w:sz w:val="24"/>
              </w:rPr>
            </w:pPr>
            <w:r>
              <w:rPr>
                <w:rFonts w:hint="eastAsia"/>
                <w:color w:val="auto"/>
                <w:sz w:val="24"/>
              </w:rPr>
              <w:t>百分比</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男</w:t>
            </w:r>
          </w:p>
        </w:tc>
        <w:tc>
          <w:tcPr>
            <w:tcW w:w="2765" w:type="dxa"/>
          </w:tcPr>
          <w:p>
            <w:pPr>
              <w:spacing w:line="360" w:lineRule="auto"/>
              <w:jc w:val="center"/>
              <w:rPr>
                <w:color w:val="auto"/>
                <w:sz w:val="24"/>
              </w:rPr>
            </w:pPr>
            <w:r>
              <w:rPr>
                <w:color w:val="auto"/>
                <w:sz w:val="24"/>
              </w:rPr>
              <w:t>102</w:t>
            </w:r>
          </w:p>
        </w:tc>
        <w:tc>
          <w:tcPr>
            <w:tcW w:w="2766" w:type="dxa"/>
          </w:tcPr>
          <w:p>
            <w:pPr>
              <w:spacing w:line="360" w:lineRule="auto"/>
              <w:jc w:val="center"/>
              <w:rPr>
                <w:color w:val="auto"/>
                <w:sz w:val="24"/>
              </w:rPr>
            </w:pPr>
            <w:r>
              <w:rPr>
                <w:color w:val="auto"/>
                <w:sz w:val="24"/>
              </w:rPr>
              <w:t>42.7</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女</w:t>
            </w:r>
          </w:p>
        </w:tc>
        <w:tc>
          <w:tcPr>
            <w:tcW w:w="2765" w:type="dxa"/>
          </w:tcPr>
          <w:p>
            <w:pPr>
              <w:spacing w:line="360" w:lineRule="auto"/>
              <w:jc w:val="center"/>
              <w:rPr>
                <w:color w:val="auto"/>
                <w:sz w:val="24"/>
              </w:rPr>
            </w:pPr>
            <w:r>
              <w:rPr>
                <w:color w:val="auto"/>
                <w:sz w:val="24"/>
              </w:rPr>
              <w:t>137</w:t>
            </w:r>
          </w:p>
        </w:tc>
        <w:tc>
          <w:tcPr>
            <w:tcW w:w="2766" w:type="dxa"/>
          </w:tcPr>
          <w:p>
            <w:pPr>
              <w:spacing w:line="360" w:lineRule="auto"/>
              <w:jc w:val="center"/>
              <w:rPr>
                <w:color w:val="auto"/>
                <w:sz w:val="24"/>
              </w:rPr>
            </w:pPr>
            <w:r>
              <w:rPr>
                <w:color w:val="auto"/>
                <w:sz w:val="24"/>
              </w:rPr>
              <w:t>57.3</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合计</w:t>
            </w:r>
          </w:p>
        </w:tc>
        <w:tc>
          <w:tcPr>
            <w:tcW w:w="2765" w:type="dxa"/>
          </w:tcPr>
          <w:p>
            <w:pPr>
              <w:spacing w:line="360" w:lineRule="auto"/>
              <w:jc w:val="center"/>
              <w:rPr>
                <w:color w:val="auto"/>
                <w:sz w:val="24"/>
              </w:rPr>
            </w:pPr>
            <w:r>
              <w:rPr>
                <w:color w:val="auto"/>
                <w:sz w:val="24"/>
              </w:rPr>
              <w:t>239</w:t>
            </w:r>
          </w:p>
        </w:tc>
        <w:tc>
          <w:tcPr>
            <w:tcW w:w="2766" w:type="dxa"/>
          </w:tcPr>
          <w:p>
            <w:pPr>
              <w:spacing w:line="360" w:lineRule="auto"/>
              <w:jc w:val="center"/>
              <w:rPr>
                <w:color w:val="auto"/>
                <w:sz w:val="24"/>
              </w:rPr>
            </w:pPr>
            <w:r>
              <w:rPr>
                <w:color w:val="auto"/>
                <w:sz w:val="24"/>
              </w:rPr>
              <w:t>100.0</w:t>
            </w:r>
          </w:p>
        </w:tc>
      </w:tr>
    </w:tbl>
    <w:p>
      <w:pPr>
        <w:spacing w:line="360" w:lineRule="auto"/>
        <w:ind w:firstLine="480" w:firstLineChars="200"/>
        <w:rPr>
          <w:color w:val="auto"/>
          <w:sz w:val="24"/>
        </w:rPr>
      </w:pPr>
      <w:r>
        <w:rPr>
          <w:rFonts w:hint="eastAsia"/>
          <w:color w:val="auto"/>
          <w:sz w:val="24"/>
        </w:rPr>
        <w:t>（2）年龄</w:t>
      </w:r>
    </w:p>
    <w:p>
      <w:pPr>
        <w:spacing w:line="360" w:lineRule="auto"/>
        <w:ind w:firstLine="480" w:firstLineChars="200"/>
        <w:rPr>
          <w:color w:val="auto"/>
          <w:sz w:val="24"/>
        </w:rPr>
      </w:pPr>
      <w:r>
        <w:rPr>
          <w:rFonts w:hint="eastAsia"/>
          <w:color w:val="auto"/>
          <w:sz w:val="24"/>
        </w:rPr>
        <w:t>调研对象中60-69岁的老年人数量为131人，占调研总体的54.8</w:t>
      </w:r>
      <w:r>
        <w:rPr>
          <w:color w:val="auto"/>
          <w:sz w:val="24"/>
        </w:rPr>
        <w:t>%</w:t>
      </w:r>
      <w:r>
        <w:rPr>
          <w:rFonts w:hint="eastAsia"/>
          <w:color w:val="auto"/>
          <w:sz w:val="24"/>
        </w:rPr>
        <w:t xml:space="preserve"> ;  70-79岁的老年人数量为71人，占样本总体的29.7</w:t>
      </w:r>
      <w:r>
        <w:rPr>
          <w:color w:val="auto"/>
          <w:sz w:val="24"/>
        </w:rPr>
        <w:t>%</w:t>
      </w:r>
      <w:r>
        <w:rPr>
          <w:rFonts w:hint="eastAsia"/>
          <w:color w:val="auto"/>
          <w:sz w:val="24"/>
        </w:rPr>
        <w:t xml:space="preserve"> ;  80</w:t>
      </w:r>
      <w:r>
        <w:rPr>
          <w:color w:val="auto"/>
          <w:sz w:val="24"/>
        </w:rPr>
        <w:t>-</w:t>
      </w:r>
      <w:r>
        <w:rPr>
          <w:rFonts w:hint="eastAsia"/>
          <w:color w:val="auto"/>
          <w:sz w:val="24"/>
        </w:rPr>
        <w:t>89岁的老年人数量为27人，占样本的比例为11.3</w:t>
      </w:r>
      <w:r>
        <w:rPr>
          <w:color w:val="auto"/>
          <w:sz w:val="24"/>
        </w:rPr>
        <w:t>%</w:t>
      </w:r>
      <w:r>
        <w:rPr>
          <w:rFonts w:hint="eastAsia"/>
          <w:color w:val="auto"/>
          <w:sz w:val="24"/>
        </w:rPr>
        <w:t xml:space="preserve"> ;  90岁及以上的老年人数量为10人，占样本总体的4.2 </w:t>
      </w:r>
      <w:r>
        <w:rPr>
          <w:color w:val="auto"/>
          <w:sz w:val="24"/>
        </w:rPr>
        <w:t>%</w:t>
      </w:r>
      <w:r>
        <w:rPr>
          <w:rFonts w:hint="eastAsia"/>
          <w:color w:val="auto"/>
          <w:sz w:val="24"/>
        </w:rPr>
        <w:t>，如表格</w:t>
      </w:r>
      <w:r>
        <w:rPr>
          <w:color w:val="auto"/>
          <w:sz w:val="24"/>
        </w:rPr>
        <w:t>3</w:t>
      </w:r>
      <w:r>
        <w:rPr>
          <w:rFonts w:hint="eastAsia"/>
          <w:color w:val="auto"/>
          <w:sz w:val="24"/>
        </w:rPr>
        <w:t>-</w:t>
      </w:r>
      <w:r>
        <w:rPr>
          <w:color w:val="auto"/>
          <w:sz w:val="24"/>
        </w:rPr>
        <w:t>2</w:t>
      </w:r>
      <w:r>
        <w:rPr>
          <w:rFonts w:hint="eastAsia"/>
          <w:color w:val="auto"/>
          <w:sz w:val="24"/>
        </w:rPr>
        <w:t>所示:</w:t>
      </w:r>
    </w:p>
    <w:p>
      <w:pPr>
        <w:spacing w:line="360" w:lineRule="auto"/>
        <w:ind w:firstLine="480"/>
        <w:jc w:val="center"/>
        <w:rPr>
          <w:color w:val="auto"/>
          <w:sz w:val="24"/>
        </w:rPr>
      </w:pPr>
      <w:r>
        <w:rPr>
          <w:rFonts w:hint="eastAsia"/>
          <w:color w:val="auto"/>
          <w:sz w:val="24"/>
        </w:rPr>
        <w:t>表</w:t>
      </w:r>
      <w:r>
        <w:rPr>
          <w:color w:val="auto"/>
          <w:sz w:val="24"/>
        </w:rPr>
        <w:t>3</w:t>
      </w:r>
      <w:r>
        <w:rPr>
          <w:rFonts w:hint="eastAsia"/>
          <w:color w:val="auto"/>
          <w:sz w:val="24"/>
        </w:rPr>
        <w:t>-</w:t>
      </w:r>
      <w:r>
        <w:rPr>
          <w:color w:val="auto"/>
          <w:sz w:val="24"/>
        </w:rPr>
        <w:t>2</w:t>
      </w:r>
      <w:r>
        <w:rPr>
          <w:rFonts w:hint="eastAsia"/>
          <w:color w:val="auto"/>
          <w:sz w:val="24"/>
        </w:rPr>
        <w:t>所调查老年人的年龄分布</w:t>
      </w:r>
    </w:p>
    <w:tbl>
      <w:tblPr>
        <w:tblStyle w:val="TableGrid0"/>
        <w:tblW w:w="829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65"/>
        <w:gridCol w:w="2765"/>
        <w:gridCol w:w="2766"/>
      </w:tblGrid>
      <w:tr>
        <w:tblPrEx>
          <w:tblW w:w="829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 xml:space="preserve">  年龄段</w:t>
            </w:r>
          </w:p>
        </w:tc>
        <w:tc>
          <w:tcPr>
            <w:tcW w:w="2765" w:type="dxa"/>
          </w:tcPr>
          <w:p>
            <w:pPr>
              <w:spacing w:line="360" w:lineRule="auto"/>
              <w:jc w:val="center"/>
              <w:rPr>
                <w:color w:val="auto"/>
                <w:sz w:val="24"/>
              </w:rPr>
            </w:pPr>
            <w:r>
              <w:rPr>
                <w:rFonts w:hint="eastAsia"/>
                <w:color w:val="auto"/>
                <w:sz w:val="24"/>
              </w:rPr>
              <w:t>频数</w:t>
            </w:r>
          </w:p>
        </w:tc>
        <w:tc>
          <w:tcPr>
            <w:tcW w:w="2766" w:type="dxa"/>
          </w:tcPr>
          <w:p>
            <w:pPr>
              <w:spacing w:line="360" w:lineRule="auto"/>
              <w:jc w:val="center"/>
              <w:rPr>
                <w:color w:val="auto"/>
                <w:sz w:val="24"/>
              </w:rPr>
            </w:pPr>
            <w:r>
              <w:rPr>
                <w:rFonts w:hint="eastAsia"/>
                <w:color w:val="auto"/>
                <w:sz w:val="24"/>
              </w:rPr>
              <w:t>百分比</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color w:val="auto"/>
                <w:sz w:val="24"/>
              </w:rPr>
              <w:t xml:space="preserve">  60-69</w:t>
            </w:r>
          </w:p>
        </w:tc>
        <w:tc>
          <w:tcPr>
            <w:tcW w:w="2765" w:type="dxa"/>
          </w:tcPr>
          <w:p>
            <w:pPr>
              <w:spacing w:line="360" w:lineRule="auto"/>
              <w:jc w:val="center"/>
              <w:rPr>
                <w:color w:val="auto"/>
                <w:sz w:val="24"/>
              </w:rPr>
            </w:pPr>
            <w:r>
              <w:rPr>
                <w:color w:val="auto"/>
                <w:sz w:val="24"/>
              </w:rPr>
              <w:t>131</w:t>
            </w:r>
          </w:p>
        </w:tc>
        <w:tc>
          <w:tcPr>
            <w:tcW w:w="2766" w:type="dxa"/>
          </w:tcPr>
          <w:p>
            <w:pPr>
              <w:spacing w:line="360" w:lineRule="auto"/>
              <w:jc w:val="center"/>
              <w:rPr>
                <w:color w:val="auto"/>
                <w:sz w:val="24"/>
              </w:rPr>
            </w:pPr>
            <w:r>
              <w:rPr>
                <w:color w:val="auto"/>
                <w:sz w:val="24"/>
              </w:rPr>
              <w:t>54.8</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color w:val="auto"/>
                <w:sz w:val="24"/>
              </w:rPr>
              <w:t xml:space="preserve">  70-79</w:t>
            </w:r>
          </w:p>
        </w:tc>
        <w:tc>
          <w:tcPr>
            <w:tcW w:w="2765" w:type="dxa"/>
          </w:tcPr>
          <w:p>
            <w:pPr>
              <w:spacing w:line="360" w:lineRule="auto"/>
              <w:jc w:val="center"/>
              <w:rPr>
                <w:color w:val="auto"/>
                <w:sz w:val="24"/>
              </w:rPr>
            </w:pPr>
            <w:r>
              <w:rPr>
                <w:color w:val="auto"/>
                <w:sz w:val="24"/>
              </w:rPr>
              <w:t>71</w:t>
            </w:r>
          </w:p>
        </w:tc>
        <w:tc>
          <w:tcPr>
            <w:tcW w:w="2766" w:type="dxa"/>
          </w:tcPr>
          <w:p>
            <w:pPr>
              <w:spacing w:line="360" w:lineRule="auto"/>
              <w:jc w:val="center"/>
              <w:rPr>
                <w:color w:val="auto"/>
                <w:sz w:val="24"/>
              </w:rPr>
            </w:pPr>
            <w:r>
              <w:rPr>
                <w:color w:val="auto"/>
                <w:sz w:val="24"/>
              </w:rPr>
              <w:t>29.7</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color w:val="auto"/>
                <w:sz w:val="24"/>
              </w:rPr>
              <w:t xml:space="preserve">  80-89</w:t>
            </w:r>
          </w:p>
        </w:tc>
        <w:tc>
          <w:tcPr>
            <w:tcW w:w="2765" w:type="dxa"/>
          </w:tcPr>
          <w:p>
            <w:pPr>
              <w:spacing w:line="360" w:lineRule="auto"/>
              <w:jc w:val="center"/>
              <w:rPr>
                <w:color w:val="auto"/>
                <w:sz w:val="24"/>
              </w:rPr>
            </w:pPr>
            <w:r>
              <w:rPr>
                <w:color w:val="auto"/>
                <w:sz w:val="24"/>
              </w:rPr>
              <w:t>27</w:t>
            </w:r>
          </w:p>
        </w:tc>
        <w:tc>
          <w:tcPr>
            <w:tcW w:w="2766" w:type="dxa"/>
          </w:tcPr>
          <w:p>
            <w:pPr>
              <w:spacing w:line="360" w:lineRule="auto"/>
              <w:jc w:val="center"/>
              <w:rPr>
                <w:color w:val="auto"/>
                <w:sz w:val="24"/>
              </w:rPr>
            </w:pPr>
            <w:r>
              <w:rPr>
                <w:color w:val="auto"/>
                <w:sz w:val="24"/>
              </w:rPr>
              <w:t>11.3</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90及以上</w:t>
            </w:r>
          </w:p>
        </w:tc>
        <w:tc>
          <w:tcPr>
            <w:tcW w:w="2765" w:type="dxa"/>
          </w:tcPr>
          <w:p>
            <w:pPr>
              <w:spacing w:line="360" w:lineRule="auto"/>
              <w:jc w:val="center"/>
              <w:rPr>
                <w:color w:val="auto"/>
                <w:sz w:val="24"/>
              </w:rPr>
            </w:pPr>
            <w:r>
              <w:rPr>
                <w:color w:val="auto"/>
                <w:sz w:val="24"/>
              </w:rPr>
              <w:t>10</w:t>
            </w:r>
          </w:p>
        </w:tc>
        <w:tc>
          <w:tcPr>
            <w:tcW w:w="2766" w:type="dxa"/>
          </w:tcPr>
          <w:p>
            <w:pPr>
              <w:spacing w:line="360" w:lineRule="auto"/>
              <w:jc w:val="center"/>
              <w:rPr>
                <w:color w:val="auto"/>
                <w:sz w:val="24"/>
              </w:rPr>
            </w:pPr>
            <w:r>
              <w:rPr>
                <w:color w:val="auto"/>
                <w:sz w:val="24"/>
              </w:rPr>
              <w:t>4.2</w:t>
            </w:r>
          </w:p>
        </w:tc>
      </w:tr>
      <w:tr>
        <w:tblPrEx>
          <w:tblW w:w="8296" w:type="dxa"/>
          <w:tblInd w:w="0" w:type="dxa"/>
          <w:tblLayout w:type="fixed"/>
          <w:tblCellMar>
            <w:top w:w="0" w:type="dxa"/>
            <w:left w:w="108" w:type="dxa"/>
            <w:bottom w:w="0" w:type="dxa"/>
            <w:right w:w="108" w:type="dxa"/>
          </w:tblCellMar>
        </w:tblPrEx>
        <w:tc>
          <w:tcPr>
            <w:tcW w:w="2765" w:type="dxa"/>
          </w:tcPr>
          <w:p>
            <w:pPr>
              <w:spacing w:line="360" w:lineRule="auto"/>
              <w:jc w:val="center"/>
              <w:rPr>
                <w:color w:val="auto"/>
                <w:sz w:val="24"/>
              </w:rPr>
            </w:pPr>
            <w:r>
              <w:rPr>
                <w:rFonts w:hint="eastAsia"/>
                <w:color w:val="auto"/>
                <w:sz w:val="24"/>
              </w:rPr>
              <w:t xml:space="preserve">  总计</w:t>
            </w:r>
          </w:p>
        </w:tc>
        <w:tc>
          <w:tcPr>
            <w:tcW w:w="2765" w:type="dxa"/>
          </w:tcPr>
          <w:p>
            <w:pPr>
              <w:spacing w:line="360" w:lineRule="auto"/>
              <w:jc w:val="center"/>
              <w:rPr>
                <w:color w:val="auto"/>
                <w:sz w:val="24"/>
              </w:rPr>
            </w:pPr>
            <w:r>
              <w:rPr>
                <w:color w:val="auto"/>
                <w:sz w:val="24"/>
              </w:rPr>
              <w:t>239</w:t>
            </w:r>
          </w:p>
        </w:tc>
        <w:tc>
          <w:tcPr>
            <w:tcW w:w="2766" w:type="dxa"/>
          </w:tcPr>
          <w:p>
            <w:pPr>
              <w:spacing w:line="360" w:lineRule="auto"/>
              <w:jc w:val="center"/>
              <w:rPr>
                <w:color w:val="auto"/>
                <w:sz w:val="24"/>
              </w:rPr>
            </w:pPr>
            <w:r>
              <w:rPr>
                <w:color w:val="auto"/>
                <w:sz w:val="24"/>
              </w:rPr>
              <w:t>100.0</w:t>
            </w:r>
          </w:p>
        </w:tc>
      </w:tr>
    </w:tbl>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https://d.book118.com/385313040122011041</w:t>
        </w:r>
      </w:hyperlink>
    </w:p>
    <w:p/>
    <w:sectPr>
      <w:footerReference w:type="even" r:id="rId18"/>
      <w:footerReference w:type="default" r:id="rId19"/>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4B10F15"/>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qFormat="1"/>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40" w:lineRule="auto"/>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qFormat/>
    <w:pPr>
      <w:keepNext/>
      <w:keepLines/>
      <w:spacing w:before="260" w:after="260" w:line="416" w:lineRule="auto"/>
      <w:outlineLvl w:val="1"/>
    </w:pPr>
    <w:rPr>
      <w:rFonts w:ascii="Cambria" w:eastAsia="宋体" w:hAnsi="Cambria" w:cs="宋体"/>
      <w:b/>
      <w:bCs/>
      <w:sz w:val="32"/>
      <w:szCs w:val="32"/>
    </w:rPr>
  </w:style>
  <w:style w:type="paragraph" w:styleId="Heading3">
    <w:name w:val="heading 3"/>
    <w:basedOn w:val="Normal"/>
    <w:next w:val="Normal"/>
    <w:link w:val="3Char"/>
    <w:autoRedefine/>
    <w:uiPriority w:val="9"/>
    <w:qFormat/>
    <w:pPr>
      <w:keepNext/>
      <w:keepLines/>
      <w:spacing w:before="260" w:after="260" w:line="416" w:lineRule="auto"/>
      <w:outlineLvl w:val="2"/>
    </w:pPr>
    <w:rPr>
      <w:b/>
      <w:bCs/>
      <w:sz w:val="32"/>
      <w:szCs w:val="32"/>
    </w:rPr>
  </w:style>
  <w:style w:type="character" w:default="1" w:styleId="DefaultParagraphFont">
    <w:name w:val="Default Paragraph Font"/>
    <w:uiPriority w:val="1"/>
  </w:style>
  <w:style w:type="table" w:default="1" w:styleId="TableNormal">
    <w:name w:val="Normal Table"/>
    <w:uiPriority w:val="99"/>
    <w:tblPr>
      <w:tblCellMar>
        <w:top w:w="0" w:type="dxa"/>
        <w:left w:w="108" w:type="dxa"/>
        <w:bottom w:w="0" w:type="dxa"/>
        <w:right w:w="108" w:type="dxa"/>
      </w:tblCellMar>
    </w:tblPr>
  </w:style>
  <w:style w:type="paragraph" w:styleId="TOC7">
    <w:name w:val="toc 7"/>
    <w:basedOn w:val="Normal"/>
    <w:next w:val="Normal"/>
    <w:autoRedefine/>
    <w:uiPriority w:val="39"/>
    <w:qFormat/>
    <w:pPr>
      <w:ind w:left="2520" w:leftChars="1200"/>
    </w:pPr>
  </w:style>
  <w:style w:type="paragraph" w:styleId="TOC5">
    <w:name w:val="toc 5"/>
    <w:basedOn w:val="Normal"/>
    <w:next w:val="Normal"/>
    <w:autoRedefine/>
    <w:uiPriority w:val="39"/>
    <w:qFormat/>
    <w:pPr>
      <w:ind w:left="1680" w:leftChars="800"/>
    </w:pPr>
  </w:style>
  <w:style w:type="paragraph" w:styleId="TOC3">
    <w:name w:val="toc 3"/>
    <w:basedOn w:val="Normal"/>
    <w:next w:val="Normal"/>
    <w:uiPriority w:val="39"/>
    <w:qFormat/>
    <w:pPr>
      <w:widowControl/>
      <w:spacing w:line="360" w:lineRule="auto"/>
      <w:ind w:left="400" w:leftChars="400"/>
      <w:jc w:val="left"/>
    </w:pPr>
    <w:rPr>
      <w:sz w:val="24"/>
    </w:rPr>
  </w:style>
  <w:style w:type="paragraph" w:styleId="TOC8">
    <w:name w:val="toc 8"/>
    <w:basedOn w:val="Normal"/>
    <w:next w:val="Normal"/>
    <w:autoRedefine/>
    <w:uiPriority w:val="39"/>
    <w:qFormat/>
    <w:pPr>
      <w:ind w:left="2940" w:leftChars="1400"/>
    </w:pPr>
  </w:style>
  <w:style w:type="paragraph" w:styleId="Footer">
    <w:name w:val="footer"/>
    <w:basedOn w:val="Normal"/>
    <w:link w:val="Char0"/>
    <w:uiPriority w:val="99"/>
    <w:qFormat/>
    <w:pPr>
      <w:widowControl/>
      <w:tabs>
        <w:tab w:val="center" w:pos="4153"/>
        <w:tab w:val="right" w:pos="8306"/>
      </w:tabs>
      <w:snapToGrid w:val="0"/>
      <w:jc w:val="left"/>
    </w:pPr>
    <w:rPr>
      <w:sz w:val="18"/>
      <w:szCs w:val="18"/>
    </w:rPr>
  </w:style>
  <w:style w:type="paragraph" w:styleId="Header">
    <w:name w:val="header"/>
    <w:basedOn w:val="Normal"/>
    <w:link w:val="Char"/>
    <w:uiPriority w:val="99"/>
    <w:qFormat/>
    <w:pPr>
      <w:widowControl/>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line="360" w:lineRule="auto"/>
      <w:jc w:val="left"/>
    </w:pPr>
    <w:rPr>
      <w:sz w:val="24"/>
    </w:rPr>
  </w:style>
  <w:style w:type="paragraph" w:styleId="TOC4">
    <w:name w:val="toc 4"/>
    <w:basedOn w:val="Normal"/>
    <w:next w:val="Normal"/>
    <w:autoRedefine/>
    <w:uiPriority w:val="39"/>
    <w:qFormat/>
    <w:pPr>
      <w:ind w:left="1260" w:leftChars="600"/>
    </w:pPr>
  </w:style>
  <w:style w:type="paragraph" w:styleId="TOC6">
    <w:name w:val="toc 6"/>
    <w:basedOn w:val="Normal"/>
    <w:next w:val="Normal"/>
    <w:autoRedefine/>
    <w:uiPriority w:val="39"/>
    <w:qFormat/>
    <w:pPr>
      <w:ind w:left="2100" w:leftChars="1000"/>
    </w:pPr>
  </w:style>
  <w:style w:type="paragraph" w:styleId="TOC2">
    <w:name w:val="toc 2"/>
    <w:basedOn w:val="Normal"/>
    <w:next w:val="Normal"/>
    <w:uiPriority w:val="39"/>
    <w:qFormat/>
    <w:pPr>
      <w:widowControl/>
      <w:spacing w:line="360" w:lineRule="auto"/>
      <w:ind w:left="200" w:leftChars="200"/>
      <w:jc w:val="left"/>
    </w:pPr>
    <w:rPr>
      <w:sz w:val="24"/>
    </w:rPr>
  </w:style>
  <w:style w:type="paragraph" w:styleId="TOC9">
    <w:name w:val="toc 9"/>
    <w:basedOn w:val="Normal"/>
    <w:next w:val="Normal"/>
    <w:autoRedefine/>
    <w:uiPriority w:val="39"/>
    <w:qFormat/>
    <w:pPr>
      <w:ind w:left="3360" w:leftChars="1600"/>
    </w:pPr>
  </w:style>
  <w:style w:type="table" w:styleId="TableGrid">
    <w:name w:val="Table Grid"/>
    <w:basedOn w:val="TableNormal"/>
    <w:uiPriority w:val="59"/>
    <w:qFormat/>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uiPriority w:val="99"/>
    <w:qFormat/>
  </w:style>
  <w:style w:type="character" w:styleId="Hyperlink">
    <w:name w:val="Hyperlink"/>
    <w:basedOn w:val="DefaultParagraphFont"/>
    <w:autoRedefine/>
    <w:uiPriority w:val="99"/>
    <w:qFormat/>
    <w:rPr>
      <w:color w:val="0000FF"/>
      <w:u w:val="single"/>
    </w:rPr>
  </w:style>
  <w:style w:type="character" w:customStyle="1" w:styleId="2Char">
    <w:name w:val="标题 2 Char"/>
    <w:basedOn w:val="DefaultParagraphFont"/>
    <w:link w:val="Heading2"/>
    <w:uiPriority w:val="9"/>
    <w:qFormat/>
    <w:rPr>
      <w:rFonts w:ascii="Cambria" w:eastAsia="宋体" w:hAnsi="Cambria" w:cs="宋体"/>
      <w:b/>
      <w:bCs/>
      <w:sz w:val="32"/>
      <w:szCs w:val="32"/>
    </w:rPr>
  </w:style>
  <w:style w:type="table" w:customStyle="1" w:styleId="a">
    <w:name w:val="三线表"/>
    <w:basedOn w:val="TableNormal"/>
    <w:uiPriority w:val="99"/>
    <w:qFormat/>
    <w:pPr>
      <w:spacing w:line="240" w:lineRule="auto"/>
      <w:jc w:val="both"/>
    </w:pPr>
    <w:tblPr>
      <w:tblBorders>
        <w:top w:val="single" w:sz="4" w:space="0" w:color="auto"/>
        <w:bottom w:val="single" w:sz="4" w:space="0" w:color="auto"/>
      </w:tblBorders>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customStyle="1" w:styleId="reader-word-layer">
    <w:name w:val="reader-word-layer"/>
    <w:basedOn w:val="Normal"/>
    <w:qFormat/>
    <w:pPr>
      <w:widowControl/>
      <w:spacing w:before="100" w:beforeAutospacing="1" w:after="100" w:afterAutospacing="1"/>
      <w:jc w:val="left"/>
    </w:pPr>
    <w:rPr>
      <w:rFonts w:ascii="宋体" w:hAnsi="宋体" w:cs="宋体"/>
      <w:kern w:val="0"/>
      <w:sz w:val="24"/>
    </w:rPr>
  </w:style>
  <w:style w:type="character" w:customStyle="1" w:styleId="1Char">
    <w:name w:val="标题 1 Char"/>
    <w:basedOn w:val="DefaultParagraphFont"/>
    <w:link w:val="Heading1"/>
    <w:uiPriority w:val="9"/>
    <w:qFormat/>
    <w:rPr>
      <w:b/>
      <w:bCs/>
      <w:kern w:val="44"/>
      <w:sz w:val="44"/>
      <w:szCs w:val="44"/>
    </w:rPr>
  </w:style>
  <w:style w:type="character" w:customStyle="1" w:styleId="3Char">
    <w:name w:val="标题 3 Char"/>
    <w:basedOn w:val="DefaultParagraphFont"/>
    <w:link w:val="Heading3"/>
    <w:uiPriority w:val="9"/>
    <w:qFormat/>
    <w:rPr>
      <w:b/>
      <w:bCs/>
      <w:sz w:val="32"/>
      <w:szCs w:val="32"/>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385313040122011041" TargetMode="Externa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_rels/settings.xml.rels><?xml version="1.0" encoding="utf-8" standalone="yes"?><Relationships xmlns="http://schemas.openxmlformats.org/package/2006/relationships"><Relationship Id="rId1" Type="http://schemas.openxmlformats.org/officeDocument/2006/relationships/attachedTemplate" Target="file:///D:\360MoveData\Users\Administrator\Desktop\305957&#26426;&#26800;&#21046;&#36896;&#19982;&#33258;&#21160;&#21270;&#65306;&#24322;&#24418;&#20214;&#24037;&#33402;&#35838;&#31243;&#30340;&#23454;&#35757;&#25253;&#21578;\&#26032;&#24314;&#25991;&#20214;&#22841;\1215&#21457;&#36865;&#21040;&#21150;&#20844;&#23460;-&#21098;&#20999;\file:\C:\Users\Administrator\AppData\Roaming\Microsoft\Templates\Normal(2).dotm"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2E6CB-6BDA-4071-94A8-3063E97B90B6}">
  <ds:schemaRefs/>
</ds:datastoreItem>
</file>

<file path=docProps/app.xml><?xml version="1.0" encoding="utf-8"?>
<Properties xmlns="http://schemas.openxmlformats.org/officeDocument/2006/extended-properties" xmlns:vt="http://schemas.openxmlformats.org/officeDocument/2006/docPropsVTypes">
  <Template>Normal(2)</Template>
  <TotalTime>3</TotalTime>
  <Pages>8</Pages>
  <Words>14826</Words>
  <Characters>16523</Characters>
  <Application>Microsoft Office Word</Application>
  <DocSecurity>0</DocSecurity>
  <Lines>0</Lines>
  <Paragraphs>410</Paragraphs>
  <ScaleCrop>false</ScaleCrop>
  <Company>Sky123.Org</Company>
  <LinksUpToDate>false</LinksUpToDate>
  <CharactersWithSpaces>16916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ABEEL</cp:lastModifiedBy>
  <cp:revision>63</cp:revision>
  <cp:lastPrinted>2019-12-24T03:42:00Z</cp:lastPrinted>
  <dcterms:created xsi:type="dcterms:W3CDTF">2019-12-21T13:50:00Z</dcterms:created>
  <dcterms:modified xsi:type="dcterms:W3CDTF">2024-01-11T06:19:25Z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96527701CA6342E59E5DC2B564921C9C_13</vt:lpwstr>
  </property>
  <property fmtid="{D5CDD505-2E9C-101B-9397-08002B2CF9AE}" pid="3" name="KSOProductBuildVer">
    <vt:lpwstr>2052-12.1.0.16120</vt:lpwstr>
  </property>
</Properties>
</file>