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E4C35" w14:paraId="619EB222" w14:textId="77777777">
      <w:pPr>
        <w:spacing w:before="136"/>
        <w:ind w:left="3686" w:leftChars="1755"/>
        <w:jc w:val="right"/>
        <w:rPr>
          <w:rFonts w:ascii="Arial"/>
          <w:sz w:val="72"/>
          <w:szCs w:val="72"/>
        </w:rPr>
      </w:pPr>
      <w:r>
        <w:rPr>
          <w:rFonts w:ascii="Arial"/>
          <w:w w:val="105"/>
          <w:sz w:val="72"/>
          <w:szCs w:val="72"/>
        </w:rPr>
        <w:t>CBPIA</w:t>
      </w:r>
    </w:p>
    <w:p w:rsidR="00EE4C35" w14:paraId="20249F6A" w14:textId="77777777">
      <w:pPr>
        <w:spacing w:before="91"/>
        <w:ind w:left="426" w:right="-99" w:rightChars="-47"/>
        <w:jc w:val="center"/>
        <w:rPr>
          <w:rFonts w:ascii="宋体" w:eastAsia="宋体"/>
          <w:w w:val="95"/>
          <w:sz w:val="68"/>
        </w:rPr>
      </w:pPr>
      <w:r>
        <w:rPr>
          <w:rFonts w:ascii="宋体" w:eastAsia="宋体" w:hint="eastAsia"/>
          <w:w w:val="95"/>
          <w:sz w:val="68"/>
        </w:rPr>
        <w:t>中国生化制药工业协会标准</w:t>
      </w:r>
    </w:p>
    <w:p w:rsidR="00EE4C35" w14:paraId="38046FEA" w14:textId="77777777">
      <w:pPr>
        <w:ind w:left="425"/>
        <w:rPr>
          <w:rFonts w:ascii="宋体" w:eastAsia="宋体" w:hAnsi="宋体"/>
          <w:w w:val="120"/>
          <w:sz w:val="22"/>
          <w:szCs w:val="22"/>
        </w:rPr>
      </w:pPr>
      <w:r>
        <w:rPr>
          <w:rFonts w:ascii="宋体" w:eastAsia="宋体" w:hAnsi="宋体"/>
          <w:w w:val="120"/>
          <w:sz w:val="22"/>
          <w:szCs w:val="22"/>
        </w:rPr>
        <w:t>China</w:t>
      </w:r>
      <w:r>
        <w:rPr>
          <w:rFonts w:ascii="宋体" w:eastAsia="宋体" w:hAnsi="宋体"/>
          <w:spacing w:val="-12"/>
          <w:w w:val="120"/>
          <w:sz w:val="22"/>
          <w:szCs w:val="22"/>
        </w:rPr>
        <w:t xml:space="preserve"> </w:t>
      </w:r>
      <w:r>
        <w:rPr>
          <w:rFonts w:ascii="宋体" w:eastAsia="宋体" w:hAnsi="宋体"/>
          <w:w w:val="120"/>
          <w:sz w:val="22"/>
          <w:szCs w:val="22"/>
        </w:rPr>
        <w:t>Biochemical</w:t>
      </w:r>
      <w:r>
        <w:rPr>
          <w:rFonts w:ascii="宋体" w:eastAsia="宋体" w:hAnsi="宋体"/>
          <w:spacing w:val="-11"/>
          <w:w w:val="120"/>
          <w:sz w:val="22"/>
          <w:szCs w:val="22"/>
        </w:rPr>
        <w:t xml:space="preserve"> </w:t>
      </w:r>
      <w:r>
        <w:rPr>
          <w:rFonts w:ascii="宋体" w:eastAsia="宋体" w:hAnsi="宋体"/>
          <w:w w:val="120"/>
          <w:sz w:val="22"/>
          <w:szCs w:val="22"/>
        </w:rPr>
        <w:t>Pharmaceutical</w:t>
      </w:r>
      <w:r>
        <w:rPr>
          <w:rFonts w:ascii="宋体" w:eastAsia="宋体" w:hAnsi="宋体"/>
          <w:spacing w:val="-12"/>
          <w:w w:val="120"/>
          <w:sz w:val="22"/>
          <w:szCs w:val="22"/>
        </w:rPr>
        <w:t xml:space="preserve"> </w:t>
      </w:r>
      <w:r>
        <w:rPr>
          <w:rFonts w:ascii="宋体" w:eastAsia="宋体" w:hAnsi="宋体"/>
          <w:w w:val="120"/>
          <w:sz w:val="22"/>
          <w:szCs w:val="22"/>
        </w:rPr>
        <w:t>Industry</w:t>
      </w:r>
      <w:r>
        <w:rPr>
          <w:rFonts w:ascii="宋体" w:eastAsia="宋体" w:hAnsi="宋体"/>
          <w:spacing w:val="-12"/>
          <w:w w:val="120"/>
          <w:sz w:val="22"/>
          <w:szCs w:val="22"/>
        </w:rPr>
        <w:t xml:space="preserve"> </w:t>
      </w:r>
      <w:r>
        <w:rPr>
          <w:rFonts w:ascii="宋体" w:eastAsia="宋体" w:hAnsi="宋体"/>
          <w:w w:val="120"/>
          <w:sz w:val="22"/>
          <w:szCs w:val="22"/>
        </w:rPr>
        <w:t>AssociationStandard</w:t>
      </w:r>
    </w:p>
    <w:p w:rsidR="00EE4C35" w14:paraId="1D4625A6" w14:textId="77777777">
      <w:pPr>
        <w:pStyle w:val="BodyText"/>
        <w:spacing w:before="2"/>
        <w:rPr>
          <w:rFonts w:ascii="宋体"/>
          <w:sz w:val="20"/>
        </w:rPr>
      </w:pPr>
    </w:p>
    <w:p w:rsidR="00EE4C35" w14:paraId="271F0947" w14:textId="09EBE853">
      <w:pPr>
        <w:spacing w:before="86"/>
        <w:jc w:val="right"/>
        <w:rPr>
          <w:rFonts w:ascii="Times New Roman" w:hAnsi="Times New Roman" w:cs="Times New Roman"/>
          <w:b/>
          <w:sz w:val="32"/>
        </w:rPr>
      </w:pPr>
      <w:r>
        <w:rPr>
          <w:rFonts w:ascii="Times New Roman" w:hAnsi="Times New Roman" w:cs="Times New Roman"/>
          <w:b/>
          <w:sz w:val="32"/>
        </w:rPr>
        <w:t>T/CBPIA</w:t>
      </w:r>
      <w:r>
        <w:rPr>
          <w:rFonts w:ascii="Times New Roman" w:hAnsi="Times New Roman" w:cs="Times New Roman"/>
          <w:b/>
          <w:spacing w:val="62"/>
          <w:sz w:val="32"/>
        </w:rPr>
        <w:t xml:space="preserve"> </w:t>
      </w:r>
      <w:r>
        <w:rPr>
          <w:rFonts w:ascii="Times New Roman" w:hAnsi="Times New Roman" w:cs="Times New Roman"/>
          <w:b/>
          <w:sz w:val="32"/>
        </w:rPr>
        <w:t>000</w:t>
      </w:r>
      <w:r w:rsidR="00197F2A">
        <w:rPr>
          <w:rFonts w:ascii="Times New Roman" w:hAnsi="Times New Roman" w:cs="Times New Roman"/>
          <w:b/>
          <w:sz w:val="32"/>
        </w:rPr>
        <w:t>6</w:t>
      </w:r>
      <w:r>
        <w:rPr>
          <w:rFonts w:ascii="Times New Roman" w:hAnsi="Times New Roman" w:cs="Times New Roman"/>
          <w:b/>
          <w:sz w:val="32"/>
        </w:rPr>
        <w:t>—202</w:t>
      </w:r>
      <w:r w:rsidR="005E4C6D">
        <w:rPr>
          <w:rFonts w:ascii="Times New Roman" w:hAnsi="Times New Roman" w:cs="Times New Roman"/>
          <w:b/>
          <w:sz w:val="32"/>
        </w:rPr>
        <w:t>3</w:t>
      </w:r>
    </w:p>
    <w:p w:rsidR="00EE4C35" w14:paraId="6CB3B691" w14:textId="77777777">
      <w:pPr>
        <w:pStyle w:val="BodyText"/>
        <w:spacing w:before="6"/>
        <w:rPr>
          <w:b/>
          <w:sz w:val="27"/>
        </w:rPr>
      </w:pPr>
      <w:r>
        <w:rPr>
          <w:noProof/>
        </w:rPr>
        <mc:AlternateContent>
          <mc:Choice Requires="wps">
            <w:drawing>
              <wp:anchor distT="0" distB="0" distL="0" distR="0" simplePos="0" relativeHeight="251659264" behindDoc="1" locked="0" layoutInCell="1" allowOverlap="1">
                <wp:simplePos x="0" y="0"/>
                <wp:positionH relativeFrom="page">
                  <wp:posOffset>1007745</wp:posOffset>
                </wp:positionH>
                <wp:positionV relativeFrom="paragraph">
                  <wp:posOffset>231140</wp:posOffset>
                </wp:positionV>
                <wp:extent cx="5940425" cy="0"/>
                <wp:effectExtent l="7620" t="12065" r="5080" b="6985"/>
                <wp:wrapTopAndBottom/>
                <wp:docPr id="213573687" name="直接连接符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940425" cy="0"/>
                        </a:xfrm>
                        <a:prstGeom prst="line">
                          <a:avLst/>
                        </a:prstGeom>
                        <a:noFill/>
                        <a:ln w="9525">
                          <a:solidFill>
                            <a:srgbClr val="231F20"/>
                          </a:solidFill>
                          <a:prstDash val="solid"/>
                          <a:round/>
                        </a:ln>
                      </wps:spPr>
                      <wps:bodyPr/>
                    </wps:wsp>
                  </a:graphicData>
                </a:graphic>
              </wp:anchor>
            </w:drawing>
          </mc:Choice>
          <mc:Fallback>
            <w:pict>
              <v:line id="直接连接符 5" o:spid="_x0000_s1025" style="mso-position-horizontal-relative:page;mso-wrap-distance-bottom:0;mso-wrap-distance-left:0;mso-wrap-distance-right:0;mso-wrap-distance-top:0;position:absolute;v-text-anchor:top;z-index:-251658240" from="79.35pt,18.2pt" to="547.1pt,18.2pt" fillcolor="this" stroked="t" strokecolor="#231f20" strokeweight="0.75pt">
                <v:stroke joinstyle="round"/>
                <w10:wrap type="topAndBottom"/>
              </v:line>
            </w:pict>
          </mc:Fallback>
        </mc:AlternateContent>
      </w:r>
    </w:p>
    <w:p w:rsidR="00EE4C35" w14:paraId="456FC758" w14:textId="77777777">
      <w:pPr>
        <w:pStyle w:val="BodyText"/>
        <w:rPr>
          <w:b/>
          <w:sz w:val="20"/>
        </w:rPr>
      </w:pPr>
    </w:p>
    <w:p w:rsidR="00EE4C35" w14:paraId="6C3F5FBF" w14:textId="77777777">
      <w:pPr>
        <w:pStyle w:val="BodyText"/>
        <w:rPr>
          <w:b/>
          <w:sz w:val="20"/>
        </w:rPr>
      </w:pPr>
    </w:p>
    <w:p w:rsidR="00EE4C35" w14:paraId="564907FD" w14:textId="77777777">
      <w:pPr>
        <w:pStyle w:val="BodyText"/>
        <w:rPr>
          <w:b/>
          <w:sz w:val="20"/>
        </w:rPr>
      </w:pPr>
    </w:p>
    <w:p w:rsidR="00EE4C35" w14:paraId="4AC45A70" w14:textId="77777777">
      <w:pPr>
        <w:pStyle w:val="BodyText"/>
        <w:rPr>
          <w:b/>
          <w:sz w:val="20"/>
        </w:rPr>
      </w:pPr>
    </w:p>
    <w:p w:rsidR="00EE4C35" w14:paraId="69CE593F" w14:textId="77777777">
      <w:pPr>
        <w:pStyle w:val="BodyText"/>
        <w:rPr>
          <w:b/>
          <w:sz w:val="20"/>
        </w:rPr>
      </w:pPr>
    </w:p>
    <w:p w:rsidR="00EE4C35" w14:paraId="2C42A892" w14:textId="77777777">
      <w:pPr>
        <w:pStyle w:val="BodyText"/>
        <w:rPr>
          <w:b/>
          <w:sz w:val="20"/>
        </w:rPr>
      </w:pPr>
    </w:p>
    <w:p w:rsidR="00EE4C35" w14:paraId="1449A4FC" w14:textId="77777777">
      <w:pPr>
        <w:pStyle w:val="BodyText"/>
        <w:rPr>
          <w:b/>
          <w:sz w:val="21"/>
        </w:rPr>
      </w:pPr>
    </w:p>
    <w:p w:rsidR="00EE4C35" w14:paraId="684B1702" w14:textId="77777777">
      <w:pPr>
        <w:spacing w:line="360" w:lineRule="auto"/>
        <w:ind w:firstLine="880" w:firstLineChars="200"/>
        <w:rPr>
          <w:rFonts w:ascii="宋体" w:eastAsia="宋体" w:hAnsi="宋体"/>
          <w:b/>
          <w:bCs/>
          <w:sz w:val="44"/>
          <w:szCs w:val="44"/>
        </w:rPr>
      </w:pPr>
      <w:r>
        <w:rPr>
          <w:rFonts w:ascii="宋体" w:eastAsia="宋体" w:hAnsi="宋体" w:hint="eastAsia"/>
          <w:b/>
          <w:bCs/>
          <w:sz w:val="44"/>
          <w:szCs w:val="44"/>
        </w:rPr>
        <w:t>人尿源蛋白粗品生产质量管理指南</w:t>
      </w:r>
    </w:p>
    <w:p w:rsidR="00EE4C35" w14:paraId="23BEA229" w14:textId="77777777">
      <w:pPr>
        <w:spacing w:line="360" w:lineRule="auto"/>
        <w:jc w:val="center"/>
        <w:rPr>
          <w:rFonts w:ascii="宋体" w:eastAsia="宋体" w:hAnsi="宋体"/>
          <w:b/>
          <w:bCs/>
          <w:sz w:val="44"/>
          <w:szCs w:val="44"/>
        </w:rPr>
      </w:pPr>
      <w:r>
        <w:rPr>
          <w:rFonts w:ascii="宋体" w:eastAsia="宋体" w:hAnsi="宋体" w:hint="eastAsia"/>
          <w:b/>
          <w:bCs/>
          <w:sz w:val="44"/>
          <w:szCs w:val="44"/>
        </w:rPr>
        <w:t>（征求意见稿）</w:t>
      </w:r>
    </w:p>
    <w:p w:rsidR="00EE4C35" w14:paraId="635FD117" w14:textId="77777777">
      <w:pPr>
        <w:pStyle w:val="BodyText"/>
        <w:ind w:right="-197" w:rightChars="-94"/>
        <w:rPr>
          <w:rFonts w:ascii="Arial"/>
          <w:sz w:val="30"/>
          <w:lang w:eastAsia="zh-CN"/>
        </w:rPr>
      </w:pPr>
    </w:p>
    <w:p w:rsidR="00EE4C35" w14:paraId="6DE54328" w14:textId="77777777">
      <w:pPr>
        <w:pStyle w:val="BodyText"/>
        <w:ind w:right="-197" w:rightChars="-94"/>
        <w:rPr>
          <w:rFonts w:ascii="Arial"/>
          <w:sz w:val="30"/>
          <w:lang w:eastAsia="zh-CN"/>
        </w:rPr>
      </w:pPr>
    </w:p>
    <w:p w:rsidR="00EE4C35" w14:paraId="0F4E53A4" w14:textId="77777777">
      <w:pPr>
        <w:pStyle w:val="BodyText"/>
        <w:ind w:right="-197" w:rightChars="-94"/>
        <w:rPr>
          <w:rFonts w:ascii="Arial"/>
          <w:sz w:val="30"/>
          <w:lang w:eastAsia="zh-CN"/>
        </w:rPr>
      </w:pPr>
    </w:p>
    <w:p w:rsidR="00EE4C35" w14:paraId="4AEB62AA" w14:textId="77777777">
      <w:pPr>
        <w:pStyle w:val="BodyText"/>
        <w:ind w:right="-197" w:rightChars="-94"/>
        <w:rPr>
          <w:rFonts w:ascii="Arial"/>
          <w:sz w:val="30"/>
          <w:lang w:eastAsia="zh-CN"/>
        </w:rPr>
      </w:pPr>
    </w:p>
    <w:p w:rsidR="00EE4C35" w14:paraId="4334F46A" w14:textId="77777777">
      <w:pPr>
        <w:pStyle w:val="BodyText"/>
        <w:ind w:right="-197" w:rightChars="-94"/>
        <w:rPr>
          <w:rFonts w:ascii="Arial"/>
          <w:sz w:val="30"/>
          <w:lang w:eastAsia="zh-CN"/>
        </w:rPr>
      </w:pPr>
    </w:p>
    <w:p w:rsidR="00EE4C35" w14:paraId="61916C7C" w14:textId="78AD1850">
      <w:pPr>
        <w:tabs>
          <w:tab w:val="left" w:pos="0"/>
        </w:tabs>
        <w:autoSpaceDE w:val="0"/>
        <w:autoSpaceDN w:val="0"/>
        <w:ind w:right="42"/>
        <w:jc w:val="center"/>
        <w:rPr>
          <w:rFonts w:ascii="Arial" w:eastAsia="Arial" w:hAnsi="Times New Roman" w:cs="Times New Roman"/>
          <w:kern w:val="0"/>
          <w:sz w:val="28"/>
          <w:szCs w:val="22"/>
        </w:rPr>
      </w:pPr>
      <w:r>
        <w:rPr>
          <w:rFonts w:ascii="宋体" w:eastAsia="宋体" w:hAnsi="Times New Roman" w:cs="Times New Roman" w:hint="eastAsia"/>
          <w:kern w:val="0"/>
          <w:sz w:val="28"/>
          <w:szCs w:val="22"/>
        </w:rPr>
        <w:t>发布</w:t>
      </w:r>
      <w:r>
        <w:rPr>
          <w:rFonts w:ascii="宋体" w:eastAsia="宋体" w:hAnsi="Times New Roman" w:cs="Times New Roman" w:hint="eastAsia"/>
          <w:spacing w:val="-57"/>
          <w:kern w:val="0"/>
          <w:sz w:val="28"/>
          <w:szCs w:val="22"/>
        </w:rPr>
        <w:t xml:space="preserve"> </w:t>
      </w:r>
      <w:r>
        <w:rPr>
          <w:rFonts w:ascii="Arial" w:eastAsia="Arial" w:hAnsi="Times New Roman" w:cs="Times New Roman"/>
          <w:kern w:val="0"/>
          <w:sz w:val="28"/>
          <w:szCs w:val="22"/>
        </w:rPr>
        <w:t>Issued</w:t>
      </w:r>
      <w:r>
        <w:rPr>
          <w:rFonts w:ascii="宋体" w:eastAsia="宋体" w:hAnsi="Times New Roman" w:cs="Times New Roman" w:hint="eastAsia"/>
          <w:kern w:val="0"/>
          <w:sz w:val="28"/>
          <w:szCs w:val="22"/>
        </w:rPr>
        <w:t>：</w:t>
      </w:r>
      <w:r>
        <w:rPr>
          <w:rFonts w:ascii="Arial" w:eastAsia="Arial" w:hAnsi="Times New Roman" w:cs="Times New Roman"/>
          <w:kern w:val="0"/>
          <w:sz w:val="28"/>
          <w:szCs w:val="22"/>
        </w:rPr>
        <w:t>202</w:t>
      </w:r>
      <w:r w:rsidR="005E4C6D">
        <w:rPr>
          <w:rFonts w:ascii="Arial" w:eastAsia="Arial" w:hAnsi="Times New Roman" w:cs="Times New Roman"/>
          <w:kern w:val="0"/>
          <w:sz w:val="28"/>
          <w:szCs w:val="22"/>
        </w:rPr>
        <w:t>3</w:t>
      </w:r>
      <w:r>
        <w:rPr>
          <w:rFonts w:ascii="Arial" w:eastAsia="Arial" w:hAnsi="Times New Roman" w:cs="Times New Roman"/>
          <w:kern w:val="0"/>
          <w:sz w:val="28"/>
          <w:szCs w:val="22"/>
        </w:rPr>
        <w:t xml:space="preserve">-xx-xx         </w:t>
      </w:r>
      <w:r>
        <w:rPr>
          <w:rFonts w:ascii="宋体" w:eastAsia="宋体" w:hAnsi="Times New Roman" w:cs="Times New Roman" w:hint="eastAsia"/>
          <w:kern w:val="0"/>
          <w:sz w:val="28"/>
          <w:szCs w:val="22"/>
        </w:rPr>
        <w:t>实</w:t>
      </w:r>
      <w:r>
        <w:rPr>
          <w:rFonts w:ascii="宋体" w:eastAsia="宋体" w:hAnsi="Times New Roman" w:cs="Times New Roman" w:hint="eastAsia"/>
          <w:spacing w:val="70"/>
          <w:kern w:val="0"/>
          <w:sz w:val="28"/>
          <w:szCs w:val="22"/>
        </w:rPr>
        <w:t>施</w:t>
      </w:r>
      <w:r>
        <w:rPr>
          <w:rFonts w:ascii="Arial" w:eastAsia="Arial" w:hAnsi="Times New Roman" w:cs="Times New Roman"/>
          <w:kern w:val="0"/>
          <w:sz w:val="28"/>
          <w:szCs w:val="22"/>
        </w:rPr>
        <w:t>Implemented</w:t>
      </w:r>
      <w:r>
        <w:rPr>
          <w:rFonts w:ascii="宋体" w:eastAsia="宋体" w:hAnsi="Times New Roman" w:cs="Times New Roman" w:hint="eastAsia"/>
          <w:kern w:val="0"/>
          <w:sz w:val="28"/>
          <w:szCs w:val="22"/>
        </w:rPr>
        <w:t>：</w:t>
      </w:r>
      <w:r>
        <w:rPr>
          <w:rFonts w:ascii="Arial" w:eastAsia="Arial" w:hAnsi="Times New Roman" w:cs="Times New Roman"/>
          <w:kern w:val="0"/>
          <w:sz w:val="28"/>
          <w:szCs w:val="22"/>
        </w:rPr>
        <w:t>202</w:t>
      </w:r>
      <w:r w:rsidR="005E4C6D">
        <w:rPr>
          <w:rFonts w:ascii="Arial" w:eastAsia="Arial" w:hAnsi="Times New Roman" w:cs="Times New Roman"/>
          <w:kern w:val="0"/>
          <w:sz w:val="28"/>
          <w:szCs w:val="22"/>
        </w:rPr>
        <w:t>3</w:t>
      </w:r>
      <w:r>
        <w:rPr>
          <w:rFonts w:ascii="Arial" w:eastAsia="Arial" w:hAnsi="Times New Roman" w:cs="Times New Roman"/>
          <w:kern w:val="0"/>
          <w:sz w:val="28"/>
          <w:szCs w:val="22"/>
        </w:rPr>
        <w:t>-xx-xx</w:t>
      </w:r>
    </w:p>
    <w:p w:rsidR="00EE4C35" w14:paraId="22FBB30E" w14:textId="77777777">
      <w:pPr>
        <w:pStyle w:val="BodyText"/>
        <w:spacing w:before="5"/>
        <w:rPr>
          <w:rFonts w:ascii="Arial"/>
          <w:sz w:val="10"/>
        </w:rPr>
      </w:pPr>
      <w:r>
        <w:rPr>
          <w:noProof/>
        </w:rPr>
        <mc:AlternateContent>
          <mc:Choice Requires="wps">
            <w:drawing>
              <wp:anchor distT="0" distB="0" distL="0" distR="0" simplePos="0" relativeHeight="251661312" behindDoc="1" locked="0" layoutInCell="1" allowOverlap="1">
                <wp:simplePos x="0" y="0"/>
                <wp:positionH relativeFrom="page">
                  <wp:posOffset>1007745</wp:posOffset>
                </wp:positionH>
                <wp:positionV relativeFrom="paragraph">
                  <wp:posOffset>106680</wp:posOffset>
                </wp:positionV>
                <wp:extent cx="5940425" cy="0"/>
                <wp:effectExtent l="7620" t="11430" r="5080" b="7620"/>
                <wp:wrapTopAndBottom/>
                <wp:docPr id="689615055" name="直接连接符 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940425" cy="0"/>
                        </a:xfrm>
                        <a:prstGeom prst="line">
                          <a:avLst/>
                        </a:prstGeom>
                        <a:noFill/>
                        <a:ln w="9525">
                          <a:solidFill>
                            <a:srgbClr val="231F20"/>
                          </a:solidFill>
                          <a:prstDash val="solid"/>
                          <a:round/>
                        </a:ln>
                      </wps:spPr>
                      <wps:bodyPr/>
                    </wps:wsp>
                  </a:graphicData>
                </a:graphic>
              </wp:anchor>
            </w:drawing>
          </mc:Choice>
          <mc:Fallback>
            <w:pict>
              <v:line id="直接连接符 8" o:spid="_x0000_s1026" style="mso-position-horizontal-relative:page;mso-wrap-distance-bottom:0;mso-wrap-distance-left:0;mso-wrap-distance-right:0;mso-wrap-distance-top:0;position:absolute;v-text-anchor:top;z-index:-251656192" from="79.35pt,8.4pt" to="547.1pt,8.4pt" fillcolor="this" stroked="t" strokecolor="#231f20" strokeweight="0.75pt">
                <v:stroke joinstyle="round"/>
                <w10:wrap type="topAndBottom"/>
              </v:line>
            </w:pict>
          </mc:Fallback>
        </mc:AlternateContent>
      </w:r>
    </w:p>
    <w:p w:rsidR="00EE4C35" w14:paraId="2D10EA0B" w14:textId="77777777">
      <w:pPr>
        <w:pStyle w:val="BodyText"/>
        <w:jc w:val="center"/>
        <w:rPr>
          <w:rFonts w:ascii="Arial"/>
          <w:sz w:val="18"/>
          <w:szCs w:val="18"/>
          <w:lang w:eastAsia="zh-CN"/>
        </w:rPr>
      </w:pPr>
      <w:r>
        <w:rPr>
          <w:rFonts w:ascii="宋体" w:eastAsia="宋体" w:hint="eastAsia"/>
          <w:spacing w:val="99"/>
          <w:w w:val="110"/>
          <w:sz w:val="36"/>
          <w:szCs w:val="21"/>
          <w:lang w:eastAsia="zh-CN"/>
        </w:rPr>
        <w:t>中国生化制药工业协</w:t>
      </w:r>
      <w:r>
        <w:rPr>
          <w:rFonts w:ascii="宋体" w:eastAsia="宋体" w:hint="eastAsia"/>
          <w:w w:val="110"/>
          <w:sz w:val="36"/>
          <w:szCs w:val="21"/>
          <w:lang w:eastAsia="zh-CN"/>
        </w:rPr>
        <w:t>会</w:t>
      </w:r>
      <w:r>
        <w:rPr>
          <w:rFonts w:ascii="宋体" w:eastAsia="宋体" w:hint="eastAsia"/>
          <w:w w:val="110"/>
          <w:sz w:val="37"/>
          <w:lang w:eastAsia="zh-CN"/>
        </w:rPr>
        <w:tab/>
      </w:r>
      <w:r>
        <w:rPr>
          <w:rFonts w:ascii="宋体" w:eastAsia="宋体" w:hint="eastAsia"/>
          <w:spacing w:val="99"/>
          <w:w w:val="110"/>
          <w:sz w:val="36"/>
          <w:szCs w:val="21"/>
          <w:lang w:eastAsia="zh-CN"/>
        </w:rPr>
        <w:t>发布</w:t>
      </w:r>
    </w:p>
    <w:p w:rsidR="00EE4C35" w14:paraId="7CEF662F" w14:textId="77777777">
      <w:pPr>
        <w:autoSpaceDE w:val="0"/>
        <w:autoSpaceDN w:val="0"/>
        <w:spacing w:before="61"/>
        <w:jc w:val="center"/>
        <w:outlineLvl w:val="3"/>
        <w:rPr>
          <w:rFonts w:ascii="Arial" w:eastAsia="宋体" w:hAnsi="宋体" w:cs="宋体"/>
          <w:kern w:val="0"/>
          <w:sz w:val="20"/>
          <w:szCs w:val="20"/>
          <w:lang w:eastAsia="en-US"/>
        </w:rPr>
        <w:sectPr w:rsidSect="0002472F">
          <w:headerReference w:type="default" r:id="rId6"/>
          <w:footerReference w:type="default" r:id="rId7"/>
          <w:headerReference w:type="first" r:id="rId8"/>
          <w:pgSz w:w="11906" w:h="16838"/>
          <w:pgMar w:top="1440" w:right="1800" w:bottom="1440" w:left="1800" w:header="851" w:footer="992" w:gutter="0"/>
          <w:pgNumType w:start="0"/>
          <w:cols w:space="425"/>
          <w:titlePg/>
          <w:docGrid w:type="lines" w:linePitch="312"/>
        </w:sectPr>
      </w:pPr>
      <w:r>
        <w:rPr>
          <w:rFonts w:ascii="Arial" w:eastAsia="宋体" w:hAnsi="宋体" w:cs="宋体"/>
          <w:w w:val="110"/>
          <w:kern w:val="0"/>
          <w:sz w:val="20"/>
          <w:szCs w:val="20"/>
          <w:lang w:eastAsia="en-US"/>
        </w:rPr>
        <w:t>Issued by China Biochemical Pharmaceutical Industry</w:t>
      </w:r>
      <w:r>
        <w:rPr>
          <w:rFonts w:ascii="Arial" w:eastAsia="宋体" w:hAnsi="宋体" w:cs="宋体"/>
          <w:spacing w:val="4"/>
          <w:w w:val="110"/>
          <w:kern w:val="0"/>
          <w:sz w:val="20"/>
          <w:szCs w:val="20"/>
          <w:lang w:eastAsia="en-US"/>
        </w:rPr>
        <w:t xml:space="preserve"> </w:t>
      </w:r>
      <w:r>
        <w:rPr>
          <w:rFonts w:ascii="Arial" w:eastAsia="宋体" w:hAnsi="宋体" w:cs="宋体"/>
          <w:w w:val="110"/>
          <w:kern w:val="0"/>
          <w:sz w:val="20"/>
          <w:szCs w:val="20"/>
          <w:lang w:eastAsia="en-US"/>
        </w:rPr>
        <w:t>Association</w:t>
      </w:r>
    </w:p>
    <w:p>
      <w:pPr>
        <w:sectPr w:rsidSect="0002472F">
          <w:headerReference w:type="default" r:id="rId9"/>
          <w:footerReference w:type="default" r:id="rId10"/>
          <w:headerReference w:type="first" r:id="rId11"/>
          <w:type w:val="nextPage"/>
          <w:pgSz w:w="11906" w:h="16838"/>
          <w:pgMar w:top="1440" w:right="1800" w:bottom="1440" w:left="1800" w:header="851" w:footer="992" w:gutter="0"/>
          <w:pgNumType w:start="1"/>
          <w:cols w:space="425"/>
          <w:titlePg w:val="0"/>
          <w:docGrid w:type="lines" w:linePitch="312"/>
        </w:sectPr>
      </w:pPr>
    </w:p>
    <w:p w:rsidR="003B1B97" w:rsidRPr="003B1B97" w:rsidP="003B1B97" w14:paraId="578883B9" w14:textId="77777777">
      <w:pPr>
        <w:spacing w:line="360" w:lineRule="auto"/>
        <w:ind w:firstLine="3300" w:firstLineChars="1100"/>
        <w:outlineLvl w:val="0"/>
        <w:rPr>
          <w:rFonts w:ascii="宋体" w:eastAsia="宋体" w:hAnsi="宋体" w:cs="微软雅黑"/>
          <w:b/>
          <w:bCs/>
          <w:sz w:val="30"/>
          <w:szCs w:val="30"/>
        </w:rPr>
      </w:pPr>
      <w:bookmarkStart w:id="0" w:name="_Toc152233757"/>
      <w:bookmarkStart w:id="1" w:name="_Toc110252018"/>
      <w:bookmarkStart w:id="2" w:name="_Toc100218355"/>
      <w:r w:rsidRPr="003B1B97">
        <w:rPr>
          <w:rFonts w:ascii="宋体" w:eastAsia="宋体" w:hAnsi="宋体" w:cs="微软雅黑" w:hint="eastAsia"/>
          <w:b/>
          <w:bCs/>
          <w:sz w:val="30"/>
          <w:szCs w:val="30"/>
        </w:rPr>
        <w:t>目    录</w:t>
      </w:r>
      <w:bookmarkEnd w:id="0"/>
    </w:p>
    <w:sdt>
      <w:sdtPr>
        <w:rPr>
          <w:lang w:val="zh-CN"/>
        </w:rPr>
        <w:id w:val="563614805"/>
        <w:docPartObj>
          <w:docPartGallery w:val="Table of Contents"/>
          <w:docPartUnique/>
        </w:docPartObj>
      </w:sdtPr>
      <w:sdtEndPr>
        <w:rPr>
          <w:b/>
          <w:bCs/>
        </w:rPr>
      </w:sdtEndPr>
      <w:sdtContent>
        <w:p w:rsidR="003B1B97" w:rsidRPr="003B1B97" w:rsidP="0016353D" w14:paraId="1A04BC91" w14:textId="136652F0">
          <w:pPr>
            <w:spacing w:line="360" w:lineRule="auto"/>
            <w:outlineLvl w:val="0"/>
            <w:rPr>
              <w:rFonts w:ascii="仿宋" w:eastAsia="仿宋" w:hAnsi="仿宋" w:cs="仿宋"/>
              <w:sz w:val="30"/>
              <w:szCs w:val="30"/>
            </w:rPr>
          </w:pPr>
        </w:p>
        <w:p w:rsidR="003B1B97" w:rsidRPr="0016353D" w14:paraId="7F114BD3" w14:textId="485167D7">
          <w:pPr>
            <w:pStyle w:val="TOC1"/>
            <w:tabs>
              <w:tab w:val="right" w:leader="dot" w:pos="8296"/>
            </w:tabs>
            <w:rPr>
              <w:rFonts w:ascii="宋体" w:eastAsia="宋体" w:hAnsi="宋体"/>
              <w:noProof/>
              <w:sz w:val="30"/>
              <w:szCs w:val="30"/>
              <w14:ligatures w14:val="standardContextual"/>
            </w:rPr>
          </w:pPr>
          <w:r>
            <w:fldChar w:fldCharType="begin"/>
          </w:r>
          <w:r>
            <w:instrText xml:space="preserve"> TOC \o "1-3" \h \z \u </w:instrText>
          </w:r>
          <w:r>
            <w:fldChar w:fldCharType="separate"/>
          </w:r>
          <w:hyperlink w:anchor="_Toc152233757" w:history="1">
            <w:r w:rsidRPr="0016353D">
              <w:rPr>
                <w:rStyle w:val="Hyperlink"/>
                <w:rFonts w:ascii="宋体" w:eastAsia="宋体" w:hAnsi="宋体" w:cs="微软雅黑"/>
                <w:noProof/>
                <w:sz w:val="30"/>
                <w:szCs w:val="30"/>
              </w:rPr>
              <w:t>目    录</w:t>
            </w:r>
            <w:r w:rsidRPr="0016353D">
              <w:rPr>
                <w:rFonts w:ascii="宋体" w:eastAsia="宋体" w:hAnsi="宋体"/>
                <w:noProof/>
                <w:webHidden/>
                <w:sz w:val="30"/>
                <w:szCs w:val="30"/>
              </w:rPr>
              <w:tab/>
            </w:r>
            <w:r w:rsidRPr="0016353D" w:rsidR="0016353D">
              <w:rPr>
                <w:rFonts w:ascii="宋体" w:eastAsia="宋体" w:hAnsi="宋体" w:hint="eastAsia"/>
                <w:noProof/>
                <w:sz w:val="30"/>
                <w:szCs w:val="30"/>
              </w:rPr>
              <w:t>Ι</w:t>
            </w:r>
          </w:hyperlink>
        </w:p>
        <w:p w:rsidR="003B1B97" w:rsidRPr="0016353D" w14:paraId="5596C773" w14:textId="55597269">
          <w:pPr>
            <w:pStyle w:val="TOC1"/>
            <w:tabs>
              <w:tab w:val="right" w:leader="dot" w:pos="8296"/>
            </w:tabs>
            <w:rPr>
              <w:rFonts w:ascii="宋体" w:eastAsia="宋体" w:hAnsi="宋体"/>
              <w:noProof/>
              <w:sz w:val="30"/>
              <w:szCs w:val="30"/>
              <w14:ligatures w14:val="standardContextual"/>
            </w:rPr>
          </w:pPr>
          <w:hyperlink w:anchor="_Toc152233758" w:history="1">
            <w:r w:rsidRPr="0016353D">
              <w:rPr>
                <w:rStyle w:val="Hyperlink"/>
                <w:rFonts w:ascii="宋体" w:eastAsia="宋体" w:hAnsi="宋体"/>
                <w:noProof/>
                <w:sz w:val="30"/>
                <w:szCs w:val="30"/>
              </w:rPr>
              <w:t>前    言</w:t>
            </w:r>
            <w:r w:rsidRPr="0016353D">
              <w:rPr>
                <w:rFonts w:ascii="宋体" w:eastAsia="宋体" w:hAnsi="宋体"/>
                <w:noProof/>
                <w:webHidden/>
                <w:sz w:val="30"/>
                <w:szCs w:val="30"/>
              </w:rPr>
              <w:tab/>
            </w:r>
            <w:r w:rsidRPr="0016353D" w:rsidR="0016353D">
              <w:rPr>
                <w:rFonts w:ascii="宋体" w:eastAsia="宋体" w:hAnsi="宋体" w:hint="eastAsia"/>
                <w:noProof/>
                <w:sz w:val="30"/>
                <w:szCs w:val="30"/>
              </w:rPr>
              <w:t>Π</w:t>
            </w:r>
          </w:hyperlink>
        </w:p>
        <w:p w:rsidR="003B1B97" w:rsidRPr="0016353D" w14:paraId="146E72E7" w14:textId="6A21787A">
          <w:pPr>
            <w:pStyle w:val="TOC1"/>
            <w:tabs>
              <w:tab w:val="right" w:leader="dot" w:pos="8296"/>
            </w:tabs>
            <w:rPr>
              <w:rFonts w:ascii="宋体" w:eastAsia="宋体" w:hAnsi="宋体"/>
              <w:noProof/>
              <w:sz w:val="30"/>
              <w:szCs w:val="30"/>
              <w14:ligatures w14:val="standardContextual"/>
            </w:rPr>
          </w:pPr>
          <w:hyperlink w:anchor="_Toc152233759" w:history="1">
            <w:r w:rsidRPr="0016353D">
              <w:rPr>
                <w:rStyle w:val="Hyperlink"/>
                <w:rFonts w:ascii="宋体" w:eastAsia="宋体" w:hAnsi="宋体" w:cs="Times New Roman"/>
                <w:noProof/>
                <w:sz w:val="30"/>
                <w:szCs w:val="30"/>
              </w:rPr>
              <w:t>1</w:t>
            </w:r>
            <w:r w:rsidRPr="0016353D">
              <w:rPr>
                <w:rStyle w:val="Hyperlink"/>
                <w:rFonts w:ascii="宋体" w:eastAsia="宋体" w:hAnsi="宋体" w:cstheme="majorBidi"/>
                <w:noProof/>
                <w:sz w:val="30"/>
                <w:szCs w:val="30"/>
              </w:rPr>
              <w:t xml:space="preserve"> </w:t>
            </w:r>
            <w:r w:rsidRPr="0016353D">
              <w:rPr>
                <w:rStyle w:val="Hyperlink"/>
                <w:rFonts w:ascii="宋体" w:eastAsia="宋体" w:hAnsi="宋体" w:cs="华文仿宋"/>
                <w:noProof/>
                <w:kern w:val="0"/>
                <w:sz w:val="30"/>
                <w:szCs w:val="30"/>
              </w:rPr>
              <w:t>范围</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_Toc152233759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w:t>
            </w:r>
            <w:r w:rsidRPr="0016353D">
              <w:rPr>
                <w:rFonts w:ascii="宋体" w:eastAsia="宋体" w:hAnsi="宋体"/>
                <w:noProof/>
                <w:webHidden/>
                <w:sz w:val="30"/>
                <w:szCs w:val="30"/>
              </w:rPr>
              <w:fldChar w:fldCharType="end"/>
            </w:r>
          </w:hyperlink>
        </w:p>
        <w:p w:rsidR="003B1B97" w:rsidRPr="0016353D" w14:paraId="6C3ABF83" w14:textId="29360713">
          <w:pPr>
            <w:pStyle w:val="TOC1"/>
            <w:tabs>
              <w:tab w:val="right" w:leader="dot" w:pos="8296"/>
            </w:tabs>
            <w:rPr>
              <w:rFonts w:ascii="宋体" w:eastAsia="宋体" w:hAnsi="宋体"/>
              <w:noProof/>
              <w:sz w:val="30"/>
              <w:szCs w:val="30"/>
              <w14:ligatures w14:val="standardContextual"/>
            </w:rPr>
          </w:pPr>
          <w:hyperlink w:anchor="_Toc152233760" w:history="1">
            <w:r w:rsidRPr="0016353D">
              <w:rPr>
                <w:rStyle w:val="Hyperlink"/>
                <w:rFonts w:ascii="宋体" w:eastAsia="宋体" w:hAnsi="宋体" w:cs="Times New Roman"/>
                <w:noProof/>
                <w:sz w:val="30"/>
                <w:szCs w:val="30"/>
              </w:rPr>
              <w:t>2</w:t>
            </w:r>
            <w:r w:rsidRPr="0016353D">
              <w:rPr>
                <w:rStyle w:val="Hyperlink"/>
                <w:rFonts w:ascii="宋体" w:eastAsia="宋体" w:hAnsi="宋体" w:cstheme="majorBidi"/>
                <w:noProof/>
                <w:sz w:val="30"/>
                <w:szCs w:val="30"/>
              </w:rPr>
              <w:t xml:space="preserve"> 规范引用文件</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_Toc152233760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w:t>
            </w:r>
            <w:r w:rsidRPr="0016353D">
              <w:rPr>
                <w:rFonts w:ascii="宋体" w:eastAsia="宋体" w:hAnsi="宋体"/>
                <w:noProof/>
                <w:webHidden/>
                <w:sz w:val="30"/>
                <w:szCs w:val="30"/>
              </w:rPr>
              <w:fldChar w:fldCharType="end"/>
            </w:r>
          </w:hyperlink>
        </w:p>
        <w:p w:rsidR="003B1B97" w:rsidRPr="0016353D" w14:paraId="24D1FC41" w14:textId="37140AEB">
          <w:pPr>
            <w:pStyle w:val="TOC1"/>
            <w:tabs>
              <w:tab w:val="right" w:leader="dot" w:pos="8296"/>
            </w:tabs>
            <w:rPr>
              <w:rFonts w:ascii="宋体" w:eastAsia="宋体" w:hAnsi="宋体"/>
              <w:noProof/>
              <w:sz w:val="30"/>
              <w:szCs w:val="30"/>
              <w14:ligatures w14:val="standardContextual"/>
            </w:rPr>
          </w:pPr>
          <w:hyperlink w:anchor="_Toc152233761" w:history="1">
            <w:r w:rsidRPr="0016353D">
              <w:rPr>
                <w:rStyle w:val="Hyperlink"/>
                <w:rFonts w:ascii="宋体" w:eastAsia="宋体" w:hAnsi="宋体" w:cs="Times New Roman"/>
                <w:noProof/>
                <w:sz w:val="30"/>
                <w:szCs w:val="30"/>
              </w:rPr>
              <w:t>3</w:t>
            </w:r>
            <w:r w:rsidRPr="0016353D">
              <w:rPr>
                <w:rStyle w:val="Hyperlink"/>
                <w:rFonts w:ascii="宋体" w:eastAsia="宋体" w:hAnsi="宋体" w:cstheme="majorBidi"/>
                <w:noProof/>
                <w:sz w:val="30"/>
                <w:szCs w:val="30"/>
              </w:rPr>
              <w:t xml:space="preserve"> 术语和定义</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_Toc152233761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2</w:t>
            </w:r>
            <w:r w:rsidRPr="0016353D">
              <w:rPr>
                <w:rFonts w:ascii="宋体" w:eastAsia="宋体" w:hAnsi="宋体"/>
                <w:noProof/>
                <w:webHidden/>
                <w:sz w:val="30"/>
                <w:szCs w:val="30"/>
              </w:rPr>
              <w:fldChar w:fldCharType="end"/>
            </w:r>
          </w:hyperlink>
        </w:p>
        <w:p w:rsidR="003B1B97" w:rsidRPr="0016353D" w14:paraId="3DD5CDD6" w14:textId="1D5D19BB">
          <w:pPr>
            <w:pStyle w:val="TOC1"/>
            <w:tabs>
              <w:tab w:val="right" w:leader="dot" w:pos="8296"/>
            </w:tabs>
            <w:rPr>
              <w:rFonts w:ascii="宋体" w:eastAsia="宋体" w:hAnsi="宋体"/>
              <w:noProof/>
              <w:sz w:val="30"/>
              <w:szCs w:val="30"/>
              <w14:ligatures w14:val="standardContextual"/>
            </w:rPr>
          </w:pPr>
          <w:hyperlink w:anchor="_Toc152233773" w:history="1">
            <w:r w:rsidRPr="0016353D">
              <w:rPr>
                <w:rStyle w:val="Hyperlink"/>
                <w:rFonts w:ascii="宋体" w:eastAsia="宋体" w:hAnsi="宋体" w:cs="Times New Roman"/>
                <w:noProof/>
                <w:sz w:val="30"/>
                <w:szCs w:val="30"/>
              </w:rPr>
              <w:t>4</w:t>
            </w:r>
            <w:r w:rsidRPr="0016353D">
              <w:rPr>
                <w:rStyle w:val="Hyperlink"/>
                <w:rFonts w:ascii="宋体" w:eastAsia="宋体" w:hAnsi="宋体" w:cstheme="majorBidi"/>
                <w:noProof/>
                <w:sz w:val="30"/>
                <w:szCs w:val="30"/>
              </w:rPr>
              <w:t xml:space="preserve"> 一般要求</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_Toc152233773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3</w:t>
            </w:r>
            <w:r w:rsidRPr="0016353D">
              <w:rPr>
                <w:rFonts w:ascii="宋体" w:eastAsia="宋体" w:hAnsi="宋体"/>
                <w:noProof/>
                <w:webHidden/>
                <w:sz w:val="30"/>
                <w:szCs w:val="30"/>
              </w:rPr>
              <w:fldChar w:fldCharType="end"/>
            </w:r>
          </w:hyperlink>
        </w:p>
        <w:p w:rsidR="003B1B97" w:rsidRPr="0016353D" w14:paraId="4E466973" w14:textId="79B10CDA">
          <w:pPr>
            <w:pStyle w:val="TOC1"/>
            <w:tabs>
              <w:tab w:val="right" w:leader="dot" w:pos="8296"/>
            </w:tabs>
            <w:rPr>
              <w:rFonts w:ascii="宋体" w:eastAsia="宋体" w:hAnsi="宋体"/>
              <w:noProof/>
              <w:sz w:val="30"/>
              <w:szCs w:val="30"/>
              <w14:ligatures w14:val="standardContextual"/>
            </w:rPr>
          </w:pPr>
          <w:hyperlink w:anchor="_Toc152233774" w:history="1">
            <w:r w:rsidRPr="0016353D">
              <w:rPr>
                <w:rStyle w:val="Hyperlink"/>
                <w:rFonts w:ascii="宋体" w:eastAsia="宋体" w:hAnsi="宋体" w:cs="Times New Roman"/>
                <w:noProof/>
                <w:sz w:val="30"/>
                <w:szCs w:val="30"/>
              </w:rPr>
              <w:t>5</w:t>
            </w:r>
            <w:r w:rsidRPr="0016353D">
              <w:rPr>
                <w:rStyle w:val="Hyperlink"/>
                <w:rFonts w:ascii="宋体" w:eastAsia="宋体" w:hAnsi="宋体" w:cstheme="majorBidi"/>
                <w:noProof/>
                <w:sz w:val="30"/>
                <w:szCs w:val="30"/>
              </w:rPr>
              <w:t xml:space="preserve"> 质量管理</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_Toc152233774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5</w:t>
            </w:r>
            <w:r w:rsidRPr="0016353D">
              <w:rPr>
                <w:rFonts w:ascii="宋体" w:eastAsia="宋体" w:hAnsi="宋体"/>
                <w:noProof/>
                <w:webHidden/>
                <w:sz w:val="30"/>
                <w:szCs w:val="30"/>
              </w:rPr>
              <w:fldChar w:fldCharType="end"/>
            </w:r>
          </w:hyperlink>
        </w:p>
        <w:p w:rsidR="003B1B97" w:rsidRPr="0016353D" w14:paraId="7E485164" w14:textId="741F71F9">
          <w:pPr>
            <w:pStyle w:val="TOC1"/>
            <w:tabs>
              <w:tab w:val="right" w:leader="dot" w:pos="8296"/>
            </w:tabs>
            <w:rPr>
              <w:rFonts w:ascii="宋体" w:eastAsia="宋体" w:hAnsi="宋体"/>
              <w:noProof/>
              <w:sz w:val="30"/>
              <w:szCs w:val="30"/>
              <w14:ligatures w14:val="standardContextual"/>
            </w:rPr>
          </w:pPr>
          <w:hyperlink w:anchor="_Toc152233775" w:history="1">
            <w:r w:rsidRPr="0016353D">
              <w:rPr>
                <w:rStyle w:val="Hyperlink"/>
                <w:rFonts w:ascii="宋体" w:eastAsia="宋体" w:hAnsi="宋体" w:cs="Times New Roman"/>
                <w:noProof/>
                <w:sz w:val="30"/>
                <w:szCs w:val="30"/>
              </w:rPr>
              <w:t xml:space="preserve">6 </w:t>
            </w:r>
            <w:r w:rsidRPr="0016353D">
              <w:rPr>
                <w:rStyle w:val="Hyperlink"/>
                <w:rFonts w:ascii="宋体" w:eastAsia="宋体" w:hAnsi="宋体" w:cstheme="majorBidi"/>
                <w:noProof/>
                <w:sz w:val="30"/>
                <w:szCs w:val="30"/>
              </w:rPr>
              <w:t>组织机构和人员</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_Toc152233775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10</w:t>
            </w:r>
            <w:r w:rsidRPr="0016353D">
              <w:rPr>
                <w:rFonts w:ascii="宋体" w:eastAsia="宋体" w:hAnsi="宋体"/>
                <w:noProof/>
                <w:webHidden/>
                <w:sz w:val="30"/>
                <w:szCs w:val="30"/>
              </w:rPr>
              <w:fldChar w:fldCharType="end"/>
            </w:r>
          </w:hyperlink>
        </w:p>
        <w:p w:rsidR="003B1B97" w:rsidRPr="0016353D" w14:paraId="376769C2" w14:textId="26500F62">
          <w:pPr>
            <w:pStyle w:val="TOC1"/>
            <w:tabs>
              <w:tab w:val="right" w:leader="dot" w:pos="8296"/>
            </w:tabs>
            <w:rPr>
              <w:rFonts w:ascii="宋体" w:eastAsia="宋体" w:hAnsi="宋体"/>
              <w:noProof/>
              <w:sz w:val="30"/>
              <w:szCs w:val="30"/>
              <w14:ligatures w14:val="standardContextual"/>
            </w:rPr>
          </w:pPr>
          <w:hyperlink w:anchor="_Toc152233776" w:history="1">
            <w:r w:rsidRPr="0016353D">
              <w:rPr>
                <w:rStyle w:val="Hyperlink"/>
                <w:rFonts w:ascii="宋体" w:eastAsia="宋体" w:hAnsi="宋体" w:cs="Times New Roman"/>
                <w:noProof/>
                <w:sz w:val="30"/>
                <w:szCs w:val="30"/>
              </w:rPr>
              <w:t xml:space="preserve">7 </w:t>
            </w:r>
            <w:r w:rsidRPr="0016353D">
              <w:rPr>
                <w:rStyle w:val="Hyperlink"/>
                <w:rFonts w:ascii="宋体" w:eastAsia="宋体" w:hAnsi="宋体"/>
                <w:noProof/>
                <w:sz w:val="30"/>
                <w:szCs w:val="30"/>
              </w:rPr>
              <w:t>生产场地及设施设备</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_Toc152233776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12</w:t>
            </w:r>
            <w:r w:rsidRPr="0016353D">
              <w:rPr>
                <w:rFonts w:ascii="宋体" w:eastAsia="宋体" w:hAnsi="宋体"/>
                <w:noProof/>
                <w:webHidden/>
                <w:sz w:val="30"/>
                <w:szCs w:val="30"/>
              </w:rPr>
              <w:fldChar w:fldCharType="end"/>
            </w:r>
          </w:hyperlink>
        </w:p>
        <w:p w:rsidR="003B1B97" w:rsidRPr="0016353D" w14:paraId="1550F7D8" w14:textId="677AF9BA">
          <w:pPr>
            <w:pStyle w:val="TOC1"/>
            <w:tabs>
              <w:tab w:val="right" w:leader="dot" w:pos="8296"/>
            </w:tabs>
            <w:rPr>
              <w:rFonts w:ascii="宋体" w:eastAsia="宋体" w:hAnsi="宋体"/>
              <w:noProof/>
              <w:sz w:val="30"/>
              <w:szCs w:val="30"/>
              <w14:ligatures w14:val="standardContextual"/>
            </w:rPr>
          </w:pPr>
          <w:hyperlink w:anchor="_Toc152233777" w:history="1">
            <w:r w:rsidRPr="0016353D">
              <w:rPr>
                <w:rStyle w:val="Hyperlink"/>
                <w:rFonts w:ascii="宋体" w:eastAsia="宋体" w:hAnsi="宋体" w:cs="Times New Roman"/>
                <w:noProof/>
                <w:sz w:val="30"/>
                <w:szCs w:val="30"/>
              </w:rPr>
              <w:t xml:space="preserve">8 </w:t>
            </w:r>
            <w:r w:rsidRPr="0016353D">
              <w:rPr>
                <w:rStyle w:val="Hyperlink"/>
                <w:rFonts w:ascii="宋体" w:eastAsia="宋体" w:hAnsi="宋体" w:cs="宋体"/>
                <w:noProof/>
                <w:sz w:val="30"/>
                <w:szCs w:val="30"/>
              </w:rPr>
              <w:t>采购控制和物料管理</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_Toc152233777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16</w:t>
            </w:r>
            <w:r w:rsidRPr="0016353D">
              <w:rPr>
                <w:rFonts w:ascii="宋体" w:eastAsia="宋体" w:hAnsi="宋体"/>
                <w:noProof/>
                <w:webHidden/>
                <w:sz w:val="30"/>
                <w:szCs w:val="30"/>
              </w:rPr>
              <w:fldChar w:fldCharType="end"/>
            </w:r>
          </w:hyperlink>
        </w:p>
        <w:p w:rsidR="003B1B97" w:rsidRPr="0016353D" w14:paraId="505D9CCD" w14:textId="56E26B3E">
          <w:pPr>
            <w:pStyle w:val="TOC1"/>
            <w:tabs>
              <w:tab w:val="right" w:leader="dot" w:pos="8296"/>
            </w:tabs>
            <w:rPr>
              <w:rFonts w:ascii="宋体" w:eastAsia="宋体" w:hAnsi="宋体"/>
              <w:noProof/>
              <w:sz w:val="30"/>
              <w:szCs w:val="30"/>
              <w14:ligatures w14:val="standardContextual"/>
            </w:rPr>
          </w:pPr>
          <w:hyperlink w:anchor="_Toc152233782" w:history="1">
            <w:r w:rsidRPr="0016353D">
              <w:rPr>
                <w:rStyle w:val="Hyperlink"/>
                <w:rFonts w:ascii="宋体" w:eastAsia="宋体" w:hAnsi="宋体" w:cs="Times New Roman"/>
                <w:noProof/>
                <w:sz w:val="30"/>
                <w:szCs w:val="30"/>
              </w:rPr>
              <w:t xml:space="preserve">9 </w:t>
            </w:r>
            <w:r w:rsidRPr="0016353D">
              <w:rPr>
                <w:rStyle w:val="Hyperlink"/>
                <w:rFonts w:ascii="宋体" w:eastAsia="宋体" w:hAnsi="宋体" w:cs="宋体"/>
                <w:noProof/>
                <w:sz w:val="30"/>
                <w:szCs w:val="30"/>
              </w:rPr>
              <w:t>人尿源蛋白粗品生产管理</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_Toc152233782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18</w:t>
            </w:r>
            <w:r w:rsidRPr="0016353D">
              <w:rPr>
                <w:rFonts w:ascii="宋体" w:eastAsia="宋体" w:hAnsi="宋体"/>
                <w:noProof/>
                <w:webHidden/>
                <w:sz w:val="30"/>
                <w:szCs w:val="30"/>
              </w:rPr>
              <w:fldChar w:fldCharType="end"/>
            </w:r>
          </w:hyperlink>
        </w:p>
        <w:p w:rsidR="003B1B97" w:rsidRPr="0016353D" w14:paraId="325554A4" w14:textId="7495B22C">
          <w:pPr>
            <w:pStyle w:val="TOC1"/>
            <w:tabs>
              <w:tab w:val="right" w:leader="dot" w:pos="8296"/>
            </w:tabs>
            <w:rPr>
              <w:rFonts w:ascii="宋体" w:eastAsia="宋体" w:hAnsi="宋体"/>
              <w:noProof/>
              <w:sz w:val="30"/>
              <w:szCs w:val="30"/>
              <w14:ligatures w14:val="standardContextual"/>
            </w:rPr>
          </w:pPr>
          <w:hyperlink w:anchor="_Toc152233783" w:history="1">
            <w:r w:rsidRPr="0016353D">
              <w:rPr>
                <w:rStyle w:val="Hyperlink"/>
                <w:rFonts w:ascii="宋体" w:eastAsia="宋体" w:hAnsi="宋体" w:cs="Times New Roman"/>
                <w:noProof/>
                <w:sz w:val="30"/>
                <w:szCs w:val="30"/>
              </w:rPr>
              <w:t xml:space="preserve">10 </w:t>
            </w:r>
            <w:r w:rsidRPr="0016353D">
              <w:rPr>
                <w:rStyle w:val="Hyperlink"/>
                <w:rFonts w:ascii="宋体" w:eastAsia="宋体" w:hAnsi="宋体"/>
                <w:noProof/>
                <w:sz w:val="30"/>
                <w:szCs w:val="30"/>
              </w:rPr>
              <w:t>质量控制</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_Toc152233783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22</w:t>
            </w:r>
            <w:r w:rsidRPr="0016353D">
              <w:rPr>
                <w:rFonts w:ascii="宋体" w:eastAsia="宋体" w:hAnsi="宋体"/>
                <w:noProof/>
                <w:webHidden/>
                <w:sz w:val="30"/>
                <w:szCs w:val="30"/>
              </w:rPr>
              <w:fldChar w:fldCharType="end"/>
            </w:r>
          </w:hyperlink>
        </w:p>
        <w:p w:rsidR="003B1B97" w:rsidRPr="0016353D" w14:paraId="0E9CEE33" w14:textId="36CEB083">
          <w:pPr>
            <w:pStyle w:val="TOC1"/>
            <w:tabs>
              <w:tab w:val="right" w:leader="dot" w:pos="8296"/>
            </w:tabs>
            <w:rPr>
              <w:rFonts w:ascii="宋体" w:eastAsia="宋体" w:hAnsi="宋体"/>
              <w:noProof/>
              <w:sz w:val="30"/>
              <w:szCs w:val="30"/>
              <w14:ligatures w14:val="standardContextual"/>
            </w:rPr>
          </w:pPr>
          <w:hyperlink w:anchor="_Toc152233784" w:history="1">
            <w:r w:rsidRPr="0016353D">
              <w:rPr>
                <w:rStyle w:val="Hyperlink"/>
                <w:rFonts w:ascii="宋体" w:eastAsia="宋体" w:hAnsi="宋体" w:cs="Times New Roman"/>
                <w:noProof/>
                <w:sz w:val="30"/>
                <w:szCs w:val="30"/>
              </w:rPr>
              <w:t xml:space="preserve">11 </w:t>
            </w:r>
            <w:r w:rsidRPr="0016353D">
              <w:rPr>
                <w:rStyle w:val="Hyperlink"/>
                <w:rFonts w:ascii="宋体" w:eastAsia="宋体" w:hAnsi="宋体"/>
                <w:noProof/>
                <w:sz w:val="30"/>
                <w:szCs w:val="30"/>
              </w:rPr>
              <w:t>顾客管理和售后服务</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_Toc152233784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24</w:t>
            </w:r>
            <w:r w:rsidRPr="0016353D">
              <w:rPr>
                <w:rFonts w:ascii="宋体" w:eastAsia="宋体" w:hAnsi="宋体"/>
                <w:noProof/>
                <w:webHidden/>
                <w:sz w:val="30"/>
                <w:szCs w:val="30"/>
              </w:rPr>
              <w:fldChar w:fldCharType="end"/>
            </w:r>
          </w:hyperlink>
        </w:p>
        <w:p w:rsidR="003B1B97" w:rsidRPr="0016353D" w14:paraId="356ACD1B" w14:textId="3656244D">
          <w:pPr>
            <w:pStyle w:val="TOC1"/>
            <w:tabs>
              <w:tab w:val="right" w:leader="dot" w:pos="8296"/>
            </w:tabs>
            <w:rPr>
              <w:rFonts w:ascii="宋体" w:eastAsia="宋体" w:hAnsi="宋体"/>
              <w:noProof/>
              <w:sz w:val="30"/>
              <w:szCs w:val="30"/>
              <w14:ligatures w14:val="standardContextual"/>
            </w:rPr>
          </w:pPr>
          <w:hyperlink w:anchor="_Toc152233785" w:history="1">
            <w:r w:rsidRPr="0016353D">
              <w:rPr>
                <w:rStyle w:val="Hyperlink"/>
                <w:rFonts w:ascii="宋体" w:eastAsia="宋体" w:hAnsi="宋体"/>
                <w:noProof/>
                <w:sz w:val="30"/>
                <w:szCs w:val="30"/>
              </w:rPr>
              <w:t>附录</w:t>
            </w:r>
            <w:r w:rsidRPr="0016353D">
              <w:rPr>
                <w:rStyle w:val="Hyperlink"/>
                <w:rFonts w:ascii="宋体" w:eastAsia="宋体" w:hAnsi="宋体" w:cs="Times New Roman"/>
                <w:noProof/>
                <w:sz w:val="30"/>
                <w:szCs w:val="30"/>
              </w:rPr>
              <w:t>A</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_Toc152233785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26</w:t>
            </w:r>
            <w:r w:rsidRPr="0016353D">
              <w:rPr>
                <w:rFonts w:ascii="宋体" w:eastAsia="宋体" w:hAnsi="宋体"/>
                <w:noProof/>
                <w:webHidden/>
                <w:sz w:val="30"/>
                <w:szCs w:val="30"/>
              </w:rPr>
              <w:fldChar w:fldCharType="end"/>
            </w:r>
          </w:hyperlink>
        </w:p>
        <w:p w:rsidR="003B1B97" w:rsidRPr="0016353D" w14:paraId="5D4B4F96" w14:textId="2DE7EFA5">
          <w:pPr>
            <w:pStyle w:val="TOC1"/>
            <w:tabs>
              <w:tab w:val="right" w:leader="dot" w:pos="8296"/>
            </w:tabs>
            <w:rPr>
              <w:rFonts w:ascii="宋体" w:eastAsia="宋体" w:hAnsi="宋体"/>
              <w:noProof/>
              <w:sz w:val="30"/>
              <w:szCs w:val="30"/>
              <w14:ligatures w14:val="standardContextual"/>
            </w:rPr>
          </w:pPr>
          <w:hyperlink w:anchor="_Toc152233786" w:history="1">
            <w:r w:rsidRPr="0016353D">
              <w:rPr>
                <w:rStyle w:val="Hyperlink"/>
                <w:rFonts w:ascii="宋体" w:eastAsia="宋体" w:hAnsi="宋体" w:cstheme="majorEastAsia"/>
                <w:noProof/>
                <w:sz w:val="30"/>
                <w:szCs w:val="30"/>
              </w:rPr>
              <w:t>尿源蛋白粗品生产用人尿液及尿液吸附物</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_Toc152233786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26</w:t>
            </w:r>
            <w:r w:rsidRPr="0016353D">
              <w:rPr>
                <w:rFonts w:ascii="宋体" w:eastAsia="宋体" w:hAnsi="宋体"/>
                <w:noProof/>
                <w:webHidden/>
                <w:sz w:val="30"/>
                <w:szCs w:val="30"/>
              </w:rPr>
              <w:fldChar w:fldCharType="end"/>
            </w:r>
          </w:hyperlink>
        </w:p>
        <w:p w:rsidR="003B1B97" w:rsidRPr="0016353D" w14:paraId="2D3911F9" w14:textId="1FEC5DF7">
          <w:pPr>
            <w:pStyle w:val="TOC1"/>
            <w:tabs>
              <w:tab w:val="right" w:leader="dot" w:pos="8296"/>
            </w:tabs>
            <w:rPr>
              <w:rFonts w:ascii="宋体" w:eastAsia="宋体" w:hAnsi="宋体"/>
              <w:noProof/>
              <w:sz w:val="30"/>
              <w:szCs w:val="30"/>
              <w14:ligatures w14:val="standardContextual"/>
            </w:rPr>
          </w:pPr>
          <w:hyperlink w:anchor="_Toc152233787" w:history="1">
            <w:r w:rsidRPr="0016353D">
              <w:rPr>
                <w:rStyle w:val="Hyperlink"/>
                <w:rFonts w:ascii="宋体" w:eastAsia="宋体" w:hAnsi="宋体"/>
                <w:noProof/>
                <w:sz w:val="30"/>
                <w:szCs w:val="30"/>
              </w:rPr>
              <w:t>附录</w:t>
            </w:r>
            <w:r w:rsidRPr="0016353D">
              <w:rPr>
                <w:rStyle w:val="Hyperlink"/>
                <w:rFonts w:ascii="宋体" w:eastAsia="宋体" w:hAnsi="宋体" w:cs="Times New Roman"/>
                <w:noProof/>
                <w:sz w:val="30"/>
                <w:szCs w:val="30"/>
              </w:rPr>
              <w:t>B</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_Toc152233787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34</w:t>
            </w:r>
            <w:r w:rsidRPr="0016353D">
              <w:rPr>
                <w:rFonts w:ascii="宋体" w:eastAsia="宋体" w:hAnsi="宋体"/>
                <w:noProof/>
                <w:webHidden/>
                <w:sz w:val="30"/>
                <w:szCs w:val="30"/>
              </w:rPr>
              <w:fldChar w:fldCharType="end"/>
            </w:r>
          </w:hyperlink>
        </w:p>
        <w:p w:rsidR="003B1B97" w:rsidRPr="0016353D" w14:paraId="01734731" w14:textId="52F95280">
          <w:pPr>
            <w:pStyle w:val="TOC1"/>
            <w:tabs>
              <w:tab w:val="right" w:leader="dot" w:pos="8296"/>
            </w:tabs>
            <w:rPr>
              <w:rFonts w:ascii="宋体" w:eastAsia="宋体" w:hAnsi="宋体"/>
              <w:noProof/>
              <w:sz w:val="30"/>
              <w:szCs w:val="30"/>
              <w14:ligatures w14:val="standardContextual"/>
            </w:rPr>
          </w:pPr>
          <w:hyperlink w:anchor="_Toc152233788" w:history="1">
            <w:r w:rsidRPr="0016353D">
              <w:rPr>
                <w:rStyle w:val="Hyperlink"/>
                <w:rFonts w:ascii="宋体" w:eastAsia="宋体" w:hAnsi="宋体"/>
                <w:noProof/>
                <w:sz w:val="30"/>
                <w:szCs w:val="30"/>
              </w:rPr>
              <w:t>人尿源蛋白粗品质量标准</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_Toc152233788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34</w:t>
            </w:r>
            <w:r w:rsidRPr="0016353D">
              <w:rPr>
                <w:rFonts w:ascii="宋体" w:eastAsia="宋体" w:hAnsi="宋体"/>
                <w:noProof/>
                <w:webHidden/>
                <w:sz w:val="30"/>
                <w:szCs w:val="30"/>
              </w:rPr>
              <w:fldChar w:fldCharType="end"/>
            </w:r>
          </w:hyperlink>
        </w:p>
        <w:p w:rsidR="003B1B97" w:rsidRPr="003B1B97" w14:paraId="3E7ECC16" w14:textId="1E34EE64">
          <w:pPr>
            <w:pStyle w:val="TOC1"/>
            <w:tabs>
              <w:tab w:val="right" w:leader="dot" w:pos="8296"/>
            </w:tabs>
            <w:rPr>
              <w:rFonts w:ascii="仿宋" w:eastAsia="仿宋" w:hAnsi="仿宋"/>
              <w:noProof/>
              <w:sz w:val="30"/>
              <w:szCs w:val="30"/>
              <w14:ligatures w14:val="standardContextual"/>
            </w:rPr>
          </w:pPr>
          <w:hyperlink w:anchor="_Toc152233789" w:history="1">
            <w:r w:rsidRPr="0016353D">
              <w:rPr>
                <w:rStyle w:val="Hyperlink"/>
                <w:rFonts w:ascii="宋体" w:eastAsia="宋体" w:hAnsi="宋体"/>
                <w:noProof/>
                <w:sz w:val="30"/>
                <w:szCs w:val="30"/>
              </w:rPr>
              <w:t>参  考  文  献</w:t>
            </w:r>
            <w:r w:rsidRPr="0016353D">
              <w:rPr>
                <w:rFonts w:ascii="宋体" w:eastAsia="宋体" w:hAnsi="宋体"/>
                <w:noProof/>
                <w:webHidden/>
                <w:sz w:val="30"/>
                <w:szCs w:val="30"/>
              </w:rPr>
              <w:tab/>
            </w:r>
            <w:r w:rsidRPr="0016353D">
              <w:rPr>
                <w:rFonts w:ascii="宋体" w:eastAsia="宋体" w:hAnsi="宋体"/>
                <w:noProof/>
                <w:webHidden/>
                <w:sz w:val="30"/>
                <w:szCs w:val="30"/>
              </w:rPr>
              <w:fldChar w:fldCharType="begin"/>
            </w:r>
            <w:r w:rsidRPr="0016353D">
              <w:rPr>
                <w:rFonts w:ascii="宋体" w:eastAsia="宋体" w:hAnsi="宋体"/>
                <w:noProof/>
                <w:webHidden/>
                <w:sz w:val="30"/>
                <w:szCs w:val="30"/>
              </w:rPr>
              <w:instrText xml:space="preserve"> PAGEREF _Toc152233789 \h </w:instrText>
            </w:r>
            <w:r w:rsidRPr="0016353D">
              <w:rPr>
                <w:rFonts w:ascii="宋体" w:eastAsia="宋体" w:hAnsi="宋体"/>
                <w:noProof/>
                <w:webHidden/>
                <w:sz w:val="30"/>
                <w:szCs w:val="30"/>
              </w:rPr>
              <w:fldChar w:fldCharType="separate"/>
            </w:r>
            <w:r w:rsidRPr="0016353D" w:rsidR="0016353D">
              <w:rPr>
                <w:rFonts w:ascii="宋体" w:eastAsia="宋体" w:hAnsi="宋体"/>
                <w:noProof/>
                <w:webHidden/>
                <w:sz w:val="30"/>
                <w:szCs w:val="30"/>
              </w:rPr>
              <w:t>38</w:t>
            </w:r>
            <w:r w:rsidRPr="0016353D">
              <w:rPr>
                <w:rFonts w:ascii="宋体" w:eastAsia="宋体" w:hAnsi="宋体"/>
                <w:noProof/>
                <w:webHidden/>
                <w:sz w:val="30"/>
                <w:szCs w:val="30"/>
              </w:rPr>
              <w:fldChar w:fldCharType="end"/>
            </w:r>
          </w:hyperlink>
        </w:p>
        <w:p w:rsidR="00EE4C35" w:rsidRPr="0016353D" w14:paraId="4CC54BF1" w14:textId="496CDDF8">
          <w:pPr>
            <w:sectPr w:rsidSect="0002472F">
              <w:headerReference w:type="default" r:id="rId12"/>
              <w:footerReference w:type="default" r:id="rId13"/>
              <w:headerReference w:type="first" r:id="rId14"/>
              <w:type w:val="nextPage"/>
              <w:pgSz w:w="11906" w:h="16838"/>
              <w:pgMar w:top="1440" w:right="1800" w:bottom="1440" w:left="1800" w:header="851" w:footer="992" w:gutter="0"/>
              <w:pgNumType w:start="2"/>
              <w:cols w:space="425"/>
              <w:titlePg w:val="0"/>
              <w:docGrid w:type="lines" w:linePitch="312"/>
            </w:sectPr>
          </w:pPr>
          <w:r>
            <w:rPr>
              <w:b/>
              <w:bCs/>
              <w:lang w:val="zh-CN"/>
            </w:rPr>
            <w:fldChar w:fldCharType="end"/>
          </w:r>
        </w:p>
      </w:sdtContent>
    </w:sdt>
    <w:p w:rsidR="00EE4C35" w:rsidP="00E17ED6" w14:paraId="1D56DFCF" w14:textId="341E70C1">
      <w:pPr>
        <w:pStyle w:val="Title"/>
        <w:tabs>
          <w:tab w:val="left" w:pos="7219"/>
        </w:tabs>
        <w:spacing w:line="360" w:lineRule="auto"/>
        <w:ind w:firstLine="3300" w:firstLineChars="1100"/>
        <w:jc w:val="both"/>
        <w:rPr>
          <w:rFonts w:ascii="宋体" w:eastAsia="宋体" w:hAnsi="宋体"/>
          <w:sz w:val="30"/>
          <w:szCs w:val="30"/>
        </w:rPr>
      </w:pPr>
      <w:bookmarkStart w:id="3" w:name="_Toc152233758"/>
      <w:r>
        <w:rPr>
          <w:rFonts w:ascii="宋体" w:eastAsia="宋体" w:hAnsi="宋体" w:hint="eastAsia"/>
          <w:sz w:val="30"/>
          <w:szCs w:val="30"/>
        </w:rPr>
        <w:t>前    言</w:t>
      </w:r>
      <w:bookmarkEnd w:id="1"/>
      <w:bookmarkEnd w:id="2"/>
      <w:bookmarkEnd w:id="3"/>
      <w:r w:rsidR="00E17ED6">
        <w:rPr>
          <w:rFonts w:ascii="宋体" w:eastAsia="宋体" w:hAnsi="宋体"/>
          <w:sz w:val="30"/>
          <w:szCs w:val="30"/>
        </w:rPr>
        <w:tab/>
      </w:r>
    </w:p>
    <w:p w:rsidR="00EE4C35" w14:paraId="28D4BB01" w14:textId="77777777">
      <w:pPr>
        <w:spacing w:line="360" w:lineRule="auto"/>
        <w:rPr>
          <w:sz w:val="30"/>
          <w:szCs w:val="30"/>
        </w:rPr>
      </w:pPr>
    </w:p>
    <w:p w:rsidR="00EE4C35" w14:paraId="0416CEB0"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本指南按照</w:t>
      </w:r>
      <w:r>
        <w:rPr>
          <w:rFonts w:ascii="Times New Roman" w:hint="eastAsia"/>
          <w:sz w:val="30"/>
          <w:szCs w:val="30"/>
        </w:rPr>
        <w:t>GB/T 1.1-2020</w:t>
      </w:r>
      <w:r>
        <w:rPr>
          <w:rFonts w:ascii="Times New Roman" w:hint="eastAsia"/>
          <w:sz w:val="30"/>
          <w:szCs w:val="30"/>
        </w:rPr>
        <w:t>《标准化工作导则</w:t>
      </w:r>
      <w:r>
        <w:rPr>
          <w:rFonts w:ascii="Times New Roman" w:hint="eastAsia"/>
          <w:sz w:val="30"/>
          <w:szCs w:val="30"/>
        </w:rPr>
        <w:t xml:space="preserve"> </w:t>
      </w:r>
      <w:r>
        <w:rPr>
          <w:rFonts w:ascii="Times New Roman" w:hint="eastAsia"/>
          <w:sz w:val="30"/>
          <w:szCs w:val="30"/>
        </w:rPr>
        <w:t>第</w:t>
      </w:r>
      <w:r>
        <w:rPr>
          <w:rFonts w:ascii="Times New Roman" w:hint="eastAsia"/>
          <w:sz w:val="30"/>
          <w:szCs w:val="30"/>
        </w:rPr>
        <w:t>1</w:t>
      </w:r>
      <w:r>
        <w:rPr>
          <w:rFonts w:ascii="Times New Roman" w:hint="eastAsia"/>
          <w:sz w:val="30"/>
          <w:szCs w:val="30"/>
        </w:rPr>
        <w:t>部分</w:t>
      </w:r>
      <w:r>
        <w:rPr>
          <w:rFonts w:ascii="Times New Roman" w:hint="eastAsia"/>
          <w:sz w:val="30"/>
          <w:szCs w:val="30"/>
        </w:rPr>
        <w:t xml:space="preserve"> </w:t>
      </w:r>
      <w:r>
        <w:rPr>
          <w:rFonts w:ascii="Times New Roman" w:hint="eastAsia"/>
          <w:sz w:val="30"/>
          <w:szCs w:val="30"/>
        </w:rPr>
        <w:t>：标准化文件的结构和起草规则》的规定起草。</w:t>
      </w:r>
    </w:p>
    <w:p w:rsidR="00EE4C35" w14:paraId="7A03E7B0"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适用于人尿源蛋白粗品生产管理、质量保证及控制、追溯管理等活动。药品上市许可持有人或原料药登记人对人尿源蛋白类制剂及其原料药从起始物料获取、中间体生产到原料药生产等工艺链质量控制可以参照本指南执行。</w:t>
      </w:r>
    </w:p>
    <w:p w:rsidR="00EE4C35" w14:paraId="02DC3C29"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值得注意的是，如涉及人尿源蛋白粗品生产过程变更的，应当按照现行法规和变更技术指南要求执行，不得依据本指南改变已批准的注册或登记工艺。</w:t>
      </w:r>
    </w:p>
    <w:p w:rsidR="00EE4C35" w14:paraId="55FC8FB0"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本标准由中国生化制药工业协会提出并归口管理。</w:t>
      </w:r>
    </w:p>
    <w:p w:rsidR="00EE4C35" w14:paraId="552145E1"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本指南起草单位：中国生化制药工业协会、</w:t>
      </w:r>
      <w:r>
        <w:rPr>
          <w:rFonts w:ascii="Times New Roman" w:hint="eastAsia"/>
          <w:sz w:val="30"/>
          <w:szCs w:val="30"/>
        </w:rPr>
        <w:t>********</w:t>
      </w:r>
    </w:p>
    <w:p w:rsidR="00EE4C35" w14:paraId="7882ABA4" w14:textId="77777777">
      <w:pPr>
        <w:pStyle w:val="a4"/>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本指南主要起草人（按拼音姓氏排序）：</w:t>
      </w:r>
    </w:p>
    <w:p w:rsidR="00BD55A7" w14:paraId="02C9AA7B" w14:textId="77777777">
      <w:pPr>
        <w:pStyle w:val="a4"/>
        <w:tabs>
          <w:tab w:val="center" w:pos="4201"/>
          <w:tab w:val="right" w:leader="dot" w:pos="9298"/>
        </w:tabs>
        <w:adjustRightInd w:val="0"/>
        <w:snapToGrid w:val="0"/>
        <w:spacing w:after="0" w:line="360" w:lineRule="auto"/>
        <w:ind w:firstLine="0" w:firstLineChars="0"/>
        <w:jc w:val="left"/>
        <w:rPr>
          <w:rFonts w:ascii="Times New Roman"/>
          <w:sz w:val="30"/>
          <w:szCs w:val="30"/>
        </w:rPr>
        <w:sectPr w:rsidSect="0002472F">
          <w:headerReference w:type="default" r:id="rId15"/>
          <w:footerReference w:type="default" r:id="rId16"/>
          <w:headerReference w:type="first" r:id="rId17"/>
          <w:type w:val="nextPage"/>
          <w:pgSz w:w="11906" w:h="16838"/>
          <w:pgMar w:top="1440" w:right="1800" w:bottom="1440" w:left="1800" w:header="851" w:footer="992" w:gutter="0"/>
          <w:pgNumType w:start="3"/>
          <w:cols w:space="425"/>
          <w:titlePg w:val="0"/>
          <w:docGrid w:type="lines" w:linePitch="312"/>
        </w:sectPr>
      </w:pPr>
    </w:p>
    <w:p w:rsidR="00EE4C35" w14:paraId="04EF3D32" w14:textId="77777777">
      <w:pPr>
        <w:autoSpaceDE w:val="0"/>
        <w:autoSpaceDN w:val="0"/>
        <w:adjustRightInd w:val="0"/>
        <w:spacing w:line="360" w:lineRule="auto"/>
        <w:rPr>
          <w:rFonts w:ascii="Times New Roman" w:hAnsi="Times New Roman" w:eastAsiaTheme="majorEastAsia" w:cstheme="majorBidi"/>
          <w:b/>
          <w:sz w:val="30"/>
          <w:szCs w:val="30"/>
        </w:rPr>
      </w:pPr>
    </w:p>
    <w:p w:rsidR="00EE4C35" w:rsidP="003B1B97" w14:paraId="690B5565" w14:textId="77777777">
      <w:pPr>
        <w:autoSpaceDE w:val="0"/>
        <w:autoSpaceDN w:val="0"/>
        <w:adjustRightInd w:val="0"/>
        <w:spacing w:line="360" w:lineRule="auto"/>
        <w:outlineLvl w:val="0"/>
        <w:rPr>
          <w:rFonts w:ascii="宋体" w:eastAsia="宋体" w:hAnsi="宋体" w:cstheme="majorBidi"/>
          <w:b/>
          <w:sz w:val="30"/>
          <w:szCs w:val="30"/>
        </w:rPr>
      </w:pPr>
      <w:bookmarkStart w:id="4" w:name="_Toc152233759"/>
      <w:r>
        <w:rPr>
          <w:rFonts w:ascii="Times New Roman" w:eastAsia="宋体" w:hAnsi="Times New Roman" w:cs="Times New Roman"/>
          <w:b/>
          <w:sz w:val="30"/>
          <w:szCs w:val="30"/>
        </w:rPr>
        <w:t>1</w:t>
      </w:r>
      <w:r>
        <w:rPr>
          <w:rFonts w:ascii="宋体" w:eastAsia="宋体" w:hAnsi="宋体" w:cstheme="majorBidi"/>
          <w:b/>
          <w:sz w:val="30"/>
          <w:szCs w:val="30"/>
        </w:rPr>
        <w:t xml:space="preserve"> </w:t>
      </w:r>
      <w:r>
        <w:rPr>
          <w:rFonts w:ascii="宋体" w:eastAsia="宋体" w:hAnsi="宋体" w:cs="华文仿宋"/>
          <w:b/>
          <w:kern w:val="0"/>
          <w:sz w:val="30"/>
          <w:szCs w:val="30"/>
        </w:rPr>
        <w:t>范围</w:t>
      </w:r>
      <w:bookmarkEnd w:id="4"/>
      <w:r>
        <w:rPr>
          <w:rFonts w:ascii="宋体" w:eastAsia="宋体" w:hAnsi="宋体" w:cstheme="majorBidi"/>
          <w:b/>
          <w:sz w:val="30"/>
          <w:szCs w:val="30"/>
        </w:rPr>
        <w:t xml:space="preserve"> </w:t>
      </w:r>
    </w:p>
    <w:p w:rsidR="00EE4C35" w14:paraId="72D7E04D" w14:textId="77777777">
      <w:pPr>
        <w:spacing w:line="360" w:lineRule="auto"/>
        <w:ind w:firstLine="600" w:firstLineChars="200"/>
        <w:jc w:val="left"/>
        <w:rPr>
          <w:rFonts w:ascii="宋体" w:eastAsia="宋体" w:hAnsi="宋体" w:cs="华文仿宋"/>
          <w:kern w:val="0"/>
          <w:sz w:val="30"/>
          <w:szCs w:val="30"/>
        </w:rPr>
      </w:pPr>
      <w:r>
        <w:rPr>
          <w:rFonts w:ascii="宋体" w:eastAsia="宋体" w:hAnsi="宋体" w:cs="华文仿宋" w:hint="eastAsia"/>
          <w:bCs/>
          <w:kern w:val="0"/>
          <w:sz w:val="30"/>
          <w:szCs w:val="30"/>
        </w:rPr>
        <w:t>本</w:t>
      </w:r>
      <w:r>
        <w:rPr>
          <w:rFonts w:ascii="宋体" w:eastAsia="宋体" w:hAnsi="宋体" w:cs="华文仿宋" w:hint="eastAsia"/>
          <w:kern w:val="0"/>
          <w:sz w:val="30"/>
          <w:szCs w:val="30"/>
        </w:rPr>
        <w:t>指南规定了人尿源蛋白粗品生产过程、质量管理和控制及追溯管理的一般要求。</w:t>
      </w:r>
    </w:p>
    <w:p w:rsidR="00EE4C35" w14:paraId="5EC4D74B" w14:textId="77777777">
      <w:pPr>
        <w:spacing w:line="360" w:lineRule="auto"/>
        <w:ind w:firstLine="600" w:firstLineChars="200"/>
        <w:jc w:val="left"/>
        <w:rPr>
          <w:rFonts w:ascii="宋体" w:eastAsia="宋体" w:hAnsi="宋体"/>
          <w:sz w:val="30"/>
          <w:szCs w:val="30"/>
        </w:rPr>
      </w:pPr>
      <w:r>
        <w:rPr>
          <w:rFonts w:ascii="宋体" w:eastAsia="宋体" w:hAnsi="宋体" w:cs="华文仿宋" w:hint="eastAsia"/>
          <w:kern w:val="0"/>
          <w:sz w:val="30"/>
          <w:szCs w:val="30"/>
        </w:rPr>
        <w:t>药品上市许可持有人（以下简称</w:t>
      </w:r>
      <w:r>
        <w:rPr>
          <w:rFonts w:ascii="Times New Roman" w:eastAsia="宋体" w:hAnsi="Times New Roman" w:cs="Times New Roman"/>
          <w:kern w:val="0"/>
          <w:sz w:val="30"/>
          <w:szCs w:val="30"/>
        </w:rPr>
        <w:t>MAH</w:t>
      </w:r>
      <w:r>
        <w:rPr>
          <w:rFonts w:ascii="宋体" w:eastAsia="宋体" w:hAnsi="宋体" w:cs="华文仿宋" w:hint="eastAsia"/>
          <w:kern w:val="0"/>
          <w:sz w:val="30"/>
          <w:szCs w:val="30"/>
        </w:rPr>
        <w:t>）或原料药登记人对人尿源蛋白类制剂及其原料药</w:t>
      </w:r>
      <w:r>
        <w:rPr>
          <w:rFonts w:ascii="宋体" w:eastAsia="宋体" w:hAnsi="宋体" w:hint="eastAsia"/>
          <w:sz w:val="30"/>
          <w:szCs w:val="30"/>
        </w:rPr>
        <w:t>从起始物料获取、工艺中间体生产到原料药生产等工艺链质量控制可以参照本</w:t>
      </w:r>
      <w:r>
        <w:rPr>
          <w:rFonts w:ascii="宋体" w:eastAsia="宋体" w:hAnsi="宋体"/>
          <w:sz w:val="30"/>
          <w:szCs w:val="30"/>
        </w:rPr>
        <w:t>指南执行</w:t>
      </w:r>
      <w:r>
        <w:rPr>
          <w:rFonts w:ascii="宋体" w:eastAsia="宋体" w:hAnsi="宋体" w:hint="eastAsia"/>
          <w:sz w:val="30"/>
          <w:szCs w:val="30"/>
        </w:rPr>
        <w:t>。</w:t>
      </w:r>
    </w:p>
    <w:p w:rsidR="00EE4C35" w14:paraId="408432AF" w14:textId="77777777">
      <w:pPr>
        <w:spacing w:line="360" w:lineRule="auto"/>
        <w:ind w:firstLine="600" w:firstLineChars="200"/>
        <w:jc w:val="left"/>
        <w:rPr>
          <w:rFonts w:ascii="宋体" w:eastAsia="宋体" w:hAnsi="宋体"/>
          <w:sz w:val="30"/>
          <w:szCs w:val="30"/>
        </w:rPr>
      </w:pPr>
      <w:r>
        <w:rPr>
          <w:rFonts w:ascii="宋体" w:eastAsia="宋体" w:hAnsi="宋体" w:hint="eastAsia"/>
          <w:sz w:val="30"/>
          <w:szCs w:val="30"/>
        </w:rPr>
        <w:t>本指南中所称产品是指</w:t>
      </w:r>
      <w:r>
        <w:rPr>
          <w:rFonts w:ascii="宋体" w:eastAsia="宋体" w:hAnsi="宋体" w:cs="华文仿宋" w:hint="eastAsia"/>
          <w:kern w:val="0"/>
          <w:sz w:val="30"/>
          <w:szCs w:val="30"/>
        </w:rPr>
        <w:t>人尿源蛋白粗品及上下游工艺</w:t>
      </w:r>
      <w:r>
        <w:rPr>
          <w:rFonts w:ascii="宋体" w:eastAsia="宋体" w:hAnsi="宋体" w:cs="华文仿宋" w:hint="eastAsia"/>
          <w:kern w:val="0"/>
          <w:sz w:val="30"/>
          <w:szCs w:val="30"/>
        </w:rPr>
        <w:t>链涉及</w:t>
      </w:r>
      <w:r>
        <w:rPr>
          <w:rFonts w:ascii="宋体" w:eastAsia="宋体" w:hAnsi="宋体" w:cs="华文仿宋" w:hint="eastAsia"/>
          <w:kern w:val="0"/>
          <w:sz w:val="30"/>
          <w:szCs w:val="30"/>
        </w:rPr>
        <w:t>的工艺中间体、原料药和制剂成品。但本指南并不适用于人尿源蛋白制剂成品及原料药。</w:t>
      </w:r>
    </w:p>
    <w:p w:rsidR="00EE4C35" w:rsidP="003B1B97" w14:paraId="2A9946A2" w14:textId="77777777">
      <w:pPr>
        <w:autoSpaceDE w:val="0"/>
        <w:autoSpaceDN w:val="0"/>
        <w:adjustRightInd w:val="0"/>
        <w:spacing w:line="360" w:lineRule="auto"/>
        <w:outlineLvl w:val="0"/>
        <w:rPr>
          <w:rFonts w:ascii="宋体" w:eastAsia="宋体" w:hAnsi="宋体" w:cstheme="majorBidi"/>
          <w:b/>
          <w:sz w:val="30"/>
          <w:szCs w:val="30"/>
        </w:rPr>
      </w:pPr>
      <w:bookmarkStart w:id="5" w:name="_Toc112916069"/>
      <w:bookmarkStart w:id="6" w:name="_Toc100218357"/>
      <w:bookmarkStart w:id="7" w:name="_Toc152233760"/>
      <w:r>
        <w:rPr>
          <w:rFonts w:ascii="Times New Roman" w:eastAsia="宋体" w:hAnsi="Times New Roman" w:cs="Times New Roman"/>
          <w:b/>
          <w:sz w:val="30"/>
          <w:szCs w:val="30"/>
        </w:rPr>
        <w:t>2</w:t>
      </w:r>
      <w:r>
        <w:rPr>
          <w:rFonts w:ascii="宋体" w:eastAsia="宋体" w:hAnsi="宋体" w:cstheme="majorBidi"/>
          <w:b/>
          <w:sz w:val="30"/>
          <w:szCs w:val="30"/>
        </w:rPr>
        <w:t xml:space="preserve"> 规范引用文件</w:t>
      </w:r>
      <w:bookmarkEnd w:id="5"/>
      <w:bookmarkEnd w:id="6"/>
      <w:bookmarkEnd w:id="7"/>
    </w:p>
    <w:p w:rsidR="00EE4C35" w14:paraId="55376D46" w14:textId="77777777">
      <w:pPr>
        <w:spacing w:line="360" w:lineRule="auto"/>
        <w:ind w:firstLine="600" w:firstLineChars="200"/>
        <w:jc w:val="left"/>
        <w:rPr>
          <w:rFonts w:ascii="宋体" w:eastAsia="宋体" w:hAnsi="宋体" w:cs="华文仿宋"/>
          <w:kern w:val="0"/>
          <w:sz w:val="30"/>
          <w:szCs w:val="30"/>
        </w:rPr>
      </w:pPr>
      <w:r>
        <w:rPr>
          <w:rFonts w:ascii="宋体" w:eastAsia="宋体" w:hAnsi="宋体" w:cs="华文仿宋" w:hint="eastAsia"/>
          <w:kern w:val="0"/>
          <w:sz w:val="30"/>
          <w:szCs w:val="30"/>
        </w:rPr>
        <w:t>下列文件对于本指南的应用是必不可少的。凡是标注日期的引用文件，仅标注日期的版本适用于本指南。凡是不标注日期的引用文件，其最新版本适用于本指南。</w:t>
      </w:r>
    </w:p>
    <w:p w:rsidR="00EE4C35" w14:paraId="4A67E7A7" w14:textId="77777777">
      <w:pPr>
        <w:numPr>
          <w:ilvl w:val="0"/>
          <w:numId w:val="1"/>
        </w:numPr>
        <w:spacing w:line="360" w:lineRule="auto"/>
        <w:ind w:left="0" w:firstLine="600" w:firstLineChars="200"/>
        <w:jc w:val="left"/>
        <w:rPr>
          <w:rFonts w:ascii="宋体" w:eastAsia="宋体" w:hAnsi="宋体" w:cs="华文仿宋"/>
          <w:kern w:val="0"/>
          <w:sz w:val="30"/>
          <w:szCs w:val="30"/>
        </w:rPr>
      </w:pPr>
      <w:r>
        <w:rPr>
          <w:rFonts w:ascii="宋体" w:eastAsia="宋体" w:hAnsi="宋体" w:cs="华文仿宋" w:hint="eastAsia"/>
          <w:kern w:val="0"/>
          <w:sz w:val="30"/>
          <w:szCs w:val="30"/>
        </w:rPr>
        <w:t xml:space="preserve"> 中国《药品生产质量管理规范》（</w:t>
      </w:r>
      <w:r>
        <w:rPr>
          <w:rFonts w:ascii="Times New Roman" w:eastAsia="宋体" w:hAnsi="Times New Roman" w:cs="Times New Roman"/>
          <w:kern w:val="0"/>
          <w:sz w:val="30"/>
          <w:szCs w:val="30"/>
        </w:rPr>
        <w:t>2010</w:t>
      </w:r>
      <w:r>
        <w:rPr>
          <w:rFonts w:ascii="宋体" w:eastAsia="宋体" w:hAnsi="宋体" w:cs="华文仿宋" w:hint="eastAsia"/>
          <w:kern w:val="0"/>
          <w:sz w:val="30"/>
          <w:szCs w:val="30"/>
        </w:rPr>
        <w:t>版）及其生化药品附录</w:t>
      </w:r>
    </w:p>
    <w:p w:rsidR="00EE4C35" w14:paraId="0F2EC79D" w14:textId="77777777">
      <w:pPr>
        <w:numPr>
          <w:ilvl w:val="0"/>
          <w:numId w:val="1"/>
        </w:numPr>
        <w:spacing w:line="360" w:lineRule="auto"/>
        <w:ind w:left="0" w:firstLine="600" w:firstLineChars="200"/>
        <w:jc w:val="left"/>
        <w:rPr>
          <w:rFonts w:ascii="宋体" w:eastAsia="宋体" w:hAnsi="宋体" w:cs="华文仿宋"/>
          <w:kern w:val="0"/>
          <w:sz w:val="30"/>
          <w:szCs w:val="30"/>
        </w:rPr>
      </w:pPr>
      <w:r>
        <w:rPr>
          <w:rFonts w:ascii="宋体" w:eastAsia="宋体" w:hAnsi="宋体" w:cs="华文仿宋" w:hint="eastAsia"/>
          <w:kern w:val="0"/>
          <w:sz w:val="30"/>
          <w:szCs w:val="30"/>
        </w:rPr>
        <w:t xml:space="preserve">  </w:t>
      </w:r>
      <w:r>
        <w:rPr>
          <w:rFonts w:ascii="Times New Roman" w:eastAsia="宋体" w:hAnsi="Times New Roman" w:cs="Times New Roman"/>
          <w:kern w:val="0"/>
          <w:sz w:val="30"/>
          <w:szCs w:val="30"/>
        </w:rPr>
        <w:t>ICH Q7</w:t>
      </w:r>
      <w:r>
        <w:rPr>
          <w:rFonts w:ascii="宋体" w:eastAsia="宋体" w:hAnsi="宋体" w:cs="华文仿宋" w:hint="eastAsia"/>
          <w:kern w:val="0"/>
          <w:sz w:val="30"/>
          <w:szCs w:val="30"/>
        </w:rPr>
        <w:t xml:space="preserve"> 原料药</w:t>
      </w:r>
      <w:r>
        <w:rPr>
          <w:rFonts w:ascii="Times New Roman" w:eastAsia="宋体" w:hAnsi="Times New Roman" w:cs="Times New Roman"/>
          <w:kern w:val="0"/>
          <w:sz w:val="30"/>
          <w:szCs w:val="30"/>
        </w:rPr>
        <w:t>GMP</w:t>
      </w:r>
      <w:r>
        <w:rPr>
          <w:rFonts w:ascii="宋体" w:eastAsia="宋体" w:hAnsi="宋体" w:cs="华文仿宋" w:hint="eastAsia"/>
          <w:kern w:val="0"/>
          <w:sz w:val="30"/>
          <w:szCs w:val="30"/>
        </w:rPr>
        <w:t>指南</w:t>
      </w:r>
    </w:p>
    <w:p w:rsidR="00EE4C35" w14:paraId="10AC92A0" w14:textId="77777777">
      <w:pPr>
        <w:numPr>
          <w:ilvl w:val="0"/>
          <w:numId w:val="1"/>
        </w:numPr>
        <w:spacing w:line="360" w:lineRule="auto"/>
        <w:ind w:left="0" w:firstLine="600" w:firstLineChars="200"/>
        <w:jc w:val="left"/>
        <w:rPr>
          <w:rFonts w:ascii="宋体" w:eastAsia="宋体" w:hAnsi="宋体" w:cs="华文仿宋"/>
          <w:kern w:val="0"/>
          <w:sz w:val="30"/>
          <w:szCs w:val="30"/>
        </w:rPr>
      </w:pPr>
      <w:r>
        <w:rPr>
          <w:rFonts w:ascii="宋体" w:eastAsia="宋体" w:hAnsi="宋体" w:cs="华文仿宋" w:hint="eastAsia"/>
          <w:kern w:val="0"/>
          <w:sz w:val="30"/>
          <w:szCs w:val="30"/>
        </w:rPr>
        <w:t xml:space="preserve"> 《中华人民共和国药典》（</w:t>
      </w:r>
      <w:r>
        <w:rPr>
          <w:rFonts w:ascii="Times New Roman" w:eastAsia="宋体" w:hAnsi="Times New Roman" w:cs="Times New Roman"/>
          <w:kern w:val="0"/>
          <w:sz w:val="30"/>
          <w:szCs w:val="30"/>
        </w:rPr>
        <w:t>2020</w:t>
      </w:r>
      <w:r>
        <w:rPr>
          <w:rFonts w:ascii="宋体" w:eastAsia="宋体" w:hAnsi="宋体" w:cs="华文仿宋" w:hint="eastAsia"/>
          <w:kern w:val="0"/>
          <w:sz w:val="30"/>
          <w:szCs w:val="30"/>
        </w:rPr>
        <w:t xml:space="preserve">年版）及其三部生物制品通则《生物制品病毒安全性控制要求》 </w:t>
      </w:r>
      <w:r>
        <w:rPr>
          <w:rFonts w:ascii="宋体" w:eastAsia="宋体" w:hAnsi="宋体" w:cs="Arial" w:hint="eastAsia"/>
          <w:kern w:val="0"/>
          <w:sz w:val="30"/>
          <w:szCs w:val="30"/>
        </w:rPr>
        <w:t xml:space="preserve"> </w:t>
      </w:r>
      <w:r>
        <w:rPr>
          <w:rFonts w:ascii="Times New Roman" w:eastAsia="宋体" w:hAnsi="Times New Roman" w:cs="Times New Roman"/>
          <w:kern w:val="0"/>
          <w:sz w:val="30"/>
          <w:szCs w:val="30"/>
        </w:rPr>
        <w:t>ICH 5A(R2)</w:t>
      </w:r>
      <w:r>
        <w:rPr>
          <w:rFonts w:ascii="宋体" w:eastAsia="宋体" w:hAnsi="宋体" w:cs="华文仿宋" w:hint="eastAsia"/>
          <w:kern w:val="0"/>
          <w:sz w:val="30"/>
          <w:szCs w:val="30"/>
        </w:rPr>
        <w:t xml:space="preserve"> 来源于人或动物细胞系生产技术产品的病毒安全评价</w:t>
      </w:r>
    </w:p>
    <w:p w:rsidR="002327B2" w:rsidRPr="002327B2" w:rsidP="002327B2" w14:paraId="06756C1D" w14:textId="1CF1F483">
      <w:pPr>
        <w:numPr>
          <w:ilvl w:val="0"/>
          <w:numId w:val="1"/>
        </w:numPr>
        <w:spacing w:line="360" w:lineRule="auto"/>
        <w:ind w:left="0" w:firstLine="600" w:firstLineChars="200"/>
        <w:jc w:val="left"/>
        <w:rPr>
          <w:rFonts w:ascii="宋体" w:eastAsia="宋体" w:hAnsi="宋体" w:cs="华文仿宋"/>
          <w:kern w:val="0"/>
          <w:sz w:val="30"/>
          <w:szCs w:val="30"/>
        </w:rPr>
      </w:pPr>
      <w:r>
        <w:rPr>
          <w:rFonts w:ascii="宋体" w:eastAsia="宋体" w:hAnsi="宋体" w:cs="华文仿宋" w:hint="eastAsia"/>
          <w:kern w:val="0"/>
          <w:sz w:val="30"/>
          <w:szCs w:val="30"/>
        </w:rPr>
        <w:t xml:space="preserve"> </w:t>
      </w:r>
      <w:r>
        <w:rPr>
          <w:rFonts w:ascii="Times New Roman" w:eastAsia="宋体" w:hAnsi="Times New Roman" w:cs="Times New Roman"/>
          <w:kern w:val="0"/>
          <w:sz w:val="30"/>
          <w:szCs w:val="30"/>
        </w:rPr>
        <w:t>GB/T 50457</w:t>
      </w:r>
      <w:r>
        <w:rPr>
          <w:rFonts w:ascii="宋体" w:eastAsia="宋体" w:hAnsi="宋体" w:cs="华文仿宋" w:hint="eastAsia"/>
          <w:kern w:val="0"/>
          <w:sz w:val="30"/>
          <w:szCs w:val="30"/>
        </w:rPr>
        <w:t xml:space="preserve">  医药工业洁净厂房设计标准</w:t>
      </w:r>
    </w:p>
    <w:p w:rsidR="00EE4C35" w14:paraId="59BA7A98" w14:textId="77777777">
      <w:pPr>
        <w:numPr>
          <w:ilvl w:val="0"/>
          <w:numId w:val="1"/>
        </w:numPr>
        <w:spacing w:line="360" w:lineRule="auto"/>
        <w:ind w:left="0" w:firstLine="600" w:firstLineChars="200"/>
        <w:jc w:val="left"/>
        <w:rPr>
          <w:rFonts w:ascii="宋体" w:eastAsia="宋体" w:hAnsi="宋体" w:cs="华文仿宋"/>
          <w:kern w:val="0"/>
          <w:sz w:val="30"/>
          <w:szCs w:val="30"/>
        </w:rPr>
        <w:sectPr w:rsidSect="002327B2">
          <w:headerReference w:type="default" r:id="rId18"/>
          <w:footerReference w:type="default" r:id="rId19"/>
          <w:headerReference w:type="first" r:id="rId20"/>
          <w:footerReference w:type="first" r:id="rId21"/>
          <w:pgSz w:w="11906" w:h="16838"/>
          <w:pgMar w:top="1440" w:right="1800" w:bottom="1440" w:left="1800" w:header="851" w:footer="992" w:gutter="0"/>
          <w:pgNumType w:start="1"/>
          <w:cols w:space="425"/>
          <w:titlePg/>
          <w:docGrid w:type="lines" w:linePitch="312"/>
        </w:sectPr>
      </w:pPr>
      <w:r>
        <w:rPr>
          <w:rFonts w:ascii="宋体" w:eastAsia="宋体" w:hAnsi="宋体" w:cs="华文仿宋" w:hint="eastAsia"/>
          <w:kern w:val="0"/>
          <w:sz w:val="30"/>
          <w:szCs w:val="30"/>
        </w:rPr>
        <w:t xml:space="preserve"> </w:t>
      </w:r>
      <w:r>
        <w:rPr>
          <w:rFonts w:ascii="Times New Roman" w:eastAsia="宋体" w:hAnsi="Times New Roman" w:cs="Times New Roman"/>
          <w:kern w:val="0"/>
          <w:sz w:val="30"/>
          <w:szCs w:val="30"/>
        </w:rPr>
        <w:t>GB/T1.1-2020</w:t>
      </w:r>
      <w:r>
        <w:rPr>
          <w:rFonts w:ascii="宋体" w:eastAsia="宋体" w:hAnsi="宋体" w:cs="华文仿宋" w:hint="eastAsia"/>
          <w:kern w:val="0"/>
          <w:sz w:val="30"/>
          <w:szCs w:val="30"/>
        </w:rPr>
        <w:t xml:space="preserve"> 标准化工作导则</w:t>
      </w:r>
    </w:p>
    <w:p w:rsidR="00EE4C35" w:rsidP="003B1B97" w14:paraId="61FE02A4" w14:textId="77777777">
      <w:pPr>
        <w:autoSpaceDE w:val="0"/>
        <w:autoSpaceDN w:val="0"/>
        <w:adjustRightInd w:val="0"/>
        <w:spacing w:line="360" w:lineRule="auto"/>
        <w:outlineLvl w:val="0"/>
        <w:rPr>
          <w:rFonts w:ascii="宋体" w:eastAsia="宋体" w:hAnsi="宋体" w:cstheme="majorBidi"/>
          <w:b/>
          <w:sz w:val="30"/>
          <w:szCs w:val="30"/>
        </w:rPr>
      </w:pPr>
      <w:bookmarkStart w:id="8" w:name="_Toc100218358"/>
      <w:bookmarkStart w:id="9" w:name="_Toc112916070"/>
      <w:bookmarkStart w:id="10" w:name="_Toc152233761"/>
      <w:r>
        <w:rPr>
          <w:rFonts w:ascii="Times New Roman" w:eastAsia="宋体" w:hAnsi="Times New Roman" w:cs="Times New Roman"/>
          <w:b/>
          <w:sz w:val="30"/>
          <w:szCs w:val="30"/>
        </w:rPr>
        <w:t>3</w:t>
      </w:r>
      <w:r>
        <w:rPr>
          <w:rFonts w:ascii="宋体" w:eastAsia="宋体" w:hAnsi="宋体" w:cstheme="majorBidi"/>
          <w:b/>
          <w:sz w:val="30"/>
          <w:szCs w:val="30"/>
        </w:rPr>
        <w:t xml:space="preserve"> </w:t>
      </w:r>
      <w:r>
        <w:rPr>
          <w:rFonts w:ascii="宋体" w:eastAsia="宋体" w:hAnsi="宋体" w:cstheme="majorBidi" w:hint="eastAsia"/>
          <w:b/>
          <w:sz w:val="30"/>
          <w:szCs w:val="30"/>
        </w:rPr>
        <w:t>术语和定义</w:t>
      </w:r>
      <w:bookmarkEnd w:id="8"/>
      <w:bookmarkEnd w:id="9"/>
      <w:bookmarkEnd w:id="10"/>
    </w:p>
    <w:p w:rsidR="00EE4C35" w14:paraId="68B83D38" w14:textId="77777777">
      <w:pPr>
        <w:pStyle w:val="Default"/>
        <w:spacing w:after="0" w:line="360" w:lineRule="auto"/>
        <w:ind w:firstLine="600" w:firstLineChars="200"/>
        <w:rPr>
          <w:rFonts w:ascii="宋体" w:hAnsi="宋体" w:cs="华文仿宋"/>
          <w:color w:val="auto"/>
          <w:sz w:val="30"/>
          <w:szCs w:val="30"/>
        </w:rPr>
      </w:pPr>
      <w:r>
        <w:rPr>
          <w:rFonts w:ascii="宋体" w:hAnsi="宋体" w:cs="华文仿宋" w:hint="eastAsia"/>
          <w:color w:val="auto"/>
          <w:sz w:val="30"/>
          <w:szCs w:val="30"/>
        </w:rPr>
        <w:t>下列术语和定义适用于本指南。</w:t>
      </w:r>
    </w:p>
    <w:p w:rsidR="00EE4C35" w14:paraId="7F117FE8" w14:textId="77777777">
      <w:pPr>
        <w:pStyle w:val="Heading2"/>
        <w:spacing w:before="0" w:line="360" w:lineRule="auto"/>
        <w:ind w:firstLine="600" w:firstLineChars="200"/>
        <w:rPr>
          <w:rFonts w:ascii="宋体" w:eastAsia="宋体" w:hAnsi="宋体" w:cs="楷体"/>
          <w:sz w:val="30"/>
          <w:szCs w:val="30"/>
        </w:rPr>
      </w:pPr>
      <w:bookmarkStart w:id="11" w:name="_Toc152233762"/>
      <w:r>
        <w:rPr>
          <w:rFonts w:eastAsia="宋体" w:cs="Times New Roman"/>
          <w:sz w:val="30"/>
          <w:szCs w:val="30"/>
        </w:rPr>
        <w:t>3.1</w:t>
      </w:r>
      <w:r>
        <w:rPr>
          <w:rFonts w:ascii="宋体" w:eastAsia="宋体" w:hAnsi="宋体" w:cs="楷体" w:hint="eastAsia"/>
          <w:sz w:val="30"/>
          <w:szCs w:val="30"/>
        </w:rPr>
        <w:t xml:space="preserve"> 起始物料</w:t>
      </w:r>
      <w:bookmarkEnd w:id="11"/>
    </w:p>
    <w:p w:rsidR="00EE4C35" w14:paraId="5D64DD11" w14:textId="77777777">
      <w:pPr>
        <w:spacing w:line="360" w:lineRule="auto"/>
        <w:ind w:firstLine="600" w:firstLineChars="200"/>
        <w:rPr>
          <w:rFonts w:ascii="宋体" w:eastAsia="宋体" w:hAnsi="宋体" w:cs="华文仿宋"/>
          <w:kern w:val="0"/>
          <w:sz w:val="30"/>
          <w:szCs w:val="30"/>
        </w:rPr>
      </w:pPr>
      <w:r>
        <w:rPr>
          <w:rFonts w:ascii="宋体" w:eastAsia="宋体" w:hAnsi="宋体" w:cs="华文仿宋" w:hint="eastAsia"/>
          <w:kern w:val="0"/>
          <w:sz w:val="30"/>
          <w:szCs w:val="30"/>
        </w:rPr>
        <w:t>在本指南中是指用于生产人尿源蛋白粗品的新鲜人尿液。</w:t>
      </w:r>
    </w:p>
    <w:p w:rsidR="00EE4C35" w14:paraId="0181C3B3" w14:textId="77777777">
      <w:pPr>
        <w:pStyle w:val="Heading2"/>
        <w:spacing w:before="0" w:line="360" w:lineRule="auto"/>
        <w:ind w:firstLine="600" w:firstLineChars="200"/>
        <w:rPr>
          <w:rFonts w:ascii="宋体" w:eastAsia="宋体" w:hAnsi="宋体" w:cs="楷体"/>
          <w:sz w:val="30"/>
          <w:szCs w:val="30"/>
        </w:rPr>
      </w:pPr>
      <w:bookmarkStart w:id="12" w:name="_Toc152233763"/>
      <w:r>
        <w:rPr>
          <w:rFonts w:eastAsia="宋体" w:cs="Times New Roman"/>
          <w:sz w:val="30"/>
          <w:szCs w:val="30"/>
        </w:rPr>
        <w:t xml:space="preserve">3.2 </w:t>
      </w:r>
      <w:r>
        <w:rPr>
          <w:rFonts w:ascii="宋体" w:eastAsia="宋体" w:hAnsi="宋体" w:cs="楷体" w:hint="eastAsia"/>
          <w:sz w:val="30"/>
          <w:szCs w:val="30"/>
        </w:rPr>
        <w:t>人尿液</w:t>
      </w:r>
      <w:bookmarkEnd w:id="12"/>
      <w:r>
        <w:rPr>
          <w:rFonts w:ascii="宋体" w:eastAsia="宋体" w:hAnsi="宋体" w:cs="楷体" w:hint="eastAsia"/>
          <w:sz w:val="30"/>
          <w:szCs w:val="30"/>
        </w:rPr>
        <w:t xml:space="preserve"> </w:t>
      </w:r>
    </w:p>
    <w:p w:rsidR="00EE4C35" w14:paraId="6A3D5A6E" w14:textId="77777777">
      <w:pPr>
        <w:pStyle w:val="Heading2"/>
        <w:spacing w:before="0" w:line="360" w:lineRule="auto"/>
        <w:ind w:firstLine="600" w:firstLineChars="200"/>
        <w:rPr>
          <w:rFonts w:ascii="宋体" w:eastAsia="宋体" w:hAnsi="宋体" w:cs="楷体"/>
          <w:sz w:val="30"/>
          <w:szCs w:val="30"/>
        </w:rPr>
      </w:pPr>
      <w:bookmarkStart w:id="13" w:name="_Toc152233764"/>
      <w:r>
        <w:rPr>
          <w:rFonts w:ascii="宋体" w:eastAsia="宋体" w:hAnsi="宋体" w:cs="华文仿宋" w:hint="eastAsia"/>
          <w:kern w:val="0"/>
          <w:sz w:val="30"/>
          <w:szCs w:val="30"/>
        </w:rPr>
        <w:t>在本指南中是指</w:t>
      </w:r>
      <w:r>
        <w:rPr>
          <w:rFonts w:ascii="宋体" w:eastAsia="宋体" w:hAnsi="宋体" w:hint="eastAsia"/>
          <w:sz w:val="30"/>
          <w:szCs w:val="30"/>
        </w:rPr>
        <w:t>用于生产人尿源蛋白粗品所用的</w:t>
      </w:r>
      <w:r>
        <w:rPr>
          <w:rFonts w:ascii="宋体" w:eastAsia="宋体" w:hAnsi="宋体" w:hint="eastAsia"/>
          <w:sz w:val="30"/>
          <w:szCs w:val="30"/>
        </w:rPr>
        <w:t>自健康</w:t>
      </w:r>
      <w:r>
        <w:rPr>
          <w:rFonts w:ascii="宋体" w:eastAsia="宋体" w:hAnsi="宋体" w:hint="eastAsia"/>
          <w:sz w:val="30"/>
          <w:szCs w:val="30"/>
        </w:rPr>
        <w:t>人群在规定时间内收集的新鲜尿液，包括孕妇尿，绝经期妇女尿和男性尿等，并符合相应的质量标准。</w:t>
      </w:r>
      <w:bookmarkEnd w:id="13"/>
    </w:p>
    <w:p w:rsidR="00EE4C35" w14:paraId="4EC314D7" w14:textId="77777777">
      <w:pPr>
        <w:pStyle w:val="Heading2"/>
        <w:spacing w:before="0" w:line="360" w:lineRule="auto"/>
        <w:ind w:firstLine="600" w:firstLineChars="200"/>
        <w:rPr>
          <w:rFonts w:ascii="宋体" w:eastAsia="宋体" w:hAnsi="宋体" w:cs="楷体"/>
          <w:sz w:val="30"/>
          <w:szCs w:val="30"/>
          <w:u w:val="single"/>
        </w:rPr>
      </w:pPr>
      <w:bookmarkStart w:id="14" w:name="_Toc152233765"/>
      <w:r>
        <w:rPr>
          <w:rFonts w:eastAsia="宋体" w:cs="Times New Roman"/>
          <w:sz w:val="30"/>
          <w:szCs w:val="30"/>
        </w:rPr>
        <w:t>3.3</w:t>
      </w:r>
      <w:r>
        <w:rPr>
          <w:rFonts w:ascii="宋体" w:eastAsia="宋体" w:hAnsi="宋体" w:cs="楷体" w:hint="eastAsia"/>
          <w:sz w:val="30"/>
          <w:szCs w:val="30"/>
        </w:rPr>
        <w:t xml:space="preserve"> 多人份尿液</w:t>
      </w:r>
      <w:bookmarkEnd w:id="14"/>
    </w:p>
    <w:p w:rsidR="00EE4C35" w14:paraId="2D034A1B" w14:textId="77777777">
      <w:pPr>
        <w:pStyle w:val="Default"/>
        <w:spacing w:after="312" w:afterLines="100" w:line="360" w:lineRule="auto"/>
        <w:ind w:firstLine="600" w:firstLineChars="200"/>
        <w:rPr>
          <w:rFonts w:ascii="宋体" w:hAnsi="宋体"/>
          <w:color w:val="auto"/>
          <w:sz w:val="30"/>
          <w:szCs w:val="30"/>
        </w:rPr>
      </w:pPr>
      <w:r>
        <w:rPr>
          <w:rFonts w:ascii="宋体" w:hAnsi="宋体" w:hint="eastAsia"/>
          <w:color w:val="auto"/>
          <w:sz w:val="30"/>
          <w:szCs w:val="30"/>
        </w:rPr>
        <w:t>又称</w:t>
      </w:r>
      <w:bookmarkStart w:id="15" w:name="OLE_LINK1"/>
      <w:r>
        <w:rPr>
          <w:rFonts w:ascii="宋体" w:hAnsi="宋体" w:hint="eastAsia"/>
          <w:color w:val="auto"/>
          <w:sz w:val="30"/>
          <w:szCs w:val="30"/>
        </w:rPr>
        <w:t>混合人尿液</w:t>
      </w:r>
      <w:bookmarkEnd w:id="15"/>
      <w:r>
        <w:rPr>
          <w:rFonts w:ascii="宋体" w:hAnsi="宋体" w:hint="eastAsia"/>
          <w:color w:val="auto"/>
          <w:sz w:val="30"/>
          <w:szCs w:val="30"/>
        </w:rPr>
        <w:t>。即汇集混合的用于批人尿源蛋白粗品生产的多人份尿液。汇集方式应当将孕妇尿、绝经期妇女尿和成年男性</w:t>
      </w:r>
      <w:r>
        <w:rPr>
          <w:rFonts w:ascii="宋体" w:hAnsi="宋体" w:hint="eastAsia"/>
          <w:color w:val="auto"/>
          <w:sz w:val="30"/>
          <w:szCs w:val="30"/>
        </w:rPr>
        <w:t>尿分别</w:t>
      </w:r>
      <w:r>
        <w:rPr>
          <w:rFonts w:ascii="宋体" w:hAnsi="宋体" w:hint="eastAsia"/>
          <w:color w:val="auto"/>
          <w:sz w:val="30"/>
          <w:szCs w:val="30"/>
        </w:rPr>
        <w:t>汇集或根据工艺需要将不同来源尿液进行混合以生产不同制剂产品。</w:t>
      </w:r>
    </w:p>
    <w:p w:rsidR="00EE4C35" w14:paraId="723ECB04" w14:textId="77777777">
      <w:pPr>
        <w:pStyle w:val="Heading2"/>
        <w:spacing w:before="0" w:line="360" w:lineRule="auto"/>
        <w:ind w:firstLine="600" w:firstLineChars="200"/>
        <w:rPr>
          <w:rFonts w:ascii="宋体" w:eastAsia="宋体" w:hAnsi="宋体" w:cs="楷体"/>
          <w:sz w:val="30"/>
          <w:szCs w:val="30"/>
        </w:rPr>
      </w:pPr>
      <w:bookmarkStart w:id="16" w:name="_Toc152233766"/>
      <w:r>
        <w:rPr>
          <w:rFonts w:eastAsia="宋体" w:cs="Times New Roman"/>
          <w:sz w:val="30"/>
          <w:szCs w:val="30"/>
        </w:rPr>
        <w:t>3.4</w:t>
      </w:r>
      <w:r>
        <w:rPr>
          <w:rFonts w:ascii="宋体" w:eastAsia="宋体" w:hAnsi="宋体" w:cs="楷体" w:hint="eastAsia"/>
          <w:sz w:val="30"/>
          <w:szCs w:val="30"/>
        </w:rPr>
        <w:t>工艺中间体</w:t>
      </w:r>
      <w:bookmarkEnd w:id="16"/>
    </w:p>
    <w:p w:rsidR="00EE4C35" w14:paraId="6DFF5728" w14:textId="77777777">
      <w:pPr>
        <w:pStyle w:val="Heading2"/>
        <w:spacing w:before="0" w:line="360" w:lineRule="auto"/>
        <w:ind w:firstLine="600" w:firstLineChars="200"/>
        <w:rPr>
          <w:rFonts w:ascii="宋体" w:eastAsia="宋体" w:hAnsi="宋体" w:cs="Times New Roman"/>
          <w:sz w:val="30"/>
          <w:szCs w:val="30"/>
        </w:rPr>
      </w:pPr>
      <w:bookmarkStart w:id="17" w:name="_Toc152233767"/>
      <w:r>
        <w:rPr>
          <w:rFonts w:ascii="宋体" w:eastAsia="宋体" w:hAnsi="宋体" w:cs="Verdana" w:hint="eastAsia"/>
          <w:kern w:val="0"/>
          <w:sz w:val="30"/>
          <w:szCs w:val="30"/>
        </w:rPr>
        <w:t>本指南工艺中间体是指其在成为交付的人尿源蛋白粗品前需进一步地分离、纯化等处理的生产过程中间产物。</w:t>
      </w:r>
      <w:r>
        <w:rPr>
          <w:rFonts w:ascii="宋体" w:eastAsia="宋体" w:hAnsi="宋体" w:hint="eastAsia"/>
          <w:sz w:val="30"/>
          <w:szCs w:val="30"/>
        </w:rPr>
        <w:t>例如：尿浓缩吸附物。</w:t>
      </w:r>
      <w:bookmarkEnd w:id="17"/>
    </w:p>
    <w:p w:rsidR="00EE4C35" w14:paraId="77BF795D" w14:textId="77777777">
      <w:pPr>
        <w:pStyle w:val="Heading2"/>
        <w:spacing w:before="0" w:line="360" w:lineRule="auto"/>
        <w:ind w:firstLine="600" w:firstLineChars="200"/>
        <w:rPr>
          <w:rFonts w:ascii="宋体" w:eastAsia="宋体" w:hAnsi="宋体" w:cs="楷体"/>
          <w:sz w:val="30"/>
          <w:szCs w:val="30"/>
        </w:rPr>
      </w:pPr>
      <w:bookmarkStart w:id="18" w:name="_Toc152233768"/>
      <w:r>
        <w:rPr>
          <w:rFonts w:eastAsia="宋体" w:cs="Times New Roman"/>
          <w:sz w:val="30"/>
          <w:szCs w:val="30"/>
        </w:rPr>
        <w:t>3.5</w:t>
      </w:r>
      <w:r>
        <w:rPr>
          <w:rFonts w:ascii="宋体" w:eastAsia="宋体" w:hAnsi="宋体" w:cs="楷体" w:hint="eastAsia"/>
          <w:sz w:val="30"/>
          <w:szCs w:val="30"/>
        </w:rPr>
        <w:t xml:space="preserve"> 人尿源蛋白粗品</w:t>
      </w:r>
      <w:bookmarkEnd w:id="18"/>
    </w:p>
    <w:p w:rsidR="00EE4C35" w14:paraId="079FCAEB" w14:textId="77777777">
      <w:pPr>
        <w:pStyle w:val="Heading2"/>
        <w:spacing w:before="0" w:line="360" w:lineRule="auto"/>
        <w:ind w:firstLine="600" w:firstLineChars="200"/>
        <w:rPr>
          <w:rFonts w:ascii="宋体" w:eastAsia="宋体" w:hAnsi="宋体"/>
          <w:sz w:val="30"/>
          <w:szCs w:val="30"/>
        </w:rPr>
        <w:sectPr w:rsidSect="002327B2">
          <w:headerReference w:type="default" r:id="rId22"/>
          <w:footerReference w:type="default" r:id="rId23"/>
          <w:headerReference w:type="first" r:id="rId24"/>
          <w:footerReference w:type="first" r:id="rId25"/>
          <w:type w:val="nextPage"/>
          <w:pgSz w:w="11906" w:h="16838"/>
          <w:pgMar w:top="1440" w:right="1800" w:bottom="1440" w:left="1800" w:header="851" w:footer="992" w:gutter="0"/>
          <w:pgNumType w:start="2"/>
          <w:cols w:space="425"/>
          <w:titlePg w:val="0"/>
          <w:docGrid w:type="lines" w:linePitch="312"/>
        </w:sectPr>
      </w:pPr>
      <w:bookmarkStart w:id="19" w:name="_Toc152233769"/>
      <w:r>
        <w:rPr>
          <w:rFonts w:ascii="宋体" w:eastAsia="宋体" w:hAnsi="宋体" w:hint="eastAsia"/>
          <w:sz w:val="30"/>
          <w:szCs w:val="30"/>
        </w:rPr>
        <w:t>本指南所指人尿源蛋白粗品是生产人尿源蛋白原料药的起始物料，需经进一步的分离、纯化、病毒去除或灭活等原料药生</w:t>
      </w:r>
    </w:p>
    <w:p w:rsidR="00EE4C35" w14:textId="77777777">
      <w:pPr>
        <w:pStyle w:val="Heading2"/>
        <w:spacing w:before="0" w:line="360" w:lineRule="auto"/>
        <w:ind w:firstLine="600" w:firstLineChars="200"/>
        <w:rPr>
          <w:rFonts w:ascii="宋体" w:eastAsia="宋体" w:hAnsi="宋体"/>
          <w:sz w:val="30"/>
          <w:szCs w:val="30"/>
        </w:rPr>
      </w:pPr>
      <w:r>
        <w:rPr>
          <w:rFonts w:ascii="宋体" w:eastAsia="宋体" w:hAnsi="宋体" w:hint="eastAsia"/>
          <w:sz w:val="30"/>
          <w:szCs w:val="30"/>
        </w:rPr>
        <w:t>产工艺的处理才能成为人尿源蛋白原料药。</w:t>
      </w:r>
      <w:bookmarkEnd w:id="19"/>
    </w:p>
    <w:p w:rsidR="00EE4C35" w14:paraId="18383CAA" w14:textId="77777777">
      <w:pPr>
        <w:spacing w:after="120" w:line="360" w:lineRule="auto"/>
        <w:ind w:firstLine="600" w:firstLineChars="200"/>
        <w:outlineLvl w:val="1"/>
        <w:rPr>
          <w:rFonts w:ascii="宋体" w:eastAsia="宋体" w:hAnsi="宋体" w:cs="楷体"/>
          <w:bCs/>
          <w:sz w:val="30"/>
          <w:szCs w:val="30"/>
        </w:rPr>
      </w:pPr>
      <w:bookmarkStart w:id="20" w:name="_Toc152233770"/>
      <w:r>
        <w:rPr>
          <w:rFonts w:ascii="Times New Roman" w:eastAsia="宋体" w:hAnsi="Times New Roman" w:cs="Times New Roman"/>
          <w:bCs/>
          <w:sz w:val="30"/>
          <w:szCs w:val="30"/>
        </w:rPr>
        <w:t>3.6</w:t>
      </w:r>
      <w:r>
        <w:rPr>
          <w:rFonts w:ascii="宋体" w:eastAsia="宋体" w:hAnsi="宋体" w:cs="楷体" w:hint="eastAsia"/>
          <w:bCs/>
          <w:sz w:val="30"/>
          <w:szCs w:val="30"/>
        </w:rPr>
        <w:t xml:space="preserve"> 过程控制</w:t>
      </w:r>
      <w:bookmarkEnd w:id="20"/>
    </w:p>
    <w:p w:rsidR="00EE4C35" w14:paraId="407C0E70"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在本指南中指生产过程中为监测、必要时调节工艺和/或保证工艺中间体、人尿源蛋白粗品符合预定的可接受标准或规范而进行的检查、检验以及对生产工艺过程中工艺参数的控制。</w:t>
      </w:r>
    </w:p>
    <w:p w:rsidR="00EE4C35" w14:paraId="7242BFDE" w14:textId="77777777">
      <w:pPr>
        <w:spacing w:after="120" w:line="360" w:lineRule="auto"/>
        <w:ind w:firstLine="600" w:firstLineChars="200"/>
        <w:outlineLvl w:val="1"/>
        <w:rPr>
          <w:rFonts w:ascii="宋体" w:eastAsia="宋体" w:hAnsi="宋体" w:cs="楷体"/>
          <w:bCs/>
          <w:sz w:val="30"/>
          <w:szCs w:val="30"/>
        </w:rPr>
      </w:pPr>
      <w:bookmarkStart w:id="21" w:name="_Toc152233771"/>
      <w:r>
        <w:rPr>
          <w:rFonts w:ascii="Times New Roman" w:eastAsia="宋体" w:hAnsi="Times New Roman" w:cs="Times New Roman"/>
          <w:bCs/>
          <w:sz w:val="30"/>
          <w:szCs w:val="30"/>
        </w:rPr>
        <w:t>3.7</w:t>
      </w:r>
      <w:r>
        <w:rPr>
          <w:rFonts w:ascii="宋体" w:eastAsia="宋体" w:hAnsi="宋体" w:cs="楷体" w:hint="eastAsia"/>
          <w:bCs/>
          <w:sz w:val="30"/>
          <w:szCs w:val="30"/>
        </w:rPr>
        <w:t xml:space="preserve"> 批</w:t>
      </w:r>
      <w:bookmarkEnd w:id="21"/>
    </w:p>
    <w:p w:rsidR="00EE4C35" w14:paraId="05C7980B"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在本指南中指经一个或若干加工过程生产的、具有预期均</w:t>
      </w:r>
      <w:r>
        <w:rPr>
          <w:rFonts w:ascii="宋体" w:eastAsia="宋体" w:hAnsi="宋体" w:cstheme="majorBidi" w:hint="eastAsia"/>
          <w:bCs/>
          <w:sz w:val="30"/>
          <w:szCs w:val="30"/>
        </w:rPr>
        <w:t>一</w:t>
      </w:r>
      <w:r>
        <w:rPr>
          <w:rFonts w:ascii="宋体" w:eastAsia="宋体" w:hAnsi="宋体" w:cstheme="majorBidi" w:hint="eastAsia"/>
          <w:bCs/>
          <w:sz w:val="30"/>
          <w:szCs w:val="30"/>
        </w:rPr>
        <w:t>质量和特性的一定数量的人尿源蛋白粗品。在连续生产的情况下，批可指生产的一个具体部分，由一个</w:t>
      </w:r>
      <w:r>
        <w:rPr>
          <w:rFonts w:ascii="宋体" w:eastAsia="宋体" w:hAnsi="宋体" w:cstheme="majorBidi" w:hint="eastAsia"/>
          <w:bCs/>
          <w:sz w:val="30"/>
          <w:szCs w:val="30"/>
        </w:rPr>
        <w:t>固定量</w:t>
      </w:r>
      <w:r>
        <w:rPr>
          <w:rFonts w:ascii="宋体" w:eastAsia="宋体" w:hAnsi="宋体" w:cstheme="majorBidi" w:hint="eastAsia"/>
          <w:bCs/>
          <w:sz w:val="30"/>
          <w:szCs w:val="30"/>
        </w:rPr>
        <w:t>或一个固定的时间间隔内所生产的量来确定。</w:t>
      </w:r>
    </w:p>
    <w:p w:rsidR="00EE4C35" w14:paraId="5520A327" w14:textId="77777777">
      <w:pPr>
        <w:spacing w:after="120" w:line="360" w:lineRule="auto"/>
        <w:ind w:firstLine="600" w:firstLineChars="200"/>
        <w:outlineLvl w:val="1"/>
        <w:rPr>
          <w:rFonts w:ascii="宋体" w:eastAsia="宋体" w:hAnsi="宋体" w:cs="楷体"/>
          <w:bCs/>
          <w:sz w:val="30"/>
          <w:szCs w:val="30"/>
        </w:rPr>
      </w:pPr>
      <w:bookmarkStart w:id="22" w:name="_Toc152233772"/>
      <w:r>
        <w:rPr>
          <w:rFonts w:ascii="Times New Roman" w:eastAsia="宋体" w:hAnsi="Times New Roman" w:cs="Times New Roman"/>
          <w:bCs/>
          <w:sz w:val="30"/>
          <w:szCs w:val="30"/>
        </w:rPr>
        <w:t>3.8</w:t>
      </w:r>
      <w:r>
        <w:rPr>
          <w:rFonts w:ascii="宋体" w:eastAsia="宋体" w:hAnsi="宋体" w:cs="楷体" w:hint="eastAsia"/>
          <w:bCs/>
          <w:sz w:val="30"/>
          <w:szCs w:val="30"/>
        </w:rPr>
        <w:t xml:space="preserve"> </w:t>
      </w:r>
      <w:r>
        <w:rPr>
          <w:rFonts w:ascii="宋体" w:eastAsia="宋体" w:hAnsi="宋体" w:cs="楷体" w:hint="eastAsia"/>
          <w:bCs/>
          <w:sz w:val="30"/>
          <w:szCs w:val="30"/>
        </w:rPr>
        <w:t>供尿人群</w:t>
      </w:r>
      <w:bookmarkEnd w:id="22"/>
      <w:r>
        <w:rPr>
          <w:rFonts w:ascii="宋体" w:eastAsia="宋体" w:hAnsi="宋体" w:cs="楷体" w:hint="eastAsia"/>
          <w:bCs/>
          <w:sz w:val="30"/>
          <w:szCs w:val="30"/>
        </w:rPr>
        <w:t xml:space="preserve"> </w:t>
      </w:r>
    </w:p>
    <w:p w:rsidR="00EE4C35" w14:paraId="6020021B"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本指南中</w:t>
      </w:r>
      <w:r>
        <w:rPr>
          <w:rFonts w:ascii="宋体" w:eastAsia="宋体" w:hAnsi="宋体" w:cstheme="majorBidi" w:hint="eastAsia"/>
          <w:bCs/>
          <w:sz w:val="30"/>
          <w:szCs w:val="30"/>
        </w:rPr>
        <w:t>的供尿人群</w:t>
      </w:r>
      <w:r>
        <w:rPr>
          <w:rFonts w:ascii="宋体" w:eastAsia="宋体" w:hAnsi="宋体" w:cstheme="majorBidi" w:hint="eastAsia"/>
          <w:bCs/>
          <w:sz w:val="30"/>
          <w:szCs w:val="30"/>
        </w:rPr>
        <w:t>是指能提供符合可接受标准的、供生产人尿源蛋白粗品的新鲜人尿液的人群。该人群的身体健康状况应符合一定的条件，可以用经临床检验等方式确认人员未被乙肝、丙肝、艾滋病、梅毒等病原微生物感染作为可接受标准的指标，或经尿源属地流行病学监测数据证实该人群提供的新鲜人尿液中所引入的病原微生物载量可满足产品病毒灭活/去除工艺控制需要。</w:t>
      </w:r>
    </w:p>
    <w:p w:rsidR="00EE4C35" w:rsidP="003B1B97" w14:paraId="46FDB813" w14:textId="77777777">
      <w:pPr>
        <w:autoSpaceDE w:val="0"/>
        <w:autoSpaceDN w:val="0"/>
        <w:adjustRightInd w:val="0"/>
        <w:spacing w:line="360" w:lineRule="auto"/>
        <w:outlineLvl w:val="0"/>
        <w:rPr>
          <w:rFonts w:ascii="宋体" w:eastAsia="宋体" w:hAnsi="宋体" w:cstheme="majorBidi"/>
          <w:b/>
          <w:sz w:val="30"/>
          <w:szCs w:val="30"/>
        </w:rPr>
      </w:pPr>
      <w:bookmarkStart w:id="23" w:name="_Toc100218359"/>
      <w:bookmarkStart w:id="24" w:name="_Toc112916071"/>
      <w:bookmarkStart w:id="25" w:name="_Toc152233773"/>
      <w:r>
        <w:rPr>
          <w:rFonts w:ascii="Times New Roman" w:eastAsia="宋体" w:hAnsi="Times New Roman" w:cs="Times New Roman"/>
          <w:b/>
          <w:sz w:val="30"/>
          <w:szCs w:val="30"/>
        </w:rPr>
        <w:t>4</w:t>
      </w:r>
      <w:r>
        <w:rPr>
          <w:rFonts w:ascii="宋体" w:eastAsia="宋体" w:hAnsi="宋体" w:cstheme="majorBidi" w:hint="eastAsia"/>
          <w:b/>
          <w:sz w:val="30"/>
          <w:szCs w:val="30"/>
        </w:rPr>
        <w:t xml:space="preserve"> 一般要求</w:t>
      </w:r>
      <w:bookmarkEnd w:id="23"/>
      <w:bookmarkEnd w:id="24"/>
      <w:bookmarkEnd w:id="25"/>
    </w:p>
    <w:p w:rsidR="00EE4C35" w:rsidP="002327B2" w14:paraId="0E8B8AD2" w14:textId="77C2829E">
      <w:pPr>
        <w:autoSpaceDE w:val="0"/>
        <w:autoSpaceDN w:val="0"/>
        <w:adjustRightInd w:val="0"/>
        <w:spacing w:line="360" w:lineRule="auto"/>
        <w:ind w:firstLine="600" w:firstLineChars="200"/>
        <w:rPr>
          <w:rFonts w:ascii="宋体" w:eastAsia="宋体" w:hAnsi="宋体" w:cstheme="majorBidi"/>
          <w:bCs/>
          <w:sz w:val="30"/>
          <w:szCs w:val="30"/>
        </w:rPr>
        <w:sectPr w:rsidSect="002327B2">
          <w:headerReference w:type="default" r:id="rId26"/>
          <w:footerReference w:type="default" r:id="rId27"/>
          <w:headerReference w:type="first" r:id="rId28"/>
          <w:footerReference w:type="first" r:id="rId29"/>
          <w:type w:val="nextPage"/>
          <w:pgSz w:w="11906" w:h="16838"/>
          <w:pgMar w:top="1440" w:right="1800" w:bottom="1440" w:left="1800" w:header="851" w:footer="992" w:gutter="0"/>
          <w:pgNumType w:start="3"/>
          <w:cols w:space="425"/>
          <w:titlePg w:val="0"/>
          <w:docGrid w:type="lines" w:linePitch="312"/>
        </w:sectPr>
      </w:pPr>
      <w:r>
        <w:rPr>
          <w:rFonts w:ascii="Times New Roman" w:eastAsia="宋体" w:hAnsi="Times New Roman" w:cs="Times New Roman"/>
          <w:bCs/>
          <w:sz w:val="30"/>
          <w:szCs w:val="30"/>
        </w:rPr>
        <w:t>4.1</w:t>
      </w:r>
      <w:r>
        <w:rPr>
          <w:rFonts w:ascii="宋体" w:eastAsia="宋体" w:hAnsi="宋体" w:cstheme="majorBidi" w:hint="eastAsia"/>
          <w:bCs/>
          <w:sz w:val="30"/>
          <w:szCs w:val="30"/>
        </w:rPr>
        <w:t xml:space="preserve"> 由于人尿源蛋白粗品生产过程的复杂性，人尿源蛋白粗品生产企业（以下简称企业）及其供应</w:t>
      </w:r>
      <w:r>
        <w:rPr>
          <w:rFonts w:ascii="宋体" w:eastAsia="宋体" w:hAnsi="宋体" w:cstheme="majorBidi" w:hint="eastAsia"/>
          <w:bCs/>
          <w:sz w:val="30"/>
          <w:szCs w:val="30"/>
        </w:rPr>
        <w:t>链参与</w:t>
      </w:r>
      <w:r>
        <w:rPr>
          <w:rFonts w:ascii="宋体" w:eastAsia="宋体" w:hAnsi="宋体" w:cstheme="majorBidi" w:hint="eastAsia"/>
          <w:bCs/>
          <w:sz w:val="30"/>
          <w:szCs w:val="30"/>
        </w:rPr>
        <w:t>企业/机构应当建</w:t>
      </w:r>
    </w:p>
    <w:p w:rsidR="00EE4C35" w:rsidP="002327B2" w14:textId="77C2829E">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立和维护质量管理体系并使其文件化，以保证人尿源蛋白粗品的安全性、有效性和质量可控性，并确保人尿源蛋白粗品起始物料及生产全过程的可追溯性。</w:t>
      </w:r>
    </w:p>
    <w:p w:rsidR="00EE4C35" w14:paraId="1A594C92"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4.2</w:t>
      </w:r>
      <w:r>
        <w:rPr>
          <w:rFonts w:ascii="宋体" w:eastAsia="宋体" w:hAnsi="宋体" w:cstheme="majorBidi" w:hint="eastAsia"/>
          <w:bCs/>
          <w:sz w:val="30"/>
          <w:szCs w:val="30"/>
        </w:rPr>
        <w:t xml:space="preserve"> 企业应当自觉接受</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或下游生产企业的质量审核。</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或下游生产企业应当根据药品法律法规的规定，对所持有的人尿源蛋白类制剂生产所用的起始物料生产企业质量管理体系进行定期审核。</w:t>
      </w:r>
    </w:p>
    <w:p w:rsidR="00EE4C35" w14:paraId="6EDB2BF1"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当企业和</w:t>
      </w:r>
      <w:r>
        <w:rPr>
          <w:rFonts w:ascii="Times New Roman" w:eastAsia="宋体" w:hAnsi="Times New Roman" w:cs="Times New Roman"/>
          <w:bCs/>
          <w:sz w:val="30"/>
          <w:szCs w:val="30"/>
        </w:rPr>
        <w:t>MAH</w:t>
      </w:r>
      <w:r>
        <w:rPr>
          <w:rFonts w:ascii="宋体" w:eastAsia="宋体" w:hAnsi="宋体" w:cstheme="majorBidi" w:hint="eastAsia"/>
          <w:bCs/>
          <w:sz w:val="30"/>
          <w:szCs w:val="30"/>
        </w:rPr>
        <w:t>为不同法律实体时，本指南所提及的</w:t>
      </w:r>
      <w:r>
        <w:rPr>
          <w:rFonts w:ascii="Times New Roman" w:eastAsia="宋体" w:hAnsi="Times New Roman" w:cs="Times New Roman"/>
          <w:bCs/>
          <w:sz w:val="30"/>
          <w:szCs w:val="30"/>
        </w:rPr>
        <w:t>MAH</w:t>
      </w:r>
      <w:r>
        <w:rPr>
          <w:rFonts w:ascii="宋体" w:eastAsia="宋体" w:hAnsi="宋体" w:cstheme="majorBidi" w:hint="eastAsia"/>
          <w:bCs/>
          <w:sz w:val="30"/>
          <w:szCs w:val="30"/>
        </w:rPr>
        <w:t>的活动或职责通过质量审核、商业合同及质量协议等进行实施。企业一般应当与供应</w:t>
      </w:r>
      <w:r>
        <w:rPr>
          <w:rFonts w:ascii="宋体" w:eastAsia="宋体" w:hAnsi="宋体" w:cstheme="majorBidi" w:hint="eastAsia"/>
          <w:bCs/>
          <w:sz w:val="30"/>
          <w:szCs w:val="30"/>
        </w:rPr>
        <w:t>链参与</w:t>
      </w:r>
      <w:r>
        <w:rPr>
          <w:rFonts w:ascii="宋体" w:eastAsia="宋体" w:hAnsi="宋体" w:cstheme="majorBidi" w:hint="eastAsia"/>
          <w:bCs/>
          <w:sz w:val="30"/>
          <w:szCs w:val="30"/>
        </w:rPr>
        <w:t>企业签订质量协议或作为商业合同的一部分，并明确各自的质量管理职责。</w:t>
      </w:r>
    </w:p>
    <w:p w:rsidR="00EE4C35" w14:paraId="6931B183"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4.3</w:t>
      </w:r>
      <w:r>
        <w:rPr>
          <w:rFonts w:ascii="宋体" w:eastAsia="宋体" w:hAnsi="宋体" w:cstheme="majorBidi" w:hint="eastAsia"/>
          <w:bCs/>
          <w:sz w:val="30"/>
          <w:szCs w:val="30"/>
        </w:rPr>
        <w:t xml:space="preserve"> 企业应当按照</w:t>
      </w:r>
      <w:r>
        <w:rPr>
          <w:rFonts w:ascii="Times New Roman" w:eastAsia="宋体" w:hAnsi="Times New Roman" w:cs="Times New Roman"/>
          <w:bCs/>
          <w:sz w:val="30"/>
          <w:szCs w:val="30"/>
        </w:rPr>
        <w:t>ICH Q7</w:t>
      </w:r>
      <w:r>
        <w:rPr>
          <w:rFonts w:ascii="宋体" w:eastAsia="宋体" w:hAnsi="宋体" w:cstheme="majorBidi" w:hint="eastAsia"/>
          <w:bCs/>
          <w:sz w:val="30"/>
          <w:szCs w:val="30"/>
        </w:rPr>
        <w:t>原料药</w:t>
      </w:r>
      <w:r>
        <w:rPr>
          <w:rFonts w:ascii="Times New Roman" w:eastAsia="宋体" w:hAnsi="Times New Roman" w:cs="Times New Roman"/>
          <w:bCs/>
          <w:sz w:val="30"/>
          <w:szCs w:val="30"/>
        </w:rPr>
        <w:t>GMP</w:t>
      </w:r>
      <w:r>
        <w:rPr>
          <w:rFonts w:ascii="宋体" w:eastAsia="宋体" w:hAnsi="宋体" w:cstheme="majorBidi" w:hint="eastAsia"/>
          <w:bCs/>
          <w:sz w:val="30"/>
          <w:szCs w:val="30"/>
        </w:rPr>
        <w:t>原则，逐步增强</w:t>
      </w:r>
      <w:r>
        <w:rPr>
          <w:rFonts w:ascii="Times New Roman" w:eastAsia="宋体" w:hAnsi="Times New Roman" w:cs="Times New Roman"/>
          <w:bCs/>
          <w:sz w:val="30"/>
          <w:szCs w:val="30"/>
        </w:rPr>
        <w:t>GMP</w:t>
      </w:r>
      <w:r>
        <w:rPr>
          <w:rFonts w:ascii="宋体" w:eastAsia="宋体" w:hAnsi="宋体" w:cstheme="majorBidi" w:hint="eastAsia"/>
          <w:bCs/>
          <w:sz w:val="30"/>
          <w:szCs w:val="30"/>
        </w:rPr>
        <w:t>实施程度，即从人尿液进入生产过程到中间体分离、纯化等后续工艺步骤逐步增加</w:t>
      </w:r>
      <w:r>
        <w:rPr>
          <w:rFonts w:ascii="Times New Roman" w:eastAsia="宋体" w:hAnsi="Times New Roman" w:cs="Times New Roman"/>
          <w:bCs/>
          <w:sz w:val="30"/>
          <w:szCs w:val="30"/>
        </w:rPr>
        <w:t>GMP</w:t>
      </w:r>
      <w:r>
        <w:rPr>
          <w:rFonts w:ascii="宋体" w:eastAsia="宋体" w:hAnsi="宋体" w:cstheme="majorBidi" w:hint="eastAsia"/>
          <w:bCs/>
          <w:sz w:val="30"/>
          <w:szCs w:val="30"/>
        </w:rPr>
        <w:t>控制，并保证人员、厂房、设施与设备和生产过程控制符合要求。</w:t>
      </w:r>
    </w:p>
    <w:p w:rsidR="00EE4C35" w14:paraId="3273DD43"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4.4</w:t>
      </w:r>
      <w:r>
        <w:rPr>
          <w:rFonts w:ascii="宋体" w:eastAsia="宋体" w:hAnsi="宋体" w:cstheme="majorBidi" w:hint="eastAsia"/>
          <w:bCs/>
          <w:sz w:val="30"/>
          <w:szCs w:val="30"/>
        </w:rPr>
        <w:t xml:space="preserve"> 企业应当制订起始物料、生产用辅料和包装材料的质量标准和检测方法，并定期进行供应</w:t>
      </w:r>
      <w:r>
        <w:rPr>
          <w:rFonts w:ascii="宋体" w:eastAsia="宋体" w:hAnsi="宋体" w:cstheme="majorBidi" w:hint="eastAsia"/>
          <w:bCs/>
          <w:sz w:val="30"/>
          <w:szCs w:val="30"/>
        </w:rPr>
        <w:t>商质量</w:t>
      </w:r>
      <w:r>
        <w:rPr>
          <w:rFonts w:ascii="宋体" w:eastAsia="宋体" w:hAnsi="宋体" w:cstheme="majorBidi" w:hint="eastAsia"/>
          <w:bCs/>
          <w:sz w:val="30"/>
          <w:szCs w:val="30"/>
        </w:rPr>
        <w:t>审核。</w:t>
      </w:r>
    </w:p>
    <w:p w:rsidR="00EE4C35" w14:paraId="21FC11AF" w14:textId="77777777">
      <w:pPr>
        <w:spacing w:line="360" w:lineRule="auto"/>
        <w:ind w:firstLine="600" w:firstLineChars="200"/>
        <w:jc w:val="left"/>
        <w:rPr>
          <w:rFonts w:ascii="宋体" w:eastAsia="宋体" w:hAnsi="宋体" w:cstheme="majorBidi"/>
          <w:bCs/>
          <w:sz w:val="30"/>
          <w:szCs w:val="30"/>
        </w:rPr>
        <w:sectPr w:rsidSect="002327B2">
          <w:headerReference w:type="default" r:id="rId30"/>
          <w:footerReference w:type="default" r:id="rId31"/>
          <w:headerReference w:type="first" r:id="rId32"/>
          <w:footerReference w:type="first" r:id="rId33"/>
          <w:type w:val="nextPage"/>
          <w:pgSz w:w="11906" w:h="16838"/>
          <w:pgMar w:top="1440" w:right="1800" w:bottom="1440" w:left="1800" w:header="851" w:footer="992" w:gutter="0"/>
          <w:pgNumType w:start="4"/>
          <w:cols w:space="425"/>
          <w:titlePg w:val="0"/>
          <w:docGrid w:type="lines" w:linePitch="312"/>
        </w:sectPr>
      </w:pPr>
      <w:r>
        <w:rPr>
          <w:rFonts w:ascii="Times New Roman" w:eastAsia="宋体" w:hAnsi="Times New Roman" w:cs="Times New Roman"/>
          <w:bCs/>
          <w:sz w:val="30"/>
          <w:szCs w:val="30"/>
        </w:rPr>
        <w:t>4.5</w:t>
      </w:r>
      <w:r>
        <w:rPr>
          <w:rFonts w:ascii="宋体" w:eastAsia="宋体" w:hAnsi="宋体" w:cstheme="majorBidi" w:hint="eastAsia"/>
          <w:bCs/>
          <w:sz w:val="30"/>
          <w:szCs w:val="30"/>
        </w:rPr>
        <w:t xml:space="preserve"> 并非所有生产步骤或生产场地都必须完全遵守药品</w:t>
      </w:r>
      <w:r>
        <w:rPr>
          <w:rFonts w:ascii="Times New Roman" w:eastAsia="宋体" w:hAnsi="Times New Roman" w:cs="Times New Roman"/>
          <w:bCs/>
          <w:sz w:val="30"/>
          <w:szCs w:val="30"/>
        </w:rPr>
        <w:t>GMP</w:t>
      </w:r>
      <w:r>
        <w:rPr>
          <w:rFonts w:ascii="宋体" w:eastAsia="宋体" w:hAnsi="宋体" w:cstheme="majorBidi" w:hint="eastAsia"/>
          <w:bCs/>
          <w:sz w:val="30"/>
          <w:szCs w:val="30"/>
        </w:rPr>
        <w:t>规范。例如：人尿液收集或吸附。但</w:t>
      </w:r>
      <w:r>
        <w:rPr>
          <w:rFonts w:ascii="Times New Roman" w:eastAsia="宋体" w:hAnsi="Times New Roman" w:cs="Times New Roman"/>
          <w:bCs/>
          <w:sz w:val="30"/>
          <w:szCs w:val="30"/>
        </w:rPr>
        <w:t>MAH</w:t>
      </w:r>
      <w:r>
        <w:rPr>
          <w:rFonts w:ascii="宋体" w:eastAsia="宋体" w:hAnsi="宋体" w:cstheme="majorBidi" w:hint="eastAsia"/>
          <w:bCs/>
          <w:sz w:val="30"/>
          <w:szCs w:val="30"/>
        </w:rPr>
        <w:t>应采取适当的</w:t>
      </w:r>
      <w:r>
        <w:rPr>
          <w:rFonts w:ascii="Times New Roman" w:eastAsia="宋体" w:hAnsi="Times New Roman" w:cs="Times New Roman"/>
          <w:bCs/>
          <w:sz w:val="30"/>
          <w:szCs w:val="30"/>
        </w:rPr>
        <w:t>GMP</w:t>
      </w:r>
      <w:r>
        <w:rPr>
          <w:rFonts w:ascii="宋体" w:eastAsia="宋体" w:hAnsi="宋体" w:cstheme="majorBidi" w:hint="eastAsia"/>
          <w:bCs/>
          <w:sz w:val="30"/>
          <w:szCs w:val="30"/>
        </w:rPr>
        <w:t>措施确保当人尿源蛋白粗品生产的起始物料、中间体来源于不同供应商时满足相同的标准，并确保工艺中间体工艺</w:t>
      </w:r>
      <w:r>
        <w:rPr>
          <w:rFonts w:ascii="宋体" w:eastAsia="宋体" w:hAnsi="宋体" w:cstheme="majorBidi" w:hint="eastAsia"/>
          <w:bCs/>
          <w:sz w:val="30"/>
          <w:szCs w:val="30"/>
        </w:rPr>
        <w:t>链控制</w:t>
      </w:r>
      <w:r>
        <w:rPr>
          <w:rFonts w:ascii="宋体" w:eastAsia="宋体" w:hAnsi="宋体" w:cstheme="majorBidi" w:hint="eastAsia"/>
          <w:bCs/>
          <w:sz w:val="30"/>
          <w:szCs w:val="30"/>
        </w:rPr>
        <w:t>能力与后续原料药或制剂质量风险控制能力相匹配，且具有</w:t>
      </w:r>
    </w:p>
    <w:p w:rsidR="00EE4C35" w14:textId="77777777">
      <w:pPr>
        <w:spacing w:line="360" w:lineRule="auto"/>
        <w:ind w:firstLine="600" w:firstLineChars="200"/>
        <w:jc w:val="left"/>
        <w:rPr>
          <w:rFonts w:ascii="宋体" w:eastAsia="宋体" w:hAnsi="宋体" w:cstheme="majorBidi"/>
          <w:bCs/>
          <w:sz w:val="30"/>
          <w:szCs w:val="30"/>
        </w:rPr>
      </w:pPr>
      <w:r>
        <w:rPr>
          <w:rFonts w:ascii="宋体" w:eastAsia="宋体" w:hAnsi="宋体" w:cstheme="majorBidi" w:hint="eastAsia"/>
          <w:bCs/>
          <w:sz w:val="30"/>
          <w:szCs w:val="30"/>
        </w:rPr>
        <w:t>可追溯性；但是起始物料、工艺中间体供应商可以有适当的灵活性以确保人尿源蛋白粗</w:t>
      </w:r>
      <w:r>
        <w:rPr>
          <w:rFonts w:ascii="宋体" w:eastAsia="宋体" w:hAnsi="宋体" w:cstheme="majorBidi" w:hint="eastAsia"/>
          <w:bCs/>
          <w:sz w:val="30"/>
          <w:szCs w:val="30"/>
        </w:rPr>
        <w:t>品能够</w:t>
      </w:r>
      <w:r>
        <w:rPr>
          <w:rFonts w:ascii="宋体" w:eastAsia="宋体" w:hAnsi="宋体" w:cstheme="majorBidi" w:hint="eastAsia"/>
          <w:bCs/>
          <w:sz w:val="30"/>
          <w:szCs w:val="30"/>
        </w:rPr>
        <w:t>持续供应。</w:t>
      </w:r>
    </w:p>
    <w:p w:rsidR="00EE4C35" w14:paraId="5E3F1ED8"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4.6</w:t>
      </w:r>
      <w:r>
        <w:rPr>
          <w:rFonts w:ascii="宋体" w:eastAsia="宋体" w:hAnsi="宋体" w:cstheme="majorBidi" w:hint="eastAsia"/>
          <w:bCs/>
          <w:sz w:val="30"/>
          <w:szCs w:val="30"/>
        </w:rPr>
        <w:t xml:space="preserve"> 企业可根据签订的质量协议要求对人尿源蛋白粗品生产场地进行登记管理，以保证对相应工艺</w:t>
      </w:r>
      <w:r>
        <w:rPr>
          <w:rFonts w:ascii="宋体" w:eastAsia="宋体" w:hAnsi="宋体" w:cstheme="majorBidi" w:hint="eastAsia"/>
          <w:bCs/>
          <w:sz w:val="30"/>
          <w:szCs w:val="30"/>
        </w:rPr>
        <w:t>链涉及</w:t>
      </w:r>
      <w:r>
        <w:rPr>
          <w:rFonts w:ascii="宋体" w:eastAsia="宋体" w:hAnsi="宋体" w:cstheme="majorBidi" w:hint="eastAsia"/>
          <w:bCs/>
          <w:sz w:val="30"/>
          <w:szCs w:val="30"/>
        </w:rPr>
        <w:t>的关键生产步骤或生产场地进行必要的质量控制。</w:t>
      </w:r>
    </w:p>
    <w:p w:rsidR="00EE4C35" w:rsidP="003B1B97" w14:paraId="368F2E1E" w14:textId="77777777">
      <w:pPr>
        <w:autoSpaceDE w:val="0"/>
        <w:autoSpaceDN w:val="0"/>
        <w:adjustRightInd w:val="0"/>
        <w:spacing w:line="360" w:lineRule="auto"/>
        <w:outlineLvl w:val="0"/>
        <w:rPr>
          <w:rFonts w:ascii="宋体" w:eastAsia="宋体" w:hAnsi="宋体" w:cstheme="majorBidi"/>
          <w:b/>
          <w:sz w:val="30"/>
          <w:szCs w:val="30"/>
        </w:rPr>
      </w:pPr>
      <w:bookmarkStart w:id="26" w:name="_Toc110252023"/>
      <w:bookmarkStart w:id="27" w:name="_Toc100218360"/>
      <w:bookmarkStart w:id="28" w:name="_Toc152233774"/>
      <w:r>
        <w:rPr>
          <w:rFonts w:ascii="Times New Roman" w:eastAsia="宋体" w:hAnsi="Times New Roman" w:cs="Times New Roman"/>
          <w:b/>
          <w:sz w:val="30"/>
          <w:szCs w:val="30"/>
        </w:rPr>
        <w:t>5</w:t>
      </w:r>
      <w:r>
        <w:rPr>
          <w:rFonts w:ascii="宋体" w:eastAsia="宋体" w:hAnsi="宋体" w:cstheme="majorBidi" w:hint="eastAsia"/>
          <w:b/>
          <w:sz w:val="30"/>
          <w:szCs w:val="30"/>
        </w:rPr>
        <w:t xml:space="preserve"> 质量管理</w:t>
      </w:r>
      <w:bookmarkEnd w:id="26"/>
      <w:bookmarkEnd w:id="27"/>
      <w:bookmarkEnd w:id="28"/>
    </w:p>
    <w:p w:rsidR="00EE4C35" w14:paraId="2DE91316" w14:textId="77777777">
      <w:pPr>
        <w:autoSpaceDE w:val="0"/>
        <w:autoSpaceDN w:val="0"/>
        <w:adjustRightInd w:val="0"/>
        <w:spacing w:line="360" w:lineRule="auto"/>
        <w:ind w:firstLine="600" w:firstLineChars="200"/>
        <w:rPr>
          <w:rFonts w:ascii="宋体" w:eastAsia="宋体" w:hAnsi="宋体" w:cstheme="majorBidi"/>
          <w:bCs/>
          <w:sz w:val="30"/>
          <w:szCs w:val="30"/>
        </w:rPr>
      </w:pPr>
      <w:bookmarkStart w:id="29" w:name="_Toc110252024"/>
      <w:bookmarkStart w:id="30" w:name="_Toc100218361"/>
      <w:r>
        <w:rPr>
          <w:rFonts w:ascii="Times New Roman" w:eastAsia="宋体" w:hAnsi="Times New Roman" w:cs="Times New Roman"/>
          <w:bCs/>
          <w:sz w:val="30"/>
          <w:szCs w:val="30"/>
        </w:rPr>
        <w:t>5.1</w:t>
      </w:r>
      <w:r>
        <w:rPr>
          <w:rFonts w:ascii="宋体" w:eastAsia="宋体" w:hAnsi="宋体" w:cstheme="majorBidi" w:hint="eastAsia"/>
          <w:bCs/>
          <w:sz w:val="30"/>
          <w:szCs w:val="30"/>
        </w:rPr>
        <w:t xml:space="preserve"> 企业建立质量管理体系时，应配备足够的人员及满足产品质量控制要求的厂房、设施和设备，涵盖人尿源蛋白粗品的新鲜人尿液收集、吸附等工艺中间体和粗品生产过程所有生产场地以及工艺</w:t>
      </w:r>
      <w:r>
        <w:rPr>
          <w:rFonts w:ascii="宋体" w:eastAsia="宋体" w:hAnsi="宋体" w:cstheme="majorBidi" w:hint="eastAsia"/>
          <w:bCs/>
          <w:sz w:val="30"/>
          <w:szCs w:val="30"/>
        </w:rPr>
        <w:t>链关键</w:t>
      </w:r>
      <w:r>
        <w:rPr>
          <w:rFonts w:ascii="宋体" w:eastAsia="宋体" w:hAnsi="宋体" w:cstheme="majorBidi" w:hint="eastAsia"/>
          <w:bCs/>
          <w:sz w:val="30"/>
          <w:szCs w:val="30"/>
        </w:rPr>
        <w:t>质量特性</w:t>
      </w:r>
      <w:r>
        <w:rPr>
          <w:rFonts w:ascii="Times New Roman" w:eastAsia="宋体" w:hAnsi="Times New Roman" w:cs="Times New Roman"/>
          <w:bCs/>
          <w:sz w:val="30"/>
          <w:szCs w:val="30"/>
        </w:rPr>
        <w:t>（</w:t>
      </w:r>
      <w:r>
        <w:rPr>
          <w:rFonts w:ascii="Times New Roman" w:eastAsia="宋体" w:hAnsi="Times New Roman" w:cs="Times New Roman"/>
          <w:bCs/>
          <w:sz w:val="30"/>
          <w:szCs w:val="30"/>
        </w:rPr>
        <w:t>CQA</w:t>
      </w:r>
      <w:r>
        <w:rPr>
          <w:rFonts w:ascii="Times New Roman" w:eastAsia="宋体" w:hAnsi="Times New Roman" w:cs="Times New Roman"/>
          <w:bCs/>
          <w:sz w:val="30"/>
          <w:szCs w:val="30"/>
        </w:rPr>
        <w:t>）</w:t>
      </w:r>
      <w:r>
        <w:rPr>
          <w:rFonts w:ascii="宋体" w:eastAsia="宋体" w:hAnsi="宋体" w:cstheme="majorBidi" w:hint="eastAsia"/>
          <w:bCs/>
          <w:sz w:val="30"/>
          <w:szCs w:val="30"/>
        </w:rPr>
        <w:t>和关键工艺参数</w:t>
      </w:r>
      <w:r>
        <w:rPr>
          <w:rFonts w:ascii="Times New Roman" w:eastAsia="宋体" w:hAnsi="Times New Roman" w:cs="Times New Roman"/>
          <w:bCs/>
          <w:sz w:val="30"/>
          <w:szCs w:val="30"/>
        </w:rPr>
        <w:t>（</w:t>
      </w:r>
      <w:r>
        <w:rPr>
          <w:rFonts w:ascii="Times New Roman" w:eastAsia="宋体" w:hAnsi="Times New Roman" w:cs="Times New Roman"/>
          <w:bCs/>
          <w:sz w:val="30"/>
          <w:szCs w:val="30"/>
        </w:rPr>
        <w:t>CPP</w:t>
      </w:r>
      <w:r>
        <w:rPr>
          <w:rFonts w:ascii="Times New Roman" w:eastAsia="宋体" w:hAnsi="Times New Roman" w:cs="Times New Roman"/>
          <w:bCs/>
          <w:sz w:val="30"/>
          <w:szCs w:val="30"/>
        </w:rPr>
        <w:t>）</w:t>
      </w:r>
      <w:r>
        <w:rPr>
          <w:rFonts w:ascii="宋体" w:eastAsia="宋体" w:hAnsi="宋体" w:cstheme="majorBidi" w:hint="eastAsia"/>
          <w:bCs/>
          <w:sz w:val="30"/>
          <w:szCs w:val="30"/>
        </w:rPr>
        <w:t>，并保证所出厂放行产品的可追溯性。</w:t>
      </w:r>
    </w:p>
    <w:p w:rsidR="00EE4C35" w14:paraId="618DF2D4"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5.2</w:t>
      </w:r>
      <w:r>
        <w:rPr>
          <w:rFonts w:ascii="宋体" w:eastAsia="宋体" w:hAnsi="宋体" w:cstheme="majorBidi" w:hint="eastAsia"/>
          <w:bCs/>
          <w:sz w:val="30"/>
          <w:szCs w:val="30"/>
        </w:rPr>
        <w:t xml:space="preserve"> 企业应制订人尿源蛋白粗品工艺规程和标准操作规程，并根据实际经验在不同工艺中间体阶段进行适当控制，以保证能稳定生产出符合后续工艺质量控制要求的人尿源蛋白原料药和制剂产品。 </w:t>
      </w:r>
    </w:p>
    <w:p w:rsidR="00EE4C35" w14:paraId="1DA9A5EE"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5.3</w:t>
      </w:r>
      <w:r>
        <w:rPr>
          <w:rFonts w:ascii="宋体" w:eastAsia="宋体" w:hAnsi="宋体" w:cstheme="majorBidi" w:hint="eastAsia"/>
          <w:bCs/>
          <w:sz w:val="30"/>
          <w:szCs w:val="30"/>
        </w:rPr>
        <w:t xml:space="preserve"> 企业应设立一个独立于生产管理系统的质量管理部门，或指定质量管理人员负责质量管理体系建立，履行质量保证和质量控制的职责，组织企业人员参与所有与质量有关的活动。</w:t>
      </w:r>
    </w:p>
    <w:p w:rsidR="00EE4C35" w14:paraId="104F590E" w14:textId="77777777">
      <w:pPr>
        <w:autoSpaceDE w:val="0"/>
        <w:autoSpaceDN w:val="0"/>
        <w:adjustRightInd w:val="0"/>
        <w:spacing w:line="360" w:lineRule="auto"/>
        <w:ind w:firstLine="600" w:firstLineChars="200"/>
        <w:rPr>
          <w:rFonts w:ascii="宋体" w:eastAsia="宋体" w:hAnsi="宋体" w:cstheme="majorBidi"/>
          <w:bCs/>
          <w:sz w:val="30"/>
          <w:szCs w:val="30"/>
        </w:rPr>
        <w:sectPr w:rsidSect="002327B2">
          <w:headerReference w:type="default" r:id="rId34"/>
          <w:footerReference w:type="default" r:id="rId35"/>
          <w:headerReference w:type="first" r:id="rId36"/>
          <w:footerReference w:type="first" r:id="rId37"/>
          <w:type w:val="nextPage"/>
          <w:pgSz w:w="11906" w:h="16838"/>
          <w:pgMar w:top="1440" w:right="1800" w:bottom="1440" w:left="1800" w:header="851" w:footer="992" w:gutter="0"/>
          <w:pgNumType w:start="5"/>
          <w:cols w:space="425"/>
          <w:titlePg w:val="0"/>
          <w:docGrid w:type="lines" w:linePitch="312"/>
        </w:sectPr>
      </w:pPr>
      <w:r>
        <w:rPr>
          <w:rFonts w:ascii="Times New Roman" w:eastAsia="宋体" w:hAnsi="Times New Roman" w:cs="Times New Roman"/>
          <w:bCs/>
          <w:sz w:val="30"/>
          <w:szCs w:val="30"/>
        </w:rPr>
        <w:t>5.4</w:t>
      </w:r>
      <w:r>
        <w:rPr>
          <w:rFonts w:ascii="宋体" w:eastAsia="宋体" w:hAnsi="宋体" w:cstheme="majorBidi" w:hint="eastAsia"/>
          <w:bCs/>
          <w:sz w:val="30"/>
          <w:szCs w:val="30"/>
        </w:rPr>
        <w:t xml:space="preserve"> 为保证质量管理体系的实施，产品实现过程中应当考虑对资源的具体要求，包括法规要求、工艺设计与开发、下游企业要求或标准、物料采购、厂房设施和设备、生产过程控制、产品放行、储运条件等，以持续对生产工艺和质量进行改进。鼓励采</w:t>
      </w:r>
    </w:p>
    <w:p w:rsidR="00EE4C35"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用信息化手段如实记录生产、检验过程中形成的所有数据，确保产品工艺</w:t>
      </w:r>
      <w:r>
        <w:rPr>
          <w:rFonts w:ascii="宋体" w:eastAsia="宋体" w:hAnsi="宋体" w:cstheme="majorBidi" w:hint="eastAsia"/>
          <w:bCs/>
          <w:sz w:val="30"/>
          <w:szCs w:val="30"/>
        </w:rPr>
        <w:t>链持续</w:t>
      </w:r>
      <w:r>
        <w:rPr>
          <w:rFonts w:ascii="宋体" w:eastAsia="宋体" w:hAnsi="宋体" w:cstheme="majorBidi" w:hint="eastAsia"/>
          <w:bCs/>
          <w:sz w:val="30"/>
          <w:szCs w:val="30"/>
        </w:rPr>
        <w:t>符合质量要求。</w:t>
      </w:r>
    </w:p>
    <w:p w:rsidR="00EE4C35" w14:paraId="4F182D66"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5.5</w:t>
      </w:r>
      <w:r>
        <w:rPr>
          <w:rFonts w:ascii="宋体" w:eastAsia="宋体" w:hAnsi="宋体" w:cstheme="majorBidi" w:hint="eastAsia"/>
          <w:bCs/>
          <w:sz w:val="30"/>
          <w:szCs w:val="30"/>
        </w:rPr>
        <w:t xml:space="preserve"> 质量风险管理</w:t>
      </w:r>
    </w:p>
    <w:p w:rsidR="00EE4C35" w14:paraId="6D928E8C" w14:textId="7EF85B23">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5.5.1</w:t>
      </w:r>
      <w:r>
        <w:rPr>
          <w:rFonts w:ascii="宋体" w:eastAsia="宋体" w:hAnsi="宋体" w:cstheme="majorBidi" w:hint="eastAsia"/>
          <w:bCs/>
          <w:sz w:val="30"/>
          <w:szCs w:val="30"/>
        </w:rPr>
        <w:t xml:space="preserve"> 企业质量风险管理</w:t>
      </w:r>
      <w:r>
        <w:rPr>
          <w:rFonts w:ascii="Times New Roman" w:eastAsia="宋体" w:hAnsi="Times New Roman" w:cs="Times New Roman"/>
          <w:bCs/>
          <w:sz w:val="30"/>
          <w:szCs w:val="30"/>
        </w:rPr>
        <w:t>（</w:t>
      </w:r>
      <w:r>
        <w:rPr>
          <w:rFonts w:ascii="Times New Roman" w:eastAsia="宋体" w:hAnsi="Times New Roman" w:cs="Times New Roman"/>
          <w:bCs/>
          <w:sz w:val="30"/>
          <w:szCs w:val="30"/>
        </w:rPr>
        <w:t>QRM</w:t>
      </w:r>
      <w:r>
        <w:rPr>
          <w:rFonts w:ascii="Times New Roman" w:eastAsia="宋体" w:hAnsi="Times New Roman" w:cs="Times New Roman"/>
          <w:bCs/>
          <w:sz w:val="30"/>
          <w:szCs w:val="30"/>
        </w:rPr>
        <w:t>）</w:t>
      </w:r>
      <w:r>
        <w:rPr>
          <w:rFonts w:ascii="宋体" w:eastAsia="宋体" w:hAnsi="宋体" w:cstheme="majorBidi" w:hint="eastAsia"/>
          <w:bCs/>
          <w:sz w:val="30"/>
          <w:szCs w:val="30"/>
        </w:rPr>
        <w:t>应作为质量管理体系的一部分。有效的质量风险管理应当通过质量管理体系、药品</w:t>
      </w:r>
      <w:r>
        <w:rPr>
          <w:rFonts w:ascii="Times New Roman" w:eastAsia="宋体" w:hAnsi="Times New Roman" w:cs="Times New Roman"/>
          <w:bCs/>
          <w:sz w:val="30"/>
          <w:szCs w:val="30"/>
        </w:rPr>
        <w:t>GMP</w:t>
      </w:r>
      <w:r>
        <w:rPr>
          <w:rFonts w:ascii="宋体" w:eastAsia="宋体" w:hAnsi="宋体" w:cstheme="majorBidi" w:hint="eastAsia"/>
          <w:bCs/>
          <w:sz w:val="30"/>
          <w:szCs w:val="30"/>
        </w:rPr>
        <w:t>规范、质量控制</w:t>
      </w:r>
      <w:r>
        <w:rPr>
          <w:rFonts w:ascii="Times New Roman" w:eastAsia="宋体" w:hAnsi="Times New Roman" w:cs="Times New Roman"/>
          <w:bCs/>
          <w:sz w:val="30"/>
          <w:szCs w:val="30"/>
        </w:rPr>
        <w:t>、</w:t>
      </w:r>
      <w:r>
        <w:rPr>
          <w:rFonts w:ascii="Times New Roman" w:eastAsia="宋体" w:hAnsi="Times New Roman" w:cs="Times New Roman"/>
          <w:bCs/>
          <w:sz w:val="30"/>
          <w:szCs w:val="30"/>
        </w:rPr>
        <w:t>ICH Q9</w:t>
      </w:r>
      <w:r>
        <w:rPr>
          <w:rFonts w:ascii="Times New Roman" w:eastAsia="宋体" w:hAnsi="Times New Roman" w:cs="Times New Roman"/>
          <w:bCs/>
          <w:sz w:val="30"/>
          <w:szCs w:val="30"/>
        </w:rPr>
        <w:t>（</w:t>
      </w:r>
      <w:r>
        <w:rPr>
          <w:rFonts w:ascii="Times New Roman" w:eastAsia="宋体" w:hAnsi="Times New Roman" w:cs="Times New Roman"/>
          <w:bCs/>
          <w:sz w:val="30"/>
          <w:szCs w:val="30"/>
        </w:rPr>
        <w:t>R1</w:t>
      </w:r>
      <w:r>
        <w:rPr>
          <w:rFonts w:ascii="Times New Roman" w:eastAsia="宋体" w:hAnsi="Times New Roman" w:cs="Times New Roman"/>
          <w:bCs/>
          <w:sz w:val="30"/>
          <w:szCs w:val="30"/>
        </w:rPr>
        <w:t>）</w:t>
      </w:r>
      <w:r>
        <w:rPr>
          <w:rFonts w:ascii="宋体" w:eastAsia="宋体" w:hAnsi="宋体" w:cstheme="majorBidi" w:hint="eastAsia"/>
          <w:bCs/>
          <w:sz w:val="30"/>
          <w:szCs w:val="30"/>
        </w:rPr>
        <w:t>指导原则提供的风险管理工具等综合性方法识别和控制潜在的风险。例如：</w:t>
      </w:r>
      <w:r>
        <w:rPr>
          <w:rFonts w:ascii="宋体" w:eastAsia="宋体" w:hAnsi="宋体" w:cstheme="majorBidi" w:hint="eastAsia"/>
          <w:bCs/>
          <w:sz w:val="30"/>
          <w:szCs w:val="30"/>
        </w:rPr>
        <w:t>基于供尿人群</w:t>
      </w:r>
      <w:r>
        <w:rPr>
          <w:rFonts w:ascii="宋体" w:eastAsia="宋体" w:hAnsi="宋体" w:cstheme="majorBidi" w:hint="eastAsia"/>
          <w:bCs/>
          <w:sz w:val="30"/>
          <w:szCs w:val="30"/>
        </w:rPr>
        <w:t>健康状况和尿源属地流行病学监测数据制订人尿液病原微生物控制策略；混合人尿液病原微生物应当在后续的去除/灭活病毒的生产工艺中有效去除。人尿源蛋白粗品工艺控制取决于不同加工处理阶段的风险，并保证工艺</w:t>
      </w:r>
      <w:r>
        <w:rPr>
          <w:rFonts w:ascii="宋体" w:eastAsia="宋体" w:hAnsi="宋体" w:cstheme="majorBidi" w:hint="eastAsia"/>
          <w:bCs/>
          <w:sz w:val="30"/>
          <w:szCs w:val="30"/>
        </w:rPr>
        <w:t>链不同</w:t>
      </w:r>
      <w:r>
        <w:rPr>
          <w:rFonts w:ascii="宋体" w:eastAsia="宋体" w:hAnsi="宋体" w:cstheme="majorBidi" w:hint="eastAsia"/>
          <w:bCs/>
          <w:sz w:val="30"/>
          <w:szCs w:val="30"/>
        </w:rPr>
        <w:t>阶段工艺信息可追溯。</w:t>
      </w:r>
    </w:p>
    <w:p w:rsidR="00EE4C35" w14:paraId="2A7391AA"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5.5.2</w:t>
      </w:r>
      <w:r>
        <w:rPr>
          <w:rFonts w:ascii="宋体" w:eastAsia="宋体" w:hAnsi="宋体" w:cstheme="majorBidi" w:hint="eastAsia"/>
          <w:bCs/>
          <w:sz w:val="30"/>
          <w:szCs w:val="30"/>
        </w:rPr>
        <w:t xml:space="preserve"> 在人尿源蛋白产品全生命周期内，人尿源蛋白粗</w:t>
      </w:r>
      <w:r>
        <w:rPr>
          <w:rFonts w:ascii="宋体" w:eastAsia="宋体" w:hAnsi="宋体" w:cstheme="majorBidi" w:hint="eastAsia"/>
          <w:bCs/>
          <w:sz w:val="30"/>
          <w:szCs w:val="30"/>
        </w:rPr>
        <w:t>品应当</w:t>
      </w:r>
      <w:r>
        <w:rPr>
          <w:rFonts w:ascii="宋体" w:eastAsia="宋体" w:hAnsi="宋体" w:cstheme="majorBidi" w:hint="eastAsia"/>
          <w:bCs/>
          <w:sz w:val="30"/>
          <w:szCs w:val="30"/>
        </w:rPr>
        <w:t>符合满足其预定用途所要求的质量标准，企业应基于风险利益平衡防止由于安全性、有效性、质量可控性等方面给患者造成的风险。例如：</w:t>
      </w:r>
    </w:p>
    <w:p w:rsidR="00EE4C35" w14:paraId="2EA7E387" w14:textId="77777777">
      <w:pPr>
        <w:numPr>
          <w:ilvl w:val="0"/>
          <w:numId w:val="2"/>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基于风险确定人尿源蛋白粗品的关键质量特性</w:t>
      </w:r>
      <w:r>
        <w:rPr>
          <w:rFonts w:ascii="Times New Roman" w:eastAsia="宋体" w:hAnsi="Times New Roman" w:cs="Times New Roman"/>
          <w:bCs/>
          <w:sz w:val="30"/>
          <w:szCs w:val="30"/>
        </w:rPr>
        <w:t>(CQA)</w:t>
      </w:r>
      <w:r>
        <w:rPr>
          <w:rFonts w:ascii="宋体" w:eastAsia="宋体" w:hAnsi="宋体" w:cstheme="majorBidi" w:hint="eastAsia"/>
          <w:bCs/>
          <w:sz w:val="30"/>
          <w:szCs w:val="30"/>
        </w:rPr>
        <w:t>和关键工艺参数</w:t>
      </w:r>
      <w:r>
        <w:rPr>
          <w:rFonts w:ascii="Times New Roman" w:eastAsia="宋体" w:hAnsi="Times New Roman" w:cs="Times New Roman"/>
          <w:bCs/>
          <w:sz w:val="30"/>
          <w:szCs w:val="30"/>
        </w:rPr>
        <w:t>(CPP)</w:t>
      </w:r>
      <w:r>
        <w:rPr>
          <w:rFonts w:ascii="Times New Roman" w:eastAsia="宋体" w:hAnsi="Times New Roman" w:cs="Times New Roman"/>
          <w:bCs/>
          <w:sz w:val="30"/>
          <w:szCs w:val="30"/>
        </w:rPr>
        <w:t>，</w:t>
      </w:r>
      <w:r>
        <w:rPr>
          <w:rFonts w:ascii="宋体" w:eastAsia="宋体" w:hAnsi="宋体" w:cstheme="majorBidi" w:hint="eastAsia"/>
          <w:bCs/>
          <w:sz w:val="30"/>
          <w:szCs w:val="30"/>
        </w:rPr>
        <w:t>制定相应的人尿源蛋白粗品质量标准和生产工艺，确保其</w:t>
      </w:r>
      <w:bookmarkStart w:id="31" w:name="OLE_LINK6"/>
      <w:r>
        <w:rPr>
          <w:rFonts w:ascii="宋体" w:eastAsia="宋体" w:hAnsi="宋体" w:cstheme="majorBidi" w:hint="eastAsia"/>
          <w:bCs/>
          <w:sz w:val="30"/>
          <w:szCs w:val="30"/>
        </w:rPr>
        <w:t>生产</w:t>
      </w:r>
      <w:bookmarkEnd w:id="31"/>
      <w:r>
        <w:rPr>
          <w:rFonts w:ascii="宋体" w:eastAsia="宋体" w:hAnsi="宋体" w:cstheme="majorBidi" w:hint="eastAsia"/>
          <w:bCs/>
          <w:sz w:val="30"/>
          <w:szCs w:val="30"/>
        </w:rPr>
        <w:t>过程中工艺中间体或人尿源蛋白粗品质量能满足</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或下游企业工艺控制的需要；</w:t>
      </w:r>
    </w:p>
    <w:p w:rsidR="00EE4C35" w14:paraId="79D0716E" w14:textId="77777777">
      <w:pPr>
        <w:numPr>
          <w:ilvl w:val="0"/>
          <w:numId w:val="2"/>
        </w:numPr>
        <w:autoSpaceDE w:val="0"/>
        <w:autoSpaceDN w:val="0"/>
        <w:adjustRightInd w:val="0"/>
        <w:spacing w:line="360" w:lineRule="auto"/>
        <w:rPr>
          <w:rFonts w:ascii="宋体" w:eastAsia="宋体" w:hAnsi="宋体" w:cstheme="majorBidi"/>
          <w:bCs/>
          <w:sz w:val="30"/>
          <w:szCs w:val="30"/>
        </w:rPr>
        <w:sectPr w:rsidSect="002327B2">
          <w:headerReference w:type="default" r:id="rId38"/>
          <w:footerReference w:type="default" r:id="rId39"/>
          <w:headerReference w:type="first" r:id="rId40"/>
          <w:footerReference w:type="first" r:id="rId41"/>
          <w:type w:val="nextPage"/>
          <w:pgSz w:w="11906" w:h="16838"/>
          <w:pgMar w:top="1440" w:right="1800" w:bottom="1440" w:left="1800" w:header="851" w:footer="992" w:gutter="0"/>
          <w:pgNumType w:start="6"/>
          <w:cols w:space="425"/>
          <w:titlePg w:val="0"/>
          <w:docGrid w:type="lines" w:linePitch="312"/>
        </w:sectPr>
      </w:pPr>
      <w:r>
        <w:rPr>
          <w:rFonts w:ascii="宋体" w:eastAsia="宋体" w:hAnsi="宋体" w:cstheme="majorBidi" w:hint="eastAsia"/>
          <w:bCs/>
          <w:sz w:val="30"/>
          <w:szCs w:val="30"/>
        </w:rPr>
        <w:t>从人、机、料、环、法、</w:t>
      </w:r>
      <w:r>
        <w:rPr>
          <w:rFonts w:ascii="宋体" w:eastAsia="宋体" w:hAnsi="宋体" w:cstheme="majorBidi" w:hint="eastAsia"/>
          <w:bCs/>
          <w:sz w:val="30"/>
          <w:szCs w:val="30"/>
        </w:rPr>
        <w:t>测等方面</w:t>
      </w:r>
    </w:p>
    <w:p w:rsidR="00EE4C35" w14:textId="77777777">
      <w:pPr>
        <w:numPr>
          <w:ilvl w:val="0"/>
          <w:numId w:val="0"/>
        </w:numPr>
        <w:autoSpaceDE w:val="0"/>
        <w:autoSpaceDN w:val="0"/>
        <w:adjustRightInd w:val="0"/>
        <w:spacing w:line="360" w:lineRule="auto"/>
        <w:ind w:left="420"/>
        <w:rPr>
          <w:rFonts w:ascii="宋体" w:eastAsia="宋体" w:hAnsi="宋体" w:cstheme="majorBidi"/>
          <w:bCs/>
          <w:sz w:val="30"/>
          <w:szCs w:val="30"/>
        </w:rPr>
      </w:pPr>
      <w:r>
        <w:rPr>
          <w:rFonts w:ascii="宋体" w:eastAsia="宋体" w:hAnsi="宋体" w:cstheme="majorBidi" w:hint="eastAsia"/>
          <w:bCs/>
          <w:sz w:val="30"/>
          <w:szCs w:val="30"/>
        </w:rPr>
        <w:t>评估相应生产步骤可能出现的风险并制定过程控制措施，减少生产过程中的污染和交叉污染，防止由于人尿液存放时间过长、温度过高，导致微生物</w:t>
      </w:r>
      <w:r>
        <w:rPr>
          <w:rFonts w:ascii="宋体" w:eastAsia="宋体" w:hAnsi="宋体" w:cstheme="majorBidi" w:hint="eastAsia"/>
          <w:bCs/>
          <w:sz w:val="30"/>
          <w:szCs w:val="30"/>
        </w:rPr>
        <w:t>滋生从而破坏目标蛋白的结构；</w:t>
      </w:r>
    </w:p>
    <w:p w:rsidR="00EE4C35" w14:paraId="4C9C7C6D" w14:textId="77777777">
      <w:pPr>
        <w:numPr>
          <w:ilvl w:val="0"/>
          <w:numId w:val="2"/>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应当有防止混淆和差错的措施，保证不同来源或者不同用途的人尿液及工艺中间体不发生混淆。</w:t>
      </w:r>
    </w:p>
    <w:p w:rsidR="00EE4C35" w14:paraId="2A5E37FE"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5.5.3</w:t>
      </w:r>
      <w:r>
        <w:rPr>
          <w:rFonts w:ascii="宋体" w:eastAsia="宋体" w:hAnsi="宋体" w:cstheme="majorBidi" w:hint="eastAsia"/>
          <w:bCs/>
          <w:sz w:val="30"/>
          <w:szCs w:val="30"/>
        </w:rPr>
        <w:t xml:space="preserve"> 对工艺质量问题、偏差或变更等基于科学知识和生产工艺经验等进行风险评估，采取的风险控制措施应当与风险级别相匹配</w:t>
      </w:r>
      <w:r>
        <w:rPr>
          <w:rFonts w:ascii="宋体" w:eastAsia="宋体" w:hAnsi="宋体" w:cstheme="majorBidi" w:hint="eastAsia"/>
          <w:bCs/>
          <w:sz w:val="30"/>
          <w:szCs w:val="30"/>
        </w:rPr>
        <w:t>并文件</w:t>
      </w:r>
      <w:r>
        <w:rPr>
          <w:rFonts w:ascii="宋体" w:eastAsia="宋体" w:hAnsi="宋体" w:cstheme="majorBidi" w:hint="eastAsia"/>
          <w:bCs/>
          <w:sz w:val="30"/>
          <w:szCs w:val="30"/>
        </w:rPr>
        <w:t>化；基于风险对人尿源蛋白粗品工艺链完整的生产过程涉及的所有生产步骤或生产场地进行监控。</w:t>
      </w:r>
    </w:p>
    <w:p w:rsidR="00EE4C35" w14:paraId="7B96CF4E"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5.6 质量保证</w:t>
      </w:r>
    </w:p>
    <w:p w:rsidR="00EE4C35" w14:paraId="639BE0D7"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质量保证是企业质量管理体系的一部分，包含与产品工艺阶段相匹配的</w:t>
      </w:r>
      <w:r>
        <w:rPr>
          <w:rFonts w:ascii="Times New Roman" w:eastAsia="宋体" w:hAnsi="Times New Roman" w:cs="Times New Roman"/>
          <w:bCs/>
          <w:sz w:val="30"/>
          <w:szCs w:val="30"/>
        </w:rPr>
        <w:t>GMP</w:t>
      </w:r>
      <w:r>
        <w:rPr>
          <w:rFonts w:ascii="宋体" w:eastAsia="宋体" w:hAnsi="宋体" w:cstheme="majorBidi" w:hint="eastAsia"/>
          <w:bCs/>
          <w:sz w:val="30"/>
          <w:szCs w:val="30"/>
        </w:rPr>
        <w:t>有关要素。质量保证系统应当充分文件化并可指导产品工艺</w:t>
      </w:r>
      <w:r>
        <w:rPr>
          <w:rFonts w:ascii="宋体" w:eastAsia="宋体" w:hAnsi="宋体" w:cstheme="majorBidi" w:hint="eastAsia"/>
          <w:bCs/>
          <w:sz w:val="30"/>
          <w:szCs w:val="30"/>
        </w:rPr>
        <w:t>链涉及</w:t>
      </w:r>
      <w:r>
        <w:rPr>
          <w:rFonts w:ascii="宋体" w:eastAsia="宋体" w:hAnsi="宋体" w:cstheme="majorBidi" w:hint="eastAsia"/>
          <w:bCs/>
          <w:sz w:val="30"/>
          <w:szCs w:val="30"/>
        </w:rPr>
        <w:t>的生产场地和岗位，以确保生产过程可控和产品质量稳定。</w:t>
      </w:r>
    </w:p>
    <w:p w:rsidR="00EE4C35" w14:paraId="6E0D7B88"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5.6.1 </w:t>
      </w:r>
      <w:r>
        <w:rPr>
          <w:rFonts w:ascii="宋体" w:eastAsia="宋体" w:hAnsi="宋体" w:cstheme="majorBidi" w:hint="eastAsia"/>
          <w:bCs/>
          <w:sz w:val="30"/>
          <w:szCs w:val="30"/>
        </w:rPr>
        <w:t>产品质量回顾分析</w:t>
      </w:r>
    </w:p>
    <w:p w:rsidR="00EE4C35" w14:paraId="16491209"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应当每年进行一次人尿源蛋白粗品质量回顾分析</w:t>
      </w:r>
      <w:r>
        <w:rPr>
          <w:rFonts w:ascii="宋体" w:eastAsia="宋体" w:hAnsi="宋体" w:cstheme="majorBidi" w:hint="eastAsia"/>
          <w:bCs/>
          <w:sz w:val="30"/>
          <w:szCs w:val="30"/>
        </w:rPr>
        <w:t>并文件</w:t>
      </w:r>
      <w:r>
        <w:rPr>
          <w:rFonts w:ascii="宋体" w:eastAsia="宋体" w:hAnsi="宋体" w:cstheme="majorBidi" w:hint="eastAsia"/>
          <w:bCs/>
          <w:sz w:val="30"/>
          <w:szCs w:val="30"/>
        </w:rPr>
        <w:t>化，通过质量趋势分析数据确认产品现有工艺的稳定性和质量标准的适用性。产品质量回顾分析包括：</w:t>
      </w:r>
    </w:p>
    <w:p w:rsidR="00EE4C35" w14:paraId="0C45A00A"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起始物料的质量；</w:t>
      </w:r>
    </w:p>
    <w:p w:rsidR="00EE4C35" w14:paraId="66195F05"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关键工艺控制；</w:t>
      </w:r>
    </w:p>
    <w:p w:rsidR="00EE4C35" w14:paraId="765F3647"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质量控制和质量监测数据/结果；</w:t>
      </w:r>
    </w:p>
    <w:p w:rsidR="00EE4C35" w14:paraId="3DB23E79"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影响关键质量属性</w:t>
      </w:r>
      <w:r>
        <w:rPr>
          <w:rFonts w:ascii="Times New Roman" w:eastAsia="宋体" w:hAnsi="Times New Roman" w:cs="Times New Roman"/>
          <w:bCs/>
          <w:sz w:val="30"/>
          <w:szCs w:val="30"/>
        </w:rPr>
        <w:t>（</w:t>
      </w:r>
      <w:r>
        <w:rPr>
          <w:rFonts w:ascii="Times New Roman" w:eastAsia="宋体" w:hAnsi="Times New Roman" w:cs="Times New Roman"/>
          <w:bCs/>
          <w:sz w:val="30"/>
          <w:szCs w:val="30"/>
        </w:rPr>
        <w:t>CQA</w:t>
      </w:r>
      <w:r>
        <w:rPr>
          <w:rFonts w:ascii="Times New Roman" w:eastAsia="宋体" w:hAnsi="Times New Roman" w:cs="Times New Roman"/>
          <w:bCs/>
          <w:sz w:val="30"/>
          <w:szCs w:val="30"/>
        </w:rPr>
        <w:t>）</w:t>
      </w:r>
      <w:r>
        <w:rPr>
          <w:rFonts w:ascii="宋体" w:eastAsia="宋体" w:hAnsi="宋体" w:cstheme="majorBidi" w:hint="eastAsia"/>
          <w:bCs/>
          <w:sz w:val="30"/>
          <w:szCs w:val="30"/>
        </w:rPr>
        <w:t>的所有变更；</w:t>
      </w:r>
    </w:p>
    <w:p w:rsidR="00EE4C35" w14:paraId="7A138B62"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相关设施设备的确认状态；</w:t>
      </w:r>
    </w:p>
    <w:p w:rsidR="00EE4C35" w14:paraId="5AD7303A" w14:textId="77777777">
      <w:pPr>
        <w:numPr>
          <w:ilvl w:val="0"/>
          <w:numId w:val="3"/>
        </w:numPr>
        <w:autoSpaceDE w:val="0"/>
        <w:autoSpaceDN w:val="0"/>
        <w:adjustRightInd w:val="0"/>
        <w:spacing w:line="360" w:lineRule="auto"/>
        <w:rPr>
          <w:rFonts w:ascii="宋体" w:eastAsia="宋体" w:hAnsi="宋体" w:cstheme="majorBidi"/>
          <w:bCs/>
          <w:sz w:val="30"/>
          <w:szCs w:val="30"/>
        </w:rPr>
        <w:sectPr w:rsidSect="002327B2">
          <w:headerReference w:type="default"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Pr>
          <w:rFonts w:ascii="宋体" w:eastAsia="宋体" w:hAnsi="宋体" w:cstheme="majorBidi" w:hint="eastAsia"/>
          <w:bCs/>
          <w:sz w:val="30"/>
          <w:szCs w:val="30"/>
        </w:rPr>
        <w:t>质量协议和委托合同；</w:t>
      </w:r>
    </w:p>
    <w:p w:rsidR="00EE4C35" w14:paraId="0C620434"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所有重大偏差或超标</w:t>
      </w:r>
      <w:r>
        <w:rPr>
          <w:rFonts w:ascii="Times New Roman" w:eastAsia="宋体" w:hAnsi="Times New Roman" w:cs="Times New Roman"/>
          <w:bCs/>
          <w:sz w:val="30"/>
          <w:szCs w:val="30"/>
        </w:rPr>
        <w:t>（</w:t>
      </w:r>
      <w:r>
        <w:rPr>
          <w:rFonts w:ascii="Times New Roman" w:eastAsia="宋体" w:hAnsi="Times New Roman" w:cs="Times New Roman"/>
          <w:bCs/>
          <w:sz w:val="30"/>
          <w:szCs w:val="30"/>
        </w:rPr>
        <w:t>OOS</w:t>
      </w:r>
      <w:r>
        <w:rPr>
          <w:rFonts w:ascii="Times New Roman" w:eastAsia="宋体" w:hAnsi="Times New Roman" w:cs="Times New Roman"/>
          <w:bCs/>
          <w:sz w:val="30"/>
          <w:szCs w:val="30"/>
        </w:rPr>
        <w:t>）、</w:t>
      </w:r>
      <w:r>
        <w:rPr>
          <w:rFonts w:ascii="宋体" w:eastAsia="宋体" w:hAnsi="宋体" w:cstheme="majorBidi" w:hint="eastAsia"/>
          <w:bCs/>
          <w:sz w:val="30"/>
          <w:szCs w:val="30"/>
        </w:rPr>
        <w:t>非一致性以及执行的纠正预防措施</w:t>
      </w:r>
      <w:r>
        <w:rPr>
          <w:rFonts w:ascii="Times New Roman" w:eastAsia="宋体" w:hAnsi="Times New Roman" w:cs="Times New Roman"/>
          <w:bCs/>
          <w:sz w:val="30"/>
          <w:szCs w:val="30"/>
        </w:rPr>
        <w:t>（</w:t>
      </w:r>
      <w:r>
        <w:rPr>
          <w:rFonts w:ascii="Times New Roman" w:eastAsia="宋体" w:hAnsi="Times New Roman" w:cs="Times New Roman"/>
          <w:bCs/>
          <w:sz w:val="30"/>
          <w:szCs w:val="30"/>
        </w:rPr>
        <w:t>CAPA</w:t>
      </w:r>
      <w:r>
        <w:rPr>
          <w:rFonts w:ascii="Times New Roman" w:eastAsia="宋体" w:hAnsi="Times New Roman" w:cs="Times New Roman"/>
          <w:bCs/>
          <w:sz w:val="30"/>
          <w:szCs w:val="30"/>
        </w:rPr>
        <w:t>）；</w:t>
      </w:r>
    </w:p>
    <w:p w:rsidR="00EE4C35" w14:paraId="2747FE48"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质量审核和外部检查结果及纠正预防措施</w:t>
      </w:r>
      <w:r>
        <w:rPr>
          <w:rFonts w:ascii="Times New Roman" w:eastAsia="宋体" w:hAnsi="Times New Roman" w:cs="Times New Roman"/>
          <w:bCs/>
          <w:sz w:val="30"/>
          <w:szCs w:val="30"/>
        </w:rPr>
        <w:t>（</w:t>
      </w:r>
      <w:r>
        <w:rPr>
          <w:rFonts w:ascii="Times New Roman" w:eastAsia="宋体" w:hAnsi="Times New Roman" w:cs="Times New Roman"/>
          <w:bCs/>
          <w:sz w:val="30"/>
          <w:szCs w:val="30"/>
        </w:rPr>
        <w:t>CAPA</w:t>
      </w:r>
      <w:r>
        <w:rPr>
          <w:rFonts w:ascii="Times New Roman" w:eastAsia="宋体" w:hAnsi="Times New Roman" w:cs="Times New Roman"/>
          <w:bCs/>
          <w:sz w:val="30"/>
          <w:szCs w:val="30"/>
        </w:rPr>
        <w:t>）；</w:t>
      </w:r>
    </w:p>
    <w:p w:rsidR="00EE4C35" w14:paraId="0FF2DD43" w14:textId="77777777">
      <w:pPr>
        <w:numPr>
          <w:ilvl w:val="0"/>
          <w:numId w:val="3"/>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质量投诉及产品退货、召回及调查。</w:t>
      </w:r>
    </w:p>
    <w:p w:rsidR="00EE4C35" w14:paraId="731F034B"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适用时，应对人尿液来源、采集场地及方式、设施设备（包括安全、环保所用设施设备）、</w:t>
      </w:r>
      <w:r>
        <w:rPr>
          <w:rFonts w:ascii="宋体" w:eastAsia="宋体" w:hAnsi="宋体" w:cstheme="majorBidi" w:hint="eastAsia"/>
          <w:bCs/>
          <w:sz w:val="30"/>
          <w:szCs w:val="30"/>
        </w:rPr>
        <w:t>供尿人群</w:t>
      </w:r>
      <w:r>
        <w:rPr>
          <w:rFonts w:ascii="宋体" w:eastAsia="宋体" w:hAnsi="宋体" w:cstheme="majorBidi" w:hint="eastAsia"/>
          <w:bCs/>
          <w:sz w:val="30"/>
          <w:szCs w:val="30"/>
        </w:rPr>
        <w:t>健康状况及尿源属地流行病学调查等监测信息进行回顾分析。</w:t>
      </w:r>
    </w:p>
    <w:p w:rsidR="00EE4C35" w14:paraId="07CE37AE"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5.6.2</w:t>
      </w:r>
      <w:r>
        <w:rPr>
          <w:rFonts w:ascii="宋体" w:eastAsia="宋体" w:hAnsi="宋体" w:cstheme="majorBidi" w:hint="eastAsia"/>
          <w:bCs/>
          <w:sz w:val="30"/>
          <w:szCs w:val="30"/>
        </w:rPr>
        <w:t xml:space="preserve"> 变更管理</w:t>
      </w:r>
    </w:p>
    <w:p w:rsidR="00EE4C35" w14:paraId="0D3AC330" w14:textId="77777777">
      <w:pPr>
        <w:numPr>
          <w:ilvl w:val="0"/>
          <w:numId w:val="4"/>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企业应当在质量管理体系下，参照国家药品法律法规、规范、标准和</w:t>
      </w:r>
      <w:r>
        <w:rPr>
          <w:rFonts w:ascii="Times New Roman" w:eastAsia="宋体" w:hAnsi="Times New Roman" w:cs="Times New Roman"/>
          <w:bCs/>
          <w:sz w:val="30"/>
          <w:szCs w:val="30"/>
        </w:rPr>
        <w:t>GMP</w:t>
      </w:r>
      <w:r>
        <w:rPr>
          <w:rFonts w:ascii="宋体" w:eastAsia="宋体" w:hAnsi="宋体" w:cstheme="majorBidi" w:hint="eastAsia"/>
          <w:bCs/>
          <w:sz w:val="30"/>
          <w:szCs w:val="30"/>
        </w:rPr>
        <w:t>建立变更控制系统，对可能影响人尿源蛋白粗品质量、工艺中间体生产和质量控制的变更进行管理，例如：人尿液来源、吸附材料、采集加工生产场地、厂房和设备、生产工艺、质量标准等。</w:t>
      </w:r>
    </w:p>
    <w:p w:rsidR="00EE4C35" w14:paraId="225ECC06" w14:textId="0ACE585E">
      <w:pPr>
        <w:numPr>
          <w:ilvl w:val="0"/>
          <w:numId w:val="4"/>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企业应当制订变更管理规程并有完整记录。对所有影响产品质量的变更进行评估和管理，最终由企业质量管理部门或质量管理人员审核批准。对可能影响人尿源蛋白原料药或制剂质量的已确认的生产过程变更</w:t>
      </w:r>
      <w:r>
        <w:rPr>
          <w:rFonts w:ascii="Times New Roman" w:eastAsia="宋体" w:hAnsi="Times New Roman" w:cs="Times New Roman"/>
          <w:bCs/>
          <w:sz w:val="30"/>
          <w:szCs w:val="30"/>
        </w:rPr>
        <w:t>（</w:t>
      </w:r>
      <w:r>
        <w:rPr>
          <w:rFonts w:ascii="Times New Roman" w:eastAsia="宋体" w:hAnsi="Times New Roman" w:cs="Times New Roman"/>
          <w:bCs/>
          <w:sz w:val="30"/>
          <w:szCs w:val="30"/>
        </w:rPr>
        <w:t>CMC</w:t>
      </w:r>
      <w:r>
        <w:rPr>
          <w:rFonts w:ascii="Times New Roman" w:eastAsia="宋体" w:hAnsi="Times New Roman" w:cs="Times New Roman"/>
          <w:bCs/>
          <w:sz w:val="30"/>
          <w:szCs w:val="30"/>
        </w:rPr>
        <w:t>）</w:t>
      </w:r>
      <w:r>
        <w:rPr>
          <w:rFonts w:ascii="宋体" w:eastAsia="宋体" w:hAnsi="宋体" w:cstheme="majorBidi" w:hint="eastAsia"/>
          <w:bCs/>
          <w:sz w:val="30"/>
          <w:szCs w:val="30"/>
        </w:rPr>
        <w:t>等应当及时通知现有</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或下游生产企业。</w:t>
      </w:r>
    </w:p>
    <w:p w:rsidR="00EE4C35" w14:paraId="29C5D5E0" w14:textId="77777777">
      <w:pPr>
        <w:numPr>
          <w:ilvl w:val="0"/>
          <w:numId w:val="4"/>
        </w:numPr>
        <w:autoSpaceDE w:val="0"/>
        <w:autoSpaceDN w:val="0"/>
        <w:adjustRightInd w:val="0"/>
        <w:spacing w:line="360" w:lineRule="auto"/>
        <w:rPr>
          <w:rFonts w:ascii="宋体" w:eastAsia="宋体" w:hAnsi="宋体" w:cstheme="majorBidi"/>
          <w:bCs/>
          <w:sz w:val="30"/>
          <w:szCs w:val="30"/>
        </w:rPr>
        <w:sectPr w:rsidSect="002327B2">
          <w:headerReference w:type="default" r:id="rId46"/>
          <w:footerReference w:type="default" r:id="rId47"/>
          <w:headerReference w:type="first" r:id="rId48"/>
          <w:footerReference w:type="first" r:id="rId49"/>
          <w:type w:val="nextPage"/>
          <w:pgSz w:w="11906" w:h="16838"/>
          <w:pgMar w:top="1440" w:right="1800" w:bottom="1440" w:left="1800" w:header="851" w:footer="992" w:gutter="0"/>
          <w:pgNumType w:start="8"/>
          <w:cols w:space="425"/>
          <w:titlePg w:val="0"/>
          <w:docGrid w:type="lines" w:linePitch="312"/>
        </w:sectPr>
      </w:pPr>
    </w:p>
    <w:p w:rsidR="00EE4C35" w14:textId="77777777">
      <w:pPr>
        <w:numPr>
          <w:ilvl w:val="0"/>
          <w:numId w:val="0"/>
        </w:numPr>
        <w:autoSpaceDE w:val="0"/>
        <w:autoSpaceDN w:val="0"/>
        <w:adjustRightInd w:val="0"/>
        <w:spacing w:line="360" w:lineRule="auto"/>
        <w:ind w:left="420"/>
        <w:rPr>
          <w:rFonts w:ascii="宋体" w:eastAsia="宋体" w:hAnsi="宋体" w:cstheme="majorBidi"/>
          <w:bCs/>
          <w:sz w:val="30"/>
          <w:szCs w:val="30"/>
        </w:rPr>
      </w:pPr>
      <w:r>
        <w:rPr>
          <w:rFonts w:ascii="宋体" w:eastAsia="宋体" w:hAnsi="宋体" w:cstheme="majorBidi" w:hint="eastAsia"/>
          <w:bCs/>
          <w:sz w:val="30"/>
          <w:szCs w:val="30"/>
        </w:rPr>
        <w:t>企业建立变更控制系统或等同有效的系统，包括变更管理计划、风险评估、变更批准实施、变更清单及沟通交流程序等内容，评估生产工艺、生产设备、生产场地等关键变更对人尿源蛋白粗品、工艺中间体稳定性、有效期或复验期的影响，并有</w:t>
      </w:r>
      <w:r>
        <w:rPr>
          <w:rFonts w:ascii="宋体" w:eastAsia="宋体" w:hAnsi="宋体" w:cstheme="majorBidi" w:hint="eastAsia"/>
          <w:bCs/>
          <w:sz w:val="30"/>
          <w:szCs w:val="30"/>
        </w:rPr>
        <w:t>研究、验证数据充分证明变更的可行性和科学性。</w:t>
      </w:r>
    </w:p>
    <w:p w:rsidR="00EE4C35" w14:paraId="25AAC818"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5.6.3</w:t>
      </w:r>
      <w:r>
        <w:rPr>
          <w:rFonts w:ascii="宋体" w:eastAsia="宋体" w:hAnsi="宋体" w:cstheme="majorBidi" w:hint="eastAsia"/>
          <w:bCs/>
          <w:sz w:val="30"/>
          <w:szCs w:val="30"/>
        </w:rPr>
        <w:t xml:space="preserve"> 偏差管理 </w:t>
      </w:r>
    </w:p>
    <w:p w:rsidR="00EE4C35" w14:paraId="23CB12C4" w14:textId="77777777">
      <w:pPr>
        <w:numPr>
          <w:ilvl w:val="0"/>
          <w:numId w:val="5"/>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企业应当在质量管理体系下，建立偏差管理系统。对产品生产操作中发生的与工艺规程及其他质量控制标准不相符的事件进行记录和调查，并评估相关质量事件对人尿源蛋白粗品质量的影响。</w:t>
      </w:r>
    </w:p>
    <w:p w:rsidR="00EE4C35" w14:paraId="409BBF12" w14:textId="1D85CEDA">
      <w:pPr>
        <w:numPr>
          <w:ilvl w:val="0"/>
          <w:numId w:val="5"/>
        </w:numPr>
        <w:autoSpaceDE w:val="0"/>
        <w:autoSpaceDN w:val="0"/>
        <w:adjustRightInd w:val="0"/>
        <w:spacing w:line="360" w:lineRule="auto"/>
        <w:ind w:left="0" w:firstLine="0"/>
        <w:rPr>
          <w:rFonts w:ascii="宋体" w:eastAsia="宋体" w:hAnsi="宋体" w:cstheme="majorBidi"/>
          <w:bCs/>
          <w:sz w:val="30"/>
          <w:szCs w:val="30"/>
        </w:rPr>
      </w:pPr>
      <w:r>
        <w:rPr>
          <w:rFonts w:ascii="宋体" w:eastAsia="宋体" w:hAnsi="宋体" w:cstheme="majorBidi" w:hint="eastAsia"/>
          <w:bCs/>
          <w:sz w:val="30"/>
          <w:szCs w:val="30"/>
        </w:rPr>
        <w:t>企业应当制订偏差管理规程并有完整记录。对偏差进行评估和管理，涵盖与</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或下游生产企业的沟通程序。偏差需经企业质量管理部门或质量管理人员审核批准，对可能或</w:t>
      </w:r>
      <w:r>
        <w:rPr>
          <w:rFonts w:ascii="宋体" w:eastAsia="宋体" w:hAnsi="宋体" w:cstheme="majorBidi" w:hint="eastAsia"/>
          <w:bCs/>
          <w:sz w:val="30"/>
          <w:szCs w:val="30"/>
        </w:rPr>
        <w:t>潜在对</w:t>
      </w:r>
      <w:r>
        <w:rPr>
          <w:rFonts w:ascii="宋体" w:eastAsia="宋体" w:hAnsi="宋体" w:cstheme="majorBidi" w:hint="eastAsia"/>
          <w:bCs/>
          <w:sz w:val="30"/>
          <w:szCs w:val="30"/>
        </w:rPr>
        <w:t>产品质量有影响的偏差，需考虑是否需要对产品进行额外的检测以及对产品质量稳定性影响的评估。</w:t>
      </w:r>
      <w:r>
        <w:rPr>
          <w:rFonts w:ascii="宋体" w:eastAsia="宋体" w:hAnsi="宋体" w:cstheme="majorBidi"/>
          <w:bCs/>
          <w:sz w:val="30"/>
          <w:szCs w:val="30"/>
        </w:rPr>
        <w:t>同时</w:t>
      </w:r>
      <w:r>
        <w:rPr>
          <w:rFonts w:ascii="宋体" w:eastAsia="宋体" w:hAnsi="宋体" w:cstheme="majorBidi" w:hint="eastAsia"/>
          <w:bCs/>
          <w:sz w:val="30"/>
          <w:szCs w:val="30"/>
        </w:rPr>
        <w:t>，</w:t>
      </w:r>
      <w:r>
        <w:rPr>
          <w:rFonts w:ascii="宋体" w:eastAsia="宋体" w:hAnsi="宋体" w:cstheme="majorBidi"/>
          <w:bCs/>
          <w:sz w:val="30"/>
          <w:szCs w:val="30"/>
        </w:rPr>
        <w:t>通知与该批次</w:t>
      </w:r>
      <w:r>
        <w:rPr>
          <w:rFonts w:ascii="宋体" w:eastAsia="宋体" w:hAnsi="宋体" w:cstheme="majorBidi" w:hint="eastAsia"/>
          <w:bCs/>
          <w:sz w:val="30"/>
          <w:szCs w:val="30"/>
        </w:rPr>
        <w:t>产品相关的</w:t>
      </w:r>
      <w:r>
        <w:rPr>
          <w:rFonts w:ascii="Times New Roman" w:eastAsia="宋体" w:hAnsi="Times New Roman" w:cs="Times New Roman"/>
          <w:bCs/>
          <w:sz w:val="30"/>
          <w:szCs w:val="30"/>
        </w:rPr>
        <w:t>MAH</w:t>
      </w:r>
      <w:r>
        <w:rPr>
          <w:rFonts w:ascii="宋体" w:eastAsia="宋体" w:hAnsi="宋体" w:cstheme="majorBidi" w:hint="eastAsia"/>
          <w:bCs/>
          <w:sz w:val="30"/>
          <w:szCs w:val="30"/>
        </w:rPr>
        <w:t>或下游生产企业。</w:t>
      </w:r>
    </w:p>
    <w:p w:rsidR="00EE4C35" w14:paraId="31FDF586" w14:textId="77777777">
      <w:pPr>
        <w:numPr>
          <w:ilvl w:val="0"/>
          <w:numId w:val="5"/>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企业应对偏差或不相符的事件处理结果在适当的时间间隔进行数据追踪和趋势分析，以利于工艺改进并采取有效的纠正预防措施。</w:t>
      </w:r>
    </w:p>
    <w:p w:rsidR="00EE4C35" w14:paraId="76C0E34D"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5.7</w:t>
      </w:r>
      <w:r>
        <w:rPr>
          <w:rFonts w:ascii="宋体" w:eastAsia="宋体" w:hAnsi="宋体" w:cstheme="majorBidi" w:hint="eastAsia"/>
          <w:bCs/>
          <w:sz w:val="30"/>
          <w:szCs w:val="30"/>
        </w:rPr>
        <w:t xml:space="preserve"> 质量管理文件</w:t>
      </w:r>
    </w:p>
    <w:p w:rsidR="00EE4C35" w14:paraId="60DD0811" w14:textId="1F34764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企业质量管理部门或质量管理人员应该制订满足产品质量保证及质量控制的文件体系，包括人尿源清单、生产场地主文件、质量标准、工艺规程、操作规程、放行管理规程以及记录等文件，所有与质量有关的文件应当由质量管理负责人批准。</w:t>
      </w:r>
    </w:p>
    <w:p w:rsidR="00EE4C35" w14:paraId="1A8B6133" w14:textId="77777777">
      <w:pPr>
        <w:autoSpaceDE w:val="0"/>
        <w:autoSpaceDN w:val="0"/>
        <w:adjustRightInd w:val="0"/>
        <w:spacing w:line="360" w:lineRule="auto"/>
        <w:ind w:firstLine="600" w:firstLineChars="200"/>
        <w:rPr>
          <w:rFonts w:ascii="宋体" w:eastAsia="宋体" w:hAnsi="宋体" w:cstheme="majorBidi"/>
          <w:bCs/>
          <w:sz w:val="30"/>
          <w:szCs w:val="30"/>
        </w:rPr>
        <w:sectPr w:rsidSect="002327B2">
          <w:headerReference w:type="default" r:id="rId50"/>
          <w:footerReference w:type="default" r:id="rId51"/>
          <w:headerReference w:type="first" r:id="rId52"/>
          <w:footerReference w:type="first" r:id="rId53"/>
          <w:type w:val="nextPage"/>
          <w:pgSz w:w="11906" w:h="16838"/>
          <w:pgMar w:top="1440" w:right="1800" w:bottom="1440" w:left="1800" w:header="851" w:footer="992" w:gutter="0"/>
          <w:pgNumType w:start="9"/>
          <w:cols w:space="425"/>
          <w:titlePg w:val="0"/>
          <w:docGrid w:type="lines" w:linePitch="312"/>
        </w:sectPr>
      </w:pPr>
      <w:r>
        <w:rPr>
          <w:rFonts w:ascii="Times New Roman" w:eastAsia="宋体" w:hAnsi="Times New Roman" w:cs="Times New Roman"/>
          <w:bCs/>
          <w:sz w:val="30"/>
          <w:szCs w:val="30"/>
        </w:rPr>
        <w:t xml:space="preserve">5.7.1 </w:t>
      </w:r>
      <w:r>
        <w:rPr>
          <w:rFonts w:ascii="宋体" w:eastAsia="宋体" w:hAnsi="宋体" w:cstheme="majorBidi" w:hint="eastAsia"/>
          <w:bCs/>
          <w:sz w:val="30"/>
          <w:szCs w:val="30"/>
        </w:rPr>
        <w:t>与本指南有关的关键活动均应当有记录，以保证产品生产、质量控制、质量保证等活动可追溯。记录应当及时填写，</w:t>
      </w:r>
    </w:p>
    <w:p w:rsidR="00EE4C35"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内容真实，字迹清晰、易读，不易删去。如存在电子数据的情况下，应当遵循相应法律法规的要求。</w:t>
      </w:r>
    </w:p>
    <w:p w:rsidR="00EE4C35" w14:paraId="701CA004"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5.7.2 </w:t>
      </w:r>
      <w:r>
        <w:rPr>
          <w:rFonts w:ascii="宋体" w:eastAsia="宋体" w:hAnsi="宋体" w:cstheme="majorBidi" w:hint="eastAsia"/>
          <w:bCs/>
          <w:sz w:val="30"/>
          <w:szCs w:val="30"/>
        </w:rPr>
        <w:t>记录应当保持清洁，不得撕毁和涂改。记录填写的任何更改都应当签注姓名和日期，并使原有信息仍清晰可辨。记录如需重新誊写，则原有记录不得销毁，应当作为重新誊写记录的附件保存。</w:t>
      </w:r>
    </w:p>
    <w:p w:rsidR="00EE4C35" w14:paraId="1533A607"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5.7.3 </w:t>
      </w:r>
      <w:r>
        <w:rPr>
          <w:rFonts w:ascii="宋体" w:eastAsia="宋体" w:hAnsi="宋体" w:cstheme="majorBidi" w:hint="eastAsia"/>
          <w:bCs/>
          <w:sz w:val="30"/>
          <w:szCs w:val="30"/>
        </w:rPr>
        <w:t>每批人尿源蛋白粗</w:t>
      </w:r>
      <w:r>
        <w:rPr>
          <w:rFonts w:ascii="宋体" w:eastAsia="宋体" w:hAnsi="宋体" w:cstheme="majorBidi" w:hint="eastAsia"/>
          <w:bCs/>
          <w:sz w:val="30"/>
          <w:szCs w:val="30"/>
        </w:rPr>
        <w:t>品应当</w:t>
      </w:r>
      <w:r>
        <w:rPr>
          <w:rFonts w:ascii="宋体" w:eastAsia="宋体" w:hAnsi="宋体" w:cstheme="majorBidi" w:hint="eastAsia"/>
          <w:bCs/>
          <w:sz w:val="30"/>
          <w:szCs w:val="30"/>
        </w:rPr>
        <w:t>有批记录，包括批生产记录、批检验记录、产品放行审核记录等与本批粗</w:t>
      </w:r>
      <w:r>
        <w:rPr>
          <w:rFonts w:ascii="宋体" w:eastAsia="宋体" w:hAnsi="宋体" w:cstheme="majorBidi" w:hint="eastAsia"/>
          <w:bCs/>
          <w:sz w:val="30"/>
          <w:szCs w:val="30"/>
        </w:rPr>
        <w:t>品有关</w:t>
      </w:r>
      <w:r>
        <w:rPr>
          <w:rFonts w:ascii="宋体" w:eastAsia="宋体" w:hAnsi="宋体" w:cstheme="majorBidi" w:hint="eastAsia"/>
          <w:bCs/>
          <w:sz w:val="30"/>
          <w:szCs w:val="30"/>
        </w:rPr>
        <w:t>的记录。</w:t>
      </w:r>
    </w:p>
    <w:p w:rsidR="00EE4C35" w14:paraId="797515A9"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5.7.4 </w:t>
      </w:r>
      <w:r>
        <w:rPr>
          <w:rFonts w:ascii="宋体" w:eastAsia="宋体" w:hAnsi="宋体" w:cstheme="majorBidi" w:hint="eastAsia"/>
          <w:bCs/>
          <w:sz w:val="30"/>
          <w:szCs w:val="30"/>
        </w:rPr>
        <w:t>人尿源蛋白粗品批记录应当由质量管理部门或质量管理人员负责管理，至少保存至人尿源蛋白</w:t>
      </w:r>
      <w:r>
        <w:rPr>
          <w:rFonts w:ascii="宋体" w:eastAsia="宋体" w:hAnsi="宋体" w:cstheme="majorBidi" w:hint="eastAsia"/>
          <w:bCs/>
          <w:sz w:val="30"/>
          <w:szCs w:val="30"/>
        </w:rPr>
        <w:t>粗品效期</w:t>
      </w:r>
      <w:r>
        <w:rPr>
          <w:rFonts w:ascii="宋体" w:eastAsia="宋体" w:hAnsi="宋体" w:cstheme="majorBidi" w:hint="eastAsia"/>
          <w:bCs/>
          <w:sz w:val="30"/>
          <w:szCs w:val="30"/>
        </w:rPr>
        <w:t>后5年。质量标准、工艺规程、操作规程、变更等其他重要文件应当长期保存。</w:t>
      </w:r>
    </w:p>
    <w:p w:rsidR="00EE4C35" w:rsidP="003B1B97" w14:paraId="1BCCDA4D" w14:textId="77777777">
      <w:pPr>
        <w:autoSpaceDE w:val="0"/>
        <w:autoSpaceDN w:val="0"/>
        <w:adjustRightInd w:val="0"/>
        <w:spacing w:line="360" w:lineRule="auto"/>
        <w:outlineLvl w:val="0"/>
        <w:rPr>
          <w:rFonts w:ascii="宋体" w:eastAsia="宋体" w:hAnsi="宋体" w:cstheme="majorBidi"/>
          <w:b/>
          <w:sz w:val="30"/>
          <w:szCs w:val="30"/>
        </w:rPr>
      </w:pPr>
      <w:bookmarkStart w:id="32" w:name="_Toc152233775"/>
      <w:r>
        <w:rPr>
          <w:rFonts w:ascii="Times New Roman" w:eastAsia="宋体" w:hAnsi="Times New Roman" w:cs="Times New Roman"/>
          <w:b/>
          <w:sz w:val="30"/>
          <w:szCs w:val="30"/>
        </w:rPr>
        <w:t xml:space="preserve">6 </w:t>
      </w:r>
      <w:r>
        <w:rPr>
          <w:rFonts w:ascii="宋体" w:eastAsia="宋体" w:hAnsi="宋体" w:cstheme="majorBidi" w:hint="eastAsia"/>
          <w:b/>
          <w:sz w:val="30"/>
          <w:szCs w:val="30"/>
        </w:rPr>
        <w:t>组织机构和人员</w:t>
      </w:r>
      <w:bookmarkEnd w:id="29"/>
      <w:bookmarkEnd w:id="30"/>
      <w:bookmarkEnd w:id="32"/>
    </w:p>
    <w:p w:rsidR="00EE4C35" w14:paraId="1CDF70A6"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6.1 </w:t>
      </w:r>
      <w:r>
        <w:rPr>
          <w:rFonts w:ascii="宋体" w:eastAsia="宋体" w:hAnsi="宋体" w:cstheme="majorBidi" w:hint="eastAsia"/>
          <w:bCs/>
          <w:sz w:val="30"/>
          <w:szCs w:val="30"/>
        </w:rPr>
        <w:t>企业应当设置与产品生产质量管理相适应的组织机构，配备足够数量并具有适当资质（含培训、学历或实践经验）的管理和操作人员，并以文件形式明确规定质量、生产、物料、工程设备、储运等人员岗位职责。所有人员应当明确并理解岗位职责，并熟悉与其职责相关的要求。</w:t>
      </w:r>
    </w:p>
    <w:p w:rsidR="00EE4C35" w14:paraId="42F15E61"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6.2 </w:t>
      </w:r>
      <w:r>
        <w:rPr>
          <w:rFonts w:ascii="宋体" w:eastAsia="宋体" w:hAnsi="宋体" w:cstheme="majorBidi" w:hint="eastAsia"/>
          <w:bCs/>
          <w:sz w:val="30"/>
          <w:szCs w:val="30"/>
        </w:rPr>
        <w:t>企业的关键人员至少应当包括企业负责人、生产管理负责人、质量管理负责人。</w:t>
      </w:r>
    </w:p>
    <w:p w:rsidR="00EE4C35" w14:paraId="40BE936B"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6.2.1 </w:t>
      </w:r>
      <w:r>
        <w:rPr>
          <w:rFonts w:ascii="宋体" w:eastAsia="宋体" w:hAnsi="宋体" w:cstheme="majorBidi" w:hint="eastAsia"/>
          <w:bCs/>
          <w:sz w:val="30"/>
          <w:szCs w:val="30"/>
        </w:rPr>
        <w:t>生产管理负责人主要职责</w:t>
      </w:r>
    </w:p>
    <w:p w:rsidR="00EE4C35" w14:paraId="6A2A4417" w14:textId="77777777">
      <w:pPr>
        <w:numPr>
          <w:ilvl w:val="0"/>
          <w:numId w:val="6"/>
        </w:numPr>
        <w:autoSpaceDE w:val="0"/>
        <w:autoSpaceDN w:val="0"/>
        <w:adjustRightInd w:val="0"/>
        <w:spacing w:line="360" w:lineRule="auto"/>
        <w:rPr>
          <w:rFonts w:ascii="宋体" w:eastAsia="宋体" w:hAnsi="宋体" w:cstheme="majorBidi"/>
          <w:bCs/>
          <w:sz w:val="30"/>
          <w:szCs w:val="30"/>
        </w:rPr>
        <w:sectPr w:rsidSect="002327B2">
          <w:headerReference w:type="default" r:id="rId54"/>
          <w:footerReference w:type="default" r:id="rId55"/>
          <w:headerReference w:type="first" r:id="rId56"/>
          <w:footerReference w:type="first" r:id="rId57"/>
          <w:type w:val="nextPage"/>
          <w:pgSz w:w="11906" w:h="16838"/>
          <w:pgMar w:top="1440" w:right="1800" w:bottom="1440" w:left="1800" w:header="851" w:footer="992" w:gutter="0"/>
          <w:pgNumType w:start="10"/>
          <w:cols w:space="425"/>
          <w:titlePg w:val="0"/>
          <w:docGrid w:type="lines" w:linePitch="312"/>
        </w:sectPr>
      </w:pPr>
      <w:r>
        <w:rPr>
          <w:rFonts w:ascii="宋体" w:eastAsia="宋体" w:hAnsi="宋体" w:cstheme="majorBidi" w:hint="eastAsia"/>
          <w:bCs/>
          <w:sz w:val="30"/>
          <w:szCs w:val="30"/>
        </w:rPr>
        <w:t>确保产品按照经批准的工艺规程、质量控制要求等生产加工、储运并有记录，以保证产品质量。</w:t>
      </w:r>
    </w:p>
    <w:p w:rsidR="00EE4C35" w14:paraId="7283067C" w14:textId="77777777">
      <w:pPr>
        <w:numPr>
          <w:ilvl w:val="0"/>
          <w:numId w:val="6"/>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确保严格执行与生产操作相关的各种操作规程。</w:t>
      </w:r>
    </w:p>
    <w:p w:rsidR="00EE4C35" w14:paraId="279CC4F9" w14:textId="77777777">
      <w:pPr>
        <w:numPr>
          <w:ilvl w:val="0"/>
          <w:numId w:val="6"/>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确保厂房和设备的维护保养，以保持其良好的运行状态。</w:t>
      </w:r>
    </w:p>
    <w:p w:rsidR="00EE4C35" w14:paraId="443D5D19" w14:textId="77777777">
      <w:pPr>
        <w:numPr>
          <w:ilvl w:val="0"/>
          <w:numId w:val="6"/>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确保生产相关人员经过必要的上岗前培训和继续培训，并根据实际需要调整培训内容。</w:t>
      </w:r>
    </w:p>
    <w:p w:rsidR="00EE4C35" w14:paraId="01295D5B"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6.2.2 </w:t>
      </w:r>
      <w:r>
        <w:rPr>
          <w:rFonts w:ascii="宋体" w:eastAsia="宋体" w:hAnsi="宋体" w:cstheme="majorBidi" w:hint="eastAsia"/>
          <w:bCs/>
          <w:sz w:val="30"/>
          <w:szCs w:val="30"/>
        </w:rPr>
        <w:t xml:space="preserve">质量管理负责人主要职责 </w:t>
      </w:r>
    </w:p>
    <w:p w:rsidR="00EE4C35" w14:paraId="2AEF144C" w14:textId="77777777">
      <w:pPr>
        <w:numPr>
          <w:ilvl w:val="0"/>
          <w:numId w:val="7"/>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批准产品工艺规程及批记录、质量标准、取样方法、检验方法和其他质量管理的操作规程。</w:t>
      </w:r>
    </w:p>
    <w:p w:rsidR="00EE4C35" w14:paraId="30EA6FD8" w14:textId="77777777">
      <w:pPr>
        <w:numPr>
          <w:ilvl w:val="0"/>
          <w:numId w:val="7"/>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确保完成所有必要的检验，包括起始物料、工艺中间体和产品等，并对批记录进行审核。</w:t>
      </w:r>
    </w:p>
    <w:p w:rsidR="00EE4C35" w14:paraId="2CD17458" w14:textId="77777777">
      <w:pPr>
        <w:numPr>
          <w:ilvl w:val="0"/>
          <w:numId w:val="7"/>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审核和批准所有与质量有关的偏差、变更、投诉、产品质量回顾分析等，确保影响产品的关键因素均进行了风险控制或已采取了相应的纠正和预防措施；配合</w:t>
      </w:r>
      <w:r>
        <w:rPr>
          <w:rFonts w:ascii="Times New Roman" w:eastAsia="宋体" w:hAnsi="Times New Roman" w:cs="Times New Roman"/>
          <w:bCs/>
          <w:sz w:val="30"/>
          <w:szCs w:val="30"/>
        </w:rPr>
        <w:t>MAH</w:t>
      </w:r>
      <w:r>
        <w:rPr>
          <w:rFonts w:ascii="宋体" w:eastAsia="宋体" w:hAnsi="宋体" w:cstheme="majorBidi" w:hint="eastAsia"/>
          <w:bCs/>
          <w:sz w:val="30"/>
          <w:szCs w:val="30"/>
        </w:rPr>
        <w:t>和下游生产企业完成年度回顾报告并提供相关数据。</w:t>
      </w:r>
    </w:p>
    <w:p w:rsidR="00EE4C35" w14:paraId="7A691F02" w14:textId="77777777">
      <w:pPr>
        <w:numPr>
          <w:ilvl w:val="0"/>
          <w:numId w:val="7"/>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监督厂房和设备的维护，以保持其良好的运行状态。</w:t>
      </w:r>
    </w:p>
    <w:p w:rsidR="00EE4C35" w14:paraId="2DD7796A" w14:textId="77777777">
      <w:pPr>
        <w:numPr>
          <w:ilvl w:val="0"/>
          <w:numId w:val="7"/>
        </w:numPr>
        <w:autoSpaceDE w:val="0"/>
        <w:autoSpaceDN w:val="0"/>
        <w:adjustRightInd w:val="0"/>
        <w:spacing w:line="360" w:lineRule="auto"/>
        <w:rPr>
          <w:rFonts w:ascii="宋体" w:eastAsia="宋体" w:hAnsi="宋体" w:cstheme="majorBidi"/>
          <w:bCs/>
          <w:sz w:val="30"/>
          <w:szCs w:val="30"/>
        </w:rPr>
      </w:pPr>
      <w:r>
        <w:rPr>
          <w:rFonts w:ascii="宋体" w:eastAsia="宋体" w:hAnsi="宋体" w:cstheme="majorBidi" w:hint="eastAsia"/>
          <w:bCs/>
          <w:sz w:val="30"/>
          <w:szCs w:val="30"/>
        </w:rPr>
        <w:t>确保质量控制和质量保证人员都已经过必要的上岗前培训和继续培训并根据实际需要调整培训内容。</w:t>
      </w:r>
    </w:p>
    <w:p w:rsidR="00EE4C35" w14:paraId="3E59A61C"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6.3 </w:t>
      </w:r>
      <w:r>
        <w:rPr>
          <w:rFonts w:ascii="宋体" w:eastAsia="宋体" w:hAnsi="宋体" w:cstheme="majorBidi" w:hint="eastAsia"/>
          <w:bCs/>
          <w:sz w:val="30"/>
          <w:szCs w:val="30"/>
        </w:rPr>
        <w:t xml:space="preserve">员工培训 </w:t>
      </w:r>
    </w:p>
    <w:p w:rsidR="00EE4C35" w14:paraId="10464868" w14:textId="77777777">
      <w:pPr>
        <w:autoSpaceDE w:val="0"/>
        <w:autoSpaceDN w:val="0"/>
        <w:adjustRightInd w:val="0"/>
        <w:spacing w:line="360" w:lineRule="auto"/>
        <w:ind w:firstLine="600" w:firstLineChars="200"/>
        <w:rPr>
          <w:rFonts w:ascii="宋体" w:eastAsia="宋体" w:hAnsi="宋体" w:cstheme="majorBidi"/>
          <w:bCs/>
          <w:sz w:val="30"/>
          <w:szCs w:val="30"/>
        </w:rPr>
        <w:sectPr w:rsidSect="002327B2">
          <w:headerReference w:type="default" r:id="rId58"/>
          <w:footerReference w:type="default" r:id="rId59"/>
          <w:headerReference w:type="first" r:id="rId60"/>
          <w:footerReference w:type="first" r:id="rId61"/>
          <w:type w:val="nextPage"/>
          <w:pgSz w:w="11906" w:h="16838"/>
          <w:pgMar w:top="1440" w:right="1800" w:bottom="1440" w:left="1800" w:header="851" w:footer="992" w:gutter="0"/>
          <w:pgNumType w:start="11"/>
          <w:cols w:space="425"/>
          <w:titlePg w:val="0"/>
          <w:docGrid w:type="lines" w:linePitch="312"/>
        </w:sectPr>
      </w:pPr>
      <w:r>
        <w:rPr>
          <w:rFonts w:ascii="宋体" w:eastAsia="宋体" w:hAnsi="宋体" w:cstheme="majorBidi" w:hint="eastAsia"/>
          <w:bCs/>
          <w:sz w:val="30"/>
          <w:szCs w:val="30"/>
        </w:rPr>
        <w:t>企业应当指定部门或专人负责培训管理工作，并建立培训方案或计划，培训记录应当予以保存。凡与产品生产、质量有关的所有人员（包括清洁、维护保养人员）都应当接受上岗前培训和继续培训，培训的内容应当针对具体生产品种并与岗位的要求相适应，例如：法律法规、专业知识、卫生和微生物学基础知识及</w:t>
      </w:r>
    </w:p>
    <w:p w:rsidR="00EE4C35"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安全防护要求等。</w:t>
      </w:r>
    </w:p>
    <w:p w:rsidR="00EE4C35" w14:paraId="73547527"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6.4 </w:t>
      </w:r>
      <w:r>
        <w:rPr>
          <w:rFonts w:ascii="宋体" w:eastAsia="宋体" w:hAnsi="宋体" w:cstheme="majorBidi" w:hint="eastAsia"/>
          <w:bCs/>
          <w:sz w:val="30"/>
          <w:szCs w:val="30"/>
        </w:rPr>
        <w:t>员工卫生要求</w:t>
      </w:r>
    </w:p>
    <w:p w:rsidR="00EE4C35" w14:paraId="0A1F3BED"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所有人员都应当接受人员卫生操作规程的培训，包括与健康、卫生习惯及人员着装相关的内容，最大限度地降低人员对产品生产造成污染、以及生产对劳动者造成伤害的风险。生产区、仓储区、质量控制区等应当禁止吸烟和饮食，禁止存放食品、饮料、香烟等非生产用物品。</w:t>
      </w:r>
    </w:p>
    <w:p w:rsidR="00EE4C35" w14:paraId="6B4AB628"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Times New Roman" w:eastAsia="宋体" w:hAnsi="Times New Roman" w:cs="Times New Roman"/>
          <w:bCs/>
          <w:sz w:val="30"/>
          <w:szCs w:val="30"/>
        </w:rPr>
        <w:t xml:space="preserve">6.5 </w:t>
      </w:r>
      <w:r>
        <w:rPr>
          <w:rFonts w:ascii="宋体" w:eastAsia="宋体" w:hAnsi="宋体" w:cstheme="majorBidi" w:hint="eastAsia"/>
          <w:bCs/>
          <w:sz w:val="30"/>
          <w:szCs w:val="30"/>
        </w:rPr>
        <w:t>人员健康要求</w:t>
      </w:r>
    </w:p>
    <w:p w:rsidR="00EE4C35" w14:paraId="2C3B0C2D" w14:textId="77777777">
      <w:pPr>
        <w:autoSpaceDE w:val="0"/>
        <w:autoSpaceDN w:val="0"/>
        <w:adjustRightInd w:val="0"/>
        <w:spacing w:line="360" w:lineRule="auto"/>
        <w:ind w:firstLine="600" w:firstLineChars="200"/>
        <w:rPr>
          <w:rFonts w:ascii="宋体" w:eastAsia="宋体" w:hAnsi="宋体" w:cstheme="majorBidi"/>
          <w:bCs/>
          <w:sz w:val="30"/>
          <w:szCs w:val="30"/>
        </w:rPr>
      </w:pPr>
      <w:r>
        <w:rPr>
          <w:rFonts w:ascii="宋体" w:eastAsia="宋体" w:hAnsi="宋体" w:cstheme="majorBidi" w:hint="eastAsia"/>
          <w:bCs/>
          <w:sz w:val="30"/>
          <w:szCs w:val="30"/>
        </w:rPr>
        <w:t>生产人员及与生产有关的管理人员应当建立职工健康档案，至少每年进行一次健康检查。凡体表有伤口、患有传染病或其他可能污染产品的疾病人员，不得从事直接接触产品的生产活动。</w:t>
      </w:r>
    </w:p>
    <w:p w:rsidR="00EE4C35" w:rsidP="003B1B97" w14:paraId="704EE6B2" w14:textId="77777777">
      <w:pPr>
        <w:autoSpaceDE w:val="0"/>
        <w:autoSpaceDN w:val="0"/>
        <w:adjustRightInd w:val="0"/>
        <w:spacing w:line="360" w:lineRule="auto"/>
        <w:outlineLvl w:val="0"/>
        <w:rPr>
          <w:rFonts w:ascii="宋体" w:eastAsia="宋体" w:hAnsi="宋体"/>
          <w:sz w:val="30"/>
          <w:szCs w:val="30"/>
        </w:rPr>
      </w:pPr>
      <w:bookmarkStart w:id="33" w:name="_Toc152233776"/>
      <w:r>
        <w:rPr>
          <w:rFonts w:ascii="Times New Roman" w:eastAsia="宋体" w:hAnsi="Times New Roman" w:cs="Times New Roman"/>
          <w:b/>
          <w:sz w:val="30"/>
          <w:szCs w:val="30"/>
        </w:rPr>
        <w:t xml:space="preserve">7 </w:t>
      </w:r>
      <w:r>
        <w:rPr>
          <w:rFonts w:ascii="宋体" w:eastAsia="宋体" w:hAnsi="宋体" w:hint="eastAsia"/>
          <w:b/>
          <w:sz w:val="30"/>
          <w:szCs w:val="30"/>
        </w:rPr>
        <w:t>生产场地及设施设备</w:t>
      </w:r>
      <w:bookmarkEnd w:id="33"/>
    </w:p>
    <w:p w:rsidR="00EE4C35" w14:paraId="1DF53E64"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7.1 </w:t>
      </w:r>
      <w:r>
        <w:rPr>
          <w:rFonts w:ascii="宋体" w:eastAsia="宋体" w:hAnsi="宋体" w:cs="宋体" w:hint="eastAsia"/>
          <w:sz w:val="30"/>
          <w:szCs w:val="30"/>
        </w:rPr>
        <w:t>生产场地所处的环境不应对物料和产品造成污染并满足安全、环保的相关要求。应便于原材料的运输，并有经许可的污水排放渠道和途径。</w:t>
      </w:r>
    </w:p>
    <w:p w:rsidR="00EE4C35" w14:paraId="64674264"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7.2 </w:t>
      </w:r>
      <w:r>
        <w:rPr>
          <w:rFonts w:ascii="宋体" w:eastAsia="宋体" w:hAnsi="宋体" w:cs="宋体" w:hint="eastAsia"/>
          <w:sz w:val="30"/>
          <w:szCs w:val="30"/>
        </w:rPr>
        <w:t>厂区环境应整洁，地面、路面及运输等不应对产品生产过程造成污染。行政区、生活及</w:t>
      </w:r>
      <w:r>
        <w:rPr>
          <w:rFonts w:ascii="宋体" w:eastAsia="宋体" w:hAnsi="宋体" w:cs="宋体" w:hint="eastAsia"/>
          <w:sz w:val="30"/>
          <w:szCs w:val="30"/>
        </w:rPr>
        <w:t>辅助区</w:t>
      </w:r>
      <w:r>
        <w:rPr>
          <w:rFonts w:ascii="宋体" w:eastAsia="宋体" w:hAnsi="宋体" w:cs="宋体" w:hint="eastAsia"/>
          <w:sz w:val="30"/>
          <w:szCs w:val="30"/>
        </w:rPr>
        <w:t>等布局应合理，并不得互相妨碍。</w:t>
      </w:r>
    </w:p>
    <w:p w:rsidR="00EE4C35" w14:paraId="686ADBC7"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7.3 </w:t>
      </w:r>
      <w:r>
        <w:rPr>
          <w:rFonts w:ascii="宋体" w:eastAsia="宋体" w:hAnsi="宋体" w:cs="宋体" w:hint="eastAsia"/>
          <w:sz w:val="30"/>
          <w:szCs w:val="30"/>
        </w:rPr>
        <w:t>厂房应有适当的照明、温度控制和通风设施，确保生产和贮存的产品质量以及相关设备性能不会直接或间接地受到影响。</w:t>
      </w:r>
      <w:r>
        <w:rPr>
          <w:rFonts w:ascii="宋体" w:eastAsia="宋体" w:hAnsi="宋体" w:cs="宋体"/>
          <w:sz w:val="30"/>
          <w:szCs w:val="30"/>
        </w:rPr>
        <w:t>应配备有效的防虫防鼠措施，并评估其有效性</w:t>
      </w:r>
      <w:r>
        <w:rPr>
          <w:rFonts w:ascii="宋体" w:eastAsia="宋体" w:hAnsi="宋体" w:cs="宋体" w:hint="eastAsia"/>
          <w:sz w:val="30"/>
          <w:szCs w:val="30"/>
        </w:rPr>
        <w:t>。</w:t>
      </w:r>
    </w:p>
    <w:p w:rsidR="00EE4C35" w14:paraId="667E5F3F" w14:textId="77777777">
      <w:pPr>
        <w:spacing w:line="360" w:lineRule="auto"/>
        <w:ind w:firstLine="600" w:firstLineChars="200"/>
        <w:jc w:val="left"/>
        <w:rPr>
          <w:rFonts w:ascii="宋体" w:eastAsia="宋体" w:hAnsi="宋体" w:cs="宋体"/>
          <w:sz w:val="30"/>
          <w:szCs w:val="30"/>
        </w:rPr>
        <w:sectPr w:rsidSect="002327B2">
          <w:headerReference w:type="default" r:id="rId62"/>
          <w:footerReference w:type="default" r:id="rId63"/>
          <w:headerReference w:type="first" r:id="rId64"/>
          <w:footerReference w:type="first" r:id="rId65"/>
          <w:type w:val="nextPage"/>
          <w:pgSz w:w="11906" w:h="16838"/>
          <w:pgMar w:top="1440" w:right="1800" w:bottom="1440" w:left="1800" w:header="851" w:footer="992" w:gutter="0"/>
          <w:pgNumType w:start="12"/>
          <w:cols w:space="425"/>
          <w:titlePg w:val="0"/>
          <w:docGrid w:type="lines" w:linePitch="312"/>
        </w:sectPr>
      </w:pPr>
      <w:r>
        <w:rPr>
          <w:rFonts w:ascii="Times New Roman" w:eastAsia="宋体" w:hAnsi="Times New Roman" w:cs="Times New Roman"/>
          <w:sz w:val="30"/>
          <w:szCs w:val="30"/>
        </w:rPr>
        <w:t xml:space="preserve">7.4 </w:t>
      </w:r>
      <w:r>
        <w:rPr>
          <w:rFonts w:ascii="宋体" w:eastAsia="宋体" w:hAnsi="宋体" w:cs="宋体" w:hint="eastAsia"/>
          <w:sz w:val="30"/>
          <w:szCs w:val="30"/>
        </w:rPr>
        <w:t>人尿液接收应有专用区域，并与生产操</w:t>
      </w:r>
      <w:r>
        <w:rPr>
          <w:rFonts w:ascii="宋体" w:eastAsia="宋体" w:hAnsi="宋体" w:cs="宋体" w:hint="eastAsia"/>
          <w:sz w:val="30"/>
          <w:szCs w:val="30"/>
        </w:rPr>
        <w:t>作区域</w:t>
      </w:r>
      <w:r>
        <w:rPr>
          <w:rFonts w:ascii="宋体" w:eastAsia="宋体" w:hAnsi="宋体" w:cs="宋体" w:hint="eastAsia"/>
          <w:sz w:val="30"/>
          <w:szCs w:val="30"/>
        </w:rPr>
        <w:t>分开。</w:t>
      </w:r>
    </w:p>
    <w:p w:rsidR="00EE4C35" w14:textId="77777777">
      <w:pPr>
        <w:spacing w:line="360" w:lineRule="auto"/>
        <w:ind w:firstLine="600" w:firstLineChars="200"/>
        <w:jc w:val="left"/>
        <w:rPr>
          <w:rFonts w:ascii="宋体" w:eastAsia="宋体" w:hAnsi="宋体" w:cs="宋体"/>
          <w:sz w:val="30"/>
          <w:szCs w:val="30"/>
        </w:rPr>
      </w:pPr>
      <w:r>
        <w:rPr>
          <w:rFonts w:ascii="宋体" w:eastAsia="宋体" w:hAnsi="宋体" w:cs="宋体" w:hint="eastAsia"/>
          <w:sz w:val="30"/>
          <w:szCs w:val="30"/>
        </w:rPr>
        <w:t>加工处理不同种类人尿液应当采用专用生产设备。</w:t>
      </w:r>
    </w:p>
    <w:p w:rsidR="00EE4C35" w14:paraId="1918DAB1"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7.5 </w:t>
      </w:r>
      <w:r>
        <w:rPr>
          <w:rFonts w:ascii="宋体" w:eastAsia="宋体" w:hAnsi="宋体" w:cs="宋体" w:hint="eastAsia"/>
          <w:sz w:val="30"/>
          <w:szCs w:val="30"/>
        </w:rPr>
        <w:t>若使用收集设备进行尿液在线吸附，需建立设备安装施工标准操作规程，明确安装的基本要求，并按照标准操作规程进行施工改造及设备安装，使其满足生产工艺需求。</w:t>
      </w:r>
    </w:p>
    <w:p w:rsidR="00EE4C35" w14:paraId="698A73DE"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7.6 </w:t>
      </w:r>
      <w:r>
        <w:rPr>
          <w:rFonts w:ascii="宋体" w:eastAsia="宋体" w:hAnsi="宋体" w:cs="宋体" w:hint="eastAsia"/>
          <w:sz w:val="30"/>
          <w:szCs w:val="30"/>
        </w:rPr>
        <w:t>生产区要求</w:t>
      </w:r>
    </w:p>
    <w:p w:rsidR="00EE4C35" w14:paraId="7F8BF4FE"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7.6.1 </w:t>
      </w:r>
      <w:r>
        <w:rPr>
          <w:rFonts w:ascii="宋体" w:eastAsia="宋体" w:hAnsi="宋体" w:cs="宋体" w:hint="eastAsia"/>
          <w:sz w:val="30"/>
          <w:szCs w:val="30"/>
        </w:rPr>
        <w:t>生产区和</w:t>
      </w:r>
      <w:r>
        <w:rPr>
          <w:rFonts w:ascii="宋体" w:eastAsia="宋体" w:hAnsi="宋体" w:cs="宋体" w:hint="eastAsia"/>
          <w:sz w:val="30"/>
          <w:szCs w:val="30"/>
        </w:rPr>
        <w:t>贮存区</w:t>
      </w:r>
      <w:r>
        <w:rPr>
          <w:rFonts w:ascii="宋体" w:eastAsia="宋体" w:hAnsi="宋体" w:cs="宋体" w:hint="eastAsia"/>
          <w:sz w:val="30"/>
          <w:szCs w:val="30"/>
        </w:rPr>
        <w:t>应有足够的空间，确保有序地存放设备、物料和产品。生产区的墙壁、地面、天棚应当平整光滑、无裂缝。</w:t>
      </w:r>
    </w:p>
    <w:p w:rsidR="00EE4C35" w14:paraId="3742C350"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7.6.2 </w:t>
      </w:r>
      <w:r>
        <w:rPr>
          <w:rFonts w:ascii="宋体" w:eastAsia="宋体" w:hAnsi="宋体" w:cs="宋体" w:hint="eastAsia"/>
          <w:sz w:val="30"/>
          <w:szCs w:val="30"/>
        </w:rPr>
        <w:t>生产区应设有满足工器具和设备清洗或消毒的区域，其操作对生产过程和产品不会造成污染。</w:t>
      </w:r>
    </w:p>
    <w:p w:rsidR="00EE4C35" w14:paraId="174BA477"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7.6.3 </w:t>
      </w:r>
      <w:r>
        <w:rPr>
          <w:rFonts w:ascii="宋体" w:eastAsia="宋体" w:hAnsi="宋体" w:cs="宋体" w:hint="eastAsia"/>
          <w:sz w:val="30"/>
          <w:szCs w:val="30"/>
        </w:rPr>
        <w:t>排水设施的设计应能最大程度降低污染的风险，应当大小适宜，并安装防止倒灌的装置和防止异味溢出的水封装置。应当尽可能避免明沟排水，不可避免时，明沟宜浅，并应方便清洁或消毒。</w:t>
      </w:r>
    </w:p>
    <w:p w:rsidR="00EE4C35" w14:paraId="4BF118E2"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7.7 </w:t>
      </w:r>
      <w:r>
        <w:rPr>
          <w:rFonts w:ascii="宋体" w:eastAsia="宋体" w:hAnsi="宋体" w:cs="宋体" w:hint="eastAsia"/>
          <w:sz w:val="30"/>
          <w:szCs w:val="30"/>
        </w:rPr>
        <w:t>仓储区要求</w:t>
      </w:r>
    </w:p>
    <w:p w:rsidR="00EE4C35" w14:paraId="7B548405" w14:textId="77777777">
      <w:pPr>
        <w:spacing w:line="360" w:lineRule="auto"/>
        <w:ind w:firstLine="600" w:firstLineChars="200"/>
        <w:rPr>
          <w:rFonts w:ascii="宋体" w:eastAsia="宋体" w:hAnsi="宋体" w:cs="宋体"/>
          <w:sz w:val="30"/>
          <w:szCs w:val="30"/>
        </w:rPr>
      </w:pPr>
      <w:r>
        <w:rPr>
          <w:rFonts w:ascii="Times New Roman" w:eastAsia="宋体" w:hAnsi="Times New Roman" w:cs="Times New Roman"/>
          <w:sz w:val="30"/>
          <w:szCs w:val="30"/>
        </w:rPr>
        <w:t xml:space="preserve">7.7.1 </w:t>
      </w:r>
      <w:r>
        <w:rPr>
          <w:rFonts w:ascii="宋体" w:eastAsia="宋体" w:hAnsi="宋体" w:cs="宋体" w:hint="eastAsia"/>
          <w:sz w:val="30"/>
          <w:szCs w:val="30"/>
        </w:rPr>
        <w:t>仓储区的设计和建造应当确保良好的仓储条件，并有通风和照明设施。应当能够满足物料或产品的贮存条件（如温湿度、 避光）和安全贮存的要求，并进行检查和监控。冷藏或冷冻设施应建立预防突发事件的措施，避免物料及产品质量受到影响。</w:t>
      </w:r>
    </w:p>
    <w:p w:rsidR="00EE4C35" w14:paraId="74599F8F" w14:textId="77777777">
      <w:pPr>
        <w:spacing w:line="360" w:lineRule="auto"/>
        <w:ind w:firstLine="600" w:firstLineChars="200"/>
        <w:jc w:val="left"/>
        <w:rPr>
          <w:rFonts w:ascii="宋体" w:eastAsia="宋体" w:hAnsi="宋体" w:cs="宋体"/>
          <w:sz w:val="30"/>
          <w:szCs w:val="30"/>
        </w:rPr>
        <w:sectPr w:rsidSect="002327B2">
          <w:headerReference w:type="default" r:id="rId66"/>
          <w:footerReference w:type="default" r:id="rId67"/>
          <w:headerReference w:type="first" r:id="rId68"/>
          <w:footerReference w:type="first" r:id="rId69"/>
          <w:type w:val="nextPage"/>
          <w:pgSz w:w="11906" w:h="16838"/>
          <w:pgMar w:top="1440" w:right="1800" w:bottom="1440" w:left="1800" w:header="851" w:footer="992" w:gutter="0"/>
          <w:pgNumType w:start="13"/>
          <w:cols w:space="425"/>
          <w:titlePg w:val="0"/>
          <w:docGrid w:type="lines" w:linePitch="312"/>
        </w:sectPr>
      </w:pPr>
      <w:r>
        <w:rPr>
          <w:rFonts w:ascii="Times New Roman" w:eastAsia="宋体" w:hAnsi="Times New Roman" w:cs="Times New Roman"/>
          <w:sz w:val="30"/>
          <w:szCs w:val="30"/>
        </w:rPr>
        <w:t xml:space="preserve">7.7.2 </w:t>
      </w:r>
    </w:p>
    <w:p w:rsidR="00EE4C35" w14:textId="77777777">
      <w:pPr>
        <w:spacing w:line="360" w:lineRule="auto"/>
        <w:ind w:firstLine="600" w:firstLineChars="200"/>
        <w:jc w:val="left"/>
        <w:rPr>
          <w:rFonts w:ascii="宋体" w:eastAsia="宋体" w:hAnsi="宋体" w:cs="宋体"/>
          <w:sz w:val="30"/>
          <w:szCs w:val="30"/>
        </w:rPr>
      </w:pPr>
      <w:r>
        <w:rPr>
          <w:rFonts w:ascii="宋体" w:eastAsia="宋体" w:hAnsi="宋体" w:cs="宋体" w:hint="eastAsia"/>
          <w:sz w:val="30"/>
          <w:szCs w:val="30"/>
        </w:rPr>
        <w:t>仓储区应有足够的空间，确保有序存放各类物料和产品。仓储区内不同质量状态物料或产品应当隔离存放，并有醒目的标识。固体物料和液体物料应分开存放。如果采用其他方</w:t>
      </w:r>
      <w:r>
        <w:rPr>
          <w:rFonts w:ascii="宋体" w:eastAsia="宋体" w:hAnsi="宋体" w:cs="宋体" w:hint="eastAsia"/>
          <w:sz w:val="30"/>
          <w:szCs w:val="30"/>
        </w:rPr>
        <w:t>法替代物理隔离，则该方法应当具有同等的安全性。易燃、易爆和易制毒化学品存放应符合相关管理规定。</w:t>
      </w:r>
    </w:p>
    <w:p w:rsidR="00EE4C35" w14:paraId="2D4B38F2"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7.7.3 </w:t>
      </w:r>
      <w:r>
        <w:rPr>
          <w:rFonts w:ascii="宋体" w:eastAsia="宋体" w:hAnsi="宋体" w:cs="宋体" w:hint="eastAsia"/>
          <w:sz w:val="30"/>
          <w:szCs w:val="30"/>
        </w:rPr>
        <w:t>物料接收、发放和发运区域应当能够保护物料和产品免受外界气候环境影响。接收区的布局和设施应当能够确保到货物料在进入仓储区前，可对外包装进行必要的清洁。</w:t>
      </w:r>
    </w:p>
    <w:p w:rsidR="00EE4C35" w14:paraId="39D46977"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7.8 </w:t>
      </w:r>
      <w:r>
        <w:rPr>
          <w:rFonts w:ascii="宋体" w:eastAsia="宋体" w:hAnsi="宋体" w:cs="宋体" w:hint="eastAsia"/>
          <w:sz w:val="30"/>
          <w:szCs w:val="30"/>
        </w:rPr>
        <w:t>质量控制区要求</w:t>
      </w:r>
    </w:p>
    <w:p w:rsidR="00EE4C35" w14:paraId="24DED3FF"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7.8.1 </w:t>
      </w:r>
      <w:r>
        <w:rPr>
          <w:rFonts w:ascii="宋体" w:eastAsia="宋体" w:hAnsi="宋体" w:cs="宋体" w:hint="eastAsia"/>
          <w:sz w:val="30"/>
          <w:szCs w:val="30"/>
        </w:rPr>
        <w:t>实验室的设计应与生产区分开，并确保其适用于预定的用途，能够避免混淆和交叉污染，应当有足够的区域用于样品接收、留样和必要的稳定性考察，以及记录的保存。必要时，应当设置专门的仪器室，使精密仪器免受静电、震动、潮湿或其他外界因素的干扰。</w:t>
      </w:r>
    </w:p>
    <w:p w:rsidR="00EE4C35" w14:paraId="1377A858"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7.9 </w:t>
      </w:r>
      <w:r>
        <w:rPr>
          <w:rFonts w:ascii="宋体" w:eastAsia="宋体" w:hAnsi="宋体" w:cs="宋体" w:hint="eastAsia"/>
          <w:sz w:val="30"/>
          <w:szCs w:val="30"/>
        </w:rPr>
        <w:t>设施设备</w:t>
      </w:r>
    </w:p>
    <w:p w:rsidR="00EE4C35" w14:paraId="7081EF1D"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7.9.1 </w:t>
      </w:r>
      <w:r>
        <w:rPr>
          <w:rFonts w:ascii="宋体" w:eastAsia="宋体" w:hAnsi="宋体" w:cs="宋体" w:hint="eastAsia"/>
          <w:sz w:val="30"/>
          <w:szCs w:val="30"/>
        </w:rPr>
        <w:t>生产设备的设计、制作或选型、安装、改造和维护必须符合预定用途，与产品直接接触的生产设备表面应当平整、光洁、易清洗或消毒、耐腐蚀，设备材质、清洗剂及润滑剂等不得与产品发生化学反应、 吸附产品或向产品中释放物质，并便于操作、清洁、维护，以及必要时进行的消毒。应当制定并保存设备采购、安装的文件和记录。</w:t>
      </w:r>
    </w:p>
    <w:p w:rsidR="00EE4C35" w14:paraId="43BF1FC0" w14:textId="77777777">
      <w:pPr>
        <w:spacing w:line="360" w:lineRule="auto"/>
        <w:ind w:firstLine="600" w:firstLineChars="200"/>
        <w:jc w:val="left"/>
        <w:rPr>
          <w:rFonts w:ascii="宋体" w:eastAsia="宋体" w:hAnsi="宋体" w:cs="宋体"/>
          <w:sz w:val="30"/>
          <w:szCs w:val="30"/>
        </w:rPr>
        <w:sectPr w:rsidSect="002327B2">
          <w:headerReference w:type="default" r:id="rId70"/>
          <w:footerReference w:type="default" r:id="rId71"/>
          <w:headerReference w:type="first" r:id="rId72"/>
          <w:footerReference w:type="first" r:id="rId73"/>
          <w:type w:val="nextPage"/>
          <w:pgSz w:w="11906" w:h="16838"/>
          <w:pgMar w:top="1440" w:right="1800" w:bottom="1440" w:left="1800" w:header="851" w:footer="992" w:gutter="0"/>
          <w:pgNumType w:start="14"/>
          <w:cols w:space="425"/>
          <w:titlePg w:val="0"/>
          <w:docGrid w:type="lines" w:linePitch="312"/>
        </w:sectPr>
      </w:pPr>
      <w:r>
        <w:rPr>
          <w:rFonts w:ascii="Times New Roman" w:eastAsia="宋体" w:hAnsi="Times New Roman" w:cs="Times New Roman"/>
          <w:sz w:val="30"/>
          <w:szCs w:val="30"/>
        </w:rPr>
        <w:t xml:space="preserve">7.9.2 </w:t>
      </w:r>
    </w:p>
    <w:p w:rsidR="00EE4C35" w14:textId="77777777">
      <w:pPr>
        <w:spacing w:line="360" w:lineRule="auto"/>
        <w:ind w:firstLine="600" w:firstLineChars="200"/>
        <w:jc w:val="left"/>
        <w:rPr>
          <w:rFonts w:ascii="宋体" w:eastAsia="宋体" w:hAnsi="宋体" w:cs="宋体"/>
          <w:sz w:val="30"/>
          <w:szCs w:val="30"/>
        </w:rPr>
      </w:pPr>
      <w:r>
        <w:rPr>
          <w:rFonts w:ascii="宋体" w:eastAsia="宋体" w:hAnsi="宋体" w:cs="宋体" w:hint="eastAsia"/>
          <w:sz w:val="30"/>
          <w:szCs w:val="30"/>
        </w:rPr>
        <w:t>人尿液收集所用的塑料桶（袋）、尿液运输桶（罐）、加工过程使用的塑料桶等容器，以及吸附物（滤饼）包装袋的材质均应符合食品级要求，内表面应光滑，不得释放有害物质。</w:t>
      </w:r>
    </w:p>
    <w:p w:rsidR="00EE4C35" w14:paraId="1631D81A"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7.9.3</w:t>
      </w:r>
      <w:r>
        <w:rPr>
          <w:rFonts w:ascii="宋体" w:eastAsia="宋体" w:hAnsi="宋体" w:cs="宋体" w:hint="eastAsia"/>
          <w:sz w:val="30"/>
          <w:szCs w:val="30"/>
        </w:rPr>
        <w:t>生产使用工器具、管道、阀门和容器具，包括取样器具应光洁、耐腐蚀、易清洗或消毒，并根据产品特性和过程控制要求进行有效的清洁或消毒处理。</w:t>
      </w:r>
    </w:p>
    <w:p w:rsidR="00EE4C35" w14:paraId="113C1EA3" w14:textId="0DC9072A">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7.9.4 </w:t>
      </w:r>
      <w:r>
        <w:rPr>
          <w:rFonts w:ascii="宋体" w:eastAsia="宋体" w:hAnsi="宋体" w:cs="宋体" w:hint="eastAsia"/>
          <w:sz w:val="30"/>
          <w:szCs w:val="30"/>
        </w:rPr>
        <w:t>应制订设备使用、清洁、维护和保养操作规程并保存相应的记录。设备应当在规定的参数范围内使用。应当按照规定的操作规程清洁生产设备，包括清洁方法、清洁用设备或工具、清洁剂的名称和配制方法等。设备的维护或维修不得影响产品质量。</w:t>
      </w:r>
    </w:p>
    <w:p w:rsidR="00EE4C35" w14:paraId="4A7007BD"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7.9.5 </w:t>
      </w:r>
      <w:r>
        <w:rPr>
          <w:rFonts w:ascii="宋体" w:eastAsia="宋体" w:hAnsi="宋体" w:cs="宋体" w:hint="eastAsia"/>
          <w:sz w:val="30"/>
          <w:szCs w:val="30"/>
        </w:rPr>
        <w:t>生产设备及主要固定管道应有明显的状态标识，标明设备编号、内容物（如名称、批号）、 管道流向；没有内容物的应当标明清洁状态（如已清洁或待清洁）。</w:t>
      </w:r>
    </w:p>
    <w:p w:rsidR="00EE4C35" w14:paraId="46E5C429"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7.9.6 </w:t>
      </w:r>
      <w:r>
        <w:rPr>
          <w:rFonts w:ascii="宋体" w:eastAsia="宋体" w:hAnsi="宋体" w:cs="宋体" w:hint="eastAsia"/>
          <w:sz w:val="30"/>
          <w:szCs w:val="30"/>
        </w:rPr>
        <w:t>应当具备满足物料与产品存储条件的仓储设施和设备，冷藏或冷冻设施应经过适当的温度确认。应具备满足人尿液或人尿液吸附物运输要求的设施和容器。</w:t>
      </w:r>
    </w:p>
    <w:p w:rsidR="00EE4C35" w14:paraId="77A34550"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7.9.7</w:t>
      </w:r>
      <w:r>
        <w:rPr>
          <w:rFonts w:ascii="宋体" w:eastAsia="宋体" w:hAnsi="宋体" w:cs="宋体" w:hint="eastAsia"/>
          <w:sz w:val="30"/>
          <w:szCs w:val="30"/>
        </w:rPr>
        <w:t>应建立操作规程对生产和检验用衡器、量具、仪表、记录和控制设备以及仪器等进行校准和检查，并保存相关记录。校准的量程范围应当涵盖实际生产和检验的使用范围。所有经校准的设备或仪器应当有明显的标识，标明其校准有效期。</w:t>
      </w:r>
    </w:p>
    <w:p w:rsidR="00EE4C35" w14:paraId="4DA707E5" w14:textId="77777777">
      <w:pPr>
        <w:spacing w:line="360" w:lineRule="auto"/>
        <w:ind w:firstLine="600" w:firstLineChars="200"/>
        <w:jc w:val="left"/>
        <w:rPr>
          <w:rFonts w:ascii="宋体" w:eastAsia="宋体" w:hAnsi="宋体" w:cs="宋体"/>
          <w:sz w:val="30"/>
          <w:szCs w:val="30"/>
        </w:rPr>
      </w:pPr>
      <w:r>
        <w:rPr>
          <w:rFonts w:ascii="Times New Roman" w:eastAsia="宋体" w:hAnsi="Times New Roman" w:cs="Times New Roman"/>
          <w:sz w:val="30"/>
          <w:szCs w:val="30"/>
        </w:rPr>
        <w:t xml:space="preserve">7.10 </w:t>
      </w:r>
      <w:r>
        <w:rPr>
          <w:rFonts w:ascii="宋体" w:eastAsia="宋体" w:hAnsi="宋体" w:cs="宋体" w:hint="eastAsia"/>
          <w:sz w:val="30"/>
          <w:szCs w:val="30"/>
        </w:rPr>
        <w:t>生产用水</w:t>
      </w:r>
    </w:p>
    <w:p w:rsidR="00EE4C35" w14:paraId="1BE6C385" w14:textId="77777777">
      <w:pPr>
        <w:spacing w:line="360" w:lineRule="auto"/>
        <w:ind w:firstLine="600" w:firstLineChars="200"/>
        <w:jc w:val="left"/>
        <w:rPr>
          <w:rFonts w:ascii="宋体" w:eastAsia="宋体" w:hAnsi="宋体" w:cs="宋体"/>
          <w:sz w:val="30"/>
          <w:szCs w:val="30"/>
        </w:rPr>
      </w:pPr>
      <w:r>
        <w:rPr>
          <w:rFonts w:ascii="宋体" w:eastAsia="宋体" w:hAnsi="宋体" w:cs="宋体" w:hint="eastAsia"/>
          <w:sz w:val="30"/>
          <w:szCs w:val="30"/>
        </w:rPr>
        <w:t>生产用水至少采用生活饮用水，并符合</w:t>
      </w:r>
      <w:r>
        <w:rPr>
          <w:rFonts w:ascii="Times New Roman" w:eastAsia="宋体" w:hAnsi="Times New Roman" w:cs="Times New Roman"/>
          <w:sz w:val="30"/>
          <w:szCs w:val="30"/>
        </w:rPr>
        <w:t>GB 5749</w:t>
      </w:r>
      <w:r>
        <w:rPr>
          <w:rFonts w:ascii="宋体" w:eastAsia="宋体" w:hAnsi="宋体" w:cs="宋体"/>
          <w:sz w:val="30"/>
          <w:szCs w:val="30"/>
        </w:rPr>
        <w:br/>
      </w:r>
      <w:r>
        <w:rPr>
          <w:rFonts w:ascii="宋体" w:eastAsia="宋体" w:hAnsi="宋体" w:cs="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https://d.book118.com/386003204124010053</w:t>
        </w:r>
      </w:hyperlink>
    </w:p>
    <w:p w:rsidR="00EE4C35">
      <w:pPr>
        <w:spacing w:line="360" w:lineRule="auto"/>
        <w:ind w:firstLine="600" w:firstLineChars="200"/>
        <w:jc w:val="left"/>
        <w:rPr>
          <w:rFonts w:ascii="宋体" w:eastAsia="宋体" w:hAnsi="宋体" w:cs="宋体"/>
          <w:sz w:val="30"/>
          <w:szCs w:val="30"/>
        </w:rPr>
      </w:pPr>
    </w:p>
    <w:sectPr w:rsidSect="002327B2">
      <w:headerReference w:type="default" r:id="rId75"/>
      <w:footerReference w:type="default" r:id="rId76"/>
      <w:headerReference w:type="first" r:id="rId77"/>
      <w:footerReference w:type="first" r:id="rId78"/>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2472F" w:rsidRPr="00BD55A7" w:rsidP="0002472F" w14:paraId="204F546A" w14:textId="6EFE1125">
    <w:pPr>
      <w:pStyle w:val="Footer"/>
      <w:jc w:val="center"/>
    </w:pPr>
    <w:r w:rsidRPr="00BD55A7">
      <w:rPr>
        <w:sz w:val="22"/>
        <w:szCs w:val="22"/>
      </w:rPr>
      <w:fldChar w:fldCharType="begin"/>
    </w:r>
    <w:r w:rsidRPr="00BD55A7">
      <w:instrText>PAGE  \* ROMAN  \* MERGEFORMAT</w:instrText>
    </w:r>
    <w:r w:rsidRPr="00BD55A7">
      <w:rPr>
        <w:sz w:val="22"/>
        <w:szCs w:val="22"/>
      </w:rPr>
      <w:fldChar w:fldCharType="separate"/>
    </w:r>
    <w:r w:rsidRPr="00BD55A7">
      <w:rPr>
        <w:sz w:val="28"/>
        <w:szCs w:val="28"/>
        <w:lang w:val="zh-CN"/>
      </w:rPr>
      <w:t>III</w:t>
    </w:r>
    <w:r w:rsidRPr="00BD55A7">
      <w:rPr>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2472F" w:rsidRPr="00BD55A7" w:rsidP="0002472F" w14:textId="6EFE1125">
    <w:pPr>
      <w:pStyle w:val="Footer"/>
      <w:jc w:val="center"/>
    </w:pPr>
    <w:r w:rsidRPr="00BD55A7">
      <w:rPr>
        <w:sz w:val="22"/>
        <w:szCs w:val="22"/>
      </w:rPr>
      <w:fldChar w:fldCharType="begin"/>
    </w:r>
    <w:r w:rsidRPr="00BD55A7">
      <w:instrText>PAGE  \* ROMAN  \* MERGEFORMAT</w:instrText>
    </w:r>
    <w:r w:rsidRPr="00BD55A7">
      <w:rPr>
        <w:sz w:val="22"/>
        <w:szCs w:val="22"/>
      </w:rPr>
      <w:fldChar w:fldCharType="separate"/>
    </w:r>
    <w:r w:rsidRPr="00BD55A7">
      <w:rPr>
        <w:sz w:val="28"/>
        <w:szCs w:val="28"/>
        <w:lang w:val="zh-CN"/>
      </w:rPr>
      <w:t>I</w:t>
    </w:r>
    <w:r w:rsidRPr="00BD55A7">
      <w:rPr>
        <w:sz w:val="28"/>
        <w:szCs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2472F" w:rsidRPr="00BD55A7" w:rsidP="0002472F" w14:textId="6EFE1125">
    <w:pPr>
      <w:pStyle w:val="Footer"/>
      <w:jc w:val="center"/>
    </w:pPr>
    <w:r w:rsidRPr="00BD55A7">
      <w:rPr>
        <w:sz w:val="22"/>
        <w:szCs w:val="22"/>
      </w:rPr>
      <w:fldChar w:fldCharType="begin"/>
    </w:r>
    <w:r w:rsidRPr="00BD55A7">
      <w:instrText>PAGE  \* ROMAN  \* MERGEFORMAT</w:instrText>
    </w:r>
    <w:r w:rsidRPr="00BD55A7">
      <w:rPr>
        <w:sz w:val="22"/>
        <w:szCs w:val="22"/>
      </w:rPr>
      <w:fldChar w:fldCharType="separate"/>
    </w:r>
    <w:r w:rsidRPr="00BD55A7">
      <w:rPr>
        <w:sz w:val="28"/>
        <w:szCs w:val="28"/>
        <w:lang w:val="zh-CN"/>
      </w:rPr>
      <w:t>II</w:t>
    </w:r>
    <w:r w:rsidRPr="00BD55A7">
      <w:rPr>
        <w:sz w:val="28"/>
        <w:szCs w:val="2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2472F" w:rsidRPr="00BD55A7" w:rsidP="0002472F" w14:textId="6EFE1125">
    <w:pPr>
      <w:pStyle w:val="Footer"/>
      <w:jc w:val="center"/>
    </w:pPr>
    <w:r w:rsidRPr="00BD55A7">
      <w:rPr>
        <w:sz w:val="22"/>
        <w:szCs w:val="22"/>
      </w:rPr>
      <w:fldChar w:fldCharType="begin"/>
    </w:r>
    <w:r w:rsidRPr="00BD55A7">
      <w:instrText>PAGE  \* ROMAN  \* MERGEFORMAT</w:instrText>
    </w:r>
    <w:r w:rsidRPr="00BD55A7">
      <w:rPr>
        <w:sz w:val="22"/>
        <w:szCs w:val="22"/>
      </w:rPr>
      <w:fldChar w:fldCharType="separate"/>
    </w:r>
    <w:r w:rsidRPr="00BD55A7">
      <w:rPr>
        <w:sz w:val="28"/>
        <w:szCs w:val="28"/>
        <w:lang w:val="zh-CN"/>
      </w:rPr>
      <w:t>III</w:t>
    </w:r>
    <w:r w:rsidRPr="00BD55A7">
      <w:rPr>
        <w:sz w:val="28"/>
        <w:szCs w:val="2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paraId="7A6007B4"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39</w:t>
    </w:r>
    <w:r w:rsidRPr="002327B2">
      <w:rPr>
        <w:rFonts w:ascii="Times New Roman" w:hAnsi="Times New Roman" w:cs="Times New Roman"/>
        <w:sz w:val="20"/>
        <w:szCs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paraId="4395EF5B"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2</w:t>
    </w:r>
    <w:r w:rsidRPr="002327B2">
      <w:rPr>
        <w:rFonts w:ascii="Times New Roman" w:hAnsi="Times New Roman" w:cs="Times New Roman"/>
        <w:sz w:val="20"/>
        <w:szCs w:val="20"/>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3</w:t>
    </w:r>
    <w:r w:rsidRPr="002327B2">
      <w:rPr>
        <w:rFonts w:ascii="Times New Roman" w:hAnsi="Times New Roman" w:cs="Times New Roman"/>
        <w:sz w:val="20"/>
        <w:szCs w:val="20"/>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4</w:t>
    </w:r>
    <w:r w:rsidRPr="002327B2">
      <w:rPr>
        <w:rFonts w:ascii="Times New Roman" w:hAnsi="Times New Roman" w:cs="Times New Roman"/>
        <w:sz w:val="20"/>
        <w:szCs w:val="20"/>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5</w:t>
    </w:r>
    <w:r w:rsidRPr="002327B2">
      <w:rPr>
        <w:rFonts w:ascii="Times New Roman" w:hAnsi="Times New Roman" w:cs="Times New Roman"/>
        <w:sz w:val="20"/>
        <w:szCs w:val="20"/>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6</w:t>
    </w:r>
    <w:r w:rsidRPr="002327B2">
      <w:rPr>
        <w:rFonts w:ascii="Times New Roman" w:hAnsi="Times New Roman" w:cs="Times New Roman"/>
        <w:sz w:val="20"/>
        <w:szCs w:val="20"/>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8</w:t>
    </w:r>
    <w:r w:rsidRPr="002327B2">
      <w:rPr>
        <w:rFonts w:ascii="Times New Roman" w:hAnsi="Times New Roman" w:cs="Times New Roman"/>
        <w:sz w:val="20"/>
        <w:szCs w:val="20"/>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8</w:t>
    </w:r>
    <w:r w:rsidRPr="002327B2">
      <w:rPr>
        <w:rFonts w:ascii="Times New Roman" w:hAnsi="Times New Roman" w:cs="Times New Roman"/>
        <w:sz w:val="20"/>
        <w:szCs w:val="20"/>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10</w:t>
    </w:r>
    <w:r w:rsidRPr="002327B2">
      <w:rPr>
        <w:rFonts w:ascii="Times New Roman" w:hAnsi="Times New Roman" w:cs="Times New Roman"/>
        <w:sz w:val="20"/>
        <w:szCs w:val="20"/>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10</w:t>
    </w:r>
    <w:r w:rsidRPr="002327B2">
      <w:rPr>
        <w:rFonts w:ascii="Times New Roman" w:hAnsi="Times New Roman" w:cs="Times New Roman"/>
        <w:sz w:val="20"/>
        <w:szCs w:val="20"/>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11</w:t>
    </w:r>
    <w:r w:rsidRPr="002327B2">
      <w:rPr>
        <w:rFonts w:ascii="Times New Roman" w:hAnsi="Times New Roman" w:cs="Times New Roman"/>
        <w:sz w:val="20"/>
        <w:szCs w:val="20"/>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12</w:t>
    </w:r>
    <w:r w:rsidRPr="002327B2">
      <w:rPr>
        <w:rFonts w:ascii="Times New Roman" w:hAnsi="Times New Roman" w:cs="Times New Roman"/>
        <w:sz w:val="20"/>
        <w:szCs w:val="20"/>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13</w:t>
    </w:r>
    <w:r w:rsidRPr="002327B2">
      <w:rPr>
        <w:rFonts w:ascii="Times New Roman" w:hAnsi="Times New Roman" w:cs="Times New Roman"/>
        <w:sz w:val="20"/>
        <w:szCs w:val="20"/>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14</w:t>
    </w:r>
    <w:r w:rsidRPr="002327B2">
      <w:rPr>
        <w:rFonts w:ascii="Times New Roman" w:hAnsi="Times New Roman" w:cs="Times New Roman"/>
        <w:sz w:val="20"/>
        <w:szCs w:val="20"/>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02472F" w14:textId="35E3D9A3">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16</w:t>
    </w:r>
    <w:r w:rsidRPr="002327B2">
      <w:rPr>
        <w:rFonts w:ascii="Times New Roman" w:hAnsi="Times New Roman" w:cs="Times New Roman"/>
        <w:sz w:val="20"/>
        <w:szCs w:val="20"/>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2327B2" w:rsidP="00BD55A7" w14:textId="1BCC3EDF">
    <w:pPr>
      <w:pStyle w:val="Footer"/>
      <w:jc w:val="center"/>
      <w:rPr>
        <w:rFonts w:ascii="Times New Roman" w:hAnsi="Times New Roman" w:cs="Times New Roman"/>
        <w:sz w:val="20"/>
        <w:szCs w:val="20"/>
      </w:rPr>
    </w:pPr>
    <w:r w:rsidRPr="002327B2">
      <w:rPr>
        <w:rFonts w:ascii="Times New Roman" w:hAnsi="Times New Roman" w:cs="Times New Roman"/>
        <w:sz w:val="20"/>
        <w:szCs w:val="20"/>
      </w:rPr>
      <w:fldChar w:fldCharType="begin"/>
    </w:r>
    <w:r w:rsidRPr="002327B2">
      <w:rPr>
        <w:rFonts w:ascii="Times New Roman" w:hAnsi="Times New Roman" w:cs="Times New Roman"/>
        <w:sz w:val="20"/>
        <w:szCs w:val="20"/>
      </w:rPr>
      <w:instrText>PAGE   \* MERGEFORMAT</w:instrText>
    </w:r>
    <w:r w:rsidRPr="002327B2">
      <w:rPr>
        <w:rFonts w:ascii="Times New Roman" w:hAnsi="Times New Roman" w:cs="Times New Roman"/>
        <w:sz w:val="20"/>
        <w:szCs w:val="20"/>
      </w:rPr>
      <w:fldChar w:fldCharType="separate"/>
    </w:r>
    <w:r w:rsidRPr="002327B2">
      <w:rPr>
        <w:rFonts w:ascii="Times New Roman" w:hAnsi="Times New Roman" w:cs="Times New Roman"/>
        <w:sz w:val="20"/>
        <w:szCs w:val="20"/>
        <w:lang w:val="zh-CN"/>
      </w:rPr>
      <w:t>1</w:t>
    </w:r>
    <w:r w:rsidRPr="002327B2">
      <w:rPr>
        <w:rFonts w:ascii="Times New Roman" w:hAnsi="Times New Roman" w:cs="Times New Roman"/>
        <w:sz w:val="20"/>
        <w:szCs w:val="20"/>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paraId="2B752564"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349818</wp:posOffset>
              </wp:positionV>
              <wp:extent cx="5248894" cy="0"/>
              <wp:effectExtent l="0" t="0" r="0" b="0"/>
              <wp:wrapNone/>
              <wp:docPr id="22434653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49" style="mso-height-percent:0;mso-height-relative:margin;mso-position-horizontal:left;mso-position-horizontal-relative:margin;mso-width-percent:0;mso-width-relative:margin;mso-wrap-distance-bottom:0;mso-wrap-distance-left:9pt;mso-wrap-distance-right:9pt;mso-wrap-distance-top:0;position:absolute;v-text-anchor:top;z-index:251658240"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paraId="2A574559"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056552928"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50" style="mso-height-percent:0;mso-height-relative:margin;mso-wrap-distance-bottom:0;mso-wrap-distance-left:9pt;mso-wrap-distance-right:9pt;mso-wrap-distance-top:0;position:absolute;v-text-anchor:top;z-index:251660288"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349818</wp:posOffset>
              </wp:positionV>
              <wp:extent cx="5248894" cy="0"/>
              <wp:effectExtent l="0" t="0" r="0" b="0"/>
              <wp:wrapNone/>
              <wp:docPr id="134085403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1" style="mso-height-percent:0;mso-height-relative:margin;mso-position-horizontal:left;mso-position-horizontal-relative:margin;mso-width-percent:0;mso-width-relative:margin;mso-wrap-distance-bottom:0;mso-wrap-distance-left:9pt;mso-wrap-distance-right:9pt;mso-wrap-distance-top:0;position:absolute;v-text-anchor:top;z-index:251662336"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336501350"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52" style="mso-height-percent:0;mso-height-relative:margin;mso-wrap-distance-bottom:0;mso-wrap-distance-left:9pt;mso-wrap-distance-right:9pt;mso-wrap-distance-top:0;position:absolute;v-text-anchor:top;z-index:251664384"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349818</wp:posOffset>
              </wp:positionV>
              <wp:extent cx="5248894" cy="0"/>
              <wp:effectExtent l="0" t="0" r="0" b="0"/>
              <wp:wrapNone/>
              <wp:docPr id="133767769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3" style="mso-height-percent:0;mso-height-relative:margin;mso-position-horizontal:left;mso-position-horizontal-relative:margin;mso-width-percent:0;mso-width-relative:margin;mso-wrap-distance-bottom:0;mso-wrap-distance-left:9pt;mso-wrap-distance-right:9pt;mso-wrap-distance-top:0;position:absolute;v-text-anchor:top;z-index:251666432"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379059790"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54" style="mso-height-percent:0;mso-height-relative:margin;mso-wrap-distance-bottom:0;mso-wrap-distance-left:9pt;mso-wrap-distance-right:9pt;mso-wrap-distance-top:0;position:absolute;v-text-anchor:top;z-index:251668480"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349818</wp:posOffset>
              </wp:positionV>
              <wp:extent cx="5248894" cy="0"/>
              <wp:effectExtent l="0" t="0" r="0" b="0"/>
              <wp:wrapNone/>
              <wp:docPr id="121128760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5" style="mso-height-percent:0;mso-height-relative:margin;mso-position-horizontal:left;mso-position-horizontal-relative:margin;mso-width-percent:0;mso-width-relative:margin;mso-wrap-distance-bottom:0;mso-wrap-distance-left:9pt;mso-wrap-distance-right:9pt;mso-wrap-distance-top:0;position:absolute;v-text-anchor:top;z-index:251670528"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073981725"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56" style="mso-height-percent:0;mso-height-relative:margin;mso-wrap-distance-bottom:0;mso-wrap-distance-left:9pt;mso-wrap-distance-right:9pt;mso-wrap-distance-top:0;position:absolute;v-text-anchor:top;z-index:251672576"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75648" behindDoc="0" locked="0" layoutInCell="1" allowOverlap="1">
              <wp:simplePos x="0" y="0"/>
              <wp:positionH relativeFrom="margin">
                <wp:align>left</wp:align>
              </wp:positionH>
              <wp:positionV relativeFrom="paragraph">
                <wp:posOffset>349818</wp:posOffset>
              </wp:positionV>
              <wp:extent cx="5248894" cy="0"/>
              <wp:effectExtent l="0" t="0" r="0" b="0"/>
              <wp:wrapNone/>
              <wp:docPr id="51441405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7" style="mso-height-percent:0;mso-height-relative:margin;mso-position-horizontal:left;mso-position-horizontal-relative:margin;mso-width-percent:0;mso-width-relative:margin;mso-wrap-distance-bottom:0;mso-wrap-distance-left:9pt;mso-wrap-distance-right:9pt;mso-wrap-distance-top:0;position:absolute;v-text-anchor:top;z-index:251674624"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967938465"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58" style="mso-height-percent:0;mso-height-relative:margin;mso-wrap-distance-bottom:0;mso-wrap-distance-left:9pt;mso-wrap-distance-right:9pt;mso-wrap-distance-top:0;position:absolute;v-text-anchor:top;z-index:251676672"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79744" behindDoc="0" locked="0" layoutInCell="1" allowOverlap="1">
              <wp:simplePos x="0" y="0"/>
              <wp:positionH relativeFrom="margin">
                <wp:align>left</wp:align>
              </wp:positionH>
              <wp:positionV relativeFrom="paragraph">
                <wp:posOffset>349818</wp:posOffset>
              </wp:positionV>
              <wp:extent cx="5248894" cy="0"/>
              <wp:effectExtent l="0" t="0" r="0" b="0"/>
              <wp:wrapNone/>
              <wp:docPr id="191585121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9" style="mso-height-percent:0;mso-height-relative:margin;mso-position-horizontal:left;mso-position-horizontal-relative:margin;mso-width-percent:0;mso-width-relative:margin;mso-wrap-distance-bottom:0;mso-wrap-distance-left:9pt;mso-wrap-distance-right:9pt;mso-wrap-distance-top:0;position:absolute;v-text-anchor:top;z-index:251678720"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439460372"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60" style="mso-height-percent:0;mso-height-relative:margin;mso-wrap-distance-bottom:0;mso-wrap-distance-left:9pt;mso-wrap-distance-right:9pt;mso-wrap-distance-top:0;position:absolute;v-text-anchor:top;z-index:251680768"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simplePos x="0" y="0"/>
              <wp:positionH relativeFrom="margin">
                <wp:align>left</wp:align>
              </wp:positionH>
              <wp:positionV relativeFrom="paragraph">
                <wp:posOffset>349818</wp:posOffset>
              </wp:positionV>
              <wp:extent cx="5248894" cy="0"/>
              <wp:effectExtent l="0" t="0" r="0" b="0"/>
              <wp:wrapNone/>
              <wp:docPr id="2020663893"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1" style="mso-height-percent:0;mso-height-relative:margin;mso-position-horizontal:left;mso-position-horizontal-relative:margin;mso-width-percent:0;mso-width-relative:margin;mso-wrap-distance-bottom:0;mso-wrap-distance-left:9pt;mso-wrap-distance-right:9pt;mso-wrap-distance-top:0;position:absolute;v-text-anchor:top;z-index:251682816"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269857074"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62" style="mso-height-percent:0;mso-height-relative:margin;mso-wrap-distance-bottom:0;mso-wrap-distance-left:9pt;mso-wrap-distance-right:9pt;mso-wrap-distance-top:0;position:absolute;v-text-anchor:top;z-index:251684864"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simplePos x="0" y="0"/>
              <wp:positionH relativeFrom="margin">
                <wp:align>left</wp:align>
              </wp:positionH>
              <wp:positionV relativeFrom="paragraph">
                <wp:posOffset>349818</wp:posOffset>
              </wp:positionV>
              <wp:extent cx="5248894" cy="0"/>
              <wp:effectExtent l="0" t="0" r="0" b="0"/>
              <wp:wrapNone/>
              <wp:docPr id="131241192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3" style="mso-height-percent:0;mso-height-relative:margin;mso-position-horizontal:left;mso-position-horizontal-relative:margin;mso-width-percent:0;mso-width-relative:margin;mso-wrap-distance-bottom:0;mso-wrap-distance-left:9pt;mso-wrap-distance-right:9pt;mso-wrap-distance-top:0;position:absolute;v-text-anchor:top;z-index:251686912"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379451837"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64" style="mso-height-percent:0;mso-height-relative:margin;mso-wrap-distance-bottom:0;mso-wrap-distance-left:9pt;mso-wrap-distance-right:9pt;mso-wrap-distance-top:0;position:absolute;v-text-anchor:top;z-index:251688960"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92032" behindDoc="0" locked="0" layoutInCell="1" allowOverlap="1">
              <wp:simplePos x="0" y="0"/>
              <wp:positionH relativeFrom="margin">
                <wp:align>left</wp:align>
              </wp:positionH>
              <wp:positionV relativeFrom="paragraph">
                <wp:posOffset>349818</wp:posOffset>
              </wp:positionV>
              <wp:extent cx="5248894" cy="0"/>
              <wp:effectExtent l="0" t="0" r="0" b="0"/>
              <wp:wrapNone/>
              <wp:docPr id="148412822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5" style="mso-height-percent:0;mso-height-relative:margin;mso-position-horizontal:left;mso-position-horizontal-relative:margin;mso-width-percent:0;mso-width-relative:margin;mso-wrap-distance-bottom:0;mso-wrap-distance-left:9pt;mso-wrap-distance-right:9pt;mso-wrap-distance-top:0;position:absolute;v-text-anchor:top;z-index:251691008"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4080"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625026303"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66" style="mso-height-percent:0;mso-height-relative:margin;mso-wrap-distance-bottom:0;mso-wrap-distance-left:9pt;mso-wrap-distance-right:9pt;mso-wrap-distance-top:0;position:absolute;v-text-anchor:top;z-index:251693056"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696128" behindDoc="0" locked="0" layoutInCell="1" allowOverlap="1">
              <wp:simplePos x="0" y="0"/>
              <wp:positionH relativeFrom="margin">
                <wp:align>left</wp:align>
              </wp:positionH>
              <wp:positionV relativeFrom="paragraph">
                <wp:posOffset>349818</wp:posOffset>
              </wp:positionV>
              <wp:extent cx="5248894" cy="0"/>
              <wp:effectExtent l="0" t="0" r="0" b="0"/>
              <wp:wrapNone/>
              <wp:docPr id="30922843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7" style="mso-height-percent:0;mso-height-relative:margin;mso-position-horizontal:left;mso-position-horizontal-relative:margin;mso-width-percent:0;mso-width-relative:margin;mso-wrap-distance-bottom:0;mso-wrap-distance-left:9pt;mso-wrap-distance-right:9pt;mso-wrap-distance-top:0;position:absolute;v-text-anchor:top;z-index:251695104"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8176"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997448405"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68" style="mso-height-percent:0;mso-height-relative:margin;mso-wrap-distance-bottom:0;mso-wrap-distance-left:9pt;mso-wrap-distance-right:9pt;mso-wrap-distance-top:0;position:absolute;v-text-anchor:top;z-index:251697152"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00224" behindDoc="0" locked="0" layoutInCell="1" allowOverlap="1">
              <wp:simplePos x="0" y="0"/>
              <wp:positionH relativeFrom="margin">
                <wp:align>left</wp:align>
              </wp:positionH>
              <wp:positionV relativeFrom="paragraph">
                <wp:posOffset>349818</wp:posOffset>
              </wp:positionV>
              <wp:extent cx="5248894" cy="0"/>
              <wp:effectExtent l="0" t="0" r="0" b="0"/>
              <wp:wrapNone/>
              <wp:docPr id="76412964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9" style="mso-height-percent:0;mso-height-relative:margin;mso-position-horizontal:left;mso-position-horizontal-relative:margin;mso-width-percent:0;mso-width-relative:margin;mso-wrap-distance-bottom:0;mso-wrap-distance-left:9pt;mso-wrap-distance-right:9pt;mso-wrap-distance-top:0;position:absolute;v-text-anchor:top;z-index:251699200"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949540999"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70" style="mso-height-percent:0;mso-height-relative:margin;mso-wrap-distance-bottom:0;mso-wrap-distance-left:9pt;mso-wrap-distance-right:9pt;mso-wrap-distance-top:0;position:absolute;v-text-anchor:top;z-index:251701248"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simplePos x="0" y="0"/>
              <wp:positionH relativeFrom="margin">
                <wp:align>left</wp:align>
              </wp:positionH>
              <wp:positionV relativeFrom="paragraph">
                <wp:posOffset>349818</wp:posOffset>
              </wp:positionV>
              <wp:extent cx="5248894" cy="0"/>
              <wp:effectExtent l="0" t="0" r="0" b="0"/>
              <wp:wrapNone/>
              <wp:docPr id="38286335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1" style="mso-height-percent:0;mso-height-relative:margin;mso-position-horizontal:left;mso-position-horizontal-relative:margin;mso-width-percent:0;mso-width-relative:margin;mso-wrap-distance-bottom:0;mso-wrap-distance-left:9pt;mso-wrap-distance-right:9pt;mso-wrap-distance-top:0;position:absolute;v-text-anchor:top;z-index:251703296"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865291857"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72" style="mso-height-percent:0;mso-height-relative:margin;mso-wrap-distance-bottom:0;mso-wrap-distance-left:9pt;mso-wrap-distance-right:9pt;mso-wrap-distance-top:0;position:absolute;v-text-anchor:top;z-index:251705344"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simplePos x="0" y="0"/>
              <wp:positionH relativeFrom="margin">
                <wp:align>left</wp:align>
              </wp:positionH>
              <wp:positionV relativeFrom="paragraph">
                <wp:posOffset>349818</wp:posOffset>
              </wp:positionV>
              <wp:extent cx="5248894" cy="0"/>
              <wp:effectExtent l="0" t="0" r="0" b="0"/>
              <wp:wrapNone/>
              <wp:docPr id="198356053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3" style="mso-height-percent:0;mso-height-relative:margin;mso-position-horizontal:left;mso-position-horizontal-relative:margin;mso-width-percent:0;mso-width-relative:margin;mso-wrap-distance-bottom:0;mso-wrap-distance-left:9pt;mso-wrap-distance-right:9pt;mso-wrap-distance-top:0;position:absolute;v-text-anchor:top;z-index:251707392"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0464"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2106697538"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74" style="mso-height-percent:0;mso-height-relative:margin;mso-wrap-distance-bottom:0;mso-wrap-distance-left:9pt;mso-wrap-distance-right:9pt;mso-wrap-distance-top:0;position:absolute;v-text-anchor:top;z-index:251709440"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12512" behindDoc="0" locked="0" layoutInCell="1" allowOverlap="1">
              <wp:simplePos x="0" y="0"/>
              <wp:positionH relativeFrom="margin">
                <wp:align>left</wp:align>
              </wp:positionH>
              <wp:positionV relativeFrom="paragraph">
                <wp:posOffset>349818</wp:posOffset>
              </wp:positionV>
              <wp:extent cx="5248894" cy="0"/>
              <wp:effectExtent l="0" t="0" r="0" b="0"/>
              <wp:wrapNone/>
              <wp:docPr id="60416186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5" style="mso-height-percent:0;mso-height-relative:margin;mso-position-horizontal:left;mso-position-horizontal-relative:margin;mso-width-percent:0;mso-width-relative:margin;mso-wrap-distance-bottom:0;mso-wrap-distance-left:9pt;mso-wrap-distance-right:9pt;mso-wrap-distance-top:0;position:absolute;v-text-anchor:top;z-index:251711488"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335601060"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76" style="mso-height-percent:0;mso-height-relative:margin;mso-wrap-distance-bottom:0;mso-wrap-distance-left:9pt;mso-wrap-distance-right:9pt;mso-wrap-distance-top:0;position:absolute;v-text-anchor:top;z-index:251713536"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16608" behindDoc="0" locked="0" layoutInCell="1" allowOverlap="1">
              <wp:simplePos x="0" y="0"/>
              <wp:positionH relativeFrom="margin">
                <wp:align>left</wp:align>
              </wp:positionH>
              <wp:positionV relativeFrom="paragraph">
                <wp:posOffset>349818</wp:posOffset>
              </wp:positionV>
              <wp:extent cx="5248894" cy="0"/>
              <wp:effectExtent l="0" t="0" r="0" b="0"/>
              <wp:wrapNone/>
              <wp:docPr id="50211933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7" style="mso-height-percent:0;mso-height-relative:margin;mso-position-horizontal:left;mso-position-horizontal-relative:margin;mso-width-percent:0;mso-width-relative:margin;mso-wrap-distance-bottom:0;mso-wrap-distance-left:9pt;mso-wrap-distance-right:9pt;mso-wrap-distance-top:0;position:absolute;v-text-anchor:top;z-index:251715584"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8656"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36828487"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78" style="mso-height-percent:0;mso-height-relative:margin;mso-wrap-distance-bottom:0;mso-wrap-distance-left:9pt;mso-wrap-distance-right:9pt;mso-wrap-distance-top:0;position:absolute;v-text-anchor:top;z-index:251717632"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20704" behindDoc="0" locked="0" layoutInCell="1" allowOverlap="1">
              <wp:simplePos x="0" y="0"/>
              <wp:positionH relativeFrom="margin">
                <wp:align>left</wp:align>
              </wp:positionH>
              <wp:positionV relativeFrom="paragraph">
                <wp:posOffset>349818</wp:posOffset>
              </wp:positionV>
              <wp:extent cx="5248894" cy="0"/>
              <wp:effectExtent l="0" t="0" r="0" b="0"/>
              <wp:wrapNone/>
              <wp:docPr id="125389597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9" style="mso-height-percent:0;mso-height-relative:margin;mso-position-horizontal:left;mso-position-horizontal-relative:margin;mso-width-percent:0;mso-width-relative:margin;mso-wrap-distance-bottom:0;mso-wrap-distance-left:9pt;mso-wrap-distance-right:9pt;mso-wrap-distance-top:0;position:absolute;v-text-anchor:top;z-index:251719680"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2752"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1095590002"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80" style="mso-height-percent:0;mso-height-relative:margin;mso-wrap-distance-bottom:0;mso-wrap-distance-left:9pt;mso-wrap-distance-right:9pt;mso-wrap-distance-top:0;position:absolute;v-text-anchor:top;z-index:251721728"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24800" behindDoc="0" locked="0" layoutInCell="1" allowOverlap="1">
              <wp:simplePos x="0" y="0"/>
              <wp:positionH relativeFrom="margin">
                <wp:align>left</wp:align>
              </wp:positionH>
              <wp:positionV relativeFrom="paragraph">
                <wp:posOffset>349818</wp:posOffset>
              </wp:positionV>
              <wp:extent cx="5248894" cy="0"/>
              <wp:effectExtent l="0" t="0" r="0" b="0"/>
              <wp:wrapNone/>
              <wp:docPr id="1408499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81" style="mso-height-percent:0;mso-height-relative:margin;mso-position-horizontal:left;mso-position-horizontal-relative:margin;mso-width-percent:0;mso-width-relative:margin;mso-wrap-distance-bottom:0;mso-wrap-distance-left:9pt;mso-wrap-distance-right:9pt;mso-wrap-distance-top:0;position:absolute;v-text-anchor:top;z-index:251723776"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6848"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779293747"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82" style="mso-height-percent:0;mso-height-relative:margin;mso-wrap-distance-bottom:0;mso-wrap-distance-left:9pt;mso-wrap-distance-right:9pt;mso-wrap-distance-top:0;position:absolute;v-text-anchor:top;z-index:251725824"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28896" behindDoc="0" locked="0" layoutInCell="1" allowOverlap="1">
              <wp:simplePos x="0" y="0"/>
              <wp:positionH relativeFrom="margin">
                <wp:align>left</wp:align>
              </wp:positionH>
              <wp:positionV relativeFrom="paragraph">
                <wp:posOffset>349818</wp:posOffset>
              </wp:positionV>
              <wp:extent cx="5248894" cy="0"/>
              <wp:effectExtent l="0" t="0" r="0" b="0"/>
              <wp:wrapNone/>
              <wp:docPr id="69058291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83" style="mso-height-percent:0;mso-height-relative:margin;mso-position-horizontal:left;mso-position-horizontal-relative:margin;mso-width-percent:0;mso-width-relative:margin;mso-wrap-distance-bottom:0;mso-wrap-distance-left:9pt;mso-wrap-distance-right:9pt;mso-wrap-distance-top:0;position:absolute;v-text-anchor:top;z-index:251727872"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0944"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937029519"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84" style="mso-height-percent:0;mso-height-relative:margin;mso-wrap-distance-bottom:0;mso-wrap-distance-left:9pt;mso-wrap-distance-right:9pt;mso-wrap-distance-top:0;position:absolute;v-text-anchor:top;z-index:251729920"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4C6D" w:rsidRPr="0002472F" w:rsidP="005E4C6D" w14:textId="4AF4F1D9">
    <w:pPr>
      <w:pStyle w:val="Header"/>
      <w:jc w:val="right"/>
      <w:rPr>
        <w:rFonts w:ascii="Times New Roman" w:hAnsi="Times New Roman" w:cs="Times New Roman"/>
        <w:sz w:val="20"/>
        <w:szCs w:val="20"/>
      </w:rPr>
    </w:pPr>
    <w:r w:rsidRPr="0002472F">
      <w:rPr>
        <w:rFonts w:ascii="Times New Roman" w:hAnsi="Times New Roman" w:cs="Times New Roman"/>
        <w:noProof/>
        <w:sz w:val="20"/>
        <w:szCs w:val="20"/>
      </w:rPr>
      <mc:AlternateContent>
        <mc:Choice Requires="wps">
          <w:drawing>
            <wp:anchor distT="0" distB="0" distL="114300" distR="114300" simplePos="0" relativeHeight="251732992" behindDoc="0" locked="0" layoutInCell="1" allowOverlap="1">
              <wp:simplePos x="0" y="0"/>
              <wp:positionH relativeFrom="margin">
                <wp:align>left</wp:align>
              </wp:positionH>
              <wp:positionV relativeFrom="paragraph">
                <wp:posOffset>349818</wp:posOffset>
              </wp:positionV>
              <wp:extent cx="5248894" cy="0"/>
              <wp:effectExtent l="0" t="0" r="0" b="0"/>
              <wp:wrapNone/>
              <wp:docPr id="4179059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24889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85" style="mso-height-percent:0;mso-height-relative:margin;mso-position-horizontal:left;mso-position-horizontal-relative:margin;mso-width-percent:0;mso-width-relative:margin;mso-wrap-distance-bottom:0;mso-wrap-distance-left:9pt;mso-wrap-distance-right:9pt;mso-wrap-distance-top:0;position:absolute;v-text-anchor:top;z-index:251731968" from="0,27.54pt" to="413.3pt,27.54pt" fillcolor="this" stroked="t" strokecolor="black" strokeweight="0.5pt">
              <w10:wrap anchorx="margin"/>
            </v:line>
          </w:pict>
        </mc:Fallback>
      </mc:AlternateContent>
    </w:r>
    <w:r w:rsidRPr="0002472F">
      <w:rPr>
        <w:rFonts w:ascii="Times New Roman" w:hAnsi="Times New Roman" w:cs="Times New Roman"/>
        <w:sz w:val="20"/>
        <w:szCs w:val="20"/>
      </w:rPr>
      <w:t>T/CBPIA  000</w:t>
    </w:r>
    <w:r w:rsidR="00197F2A">
      <w:rPr>
        <w:rFonts w:ascii="Times New Roman" w:hAnsi="Times New Roman" w:cs="Times New Roman"/>
        <w:sz w:val="20"/>
        <w:szCs w:val="20"/>
      </w:rPr>
      <w:t>6</w:t>
    </w:r>
    <w:r w:rsidRPr="0002472F">
      <w:rPr>
        <w:rFonts w:ascii="Times New Roman" w:hAnsi="Times New Roman" w:cs="Times New Roman"/>
        <w:sz w:val="20"/>
        <w:szCs w:val="20"/>
      </w:rPr>
      <w:t>-2023</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D55A7" w:rsidRPr="00BD55A7" w:rsidP="00BD55A7" w14:textId="17F86E29">
    <w:pPr>
      <w:pStyle w:val="Header"/>
      <w:jc w:val="right"/>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5040" behindDoc="0" locked="0" layoutInCell="1" allowOverlap="1">
              <wp:simplePos x="0" y="0"/>
              <wp:positionH relativeFrom="column">
                <wp:posOffset>-26719</wp:posOffset>
              </wp:positionH>
              <wp:positionV relativeFrom="paragraph">
                <wp:posOffset>338132</wp:posOffset>
              </wp:positionV>
              <wp:extent cx="5332021" cy="12131"/>
              <wp:effectExtent l="0" t="0" r="21590" b="26035"/>
              <wp:wrapNone/>
              <wp:docPr id="741412535"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5332021" cy="1213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2086" style="mso-height-percent:0;mso-height-relative:margin;mso-wrap-distance-bottom:0;mso-wrap-distance-left:9pt;mso-wrap-distance-right:9pt;mso-wrap-distance-top:0;position:absolute;v-text-anchor:top;z-index:251734016" from="-2.1pt,26.62pt" to="417.74pt,27.58pt" fillcolor="this" stroked="t" strokecolor="black" strokeweight="0.5pt"/>
          </w:pict>
        </mc:Fallback>
      </mc:AlternateContent>
    </w:r>
    <w:r w:rsidRPr="00BD55A7">
      <w:rPr>
        <w:rFonts w:ascii="Times New Roman" w:hAnsi="Times New Roman" w:cs="Times New Roman"/>
        <w:sz w:val="20"/>
        <w:szCs w:val="20"/>
      </w:rPr>
      <w:t>T/CBPIA 000</w:t>
    </w:r>
    <w:r w:rsidR="00197F2A">
      <w:rPr>
        <w:rFonts w:ascii="Times New Roman" w:hAnsi="Times New Roman" w:cs="Times New Roman"/>
        <w:sz w:val="20"/>
        <w:szCs w:val="20"/>
      </w:rPr>
      <w:t>6</w:t>
    </w:r>
    <w:r w:rsidRPr="00BD55A7">
      <w:rPr>
        <w:rFonts w:ascii="Times New Roman" w:hAnsi="Times New Roman" w:cs="Times New Roman"/>
        <w:sz w:val="20"/>
        <w:szCs w:val="20"/>
      </w:rPr>
      <w:t>-2023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64C4CE3F"/>
    <w:multiLevelType w:val="singleLevel"/>
    <w:tmpl w:val="64C4CE3F"/>
    <w:lvl w:ilvl="0">
      <w:start w:val="1"/>
      <w:numFmt w:val="bullet"/>
      <w:lvlText w:val=""/>
      <w:lvlJc w:val="left"/>
      <w:pPr>
        <w:ind w:left="420" w:hanging="420"/>
      </w:pPr>
      <w:rPr>
        <w:rFonts w:ascii="Wingdings" w:hAnsi="Wingdings" w:hint="default"/>
      </w:rPr>
    </w:lvl>
  </w:abstractNum>
  <w:abstractNum w:abstractNumId="1">
    <w:nsid w:val="64C4E304"/>
    <w:multiLevelType w:val="singleLevel"/>
    <w:tmpl w:val="64C4E304"/>
    <w:lvl w:ilvl="0">
      <w:start w:val="1"/>
      <w:numFmt w:val="bullet"/>
      <w:lvlText w:val=""/>
      <w:lvlJc w:val="left"/>
      <w:pPr>
        <w:ind w:left="420" w:hanging="420"/>
      </w:pPr>
      <w:rPr>
        <w:rFonts w:ascii="Wingdings" w:hAnsi="Wingdings" w:hint="default"/>
      </w:rPr>
    </w:lvl>
  </w:abstractNum>
  <w:abstractNum w:abstractNumId="2">
    <w:nsid w:val="64C54025"/>
    <w:multiLevelType w:val="singleLevel"/>
    <w:tmpl w:val="64C54025"/>
    <w:lvl w:ilvl="0">
      <w:start w:val="1"/>
      <w:numFmt w:val="bullet"/>
      <w:lvlText w:val=""/>
      <w:lvlJc w:val="left"/>
      <w:pPr>
        <w:ind w:left="420" w:hanging="420"/>
      </w:pPr>
      <w:rPr>
        <w:rFonts w:ascii="Wingdings" w:hAnsi="Wingdings" w:hint="default"/>
      </w:rPr>
    </w:lvl>
  </w:abstractNum>
  <w:abstractNum w:abstractNumId="3">
    <w:nsid w:val="64C54251"/>
    <w:multiLevelType w:val="singleLevel"/>
    <w:tmpl w:val="64C54251"/>
    <w:lvl w:ilvl="0">
      <w:start w:val="1"/>
      <w:numFmt w:val="bullet"/>
      <w:lvlText w:val=""/>
      <w:lvlJc w:val="left"/>
      <w:pPr>
        <w:ind w:left="420" w:hanging="420"/>
      </w:pPr>
      <w:rPr>
        <w:rFonts w:ascii="Wingdings" w:hAnsi="Wingdings" w:hint="default"/>
      </w:rPr>
    </w:lvl>
  </w:abstractNum>
  <w:abstractNum w:abstractNumId="4">
    <w:nsid w:val="64C542E7"/>
    <w:multiLevelType w:val="singleLevel"/>
    <w:tmpl w:val="64C542E7"/>
    <w:lvl w:ilvl="0">
      <w:start w:val="1"/>
      <w:numFmt w:val="bullet"/>
      <w:lvlText w:val=""/>
      <w:lvlJc w:val="left"/>
      <w:pPr>
        <w:ind w:left="420" w:hanging="420"/>
      </w:pPr>
      <w:rPr>
        <w:rFonts w:ascii="Wingdings" w:hAnsi="Wingdings" w:hint="default"/>
      </w:rPr>
    </w:lvl>
  </w:abstractNum>
  <w:abstractNum w:abstractNumId="5">
    <w:nsid w:val="64C5D9BC"/>
    <w:multiLevelType w:val="singleLevel"/>
    <w:tmpl w:val="64C5D9BC"/>
    <w:lvl w:ilvl="0">
      <w:start w:val="1"/>
      <w:numFmt w:val="bullet"/>
      <w:lvlText w:val=""/>
      <w:lvlJc w:val="left"/>
      <w:pPr>
        <w:ind w:left="420" w:hanging="420"/>
      </w:pPr>
      <w:rPr>
        <w:rFonts w:ascii="Wingdings" w:hAnsi="Wingdings" w:hint="default"/>
      </w:rPr>
    </w:lvl>
  </w:abstractNum>
  <w:abstractNum w:abstractNumId="6">
    <w:nsid w:val="64C5DD13"/>
    <w:multiLevelType w:val="singleLevel"/>
    <w:tmpl w:val="64C5DD13"/>
    <w:lvl w:ilvl="0">
      <w:start w:val="1"/>
      <w:numFmt w:val="bullet"/>
      <w:lvlText w:val=""/>
      <w:lvlJc w:val="left"/>
      <w:pPr>
        <w:ind w:left="420" w:hanging="420"/>
      </w:pPr>
      <w:rPr>
        <w:rFonts w:ascii="Wingdings" w:hAnsi="Wingdings" w:hint="default"/>
      </w:rPr>
    </w:lvl>
  </w:abstractNum>
  <w:abstractNum w:abstractNumId="7">
    <w:nsid w:val="64C5DD42"/>
    <w:multiLevelType w:val="singleLevel"/>
    <w:tmpl w:val="64C5DD42"/>
    <w:lvl w:ilvl="0">
      <w:start w:val="1"/>
      <w:numFmt w:val="bullet"/>
      <w:lvlText w:val=""/>
      <w:lvlJc w:val="left"/>
      <w:pPr>
        <w:ind w:left="420" w:hanging="420"/>
      </w:pPr>
      <w:rPr>
        <w:rFonts w:ascii="Wingdings" w:hAnsi="Wingdings" w:hint="default"/>
      </w:rPr>
    </w:lvl>
  </w:abstractNum>
  <w:abstractNum w:abstractNumId="8">
    <w:nsid w:val="73A1ADAF"/>
    <w:multiLevelType w:val="singleLevel"/>
    <w:tmpl w:val="73A1ADAF"/>
    <w:lvl w:ilvl="0">
      <w:start w:val="1"/>
      <w:numFmt w:val="bullet"/>
      <w:lvlText w:val=""/>
      <w:lvlJc w:val="left"/>
      <w:pPr>
        <w:ind w:left="840" w:hanging="420"/>
      </w:pPr>
      <w:rPr>
        <w:rFonts w:ascii="Wingdings" w:hAnsi="Wingdings" w:hint="default"/>
      </w:rPr>
    </w:lvl>
  </w:abstractNum>
  <w:num w:numId="1" w16cid:durableId="1247227131">
    <w:abstractNumId w:val="8"/>
  </w:num>
  <w:num w:numId="2" w16cid:durableId="887492930">
    <w:abstractNumId w:val="2"/>
  </w:num>
  <w:num w:numId="3" w16cid:durableId="1332684510">
    <w:abstractNumId w:val="0"/>
  </w:num>
  <w:num w:numId="4" w16cid:durableId="633562380">
    <w:abstractNumId w:val="3"/>
  </w:num>
  <w:num w:numId="5" w16cid:durableId="756175334">
    <w:abstractNumId w:val="4"/>
  </w:num>
  <w:num w:numId="6" w16cid:durableId="1395351239">
    <w:abstractNumId w:val="6"/>
  </w:num>
  <w:num w:numId="7" w16cid:durableId="1090081860">
    <w:abstractNumId w:val="7"/>
  </w:num>
  <w:num w:numId="8" w16cid:durableId="461507265">
    <w:abstractNumId w:val="1"/>
  </w:num>
  <w:num w:numId="9" w16cid:durableId="11609223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546"/>
    <w:rsid w:val="000048CE"/>
    <w:rsid w:val="0002472F"/>
    <w:rsid w:val="0003111B"/>
    <w:rsid w:val="0016353D"/>
    <w:rsid w:val="0018255E"/>
    <w:rsid w:val="00197F2A"/>
    <w:rsid w:val="001B4275"/>
    <w:rsid w:val="001E00C3"/>
    <w:rsid w:val="0020622C"/>
    <w:rsid w:val="002327B2"/>
    <w:rsid w:val="00291379"/>
    <w:rsid w:val="002E46F6"/>
    <w:rsid w:val="002F2652"/>
    <w:rsid w:val="00300B19"/>
    <w:rsid w:val="003849DC"/>
    <w:rsid w:val="0039597C"/>
    <w:rsid w:val="003B1B97"/>
    <w:rsid w:val="003D003B"/>
    <w:rsid w:val="003F1801"/>
    <w:rsid w:val="004628AF"/>
    <w:rsid w:val="004739FA"/>
    <w:rsid w:val="005A44B8"/>
    <w:rsid w:val="005A704E"/>
    <w:rsid w:val="005B25F8"/>
    <w:rsid w:val="005E4C6D"/>
    <w:rsid w:val="00605546"/>
    <w:rsid w:val="006140E6"/>
    <w:rsid w:val="00672136"/>
    <w:rsid w:val="00781D17"/>
    <w:rsid w:val="007B10ED"/>
    <w:rsid w:val="007E117C"/>
    <w:rsid w:val="008620DA"/>
    <w:rsid w:val="00866CB1"/>
    <w:rsid w:val="008D5477"/>
    <w:rsid w:val="00957DFC"/>
    <w:rsid w:val="009A552C"/>
    <w:rsid w:val="009E3EDF"/>
    <w:rsid w:val="009F6770"/>
    <w:rsid w:val="00B04A07"/>
    <w:rsid w:val="00B4232B"/>
    <w:rsid w:val="00B5060B"/>
    <w:rsid w:val="00B62322"/>
    <w:rsid w:val="00B8778A"/>
    <w:rsid w:val="00B93621"/>
    <w:rsid w:val="00BA2D07"/>
    <w:rsid w:val="00BD55A7"/>
    <w:rsid w:val="00C25021"/>
    <w:rsid w:val="00C31494"/>
    <w:rsid w:val="00C51AA5"/>
    <w:rsid w:val="00E17ED6"/>
    <w:rsid w:val="00E34E4C"/>
    <w:rsid w:val="00E75DA1"/>
    <w:rsid w:val="00E95B41"/>
    <w:rsid w:val="00EC3A2F"/>
    <w:rsid w:val="00EE4C35"/>
    <w:rsid w:val="00F274CB"/>
    <w:rsid w:val="00F42527"/>
    <w:rsid w:val="00F80970"/>
    <w:rsid w:val="10AD739E"/>
    <w:rsid w:val="140F1A90"/>
    <w:rsid w:val="1A3C03B6"/>
    <w:rsid w:val="1E2D1383"/>
    <w:rsid w:val="3B3E74C2"/>
    <w:rsid w:val="3DA074F9"/>
    <w:rsid w:val="4E9B51D4"/>
    <w:rsid w:val="51537B2F"/>
    <w:rsid w:val="52DE1C40"/>
    <w:rsid w:val="63862FE9"/>
    <w:rsid w:val="723A699D"/>
    <w:rsid w:val="7C355202"/>
  </w:rsids>
  <w:docVars>
    <w:docVar w:name="commondata" w:val="eyJoZGlkIjoiODkwMGRlZmVhYzQ0YjVkNDBmOWZkMjIxYjE5Y2U5NT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4D6B9A"/>
  <w15:docId w15:val="{C90F3413-E14B-4377-9AB7-3B38A85A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0"/>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pPr>
      <w:spacing w:before="120" w:after="120" w:line="415" w:lineRule="auto"/>
      <w:outlineLvl w:val="1"/>
    </w:pPr>
    <w:rPr>
      <w:rFonts w:ascii="Times New Roman" w:hAnsi="Times New Roman" w:eastAsiaTheme="majorEastAsia" w:cstheme="majorBidi"/>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a5"/>
    <w:uiPriority w:val="99"/>
    <w:unhideWhenUsed/>
    <w:qFormat/>
    <w:rPr>
      <w:b/>
      <w:bCs/>
    </w:rPr>
  </w:style>
  <w:style w:type="paragraph" w:styleId="CommentText">
    <w:name w:val="annotation text"/>
    <w:basedOn w:val="Normal"/>
    <w:link w:val="a1"/>
    <w:qFormat/>
    <w:pPr>
      <w:jc w:val="left"/>
    </w:pPr>
  </w:style>
  <w:style w:type="paragraph" w:styleId="BodyText">
    <w:name w:val="Body Text"/>
    <w:basedOn w:val="Normal"/>
    <w:link w:val="a2"/>
    <w:uiPriority w:val="1"/>
    <w:qFormat/>
    <w:pPr>
      <w:autoSpaceDE w:val="0"/>
      <w:autoSpaceDN w:val="0"/>
      <w:jc w:val="left"/>
    </w:pPr>
    <w:rPr>
      <w:rFonts w:ascii="Times New Roman" w:eastAsia="Times New Roman" w:hAnsi="Times New Roman" w:cs="Times New Roman"/>
      <w:kern w:val="0"/>
      <w:sz w:val="19"/>
      <w:szCs w:val="19"/>
      <w:lang w:eastAsia="en-US"/>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tabs>
        <w:tab w:val="center" w:pos="4153"/>
        <w:tab w:val="right" w:pos="8306"/>
      </w:tabs>
      <w:snapToGrid w:val="0"/>
      <w:jc w:val="center"/>
    </w:pPr>
    <w:rPr>
      <w:sz w:val="18"/>
      <w:szCs w:val="18"/>
    </w:rPr>
  </w:style>
  <w:style w:type="paragraph" w:styleId="Title">
    <w:name w:val="Title"/>
    <w:basedOn w:val="Normal"/>
    <w:next w:val="Normal"/>
    <w:link w:val="a3"/>
    <w:qFormat/>
    <w:pPr>
      <w:spacing w:before="240" w:after="60"/>
      <w:jc w:val="center"/>
      <w:outlineLvl w:val="0"/>
    </w:pPr>
    <w:rPr>
      <w:rFonts w:asciiTheme="majorHAnsi" w:hAnsiTheme="majorHAnsi" w:cstheme="majorBidi"/>
      <w:b/>
      <w:bCs/>
      <w:sz w:val="32"/>
      <w:szCs w:val="32"/>
    </w:rPr>
  </w:style>
  <w:style w:type="character" w:styleId="CommentReference">
    <w:name w:val="annotation reference"/>
    <w:basedOn w:val="DefaultParagraphFont"/>
    <w:uiPriority w:val="99"/>
    <w:unhideWhenUsed/>
    <w:qFormat/>
    <w:rPr>
      <w:sz w:val="21"/>
      <w:szCs w:val="21"/>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 w:type="character" w:customStyle="1" w:styleId="2">
    <w:name w:val="标题 2 字符"/>
    <w:basedOn w:val="DefaultParagraphFont"/>
    <w:link w:val="Heading2"/>
    <w:qFormat/>
    <w:rPr>
      <w:rFonts w:ascii="Times New Roman" w:hAnsi="Times New Roman" w:eastAsiaTheme="majorEastAsia" w:cstheme="majorBidi"/>
      <w:bCs/>
      <w:sz w:val="24"/>
      <w:szCs w:val="32"/>
    </w:rPr>
  </w:style>
  <w:style w:type="character" w:customStyle="1" w:styleId="a1">
    <w:name w:val="批注文字 字符"/>
    <w:basedOn w:val="DefaultParagraphFont"/>
    <w:link w:val="CommentText"/>
    <w:qFormat/>
    <w:rPr>
      <w:szCs w:val="24"/>
    </w:rPr>
  </w:style>
  <w:style w:type="character" w:customStyle="1" w:styleId="a2">
    <w:name w:val="正文文本 字符"/>
    <w:basedOn w:val="DefaultParagraphFont"/>
    <w:link w:val="BodyText"/>
    <w:uiPriority w:val="1"/>
    <w:qFormat/>
    <w:rPr>
      <w:rFonts w:ascii="Times New Roman" w:eastAsia="Times New Roman" w:hAnsi="Times New Roman" w:cs="Times New Roman"/>
      <w:kern w:val="0"/>
      <w:sz w:val="19"/>
      <w:szCs w:val="19"/>
      <w:lang w:eastAsia="en-US"/>
    </w:rPr>
  </w:style>
  <w:style w:type="character" w:customStyle="1" w:styleId="a3">
    <w:name w:val="标题 字符"/>
    <w:basedOn w:val="DefaultParagraphFont"/>
    <w:link w:val="Title"/>
    <w:qFormat/>
    <w:rPr>
      <w:rFonts w:asciiTheme="majorHAnsi" w:hAnsiTheme="majorHAnsi" w:cstheme="majorBidi"/>
      <w:b/>
      <w:bCs/>
      <w:sz w:val="32"/>
      <w:szCs w:val="32"/>
    </w:rPr>
  </w:style>
  <w:style w:type="paragraph" w:customStyle="1" w:styleId="a4">
    <w:name w:val="段"/>
    <w:qFormat/>
    <w:pPr>
      <w:autoSpaceDE w:val="0"/>
      <w:autoSpaceDN w:val="0"/>
      <w:spacing w:after="160" w:line="259" w:lineRule="auto"/>
      <w:ind w:firstLine="200" w:firstLineChars="200"/>
      <w:jc w:val="both"/>
    </w:pPr>
    <w:rPr>
      <w:rFonts w:ascii="宋体" w:eastAsia="宋体" w:hAnsi="Times New Roman" w:cs="Times New Roman"/>
      <w:sz w:val="21"/>
    </w:rPr>
  </w:style>
  <w:style w:type="paragraph" w:customStyle="1" w:styleId="Default">
    <w:name w:val="Default"/>
    <w:qFormat/>
    <w:pPr>
      <w:widowControl w:val="0"/>
      <w:autoSpaceDE w:val="0"/>
      <w:autoSpaceDN w:val="0"/>
      <w:adjustRightInd w:val="0"/>
      <w:spacing w:after="160" w:line="259" w:lineRule="auto"/>
    </w:pPr>
    <w:rPr>
      <w:rFonts w:ascii="Verdana" w:eastAsia="宋体" w:hAnsi="Verdana" w:cs="Verdana"/>
      <w:color w:val="000000"/>
      <w:sz w:val="24"/>
      <w:szCs w:val="24"/>
    </w:rPr>
  </w:style>
  <w:style w:type="paragraph" w:customStyle="1" w:styleId="1">
    <w:name w:val="列出段落1"/>
    <w:basedOn w:val="Normal"/>
    <w:uiPriority w:val="99"/>
    <w:qFormat/>
    <w:pPr>
      <w:ind w:firstLine="420" w:firstLineChars="200"/>
    </w:pPr>
  </w:style>
  <w:style w:type="character" w:customStyle="1" w:styleId="10">
    <w:name w:val="标题 1 字符"/>
    <w:basedOn w:val="DefaultParagraphFont"/>
    <w:link w:val="Heading1"/>
    <w:qFormat/>
    <w:rPr>
      <w:b/>
      <w:bCs/>
      <w:kern w:val="44"/>
      <w:sz w:val="44"/>
      <w:szCs w:val="44"/>
    </w:rPr>
  </w:style>
  <w:style w:type="character" w:customStyle="1" w:styleId="a5">
    <w:name w:val="批注主题 字符"/>
    <w:basedOn w:val="a1"/>
    <w:link w:val="CommentSubject"/>
    <w:uiPriority w:val="99"/>
    <w:semiHidden/>
    <w:qFormat/>
    <w:rPr>
      <w:b/>
      <w:bCs/>
      <w:szCs w:val="24"/>
    </w:rPr>
  </w:style>
  <w:style w:type="paragraph" w:customStyle="1" w:styleId="11">
    <w:name w:val="修订1"/>
    <w:hidden/>
    <w:uiPriority w:val="99"/>
    <w:unhideWhenUsed/>
    <w:rPr>
      <w:kern w:val="2"/>
      <w:sz w:val="21"/>
      <w:szCs w:val="24"/>
    </w:rPr>
  </w:style>
  <w:style w:type="paragraph" w:styleId="Revision">
    <w:name w:val="Revision"/>
    <w:hidden/>
    <w:uiPriority w:val="99"/>
    <w:unhideWhenUsed/>
    <w:rsid w:val="00B04A07"/>
    <w:rPr>
      <w:kern w:val="2"/>
      <w:sz w:val="21"/>
      <w:szCs w:val="24"/>
    </w:rPr>
  </w:style>
  <w:style w:type="paragraph" w:styleId="TOCHeading">
    <w:name w:val="TOC Heading"/>
    <w:basedOn w:val="Heading1"/>
    <w:next w:val="Normal"/>
    <w:uiPriority w:val="39"/>
    <w:unhideWhenUsed/>
    <w:qFormat/>
    <w:rsid w:val="003B1B9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3B1B97"/>
  </w:style>
  <w:style w:type="paragraph" w:styleId="TOC2">
    <w:name w:val="toc 2"/>
    <w:basedOn w:val="Normal"/>
    <w:next w:val="Normal"/>
    <w:autoRedefine/>
    <w:uiPriority w:val="39"/>
    <w:unhideWhenUsed/>
    <w:rsid w:val="003B1B97"/>
    <w:pPr>
      <w:ind w:left="420" w:leftChars="200"/>
    </w:pPr>
  </w:style>
  <w:style w:type="paragraph" w:styleId="TOC3">
    <w:name w:val="toc 3"/>
    <w:basedOn w:val="Normal"/>
    <w:next w:val="Normal"/>
    <w:autoRedefine/>
    <w:uiPriority w:val="39"/>
    <w:unhideWhenUsed/>
    <w:rsid w:val="003B1B97"/>
    <w:pPr>
      <w:ind w:left="840" w:leftChars="400"/>
    </w:pPr>
  </w:style>
  <w:style w:type="character" w:styleId="Hyperlink">
    <w:name w:val="Hyperlink"/>
    <w:basedOn w:val="DefaultParagraphFont"/>
    <w:uiPriority w:val="99"/>
    <w:unhideWhenUsed/>
    <w:rsid w:val="003B1B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4.xml" /><Relationship Id="rId17" Type="http://schemas.openxmlformats.org/officeDocument/2006/relationships/header" Target="header8.xml" /><Relationship Id="rId18" Type="http://schemas.openxmlformats.org/officeDocument/2006/relationships/header" Target="header9.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6.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footer" Target="footer9.xml" /><Relationship Id="rId28" Type="http://schemas.openxmlformats.org/officeDocument/2006/relationships/header" Target="header14.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1.xml" /><Relationship Id="rId32" Type="http://schemas.openxmlformats.org/officeDocument/2006/relationships/header" Target="header16.xml" /><Relationship Id="rId33" Type="http://schemas.openxmlformats.org/officeDocument/2006/relationships/footer" Target="footer12.xml" /><Relationship Id="rId34" Type="http://schemas.openxmlformats.org/officeDocument/2006/relationships/header" Target="header17.xml" /><Relationship Id="rId35" Type="http://schemas.openxmlformats.org/officeDocument/2006/relationships/footer" Target="footer13.xml" /><Relationship Id="rId36" Type="http://schemas.openxmlformats.org/officeDocument/2006/relationships/header" Target="header18.xml" /><Relationship Id="rId37" Type="http://schemas.openxmlformats.org/officeDocument/2006/relationships/footer" Target="footer14.xml" /><Relationship Id="rId38" Type="http://schemas.openxmlformats.org/officeDocument/2006/relationships/header" Target="header19.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6.xml" /><Relationship Id="rId42" Type="http://schemas.openxmlformats.org/officeDocument/2006/relationships/header" Target="header21.xml" /><Relationship Id="rId43" Type="http://schemas.openxmlformats.org/officeDocument/2006/relationships/footer" Target="footer17.xml" /><Relationship Id="rId44" Type="http://schemas.openxmlformats.org/officeDocument/2006/relationships/header" Target="header22.xml" /><Relationship Id="rId45" Type="http://schemas.openxmlformats.org/officeDocument/2006/relationships/footer" Target="footer18.xml" /><Relationship Id="rId46" Type="http://schemas.openxmlformats.org/officeDocument/2006/relationships/header" Target="header23.xml" /><Relationship Id="rId47" Type="http://schemas.openxmlformats.org/officeDocument/2006/relationships/footer" Target="footer19.xml" /><Relationship Id="rId48" Type="http://schemas.openxmlformats.org/officeDocument/2006/relationships/header" Target="header24.xml" /><Relationship Id="rId49" Type="http://schemas.openxmlformats.org/officeDocument/2006/relationships/footer" Target="footer20.xml" /><Relationship Id="rId5" Type="http://schemas.openxmlformats.org/officeDocument/2006/relationships/customXml" Target="../customXml/item2.xml" /><Relationship Id="rId50" Type="http://schemas.openxmlformats.org/officeDocument/2006/relationships/header" Target="header25.xml" /><Relationship Id="rId51" Type="http://schemas.openxmlformats.org/officeDocument/2006/relationships/footer" Target="footer21.xml" /><Relationship Id="rId52" Type="http://schemas.openxmlformats.org/officeDocument/2006/relationships/header" Target="header26.xml" /><Relationship Id="rId53" Type="http://schemas.openxmlformats.org/officeDocument/2006/relationships/footer" Target="footer22.xml" /><Relationship Id="rId54" Type="http://schemas.openxmlformats.org/officeDocument/2006/relationships/header" Target="header27.xml" /><Relationship Id="rId55" Type="http://schemas.openxmlformats.org/officeDocument/2006/relationships/footer" Target="footer23.xml" /><Relationship Id="rId56" Type="http://schemas.openxmlformats.org/officeDocument/2006/relationships/header" Target="header28.xml" /><Relationship Id="rId57" Type="http://schemas.openxmlformats.org/officeDocument/2006/relationships/footer" Target="footer24.xml" /><Relationship Id="rId58" Type="http://schemas.openxmlformats.org/officeDocument/2006/relationships/header" Target="header29.xml" /><Relationship Id="rId59" Type="http://schemas.openxmlformats.org/officeDocument/2006/relationships/footer" Target="footer25.xml" /><Relationship Id="rId6" Type="http://schemas.openxmlformats.org/officeDocument/2006/relationships/header" Target="header1.xml" /><Relationship Id="rId60" Type="http://schemas.openxmlformats.org/officeDocument/2006/relationships/header" Target="header30.xml" /><Relationship Id="rId61" Type="http://schemas.openxmlformats.org/officeDocument/2006/relationships/footer" Target="footer26.xml" /><Relationship Id="rId62" Type="http://schemas.openxmlformats.org/officeDocument/2006/relationships/header" Target="header31.xml" /><Relationship Id="rId63" Type="http://schemas.openxmlformats.org/officeDocument/2006/relationships/footer" Target="footer27.xml" /><Relationship Id="rId64" Type="http://schemas.openxmlformats.org/officeDocument/2006/relationships/header" Target="header32.xml" /><Relationship Id="rId65" Type="http://schemas.openxmlformats.org/officeDocument/2006/relationships/footer" Target="footer28.xml" /><Relationship Id="rId66" Type="http://schemas.openxmlformats.org/officeDocument/2006/relationships/header" Target="header33.xml" /><Relationship Id="rId67" Type="http://schemas.openxmlformats.org/officeDocument/2006/relationships/footer" Target="footer29.xml" /><Relationship Id="rId68" Type="http://schemas.openxmlformats.org/officeDocument/2006/relationships/header" Target="header34.xml" /><Relationship Id="rId69" Type="http://schemas.openxmlformats.org/officeDocument/2006/relationships/footer" Target="footer30.xml" /><Relationship Id="rId7" Type="http://schemas.openxmlformats.org/officeDocument/2006/relationships/footer" Target="footer1.xml" /><Relationship Id="rId70" Type="http://schemas.openxmlformats.org/officeDocument/2006/relationships/header" Target="header35.xml" /><Relationship Id="rId71" Type="http://schemas.openxmlformats.org/officeDocument/2006/relationships/footer" Target="footer31.xml" /><Relationship Id="rId72" Type="http://schemas.openxmlformats.org/officeDocument/2006/relationships/header" Target="header36.xml" /><Relationship Id="rId73" Type="http://schemas.openxmlformats.org/officeDocument/2006/relationships/footer" Target="footer32.xml" /><Relationship Id="rId74" Type="http://schemas.openxmlformats.org/officeDocument/2006/relationships/hyperlink" Target="https://d.book118.com/386003204124010053" TargetMode="External" /><Relationship Id="rId75" Type="http://schemas.openxmlformats.org/officeDocument/2006/relationships/header" Target="header37.xml" /><Relationship Id="rId76" Type="http://schemas.openxmlformats.org/officeDocument/2006/relationships/footer" Target="footer33.xml" /><Relationship Id="rId77" Type="http://schemas.openxmlformats.org/officeDocument/2006/relationships/header" Target="header38.xml" /><Relationship Id="rId78" Type="http://schemas.openxmlformats.org/officeDocument/2006/relationships/footer" Target="footer34.xml" /><Relationship Id="rId79" Type="http://schemas.openxmlformats.org/officeDocument/2006/relationships/theme" Target="theme/theme1.xml" /><Relationship Id="rId8" Type="http://schemas.openxmlformats.org/officeDocument/2006/relationships/header" Target="header2.xml" /><Relationship Id="rId80" Type="http://schemas.openxmlformats.org/officeDocument/2006/relationships/numbering" Target="numbering.xml" /><Relationship Id="rId81"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EC9108F4-F8C3-4D19-AA0C-3144CA6842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22</Pages>
  <Words>3002</Words>
  <Characters>17113</Characters>
  <Application>Microsoft Office Word</Application>
  <DocSecurity>0</DocSecurity>
  <Lines>142</Lines>
  <Paragraphs>40</Paragraphs>
  <ScaleCrop>false</ScaleCrop>
  <Company/>
  <LinksUpToDate>false</LinksUpToDate>
  <CharactersWithSpaces>20075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莉 刘</dc:creator>
  <cp:lastModifiedBy>莉 刘</cp:lastModifiedBy>
  <cp:revision>12</cp:revision>
  <dcterms:created xsi:type="dcterms:W3CDTF">2023-11-02T05:53:00Z</dcterms:created>
  <dcterms:modified xsi:type="dcterms:W3CDTF">2023-11-30T02:58:00Z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943602D04AD6489A919A62F7234CE3BF_13</vt:lpwstr>
  </property>
  <property fmtid="{D5CDD505-2E9C-101B-9397-08002B2CF9AE}" pid="3" name="KSOProductBuildVer">
    <vt:lpwstr>2052-10.8.0.6308</vt:lpwstr>
  </property>
</Properties>
</file>