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302" w:line="160" w:lineRule="auto"/>
        <w:ind w:left="1159"/>
        <w:rPr>
          <w:rFonts w:ascii="Microsoft YaHei" w:eastAsia="Microsoft YaHei" w:hAnsi="Microsoft YaHei" w:cs="Microsoft YaHei"/>
          <w:sz w:val="20"/>
          <w:szCs w:val="20"/>
        </w:rPr>
      </w:pPr>
      <w:r>
        <w:pict>
          <v:rect id="_x0000_s1025" style="width:5.1pt;height:4.85pt;margin-top:772.21pt;margin-left:463.8pt;mso-position-horizontal-relative:page;mso-position-vertical-relative:page;position:absolute;z-index:251663360" o:allowincell="f" filled="t" fillcolor="#bcbdc0" stroked="f"/>
        </w:pict>
      </w:r>
      <w:r>
        <w:pict>
          <v:rect id="_x0000_s1026" style="width:5.2pt;height:4.85pt;margin-top:772.23pt;margin-left:493.35pt;mso-position-horizontal-relative:page;mso-position-vertical-relative:page;position:absolute;z-index:251662336" o:allowincell="f" filled="t" fillcolor="#bcbdc0" stroked="f"/>
        </w:pict>
      </w:r>
      <w:r>
        <w:pict>
          <v:rect id="_x0000_s1027" style="width:4.9pt;height:4.95pt;margin-top:772.22pt;margin-left:512.61pt;mso-position-horizontal-relative:page;mso-position-vertical-relative:page;position:absolute;z-index:251664384" o:allowincell="f" filled="t" fillcolor="#bcbdc0" stroked="f"/>
        </w:pict>
      </w:r>
      <w:r>
        <w:drawing>
          <wp:anchor distT="0" distB="0" distL="0" distR="0" simplePos="0" relativeHeight="251659264" behindDoc="0" locked="0" layoutInCell="0" allowOverlap="1">
            <wp:simplePos x="0" y="0"/>
            <wp:positionH relativeFrom="page">
              <wp:posOffset>6052121</wp:posOffset>
            </wp:positionH>
            <wp:positionV relativeFrom="page">
              <wp:posOffset>9807051</wp:posOffset>
            </wp:positionV>
            <wp:extent cx="180349" cy="6225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80349" cy="62255"/>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7019983</wp:posOffset>
            </wp:positionH>
            <wp:positionV relativeFrom="page">
              <wp:posOffset>9688473</wp:posOffset>
            </wp:positionV>
            <wp:extent cx="263966" cy="26397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263966" cy="263979"/>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5969842</wp:posOffset>
            </wp:positionH>
            <wp:positionV relativeFrom="page">
              <wp:posOffset>9807148</wp:posOffset>
            </wp:positionV>
            <wp:extent cx="70129" cy="6216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70129" cy="62166"/>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6346986</wp:posOffset>
            </wp:positionH>
            <wp:positionV relativeFrom="page">
              <wp:posOffset>9807149</wp:posOffset>
            </wp:positionV>
            <wp:extent cx="150888" cy="61583"/>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50888" cy="61583"/>
                    </a:xfrm>
                    <a:prstGeom prst="rect">
                      <a:avLst/>
                    </a:prstGeom>
                  </pic:spPr>
                </pic:pic>
              </a:graphicData>
            </a:graphic>
          </wp:anchor>
        </w:drawing>
      </w:r>
      <w:r>
        <w:rPr>
          <w:rFonts w:ascii="Microsoft YaHei" w:eastAsia="Microsoft YaHei" w:hAnsi="Microsoft YaHei" w:cs="Microsoft YaHei"/>
          <w:color w:val="231F20"/>
          <w:spacing w:val="1"/>
          <w:sz w:val="20"/>
          <w:szCs w:val="20"/>
        </w:rPr>
        <w:t>张</w:t>
      </w:r>
      <w:r>
        <w:rPr>
          <w:rFonts w:ascii="Microsoft YaHei" w:eastAsia="Microsoft YaHei" w:hAnsi="Microsoft YaHei" w:cs="Microsoft YaHei"/>
          <w:color w:val="231F20"/>
          <w:spacing w:val="17"/>
          <w:sz w:val="20"/>
          <w:szCs w:val="20"/>
        </w:rPr>
        <w:t xml:space="preserve">   </w:t>
      </w:r>
      <w:r>
        <w:rPr>
          <w:rFonts w:ascii="Microsoft YaHei" w:eastAsia="Microsoft YaHei" w:hAnsi="Microsoft YaHei" w:cs="Microsoft YaHei"/>
          <w:color w:val="231F20"/>
          <w:spacing w:val="1"/>
          <w:sz w:val="20"/>
          <w:szCs w:val="20"/>
        </w:rPr>
        <w:t>坤：</w:t>
      </w:r>
      <w:r>
        <w:rPr>
          <w:rFonts w:ascii="Microsoft YaHei" w:eastAsia="Microsoft YaHei" w:hAnsi="Microsoft YaHei" w:cs="Microsoft YaHei"/>
          <w:color w:val="231F20"/>
          <w:sz w:val="20"/>
          <w:szCs w:val="20"/>
        </w:rPr>
        <w:t>LNG</w:t>
      </w:r>
      <w:r>
        <w:rPr>
          <w:rFonts w:ascii="Microsoft YaHei" w:eastAsia="Microsoft YaHei" w:hAnsi="Microsoft YaHei" w:cs="Microsoft YaHei"/>
          <w:color w:val="231F20"/>
          <w:spacing w:val="1"/>
          <w:sz w:val="20"/>
          <w:szCs w:val="20"/>
        </w:rPr>
        <w:t>船舶船岸匹配及实操要点研究</w:t>
      </w:r>
    </w:p>
    <w:p>
      <w:pPr>
        <w:spacing w:line="14" w:lineRule="auto"/>
        <w:rPr>
          <w:rFonts w:ascii="Arial"/>
          <w:sz w:val="2"/>
        </w:rPr>
      </w:pPr>
      <w:r>
        <w:rPr>
          <w:rFonts w:ascii="Arial" w:eastAsia="Arial" w:hAnsi="Arial" w:cs="Arial"/>
          <w:sz w:val="2"/>
          <w:szCs w:val="2"/>
        </w:rPr>
        <w:br w:type="column"/>
      </w:r>
    </w:p>
    <w:p>
      <w:pPr>
        <w:spacing w:before="67" w:line="205" w:lineRule="auto"/>
        <w:rPr>
          <w:rFonts w:ascii="Microsoft YaHei" w:eastAsia="Microsoft YaHei" w:hAnsi="Microsoft YaHei" w:cs="Microsoft YaHei"/>
          <w:sz w:val="30"/>
          <w:szCs w:val="30"/>
        </w:rPr>
      </w:pPr>
      <w:r>
        <w:rPr>
          <w:rFonts w:ascii="Microsoft YaHei" w:eastAsia="Microsoft YaHei" w:hAnsi="Microsoft YaHei" w:cs="Microsoft YaHei"/>
          <w:color w:val="231F20"/>
          <w:spacing w:val="46"/>
          <w:sz w:val="30"/>
          <w:szCs w:val="30"/>
        </w:rPr>
        <w:t>机电与装置</w:t>
      </w:r>
    </w:p>
    <w:p>
      <w:pPr>
        <w:spacing w:line="205" w:lineRule="auto"/>
        <w:rPr>
          <w:rFonts w:ascii="Microsoft YaHei" w:eastAsia="Microsoft YaHei" w:hAnsi="Microsoft YaHei" w:cs="Microsoft YaHei"/>
          <w:sz w:val="30"/>
          <w:szCs w:val="30"/>
        </w:rPr>
        <w:sectPr>
          <w:pgSz w:w="12076" w:h="16498"/>
          <w:pgMar w:top="641" w:right="604" w:bottom="0" w:left="14" w:header="0" w:footer="0" w:gutter="0"/>
          <w:cols w:num="2" w:space="708" w:equalWidth="0">
            <w:col w:w="8924" w:space="100"/>
            <w:col w:w="2434" w:space="0"/>
          </w:cols>
        </w:sectPr>
      </w:pPr>
    </w:p>
    <w:p>
      <w:pPr>
        <w:spacing w:before="69" w:line="209" w:lineRule="auto"/>
        <w:rPr>
          <w:rFonts w:ascii="Microsoft YaHei" w:eastAsia="Microsoft YaHei" w:hAnsi="Microsoft YaHei" w:cs="Microsoft YaHei"/>
          <w:sz w:val="12"/>
          <w:szCs w:val="12"/>
        </w:rPr>
      </w:pPr>
      <w:r>
        <w:rPr>
          <w:rFonts w:ascii="Microsoft YaHei" w:eastAsia="Microsoft YaHei" w:hAnsi="Microsoft YaHei" w:cs="Microsoft YaHei"/>
          <w:color w:val="231F20"/>
          <w:position w:val="-1"/>
          <w:sz w:val="12"/>
          <w:szCs w:val="12"/>
        </w:rPr>
        <w:drawing>
          <wp:inline distT="0" distB="0" distL="0" distR="0">
            <wp:extent cx="5751004" cy="58064"/>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5751004" cy="58064"/>
                    </a:xfrm>
                    <a:prstGeom prst="rect">
                      <a:avLst/>
                    </a:prstGeom>
                  </pic:spPr>
                </pic:pic>
              </a:graphicData>
            </a:graphic>
          </wp:inline>
        </w:drawing>
      </w:r>
      <w:r>
        <w:rPr>
          <w:rFonts w:ascii="Microsoft YaHei" w:eastAsia="Microsoft YaHei" w:hAnsi="Microsoft YaHei" w:cs="Microsoft YaHei"/>
          <w:color w:val="231F20"/>
          <w:spacing w:val="5"/>
          <w:sz w:val="12"/>
          <w:szCs w:val="12"/>
        </w:rPr>
        <w:t xml:space="preserve">  </w:t>
      </w:r>
      <w:r>
        <w:rPr>
          <w:rFonts w:ascii="Microsoft YaHei" w:eastAsia="Microsoft YaHei" w:hAnsi="Microsoft YaHei" w:cs="Microsoft YaHei"/>
          <w:color w:val="231F20"/>
          <w:spacing w:val="-6"/>
          <w:sz w:val="12"/>
          <w:szCs w:val="12"/>
        </w:rPr>
        <w:t>2023</w:t>
      </w:r>
      <w:r>
        <w:rPr>
          <w:rFonts w:ascii="Microsoft YaHei" w:eastAsia="Microsoft YaHei" w:hAnsi="Microsoft YaHei" w:cs="Microsoft YaHei"/>
          <w:color w:val="231F20"/>
          <w:spacing w:val="-11"/>
          <w:sz w:val="12"/>
          <w:szCs w:val="12"/>
        </w:rPr>
        <w:t xml:space="preserve"> </w:t>
      </w:r>
      <w:r>
        <w:rPr>
          <w:rFonts w:ascii="Microsoft YaHei" w:eastAsia="Microsoft YaHei" w:hAnsi="Microsoft YaHei" w:cs="Microsoft YaHei"/>
          <w:color w:val="231F20"/>
          <w:spacing w:val="-6"/>
          <w:sz w:val="12"/>
          <w:szCs w:val="12"/>
        </w:rPr>
        <w:t>年</w:t>
      </w:r>
      <w:r>
        <w:rPr>
          <w:rFonts w:ascii="Microsoft YaHei" w:eastAsia="Microsoft YaHei" w:hAnsi="Microsoft YaHei" w:cs="Microsoft YaHei"/>
          <w:color w:val="231F20"/>
          <w:spacing w:val="7"/>
          <w:sz w:val="12"/>
          <w:szCs w:val="12"/>
        </w:rPr>
        <w:t xml:space="preserve"> </w:t>
      </w:r>
      <w:r>
        <w:rPr>
          <w:rFonts w:ascii="SimHei" w:eastAsia="SimHei" w:hAnsi="SimHei" w:cs="SimHei"/>
          <w:color w:val="231F20"/>
          <w:spacing w:val="-6"/>
          <w:sz w:val="13"/>
          <w:szCs w:val="13"/>
        </w:rPr>
        <w:t>·</w:t>
      </w:r>
      <w:r>
        <w:rPr>
          <w:rFonts w:ascii="Microsoft YaHei" w:eastAsia="Microsoft YaHei" w:hAnsi="Microsoft YaHei" w:cs="Microsoft YaHei"/>
          <w:color w:val="231F20"/>
          <w:spacing w:val="-6"/>
          <w:sz w:val="12"/>
          <w:szCs w:val="12"/>
        </w:rPr>
        <w:t>第3期</w:t>
      </w:r>
      <w:r>
        <w:rPr>
          <w:rFonts w:ascii="Microsoft YaHei" w:eastAsia="Microsoft YaHei" w:hAnsi="Microsoft YaHei" w:cs="Microsoft YaHei"/>
          <w:color w:val="231F20"/>
          <w:spacing w:val="7"/>
          <w:sz w:val="12"/>
          <w:szCs w:val="12"/>
        </w:rPr>
        <w:t xml:space="preserve"> </w:t>
      </w:r>
      <w:r>
        <w:rPr>
          <w:rFonts w:ascii="SimHei" w:eastAsia="SimHei" w:hAnsi="SimHei" w:cs="SimHei"/>
          <w:color w:val="231F20"/>
          <w:spacing w:val="-6"/>
          <w:sz w:val="13"/>
          <w:szCs w:val="13"/>
        </w:rPr>
        <w:t>·</w:t>
      </w:r>
      <w:r>
        <w:rPr>
          <w:rFonts w:ascii="Microsoft YaHei" w:eastAsia="Microsoft YaHei" w:hAnsi="Microsoft YaHei" w:cs="Microsoft YaHei"/>
          <w:color w:val="231F20"/>
          <w:spacing w:val="-6"/>
          <w:sz w:val="12"/>
          <w:szCs w:val="12"/>
        </w:rPr>
        <w:t>总第</w:t>
      </w:r>
      <w:r>
        <w:rPr>
          <w:rFonts w:ascii="Microsoft YaHei" w:eastAsia="Microsoft YaHei" w:hAnsi="Microsoft YaHei" w:cs="Microsoft YaHei"/>
          <w:color w:val="231F20"/>
          <w:spacing w:val="-10"/>
          <w:sz w:val="12"/>
          <w:szCs w:val="12"/>
        </w:rPr>
        <w:t xml:space="preserve"> </w:t>
      </w:r>
      <w:r>
        <w:rPr>
          <w:rFonts w:ascii="Microsoft YaHei" w:eastAsia="Microsoft YaHei" w:hAnsi="Microsoft YaHei" w:cs="Microsoft YaHei"/>
          <w:color w:val="231F20"/>
          <w:spacing w:val="-6"/>
          <w:sz w:val="12"/>
          <w:szCs w:val="12"/>
        </w:rPr>
        <w:t>204 期</w:t>
      </w:r>
    </w:p>
    <w:p>
      <w:pPr>
        <w:spacing w:line="479" w:lineRule="auto"/>
        <w:rPr>
          <w:rFonts w:ascii="Arial"/>
          <w:sz w:val="21"/>
        </w:rPr>
      </w:pPr>
    </w:p>
    <w:p>
      <w:pPr>
        <w:spacing w:before="189" w:line="203" w:lineRule="auto"/>
        <w:ind w:left="2586"/>
        <w:outlineLvl w:val="0"/>
        <w:rPr>
          <w:rFonts w:ascii="Microsoft YaHei" w:eastAsia="Microsoft YaHei" w:hAnsi="Microsoft YaHei" w:cs="Microsoft YaHei"/>
          <w:sz w:val="44"/>
          <w:szCs w:val="44"/>
        </w:rPr>
      </w:pPr>
      <w:r>
        <w:rPr>
          <w:rFonts w:ascii="Microsoft YaHei" w:eastAsia="Microsoft YaHei" w:hAnsi="Microsoft YaHei" w:cs="Microsoft YaHei"/>
          <w:color w:val="284173"/>
          <w:sz w:val="44"/>
          <w:szCs w:val="44"/>
        </w:rPr>
        <w:t>LNG</w:t>
      </w:r>
      <w:r>
        <w:rPr>
          <w:rFonts w:ascii="Microsoft YaHei" w:eastAsia="Microsoft YaHei" w:hAnsi="Microsoft YaHei" w:cs="Microsoft YaHei"/>
          <w:color w:val="284173"/>
          <w:spacing w:val="-42"/>
          <w:sz w:val="44"/>
          <w:szCs w:val="44"/>
        </w:rPr>
        <w:t xml:space="preserve"> </w:t>
      </w:r>
      <w:r>
        <w:rPr>
          <w:rFonts w:ascii="Microsoft YaHei" w:eastAsia="Microsoft YaHei" w:hAnsi="Microsoft YaHei" w:cs="Microsoft YaHei"/>
          <w:color w:val="284173"/>
          <w:sz w:val="44"/>
          <w:szCs w:val="44"/>
        </w:rPr>
        <w:t>船舶船岸匹配及实操要点研究</w:t>
      </w:r>
    </w:p>
    <w:p>
      <w:pPr>
        <w:spacing w:before="180" w:line="198" w:lineRule="auto"/>
        <w:ind w:left="5520"/>
        <w:rPr>
          <w:rFonts w:ascii="Microsoft YaHei" w:eastAsia="Microsoft YaHei" w:hAnsi="Microsoft YaHei" w:cs="Microsoft YaHei"/>
          <w:sz w:val="28"/>
          <w:szCs w:val="28"/>
        </w:rPr>
      </w:pPr>
      <w:r>
        <w:rPr>
          <w:rFonts w:ascii="Microsoft YaHei" w:eastAsia="Microsoft YaHei" w:hAnsi="Microsoft YaHei" w:cs="Microsoft YaHei"/>
          <w:color w:val="787A7D"/>
          <w:spacing w:val="-5"/>
          <w:sz w:val="28"/>
          <w:szCs w:val="28"/>
        </w:rPr>
        <w:t>张    坤</w:t>
      </w:r>
    </w:p>
    <w:p>
      <w:pPr>
        <w:spacing w:line="198" w:lineRule="auto"/>
        <w:ind w:left="3661"/>
        <w:rPr>
          <w:rFonts w:ascii="Microsoft YaHei" w:eastAsia="Microsoft YaHei" w:hAnsi="Microsoft YaHei" w:cs="Microsoft YaHei"/>
          <w:sz w:val="18"/>
          <w:szCs w:val="18"/>
        </w:rPr>
      </w:pPr>
      <w:r>
        <w:rPr>
          <w:rFonts w:ascii="Microsoft YaHei" w:eastAsia="Microsoft YaHei" w:hAnsi="Microsoft YaHei" w:cs="Microsoft YaHei"/>
          <w:color w:val="787A7D"/>
          <w:spacing w:val="-2"/>
          <w:sz w:val="18"/>
          <w:szCs w:val="18"/>
        </w:rPr>
        <w:t>（中国石化青岛液化天然气有限责任公司   青岛 266400）</w:t>
      </w:r>
    </w:p>
    <w:p>
      <w:pPr>
        <w:spacing w:before="299" w:line="273" w:lineRule="auto"/>
        <w:ind w:left="1122" w:right="637" w:firstLine="4"/>
        <w:jc w:val="both"/>
        <w:rPr>
          <w:rFonts w:ascii="SimSun" w:eastAsia="SimSun" w:hAnsi="SimSun" w:cs="SimSun"/>
          <w:sz w:val="18"/>
          <w:szCs w:val="18"/>
        </w:rPr>
      </w:pPr>
      <w:r>
        <w:rPr>
          <w:rFonts w:ascii="Microsoft YaHei" w:eastAsia="Microsoft YaHei" w:hAnsi="Microsoft YaHei" w:cs="Microsoft YaHei"/>
          <w:color w:val="231F20"/>
          <w:spacing w:val="-2"/>
          <w:sz w:val="18"/>
          <w:szCs w:val="18"/>
        </w:rPr>
        <w:t xml:space="preserve">摘   要 </w:t>
      </w:r>
      <w:r>
        <w:rPr>
          <w:rFonts w:ascii="SimSun" w:eastAsia="SimSun" w:hAnsi="SimSun" w:cs="SimSun"/>
          <w:color w:val="231F20"/>
          <w:spacing w:val="-2"/>
          <w:sz w:val="18"/>
          <w:szCs w:val="18"/>
        </w:rPr>
        <w:t>：船岸匹配校核是船舶安全靠泊、离泊及进行高效作业的重要保障。文章通过对</w:t>
      </w:r>
      <w:r>
        <w:rPr>
          <w:rFonts w:ascii="SimSun" w:eastAsia="SimSun" w:hAnsi="SimSun" w:cs="SimSun"/>
          <w:color w:val="231F20"/>
          <w:spacing w:val="-45"/>
          <w:sz w:val="18"/>
          <w:szCs w:val="18"/>
        </w:rPr>
        <w:t xml:space="preserve"> </w:t>
      </w:r>
      <w:r>
        <w:rPr>
          <w:rFonts w:ascii="SimSun" w:eastAsia="SimSun" w:hAnsi="SimSun" w:cs="SimSun"/>
          <w:color w:val="231F20"/>
          <w:spacing w:val="-2"/>
          <w:sz w:val="18"/>
          <w:szCs w:val="18"/>
        </w:rPr>
        <w:t>LNG</w:t>
      </w:r>
      <w:r>
        <w:rPr>
          <w:rFonts w:ascii="SimSun" w:eastAsia="SimSun" w:hAnsi="SimSun" w:cs="SimSun"/>
          <w:color w:val="231F20"/>
          <w:spacing w:val="-47"/>
          <w:sz w:val="18"/>
          <w:szCs w:val="18"/>
        </w:rPr>
        <w:t xml:space="preserve"> </w:t>
      </w:r>
      <w:r>
        <w:rPr>
          <w:rFonts w:ascii="SimSun" w:eastAsia="SimSun" w:hAnsi="SimSun" w:cs="SimSun"/>
          <w:color w:val="231F20"/>
          <w:spacing w:val="-2"/>
          <w:sz w:val="18"/>
          <w:szCs w:val="18"/>
        </w:rPr>
        <w:t>船舶靠</w:t>
      </w:r>
      <w:r>
        <w:rPr>
          <w:rFonts w:ascii="SimSun" w:eastAsia="SimSun" w:hAnsi="SimSun" w:cs="SimSun"/>
          <w:color w:val="231F20"/>
          <w:spacing w:val="-3"/>
          <w:sz w:val="18"/>
          <w:szCs w:val="18"/>
        </w:rPr>
        <w:t xml:space="preserve">泊开展装卸作业前船岸匹 </w:t>
      </w:r>
      <w:r>
        <w:rPr>
          <w:rFonts w:ascii="SimSun" w:eastAsia="SimSun" w:hAnsi="SimSun" w:cs="SimSun"/>
          <w:color w:val="231F20"/>
          <w:spacing w:val="-5"/>
          <w:sz w:val="18"/>
          <w:szCs w:val="18"/>
        </w:rPr>
        <w:t>配校核程序进行确认与分析，归纳总结匹配校核的基本流程，重点就如何开展船岸间信息交</w:t>
      </w:r>
      <w:r>
        <w:rPr>
          <w:rFonts w:ascii="SimSun" w:eastAsia="SimSun" w:hAnsi="SimSun" w:cs="SimSun"/>
          <w:color w:val="231F20"/>
          <w:spacing w:val="-6"/>
          <w:sz w:val="18"/>
          <w:szCs w:val="18"/>
        </w:rPr>
        <w:t>换、资料收集和系泊分析等，指出</w:t>
      </w:r>
      <w:r>
        <w:rPr>
          <w:rFonts w:ascii="SimSun" w:eastAsia="SimSun" w:hAnsi="SimSun" w:cs="SimSun"/>
          <w:color w:val="231F20"/>
          <w:sz w:val="18"/>
          <w:szCs w:val="18"/>
        </w:rPr>
        <w:t xml:space="preserve">  </w:t>
      </w:r>
      <w:r>
        <w:rPr>
          <w:rFonts w:ascii="SimSun" w:eastAsia="SimSun" w:hAnsi="SimSun" w:cs="SimSun"/>
          <w:color w:val="231F20"/>
          <w:spacing w:val="-5"/>
          <w:sz w:val="18"/>
          <w:szCs w:val="18"/>
        </w:rPr>
        <w:t xml:space="preserve">作业中实际操作的控制要点，突出船岸匹配校核的重要性及必要性。同时针对靠泊船舶装卸作业过程中实际操作环节监控、船 </w:t>
      </w:r>
      <w:r>
        <w:rPr>
          <w:rFonts w:ascii="SimSun" w:eastAsia="SimSun" w:hAnsi="SimSun" w:cs="SimSun"/>
          <w:color w:val="231F20"/>
          <w:spacing w:val="-5"/>
          <w:sz w:val="18"/>
          <w:szCs w:val="18"/>
        </w:rPr>
        <w:t xml:space="preserve">岸安全检查、港口国安全检查及已通过匹配校核的船舶长期未到港的复审工作提出要求及合理建议，列举匹配校核不充分导致 </w:t>
      </w:r>
      <w:r>
        <w:rPr>
          <w:rFonts w:ascii="SimSun" w:eastAsia="SimSun" w:hAnsi="SimSun" w:cs="SimSun"/>
          <w:color w:val="231F20"/>
          <w:spacing w:val="-7"/>
          <w:sz w:val="18"/>
          <w:szCs w:val="18"/>
        </w:rPr>
        <w:t>作业中出现的问题并给出针对性处理措施，以指导其他岸站充分开展匹配校核工作、进行船岸界面安全检查及港口国安全检查，</w:t>
      </w:r>
      <w:r>
        <w:rPr>
          <w:rFonts w:ascii="SimSun" w:eastAsia="SimSun" w:hAnsi="SimSun" w:cs="SimSun"/>
          <w:color w:val="231F20"/>
          <w:spacing w:val="7"/>
          <w:sz w:val="18"/>
          <w:szCs w:val="18"/>
        </w:rPr>
        <w:t xml:space="preserve"> </w:t>
      </w:r>
      <w:r>
        <w:rPr>
          <w:rFonts w:ascii="SimSun" w:eastAsia="SimSun" w:hAnsi="SimSun" w:cs="SimSun"/>
          <w:color w:val="231F20"/>
          <w:spacing w:val="-7"/>
          <w:sz w:val="18"/>
          <w:szCs w:val="18"/>
        </w:rPr>
        <w:t>安全高效完成靠泊船舶的对接、作业、离泊及再次靠泊等相关工作，提高</w:t>
      </w:r>
      <w:r>
        <w:rPr>
          <w:rFonts w:ascii="SimSun" w:eastAsia="SimSun" w:hAnsi="SimSun" w:cs="SimSun"/>
          <w:color w:val="231F20"/>
          <w:spacing w:val="-8"/>
          <w:sz w:val="18"/>
          <w:szCs w:val="18"/>
        </w:rPr>
        <w:t>岸站的船舶作业效率，实现泊位运行的最优化。</w:t>
      </w:r>
    </w:p>
    <w:p>
      <w:pPr>
        <w:spacing w:before="110" w:line="204" w:lineRule="auto"/>
        <w:ind w:left="1129"/>
        <w:rPr>
          <w:rFonts w:ascii="SimSun" w:eastAsia="SimSun" w:hAnsi="SimSun" w:cs="SimSun"/>
          <w:sz w:val="18"/>
          <w:szCs w:val="18"/>
        </w:rPr>
      </w:pPr>
      <w:r>
        <w:rPr>
          <w:rFonts w:ascii="Microsoft YaHei" w:eastAsia="Microsoft YaHei" w:hAnsi="Microsoft YaHei" w:cs="Microsoft YaHei"/>
          <w:color w:val="231F20"/>
          <w:spacing w:val="-9"/>
          <w:sz w:val="18"/>
          <w:szCs w:val="18"/>
        </w:rPr>
        <w:t xml:space="preserve">关键词 </w:t>
      </w:r>
      <w:r>
        <w:rPr>
          <w:rFonts w:ascii="SimSun" w:eastAsia="SimSun" w:hAnsi="SimSun" w:cs="SimSun"/>
          <w:color w:val="231F20"/>
          <w:spacing w:val="-9"/>
          <w:sz w:val="18"/>
          <w:szCs w:val="18"/>
        </w:rPr>
        <w:t>：LNG</w:t>
      </w:r>
      <w:r>
        <w:rPr>
          <w:rFonts w:ascii="SimSun" w:eastAsia="SimSun" w:hAnsi="SimSun" w:cs="SimSun"/>
          <w:color w:val="231F20"/>
          <w:spacing w:val="-40"/>
          <w:sz w:val="18"/>
          <w:szCs w:val="18"/>
        </w:rPr>
        <w:t xml:space="preserve"> </w:t>
      </w:r>
      <w:r>
        <w:rPr>
          <w:rFonts w:ascii="SimSun" w:eastAsia="SimSun" w:hAnsi="SimSun" w:cs="SimSun"/>
          <w:color w:val="231F20"/>
          <w:spacing w:val="-9"/>
          <w:sz w:val="18"/>
          <w:szCs w:val="18"/>
        </w:rPr>
        <w:t>船舶</w:t>
      </w:r>
      <w:r>
        <w:rPr>
          <w:rFonts w:ascii="SimSun" w:eastAsia="SimSun" w:hAnsi="SimSun" w:cs="SimSun"/>
          <w:color w:val="231F20"/>
          <w:spacing w:val="-36"/>
          <w:sz w:val="18"/>
          <w:szCs w:val="18"/>
        </w:rPr>
        <w:t xml:space="preserve"> </w:t>
      </w:r>
      <w:r>
        <w:rPr>
          <w:rFonts w:ascii="SimSun" w:eastAsia="SimSun" w:hAnsi="SimSun" w:cs="SimSun"/>
          <w:color w:val="231F20"/>
          <w:spacing w:val="-9"/>
          <w:sz w:val="18"/>
          <w:szCs w:val="18"/>
        </w:rPr>
        <w:t>；接收站</w:t>
      </w:r>
      <w:r>
        <w:rPr>
          <w:rFonts w:ascii="SimSun" w:eastAsia="SimSun" w:hAnsi="SimSun" w:cs="SimSun"/>
          <w:color w:val="231F20"/>
          <w:spacing w:val="-37"/>
          <w:sz w:val="18"/>
          <w:szCs w:val="18"/>
        </w:rPr>
        <w:t xml:space="preserve"> </w:t>
      </w:r>
      <w:r>
        <w:rPr>
          <w:rFonts w:ascii="SimSun" w:eastAsia="SimSun" w:hAnsi="SimSun" w:cs="SimSun"/>
          <w:color w:val="231F20"/>
          <w:spacing w:val="-9"/>
          <w:sz w:val="18"/>
          <w:szCs w:val="18"/>
        </w:rPr>
        <w:t>；匹配</w:t>
      </w:r>
      <w:r>
        <w:rPr>
          <w:rFonts w:ascii="SimSun" w:eastAsia="SimSun" w:hAnsi="SimSun" w:cs="SimSun"/>
          <w:color w:val="231F20"/>
          <w:spacing w:val="-36"/>
          <w:sz w:val="18"/>
          <w:szCs w:val="18"/>
        </w:rPr>
        <w:t xml:space="preserve"> </w:t>
      </w:r>
      <w:r>
        <w:rPr>
          <w:rFonts w:ascii="SimSun" w:eastAsia="SimSun" w:hAnsi="SimSun" w:cs="SimSun"/>
          <w:color w:val="231F20"/>
          <w:spacing w:val="-9"/>
          <w:sz w:val="18"/>
          <w:szCs w:val="18"/>
        </w:rPr>
        <w:t>；卸货作业</w:t>
      </w:r>
      <w:r>
        <w:rPr>
          <w:rFonts w:ascii="SimSun" w:eastAsia="SimSun" w:hAnsi="SimSun" w:cs="SimSun"/>
          <w:color w:val="231F20"/>
          <w:spacing w:val="-37"/>
          <w:sz w:val="18"/>
          <w:szCs w:val="18"/>
        </w:rPr>
        <w:t xml:space="preserve"> </w:t>
      </w:r>
      <w:r>
        <w:rPr>
          <w:rFonts w:ascii="SimSun" w:eastAsia="SimSun" w:hAnsi="SimSun" w:cs="SimSun"/>
          <w:color w:val="231F20"/>
          <w:spacing w:val="-9"/>
          <w:sz w:val="18"/>
          <w:szCs w:val="18"/>
        </w:rPr>
        <w:t>；船岸界面</w:t>
      </w:r>
      <w:r>
        <w:rPr>
          <w:rFonts w:ascii="SimSun" w:eastAsia="SimSun" w:hAnsi="SimSun" w:cs="SimSun"/>
          <w:color w:val="231F20"/>
          <w:spacing w:val="-37"/>
          <w:sz w:val="18"/>
          <w:szCs w:val="18"/>
        </w:rPr>
        <w:t xml:space="preserve"> </w:t>
      </w:r>
      <w:r>
        <w:rPr>
          <w:rFonts w:ascii="SimSun" w:eastAsia="SimSun" w:hAnsi="SimSun" w:cs="SimSun"/>
          <w:color w:val="231F20"/>
          <w:spacing w:val="-9"/>
          <w:sz w:val="18"/>
          <w:szCs w:val="18"/>
        </w:rPr>
        <w:t>；控制要点</w:t>
      </w:r>
      <w:r>
        <w:rPr>
          <w:rFonts w:ascii="SimSun" w:eastAsia="SimSun" w:hAnsi="SimSun" w:cs="SimSun"/>
          <w:color w:val="231F20"/>
          <w:spacing w:val="-36"/>
          <w:sz w:val="18"/>
          <w:szCs w:val="18"/>
        </w:rPr>
        <w:t xml:space="preserve"> </w:t>
      </w:r>
      <w:r>
        <w:rPr>
          <w:rFonts w:ascii="SimSun" w:eastAsia="SimSun" w:hAnsi="SimSun" w:cs="SimSun"/>
          <w:color w:val="231F20"/>
          <w:spacing w:val="-9"/>
          <w:sz w:val="18"/>
          <w:szCs w:val="18"/>
        </w:rPr>
        <w:t>；最优化</w:t>
      </w:r>
    </w:p>
    <w:p>
      <w:pPr>
        <w:pStyle w:val="BodyText"/>
        <w:spacing w:before="38" w:line="211" w:lineRule="auto"/>
        <w:ind w:left="1143"/>
        <w:rPr>
          <w:rFonts w:ascii="SimSun" w:eastAsia="SimSun" w:hAnsi="SimSun" w:cs="SimSun"/>
          <w:sz w:val="18"/>
          <w:szCs w:val="18"/>
        </w:rPr>
      </w:pPr>
      <w:r>
        <w:rPr>
          <w:rFonts w:ascii="Microsoft YaHei" w:eastAsia="Microsoft YaHei" w:hAnsi="Microsoft YaHei" w:cs="Microsoft YaHei"/>
          <w:color w:val="231F20"/>
          <w:spacing w:val="-10"/>
          <w:sz w:val="18"/>
          <w:szCs w:val="18"/>
        </w:rPr>
        <w:t xml:space="preserve">中图分类号 </w:t>
      </w:r>
      <w:r>
        <w:rPr>
          <w:rFonts w:ascii="SimSun" w:eastAsia="SimSun" w:hAnsi="SimSun" w:cs="SimSun"/>
          <w:color w:val="231F20"/>
          <w:spacing w:val="-10"/>
          <w:sz w:val="18"/>
          <w:szCs w:val="18"/>
        </w:rPr>
        <w:t>：U665</w:t>
      </w:r>
      <w:r>
        <w:rPr>
          <w:rFonts w:ascii="SimSun" w:eastAsia="SimSun" w:hAnsi="SimSun" w:cs="SimSun"/>
          <w:color w:val="231F20"/>
          <w:spacing w:val="1"/>
          <w:sz w:val="18"/>
          <w:szCs w:val="18"/>
        </w:rPr>
        <w:t xml:space="preserve">      </w:t>
      </w:r>
      <w:r>
        <w:rPr>
          <w:rFonts w:ascii="Microsoft YaHei" w:eastAsia="Microsoft YaHei" w:hAnsi="Microsoft YaHei" w:cs="Microsoft YaHei"/>
          <w:color w:val="231F20"/>
          <w:spacing w:val="-10"/>
          <w:sz w:val="18"/>
          <w:szCs w:val="18"/>
        </w:rPr>
        <w:t xml:space="preserve">文献标志码 </w:t>
      </w:r>
      <w:r>
        <w:rPr>
          <w:rFonts w:ascii="SimSun" w:eastAsia="SimSun" w:hAnsi="SimSun" w:cs="SimSun"/>
          <w:color w:val="231F20"/>
          <w:spacing w:val="-10"/>
          <w:sz w:val="18"/>
          <w:szCs w:val="18"/>
        </w:rPr>
        <w:t>：A</w:t>
      </w:r>
      <w:r>
        <w:rPr>
          <w:rFonts w:ascii="SimSun" w:eastAsia="SimSun" w:hAnsi="SimSun" w:cs="SimSun"/>
          <w:color w:val="231F20"/>
          <w:spacing w:val="1"/>
          <w:sz w:val="18"/>
          <w:szCs w:val="18"/>
        </w:rPr>
        <w:t xml:space="preserve">      </w:t>
      </w:r>
      <w:r>
        <w:rPr>
          <w:b/>
          <w:bCs/>
          <w:color w:val="231F20"/>
          <w:spacing w:val="-10"/>
          <w:sz w:val="18"/>
          <w:szCs w:val="18"/>
        </w:rPr>
        <w:t>DOI</w:t>
      </w:r>
      <w:r>
        <w:rPr>
          <w:b/>
          <w:bCs/>
          <w:color w:val="231F20"/>
          <w:spacing w:val="11"/>
          <w:sz w:val="18"/>
          <w:szCs w:val="18"/>
        </w:rPr>
        <w:t xml:space="preserve"> </w:t>
      </w:r>
      <w:r>
        <w:rPr>
          <w:rFonts w:ascii="SimSun" w:eastAsia="SimSun" w:hAnsi="SimSun" w:cs="SimSun"/>
          <w:color w:val="231F20"/>
          <w:spacing w:val="-10"/>
          <w:sz w:val="18"/>
          <w:szCs w:val="18"/>
        </w:rPr>
        <w:t>：10.19423/j.cnki.31-1561/u.2023.03.097</w:t>
      </w:r>
    </w:p>
    <w:p>
      <w:pPr>
        <w:spacing w:line="284" w:lineRule="auto"/>
        <w:rPr>
          <w:rFonts w:ascii="Arial"/>
          <w:sz w:val="21"/>
        </w:rPr>
      </w:pPr>
    </w:p>
    <w:p>
      <w:pPr>
        <w:pStyle w:val="BodyText"/>
        <w:spacing w:before="93" w:line="225" w:lineRule="auto"/>
        <w:ind w:left="4265" w:right="2071" w:hanging="1756"/>
        <w:rPr>
          <w:sz w:val="32"/>
          <w:szCs w:val="32"/>
        </w:rPr>
      </w:pPr>
      <w:r>
        <w:rPr>
          <w:b/>
          <w:bCs/>
          <w:color w:val="284173"/>
          <w:sz w:val="32"/>
          <w:szCs w:val="32"/>
        </w:rPr>
        <w:t>Ship-Shore Compatibility</w:t>
      </w:r>
      <w:r>
        <w:rPr>
          <w:b/>
          <w:bCs/>
          <w:color w:val="284173"/>
          <w:spacing w:val="-1"/>
          <w:sz w:val="32"/>
          <w:szCs w:val="32"/>
        </w:rPr>
        <w:t xml:space="preserve"> and Practical Operation</w:t>
      </w:r>
      <w:r>
        <w:rPr>
          <w:b/>
          <w:bCs/>
          <w:color w:val="284173"/>
          <w:sz w:val="32"/>
          <w:szCs w:val="32"/>
        </w:rPr>
        <w:t xml:space="preserve"> </w:t>
      </w:r>
      <w:r>
        <w:rPr>
          <w:b/>
          <w:bCs/>
          <w:color w:val="284173"/>
          <w:spacing w:val="-1"/>
          <w:sz w:val="32"/>
          <w:szCs w:val="32"/>
        </w:rPr>
        <w:t>Points for LNG Carriers</w:t>
      </w:r>
    </w:p>
    <w:p>
      <w:pPr>
        <w:spacing w:line="246" w:lineRule="auto"/>
        <w:rPr>
          <w:rFonts w:ascii="Arial"/>
          <w:sz w:val="21"/>
        </w:rPr>
      </w:pPr>
    </w:p>
    <w:p>
      <w:pPr>
        <w:spacing w:before="80" w:line="196" w:lineRule="auto"/>
        <w:ind w:left="5166"/>
        <w:rPr>
          <w:rFonts w:ascii="Arial" w:eastAsia="Arial" w:hAnsi="Arial" w:cs="Arial"/>
          <w:sz w:val="28"/>
          <w:szCs w:val="28"/>
        </w:rPr>
      </w:pPr>
      <w:r>
        <w:rPr>
          <w:rFonts w:ascii="Arial" w:eastAsia="Arial" w:hAnsi="Arial" w:cs="Arial"/>
          <w:color w:val="787A7D"/>
          <w:spacing w:val="-3"/>
          <w:sz w:val="28"/>
          <w:szCs w:val="28"/>
        </w:rPr>
        <w:t>ZHANG</w:t>
      </w:r>
      <w:r>
        <w:rPr>
          <w:rFonts w:ascii="Arial" w:eastAsia="Arial" w:hAnsi="Arial" w:cs="Arial"/>
          <w:color w:val="787A7D"/>
          <w:spacing w:val="23"/>
          <w:w w:val="101"/>
          <w:sz w:val="28"/>
          <w:szCs w:val="28"/>
        </w:rPr>
        <w:t xml:space="preserve"> </w:t>
      </w:r>
      <w:r>
        <w:rPr>
          <w:rFonts w:ascii="Arial" w:eastAsia="Arial" w:hAnsi="Arial" w:cs="Arial"/>
          <w:color w:val="787A7D"/>
          <w:spacing w:val="-3"/>
          <w:sz w:val="28"/>
          <w:szCs w:val="28"/>
        </w:rPr>
        <w:t>Kun</w:t>
      </w:r>
    </w:p>
    <w:p>
      <w:pPr>
        <w:spacing w:before="143" w:line="198" w:lineRule="auto"/>
        <w:ind w:left="2491"/>
        <w:rPr>
          <w:rFonts w:ascii="Arial" w:eastAsia="Arial" w:hAnsi="Arial" w:cs="Arial"/>
          <w:sz w:val="21"/>
          <w:szCs w:val="21"/>
        </w:rPr>
      </w:pPr>
      <w:r>
        <w:rPr>
          <w:rFonts w:ascii="Arial" w:eastAsia="Arial" w:hAnsi="Arial" w:cs="Arial"/>
          <w:color w:val="787A7D"/>
          <w:spacing w:val="-4"/>
          <w:sz w:val="21"/>
          <w:szCs w:val="21"/>
        </w:rPr>
        <w:t>(SINOPEC Qingdao Liquefied Natural Gas Co., Ltd., Qingd</w:t>
      </w:r>
      <w:r>
        <w:rPr>
          <w:rFonts w:ascii="Arial" w:eastAsia="Arial" w:hAnsi="Arial" w:cs="Arial"/>
          <w:color w:val="787A7D"/>
          <w:spacing w:val="-5"/>
          <w:sz w:val="21"/>
          <w:szCs w:val="21"/>
        </w:rPr>
        <w:t>ao 266400, China)</w:t>
      </w:r>
    </w:p>
    <w:p>
      <w:pPr>
        <w:pStyle w:val="BodyText"/>
        <w:spacing w:before="194" w:line="253" w:lineRule="auto"/>
        <w:ind w:left="1119" w:right="672" w:firstLine="2"/>
        <w:jc w:val="both"/>
      </w:pPr>
      <w:r>
        <w:rPr>
          <w:b/>
          <w:bCs/>
          <w:color w:val="231F20"/>
          <w:spacing w:val="-1"/>
        </w:rPr>
        <w:t>Abstract:</w:t>
      </w:r>
      <w:r>
        <w:rPr>
          <w:b/>
          <w:bCs/>
          <w:color w:val="231F20"/>
          <w:spacing w:val="39"/>
          <w:w w:val="101"/>
        </w:rPr>
        <w:t xml:space="preserve"> </w:t>
      </w:r>
      <w:r>
        <w:rPr>
          <w:color w:val="231F20"/>
          <w:spacing w:val="-1"/>
        </w:rPr>
        <w:t>Ship-shore</w:t>
      </w:r>
      <w:r>
        <w:rPr>
          <w:color w:val="231F20"/>
          <w:spacing w:val="17"/>
        </w:rPr>
        <w:t xml:space="preserve"> </w:t>
      </w:r>
      <w:r>
        <w:rPr>
          <w:color w:val="231F20"/>
          <w:spacing w:val="-1"/>
        </w:rPr>
        <w:t>matching</w:t>
      </w:r>
      <w:r>
        <w:rPr>
          <w:color w:val="231F20"/>
          <w:spacing w:val="17"/>
        </w:rPr>
        <w:t xml:space="preserve"> </w:t>
      </w:r>
      <w:r>
        <w:rPr>
          <w:color w:val="231F20"/>
          <w:spacing w:val="-1"/>
        </w:rPr>
        <w:t>verification</w:t>
      </w:r>
      <w:r>
        <w:rPr>
          <w:color w:val="231F20"/>
          <w:spacing w:val="22"/>
        </w:rPr>
        <w:t xml:space="preserve"> </w:t>
      </w:r>
      <w:r>
        <w:rPr>
          <w:color w:val="231F20"/>
          <w:spacing w:val="-1"/>
        </w:rPr>
        <w:t>is</w:t>
      </w:r>
      <w:r>
        <w:rPr>
          <w:color w:val="231F20"/>
          <w:spacing w:val="23"/>
        </w:rPr>
        <w:t xml:space="preserve"> </w:t>
      </w:r>
      <w:r>
        <w:rPr>
          <w:color w:val="231F20"/>
          <w:spacing w:val="-1"/>
        </w:rPr>
        <w:t>an</w:t>
      </w:r>
      <w:r>
        <w:rPr>
          <w:color w:val="231F20"/>
          <w:spacing w:val="21"/>
          <w:w w:val="101"/>
        </w:rPr>
        <w:t xml:space="preserve"> </w:t>
      </w:r>
      <w:r>
        <w:rPr>
          <w:color w:val="231F20"/>
          <w:spacing w:val="-1"/>
        </w:rPr>
        <w:t>important</w:t>
      </w:r>
      <w:r>
        <w:rPr>
          <w:color w:val="231F20"/>
          <w:spacing w:val="21"/>
          <w:w w:val="101"/>
        </w:rPr>
        <w:t xml:space="preserve"> </w:t>
      </w:r>
      <w:r>
        <w:rPr>
          <w:color w:val="231F20"/>
          <w:spacing w:val="-1"/>
        </w:rPr>
        <w:t>guarantee</w:t>
      </w:r>
      <w:r>
        <w:rPr>
          <w:color w:val="231F20"/>
          <w:spacing w:val="24"/>
        </w:rPr>
        <w:t xml:space="preserve"> </w:t>
      </w:r>
      <w:r>
        <w:rPr>
          <w:color w:val="231F20"/>
          <w:spacing w:val="-1"/>
        </w:rPr>
        <w:t>for</w:t>
      </w:r>
      <w:r>
        <w:rPr>
          <w:color w:val="231F20"/>
          <w:spacing w:val="24"/>
          <w:w w:val="101"/>
        </w:rPr>
        <w:t xml:space="preserve"> </w:t>
      </w:r>
      <w:r>
        <w:rPr>
          <w:color w:val="231F20"/>
          <w:spacing w:val="-1"/>
        </w:rPr>
        <w:t>safe</w:t>
      </w:r>
      <w:r>
        <w:rPr>
          <w:color w:val="231F20"/>
          <w:spacing w:val="15"/>
        </w:rPr>
        <w:t xml:space="preserve"> </w:t>
      </w:r>
      <w:r>
        <w:rPr>
          <w:color w:val="231F20"/>
          <w:spacing w:val="-1"/>
        </w:rPr>
        <w:t>berthing,</w:t>
      </w:r>
      <w:r>
        <w:rPr>
          <w:color w:val="231F20"/>
          <w:spacing w:val="16"/>
        </w:rPr>
        <w:t xml:space="preserve"> </w:t>
      </w:r>
      <w:r>
        <w:rPr>
          <w:color w:val="231F20"/>
          <w:spacing w:val="-1"/>
        </w:rPr>
        <w:t>unberthing,</w:t>
      </w:r>
      <w:r>
        <w:rPr>
          <w:color w:val="231F20"/>
          <w:spacing w:val="23"/>
        </w:rPr>
        <w:t xml:space="preserve"> </w:t>
      </w:r>
      <w:r>
        <w:rPr>
          <w:color w:val="231F20"/>
          <w:spacing w:val="-2"/>
        </w:rPr>
        <w:t>and</w:t>
      </w:r>
      <w:r>
        <w:rPr>
          <w:color w:val="231F20"/>
          <w:spacing w:val="23"/>
        </w:rPr>
        <w:t xml:space="preserve"> </w:t>
      </w:r>
      <w:r>
        <w:rPr>
          <w:color w:val="231F20"/>
          <w:spacing w:val="-2"/>
        </w:rPr>
        <w:t>efficient</w:t>
      </w:r>
      <w:r>
        <w:rPr>
          <w:color w:val="231F20"/>
        </w:rPr>
        <w:t xml:space="preserve"> </w:t>
      </w:r>
      <w:r>
        <w:rPr>
          <w:color w:val="231F20"/>
        </w:rPr>
        <w:t>operation</w:t>
      </w:r>
      <w:r>
        <w:rPr>
          <w:color w:val="231F20"/>
          <w:spacing w:val="29"/>
        </w:rPr>
        <w:t xml:space="preserve"> </w:t>
      </w:r>
      <w:r>
        <w:rPr>
          <w:color w:val="231F20"/>
        </w:rPr>
        <w:t>of ships.</w:t>
      </w:r>
      <w:r>
        <w:rPr>
          <w:color w:val="231F20"/>
          <w:spacing w:val="20"/>
          <w:w w:val="101"/>
        </w:rPr>
        <w:t xml:space="preserve"> </w:t>
      </w:r>
      <w:r>
        <w:rPr>
          <w:color w:val="231F20"/>
        </w:rPr>
        <w:t>The</w:t>
      </w:r>
      <w:r>
        <w:rPr>
          <w:color w:val="231F20"/>
          <w:spacing w:val="18"/>
        </w:rPr>
        <w:t xml:space="preserve"> </w:t>
      </w:r>
      <w:r>
        <w:rPr>
          <w:color w:val="231F20"/>
        </w:rPr>
        <w:t>basic</w:t>
      </w:r>
      <w:r>
        <w:rPr>
          <w:color w:val="231F20"/>
          <w:spacing w:val="18"/>
        </w:rPr>
        <w:t xml:space="preserve"> </w:t>
      </w:r>
      <w:r>
        <w:rPr>
          <w:color w:val="231F20"/>
        </w:rPr>
        <w:t>procedure</w:t>
      </w:r>
      <w:r>
        <w:rPr>
          <w:color w:val="231F20"/>
          <w:spacing w:val="25"/>
          <w:w w:val="101"/>
        </w:rPr>
        <w:t xml:space="preserve"> </w:t>
      </w:r>
      <w:r>
        <w:rPr>
          <w:color w:val="231F20"/>
        </w:rPr>
        <w:t>of the</w:t>
      </w:r>
      <w:r>
        <w:rPr>
          <w:color w:val="231F20"/>
          <w:spacing w:val="28"/>
          <w:w w:val="101"/>
        </w:rPr>
        <w:t xml:space="preserve"> </w:t>
      </w:r>
      <w:r>
        <w:rPr>
          <w:color w:val="231F20"/>
        </w:rPr>
        <w:t>ship-shore</w:t>
      </w:r>
      <w:r>
        <w:rPr>
          <w:color w:val="231F20"/>
          <w:spacing w:val="25"/>
        </w:rPr>
        <w:t xml:space="preserve"> </w:t>
      </w:r>
      <w:r>
        <w:rPr>
          <w:color w:val="231F20"/>
        </w:rPr>
        <w:t>compatibility</w:t>
      </w:r>
      <w:r>
        <w:rPr>
          <w:color w:val="231F20"/>
          <w:spacing w:val="29"/>
        </w:rPr>
        <w:t xml:space="preserve"> </w:t>
      </w:r>
      <w:r>
        <w:rPr>
          <w:color w:val="231F20"/>
        </w:rPr>
        <w:t>study</w:t>
      </w:r>
      <w:r>
        <w:rPr>
          <w:color w:val="231F20"/>
          <w:spacing w:val="19"/>
          <w:w w:val="101"/>
        </w:rPr>
        <w:t xml:space="preserve"> </w:t>
      </w:r>
      <w:r>
        <w:rPr>
          <w:color w:val="231F20"/>
        </w:rPr>
        <w:t>has</w:t>
      </w:r>
      <w:r>
        <w:rPr>
          <w:color w:val="231F20"/>
          <w:spacing w:val="18"/>
        </w:rPr>
        <w:t xml:space="preserve"> </w:t>
      </w:r>
      <w:r>
        <w:rPr>
          <w:color w:val="231F20"/>
        </w:rPr>
        <w:t>been</w:t>
      </w:r>
      <w:r>
        <w:rPr>
          <w:color w:val="231F20"/>
          <w:spacing w:val="28"/>
          <w:w w:val="101"/>
        </w:rPr>
        <w:t xml:space="preserve"> </w:t>
      </w:r>
      <w:r>
        <w:rPr>
          <w:color w:val="231F20"/>
        </w:rPr>
        <w:t>summarized</w:t>
      </w:r>
      <w:r>
        <w:rPr>
          <w:color w:val="231F20"/>
          <w:spacing w:val="20"/>
        </w:rPr>
        <w:t xml:space="preserve"> </w:t>
      </w:r>
      <w:r>
        <w:rPr>
          <w:color w:val="231F20"/>
        </w:rPr>
        <w:t>through</w:t>
      </w:r>
      <w:r>
        <w:rPr>
          <w:color w:val="231F20"/>
          <w:spacing w:val="20"/>
        </w:rPr>
        <w:t xml:space="preserve"> </w:t>
      </w:r>
      <w:r>
        <w:rPr>
          <w:color w:val="231F20"/>
        </w:rPr>
        <w:t xml:space="preserve">the </w:t>
      </w:r>
      <w:r>
        <w:rPr>
          <w:color w:val="231F20"/>
          <w:spacing w:val="-2"/>
        </w:rPr>
        <w:t>confirmation</w:t>
      </w:r>
      <w:r>
        <w:rPr>
          <w:color w:val="231F20"/>
          <w:spacing w:val="19"/>
        </w:rPr>
        <w:t xml:space="preserve"> </w:t>
      </w:r>
      <w:r>
        <w:rPr>
          <w:color w:val="231F20"/>
          <w:spacing w:val="-2"/>
        </w:rPr>
        <w:t>and</w:t>
      </w:r>
      <w:r>
        <w:rPr>
          <w:color w:val="231F20"/>
          <w:spacing w:val="18"/>
        </w:rPr>
        <w:t xml:space="preserve"> </w:t>
      </w:r>
      <w:r>
        <w:rPr>
          <w:color w:val="231F20"/>
          <w:spacing w:val="-2"/>
        </w:rPr>
        <w:t>analysis</w:t>
      </w:r>
      <w:r>
        <w:rPr>
          <w:color w:val="231F20"/>
          <w:spacing w:val="18"/>
          <w:w w:val="101"/>
        </w:rPr>
        <w:t xml:space="preserve"> </w:t>
      </w:r>
      <w:r>
        <w:rPr>
          <w:color w:val="231F20"/>
          <w:spacing w:val="-3"/>
        </w:rPr>
        <w:t>of the</w:t>
      </w:r>
      <w:r>
        <w:rPr>
          <w:color w:val="231F20"/>
          <w:spacing w:val="21"/>
          <w:w w:val="101"/>
        </w:rPr>
        <w:t xml:space="preserve"> </w:t>
      </w:r>
      <w:r>
        <w:rPr>
          <w:color w:val="231F20"/>
          <w:spacing w:val="-3"/>
        </w:rPr>
        <w:t>ship-shore</w:t>
      </w:r>
      <w:r>
        <w:rPr>
          <w:color w:val="231F20"/>
          <w:spacing w:val="18"/>
        </w:rPr>
        <w:t xml:space="preserve"> </w:t>
      </w:r>
      <w:r>
        <w:rPr>
          <w:color w:val="231F20"/>
          <w:spacing w:val="-3"/>
        </w:rPr>
        <w:t>compatibility</w:t>
      </w:r>
      <w:r>
        <w:rPr>
          <w:color w:val="231F20"/>
          <w:spacing w:val="21"/>
          <w:w w:val="101"/>
        </w:rPr>
        <w:t xml:space="preserve"> </w:t>
      </w:r>
      <w:r>
        <w:rPr>
          <w:color w:val="231F20"/>
          <w:spacing w:val="-3"/>
        </w:rPr>
        <w:t>study before</w:t>
      </w:r>
      <w:r>
        <w:rPr>
          <w:color w:val="231F20"/>
          <w:spacing w:val="13"/>
        </w:rPr>
        <w:t xml:space="preserve"> </w:t>
      </w:r>
      <w:r>
        <w:rPr>
          <w:color w:val="231F20"/>
          <w:spacing w:val="-3"/>
        </w:rPr>
        <w:t>the</w:t>
      </w:r>
      <w:r>
        <w:rPr>
          <w:color w:val="231F20"/>
          <w:spacing w:val="12"/>
        </w:rPr>
        <w:t xml:space="preserve"> </w:t>
      </w:r>
      <w:r>
        <w:rPr>
          <w:color w:val="231F20"/>
          <w:spacing w:val="-3"/>
        </w:rPr>
        <w:t>handling</w:t>
      </w:r>
      <w:r>
        <w:rPr>
          <w:color w:val="231F20"/>
          <w:spacing w:val="19"/>
        </w:rPr>
        <w:t xml:space="preserve"> </w:t>
      </w:r>
      <w:r>
        <w:rPr>
          <w:color w:val="231F20"/>
          <w:spacing w:val="-3"/>
        </w:rPr>
        <w:t>operation</w:t>
      </w:r>
      <w:r>
        <w:rPr>
          <w:color w:val="231F20"/>
          <w:spacing w:val="18"/>
        </w:rPr>
        <w:t xml:space="preserve"> </w:t>
      </w:r>
      <w:r>
        <w:rPr>
          <w:color w:val="231F20"/>
          <w:spacing w:val="-3"/>
        </w:rPr>
        <w:t>during</w:t>
      </w:r>
      <w:r>
        <w:rPr>
          <w:color w:val="231F20"/>
          <w:spacing w:val="13"/>
        </w:rPr>
        <w:t xml:space="preserve"> </w:t>
      </w:r>
      <w:r>
        <w:rPr>
          <w:color w:val="231F20"/>
          <w:spacing w:val="-3"/>
        </w:rPr>
        <w:t>the berthing</w:t>
      </w:r>
      <w:r>
        <w:rPr>
          <w:color w:val="231F20"/>
          <w:spacing w:val="18"/>
          <w:w w:val="101"/>
        </w:rPr>
        <w:t xml:space="preserve"> </w:t>
      </w:r>
      <w:r>
        <w:rPr>
          <w:color w:val="231F20"/>
          <w:spacing w:val="-3"/>
        </w:rPr>
        <w:t>of</w:t>
      </w:r>
      <w:r>
        <w:rPr>
          <w:color w:val="231F20"/>
        </w:rPr>
        <w:t xml:space="preserve"> </w:t>
      </w:r>
      <w:r>
        <w:rPr>
          <w:color w:val="231F20"/>
          <w:spacing w:val="-3"/>
        </w:rPr>
        <w:t>the</w:t>
      </w:r>
      <w:r>
        <w:rPr>
          <w:color w:val="231F20"/>
          <w:spacing w:val="12"/>
        </w:rPr>
        <w:t xml:space="preserve"> </w:t>
      </w:r>
      <w:r>
        <w:rPr>
          <w:color w:val="231F20"/>
          <w:spacing w:val="-3"/>
        </w:rPr>
        <w:t>LNG</w:t>
      </w:r>
      <w:r>
        <w:rPr>
          <w:color w:val="231F20"/>
          <w:spacing w:val="16"/>
          <w:w w:val="101"/>
        </w:rPr>
        <w:t xml:space="preserve"> </w:t>
      </w:r>
      <w:r>
        <w:rPr>
          <w:color w:val="231F20"/>
          <w:spacing w:val="-3"/>
        </w:rPr>
        <w:t>carrier.</w:t>
      </w:r>
      <w:r>
        <w:rPr>
          <w:color w:val="231F20"/>
          <w:spacing w:val="11"/>
        </w:rPr>
        <w:t xml:space="preserve"> </w:t>
      </w:r>
      <w:r>
        <w:rPr>
          <w:color w:val="231F20"/>
          <w:spacing w:val="-3"/>
        </w:rPr>
        <w:t>The</w:t>
      </w:r>
      <w:r>
        <w:rPr>
          <w:color w:val="231F20"/>
          <w:spacing w:val="11"/>
        </w:rPr>
        <w:t xml:space="preserve"> </w:t>
      </w:r>
      <w:r>
        <w:rPr>
          <w:color w:val="231F20"/>
          <w:spacing w:val="-3"/>
        </w:rPr>
        <w:t>key p</w:t>
      </w:r>
      <w:r>
        <w:rPr>
          <w:color w:val="231F20"/>
          <w:spacing w:val="-4"/>
        </w:rPr>
        <w:t>oints</w:t>
      </w:r>
      <w:r>
        <w:rPr>
          <w:color w:val="231F20"/>
          <w:spacing w:val="16"/>
        </w:rPr>
        <w:t xml:space="preserve"> </w:t>
      </w:r>
      <w:r>
        <w:rPr>
          <w:color w:val="231F20"/>
          <w:spacing w:val="-4"/>
        </w:rPr>
        <w:t>of the practical</w:t>
      </w:r>
      <w:r>
        <w:rPr>
          <w:color w:val="231F20"/>
          <w:spacing w:val="15"/>
          <w:w w:val="101"/>
        </w:rPr>
        <w:t xml:space="preserve"> </w:t>
      </w:r>
      <w:r>
        <w:rPr>
          <w:color w:val="231F20"/>
          <w:spacing w:val="-4"/>
        </w:rPr>
        <w:t>operation</w:t>
      </w:r>
      <w:r>
        <w:rPr>
          <w:color w:val="231F20"/>
          <w:spacing w:val="16"/>
          <w:w w:val="101"/>
        </w:rPr>
        <w:t xml:space="preserve"> </w:t>
      </w:r>
      <w:r>
        <w:rPr>
          <w:color w:val="231F20"/>
          <w:spacing w:val="-4"/>
        </w:rPr>
        <w:t>and</w:t>
      </w:r>
      <w:r>
        <w:rPr>
          <w:color w:val="231F20"/>
          <w:spacing w:val="15"/>
          <w:w w:val="101"/>
        </w:rPr>
        <w:t xml:space="preserve"> </w:t>
      </w:r>
      <w:r>
        <w:rPr>
          <w:color w:val="231F20"/>
          <w:spacing w:val="-4"/>
        </w:rPr>
        <w:t>control</w:t>
      </w:r>
      <w:r>
        <w:rPr>
          <w:color w:val="231F20"/>
          <w:spacing w:val="16"/>
        </w:rPr>
        <w:t xml:space="preserve"> </w:t>
      </w:r>
      <w:r>
        <w:rPr>
          <w:color w:val="231F20"/>
          <w:spacing w:val="-4"/>
        </w:rPr>
        <w:t>are pointed</w:t>
      </w:r>
      <w:r>
        <w:rPr>
          <w:color w:val="231F20"/>
          <w:spacing w:val="16"/>
        </w:rPr>
        <w:t xml:space="preserve"> </w:t>
      </w:r>
      <w:r>
        <w:rPr>
          <w:color w:val="231F20"/>
          <w:spacing w:val="-4"/>
        </w:rPr>
        <w:t>out by</w:t>
      </w:r>
      <w:r>
        <w:rPr>
          <w:color w:val="231F20"/>
          <w:spacing w:val="17"/>
        </w:rPr>
        <w:t xml:space="preserve"> </w:t>
      </w:r>
      <w:r>
        <w:rPr>
          <w:color w:val="231F20"/>
          <w:spacing w:val="-4"/>
        </w:rPr>
        <w:t>focusing</w:t>
      </w:r>
      <w:r>
        <w:rPr>
          <w:color w:val="231F20"/>
          <w:spacing w:val="16"/>
        </w:rPr>
        <w:t xml:space="preserve"> </w:t>
      </w:r>
      <w:r>
        <w:rPr>
          <w:color w:val="231F20"/>
          <w:spacing w:val="-4"/>
        </w:rPr>
        <w:t>on</w:t>
      </w:r>
      <w:r>
        <w:rPr>
          <w:color w:val="231F20"/>
          <w:spacing w:val="10"/>
        </w:rPr>
        <w:t xml:space="preserve"> </w:t>
      </w:r>
      <w:r>
        <w:rPr>
          <w:color w:val="231F20"/>
          <w:spacing w:val="-4"/>
        </w:rPr>
        <w:t>the</w:t>
      </w:r>
      <w:r>
        <w:rPr>
          <w:color w:val="231F20"/>
          <w:spacing w:val="15"/>
          <w:w w:val="101"/>
        </w:rPr>
        <w:t xml:space="preserve"> </w:t>
      </w:r>
      <w:r>
        <w:rPr>
          <w:color w:val="231F20"/>
          <w:spacing w:val="-4"/>
        </w:rPr>
        <w:t xml:space="preserve">information </w:t>
      </w:r>
      <w:r>
        <w:rPr>
          <w:color w:val="231F20"/>
          <w:spacing w:val="-4"/>
        </w:rPr>
        <w:t>exchange between ships and shore, data col</w:t>
      </w:r>
      <w:r>
        <w:rPr>
          <w:color w:val="231F20"/>
          <w:spacing w:val="-5"/>
        </w:rPr>
        <w:t>lection and mooring</w:t>
      </w:r>
      <w:r>
        <w:rPr>
          <w:color w:val="231F20"/>
          <w:spacing w:val="4"/>
        </w:rPr>
        <w:t xml:space="preserve"> </w:t>
      </w:r>
      <w:r>
        <w:rPr>
          <w:color w:val="231F20"/>
          <w:spacing w:val="-5"/>
        </w:rPr>
        <w:t>analysis, with</w:t>
      </w:r>
      <w:r>
        <w:rPr>
          <w:color w:val="231F20"/>
          <w:spacing w:val="4"/>
        </w:rPr>
        <w:t xml:space="preserve"> </w:t>
      </w:r>
      <w:r>
        <w:rPr>
          <w:color w:val="231F20"/>
          <w:spacing w:val="-5"/>
        </w:rPr>
        <w:t>emphasis</w:t>
      </w:r>
      <w:r>
        <w:rPr>
          <w:color w:val="231F20"/>
          <w:spacing w:val="4"/>
        </w:rPr>
        <w:t xml:space="preserve"> </w:t>
      </w:r>
      <w:r>
        <w:rPr>
          <w:color w:val="231F20"/>
          <w:spacing w:val="-5"/>
        </w:rPr>
        <w:t>on the</w:t>
      </w:r>
      <w:r>
        <w:rPr>
          <w:color w:val="231F20"/>
          <w:spacing w:val="2"/>
        </w:rPr>
        <w:t xml:space="preserve"> </w:t>
      </w:r>
      <w:r>
        <w:rPr>
          <w:color w:val="231F20"/>
          <w:spacing w:val="-5"/>
        </w:rPr>
        <w:t>importance</w:t>
      </w:r>
      <w:r>
        <w:rPr>
          <w:color w:val="231F20"/>
          <w:spacing w:val="4"/>
        </w:rPr>
        <w:t xml:space="preserve"> </w:t>
      </w:r>
      <w:r>
        <w:rPr>
          <w:color w:val="231F20"/>
          <w:spacing w:val="-5"/>
        </w:rPr>
        <w:t xml:space="preserve">and necessity </w:t>
      </w:r>
      <w:r>
        <w:rPr>
          <w:color w:val="231F20"/>
          <w:spacing w:val="-4"/>
        </w:rPr>
        <w:t>of</w:t>
      </w:r>
      <w:r>
        <w:rPr>
          <w:color w:val="231F20"/>
          <w:spacing w:val="-3"/>
        </w:rPr>
        <w:t xml:space="preserve"> </w:t>
      </w:r>
      <w:r>
        <w:rPr>
          <w:color w:val="231F20"/>
          <w:spacing w:val="-4"/>
        </w:rPr>
        <w:t>the</w:t>
      </w:r>
      <w:r>
        <w:rPr>
          <w:color w:val="231F20"/>
          <w:spacing w:val="19"/>
        </w:rPr>
        <w:t xml:space="preserve"> </w:t>
      </w:r>
      <w:r>
        <w:rPr>
          <w:color w:val="231F20"/>
          <w:spacing w:val="-4"/>
        </w:rPr>
        <w:t>ship-shore</w:t>
      </w:r>
      <w:r>
        <w:rPr>
          <w:color w:val="231F20"/>
          <w:spacing w:val="15"/>
        </w:rPr>
        <w:t xml:space="preserve"> </w:t>
      </w:r>
      <w:r>
        <w:rPr>
          <w:color w:val="231F20"/>
          <w:spacing w:val="-4"/>
        </w:rPr>
        <w:t>compatibility</w:t>
      </w:r>
      <w:r>
        <w:rPr>
          <w:color w:val="231F20"/>
          <w:spacing w:val="18"/>
          <w:w w:val="101"/>
        </w:rPr>
        <w:t xml:space="preserve"> </w:t>
      </w:r>
      <w:r>
        <w:rPr>
          <w:color w:val="231F20"/>
          <w:spacing w:val="-4"/>
        </w:rPr>
        <w:t>study.</w:t>
      </w:r>
      <w:r>
        <w:rPr>
          <w:color w:val="231F20"/>
          <w:spacing w:val="10"/>
        </w:rPr>
        <w:t xml:space="preserve"> </w:t>
      </w:r>
      <w:r>
        <w:rPr>
          <w:color w:val="231F20"/>
          <w:spacing w:val="-4"/>
        </w:rPr>
        <w:t>The requirements</w:t>
      </w:r>
      <w:r>
        <w:rPr>
          <w:color w:val="231F20"/>
          <w:spacing w:val="16"/>
        </w:rPr>
        <w:t xml:space="preserve"> </w:t>
      </w:r>
      <w:r>
        <w:rPr>
          <w:color w:val="231F20"/>
          <w:spacing w:val="-4"/>
        </w:rPr>
        <w:t>and reasonable</w:t>
      </w:r>
      <w:r>
        <w:rPr>
          <w:color w:val="231F20"/>
          <w:spacing w:val="18"/>
        </w:rPr>
        <w:t xml:space="preserve"> </w:t>
      </w:r>
      <w:r>
        <w:rPr>
          <w:color w:val="231F20"/>
          <w:spacing w:val="-4"/>
        </w:rPr>
        <w:t>suggestions</w:t>
      </w:r>
      <w:r>
        <w:rPr>
          <w:color w:val="231F20"/>
          <w:spacing w:val="15"/>
          <w:w w:val="101"/>
        </w:rPr>
        <w:t xml:space="preserve"> </w:t>
      </w:r>
      <w:r>
        <w:rPr>
          <w:color w:val="231F20"/>
          <w:spacing w:val="-4"/>
        </w:rPr>
        <w:t>are provided</w:t>
      </w:r>
      <w:r>
        <w:rPr>
          <w:color w:val="231F20"/>
          <w:spacing w:val="16"/>
        </w:rPr>
        <w:t xml:space="preserve"> </w:t>
      </w:r>
      <w:r>
        <w:rPr>
          <w:color w:val="231F20"/>
          <w:spacing w:val="-4"/>
        </w:rPr>
        <w:t>for the</w:t>
      </w:r>
      <w:r>
        <w:rPr>
          <w:color w:val="231F20"/>
          <w:spacing w:val="9"/>
        </w:rPr>
        <w:t xml:space="preserve"> </w:t>
      </w:r>
      <w:r>
        <w:rPr>
          <w:color w:val="231F20"/>
          <w:spacing w:val="-4"/>
        </w:rPr>
        <w:t>monitoring</w:t>
      </w:r>
      <w:r>
        <w:rPr>
          <w:color w:val="231F20"/>
          <w:spacing w:val="15"/>
          <w:w w:val="101"/>
        </w:rPr>
        <w:t xml:space="preserve"> </w:t>
      </w:r>
      <w:r>
        <w:rPr>
          <w:color w:val="231F20"/>
          <w:spacing w:val="-4"/>
        </w:rPr>
        <w:t>of</w:t>
      </w:r>
      <w:r>
        <w:rPr>
          <w:color w:val="231F20"/>
        </w:rPr>
        <w:t xml:space="preserve"> </w:t>
      </w:r>
      <w:r>
        <w:rPr>
          <w:color w:val="231F20"/>
          <w:spacing w:val="-4"/>
        </w:rPr>
        <w:t>practical operation, the ship-shore safety check, the port</w:t>
      </w:r>
      <w:r>
        <w:rPr>
          <w:color w:val="231F20"/>
          <w:spacing w:val="8"/>
        </w:rPr>
        <w:t xml:space="preserve"> </w:t>
      </w:r>
      <w:r>
        <w:rPr>
          <w:color w:val="231F20"/>
          <w:spacing w:val="-4"/>
        </w:rPr>
        <w:t>state</w:t>
      </w:r>
      <w:r>
        <w:rPr>
          <w:color w:val="231F20"/>
          <w:spacing w:val="5"/>
        </w:rPr>
        <w:t xml:space="preserve"> </w:t>
      </w:r>
      <w:r>
        <w:rPr>
          <w:color w:val="231F20"/>
          <w:spacing w:val="-4"/>
        </w:rPr>
        <w:t>contro</w:t>
      </w:r>
      <w:r>
        <w:rPr>
          <w:color w:val="231F20"/>
          <w:spacing w:val="-5"/>
        </w:rPr>
        <w:t>l</w:t>
      </w:r>
      <w:r>
        <w:rPr>
          <w:color w:val="231F20"/>
          <w:spacing w:val="3"/>
        </w:rPr>
        <w:t xml:space="preserve"> </w:t>
      </w:r>
      <w:r>
        <w:rPr>
          <w:color w:val="231F20"/>
          <w:spacing w:val="-5"/>
        </w:rPr>
        <w:t>inspection</w:t>
      </w:r>
      <w:r>
        <w:rPr>
          <w:color w:val="231F20"/>
          <w:spacing w:val="6"/>
        </w:rPr>
        <w:t xml:space="preserve"> </w:t>
      </w:r>
      <w:r>
        <w:rPr>
          <w:color w:val="231F20"/>
          <w:spacing w:val="-5"/>
        </w:rPr>
        <w:t>and the review</w:t>
      </w:r>
      <w:r>
        <w:rPr>
          <w:color w:val="231F20"/>
          <w:spacing w:val="4"/>
        </w:rPr>
        <w:t xml:space="preserve"> </w:t>
      </w:r>
      <w:r>
        <w:rPr>
          <w:color w:val="231F20"/>
          <w:spacing w:val="-5"/>
        </w:rPr>
        <w:t>of</w:t>
      </w:r>
      <w:r>
        <w:rPr>
          <w:color w:val="231F20"/>
          <w:spacing w:val="-13"/>
        </w:rPr>
        <w:t xml:space="preserve"> </w:t>
      </w:r>
      <w:r>
        <w:rPr>
          <w:color w:val="231F20"/>
          <w:spacing w:val="-5"/>
        </w:rPr>
        <w:t>ships</w:t>
      </w:r>
      <w:r>
        <w:rPr>
          <w:color w:val="231F20"/>
        </w:rPr>
        <w:t xml:space="preserve"> </w:t>
      </w:r>
      <w:r>
        <w:rPr>
          <w:color w:val="231F20"/>
          <w:spacing w:val="-5"/>
        </w:rPr>
        <w:t>that</w:t>
      </w:r>
      <w:r>
        <w:rPr>
          <w:color w:val="231F20"/>
          <w:spacing w:val="-1"/>
        </w:rPr>
        <w:t xml:space="preserve"> </w:t>
      </w:r>
      <w:r>
        <w:rPr>
          <w:color w:val="231F20"/>
          <w:spacing w:val="-5"/>
        </w:rPr>
        <w:t xml:space="preserve">have passed </w:t>
      </w:r>
      <w:r>
        <w:rPr>
          <w:color w:val="231F20"/>
          <w:spacing w:val="-5"/>
        </w:rPr>
        <w:t>the ship-shore compatibility study but have not arrived at the</w:t>
      </w:r>
      <w:r>
        <w:rPr>
          <w:color w:val="231F20"/>
          <w:spacing w:val="-11"/>
        </w:rPr>
        <w:t xml:space="preserve"> </w:t>
      </w:r>
      <w:r>
        <w:rPr>
          <w:color w:val="231F20"/>
          <w:spacing w:val="-5"/>
        </w:rPr>
        <w:t>port for a long time during the handling</w:t>
      </w:r>
      <w:r>
        <w:rPr>
          <w:color w:val="231F20"/>
          <w:spacing w:val="-6"/>
        </w:rPr>
        <w:t xml:space="preserve"> operation of</w:t>
      </w:r>
      <w:r>
        <w:rPr>
          <w:color w:val="231F20"/>
          <w:spacing w:val="-33"/>
        </w:rPr>
        <w:t xml:space="preserve"> </w:t>
      </w:r>
      <w:r>
        <w:rPr>
          <w:color w:val="231F20"/>
          <w:spacing w:val="-6"/>
        </w:rPr>
        <w:t>berthing</w:t>
      </w:r>
      <w:r>
        <w:rPr>
          <w:color w:val="231F20"/>
        </w:rPr>
        <w:t xml:space="preserve"> </w:t>
      </w:r>
      <w:r>
        <w:rPr>
          <w:color w:val="231F20"/>
          <w:spacing w:val="-4"/>
        </w:rPr>
        <w:t>ships. The measures against the listed pr</w:t>
      </w:r>
      <w:r>
        <w:rPr>
          <w:color w:val="231F20"/>
          <w:spacing w:val="-5"/>
        </w:rPr>
        <w:t>oblems that</w:t>
      </w:r>
      <w:r>
        <w:rPr>
          <w:color w:val="231F20"/>
          <w:spacing w:val="7"/>
        </w:rPr>
        <w:t xml:space="preserve"> </w:t>
      </w:r>
      <w:r>
        <w:rPr>
          <w:color w:val="231F20"/>
          <w:spacing w:val="-5"/>
        </w:rPr>
        <w:t>arise</w:t>
      </w:r>
      <w:r>
        <w:rPr>
          <w:color w:val="231F20"/>
          <w:spacing w:val="8"/>
        </w:rPr>
        <w:t xml:space="preserve"> </w:t>
      </w:r>
      <w:r>
        <w:rPr>
          <w:color w:val="231F20"/>
          <w:spacing w:val="-5"/>
        </w:rPr>
        <w:t>from the</w:t>
      </w:r>
      <w:r>
        <w:rPr>
          <w:color w:val="231F20"/>
          <w:spacing w:val="5"/>
        </w:rPr>
        <w:t xml:space="preserve"> </w:t>
      </w:r>
      <w:r>
        <w:rPr>
          <w:color w:val="231F20"/>
          <w:spacing w:val="-5"/>
        </w:rPr>
        <w:t>insufficient</w:t>
      </w:r>
      <w:r>
        <w:rPr>
          <w:color w:val="231F20"/>
          <w:spacing w:val="7"/>
        </w:rPr>
        <w:t xml:space="preserve"> </w:t>
      </w:r>
      <w:r>
        <w:rPr>
          <w:color w:val="231F20"/>
          <w:spacing w:val="-5"/>
        </w:rPr>
        <w:t>compatibility</w:t>
      </w:r>
      <w:r>
        <w:rPr>
          <w:color w:val="231F20"/>
          <w:spacing w:val="10"/>
        </w:rPr>
        <w:t xml:space="preserve"> </w:t>
      </w:r>
      <w:r>
        <w:rPr>
          <w:color w:val="231F20"/>
          <w:spacing w:val="-5"/>
        </w:rPr>
        <w:t>study</w:t>
      </w:r>
      <w:r>
        <w:rPr>
          <w:color w:val="231F20"/>
          <w:spacing w:val="7"/>
        </w:rPr>
        <w:t xml:space="preserve"> </w:t>
      </w:r>
      <w:r>
        <w:rPr>
          <w:color w:val="231F20"/>
          <w:spacing w:val="-5"/>
        </w:rPr>
        <w:t>are provided</w:t>
      </w:r>
      <w:r>
        <w:rPr>
          <w:color w:val="231F20"/>
          <w:spacing w:val="2"/>
        </w:rPr>
        <w:t xml:space="preserve"> </w:t>
      </w:r>
      <w:r>
        <w:rPr>
          <w:color w:val="231F20"/>
          <w:spacing w:val="-5"/>
        </w:rPr>
        <w:t>to</w:t>
      </w:r>
      <w:r>
        <w:rPr>
          <w:color w:val="231F20"/>
          <w:spacing w:val="6"/>
        </w:rPr>
        <w:t xml:space="preserve"> </w:t>
      </w:r>
      <w:r>
        <w:rPr>
          <w:color w:val="231F20"/>
          <w:spacing w:val="-5"/>
        </w:rPr>
        <w:t xml:space="preserve">guide </w:t>
      </w:r>
      <w:r>
        <w:rPr>
          <w:color w:val="231F20"/>
          <w:spacing w:val="-5"/>
        </w:rPr>
        <w:t xml:space="preserve">other receiving terminals to conduct sufficient compatibility study, ship-shore interface safety check and port state control </w:t>
      </w:r>
      <w:r>
        <w:rPr>
          <w:color w:val="231F20"/>
          <w:spacing w:val="-5"/>
        </w:rPr>
        <w:t>inspection, and safely and efficiently finish relevant</w:t>
      </w:r>
      <w:r>
        <w:rPr>
          <w:color w:val="231F20"/>
          <w:spacing w:val="-27"/>
        </w:rPr>
        <w:t xml:space="preserve"> </w:t>
      </w:r>
      <w:r>
        <w:rPr>
          <w:color w:val="231F20"/>
          <w:spacing w:val="-5"/>
        </w:rPr>
        <w:t>jobs, such as the berthing, operation, unberthing and re-berth</w:t>
      </w:r>
      <w:r>
        <w:rPr>
          <w:color w:val="231F20"/>
          <w:spacing w:val="-6"/>
        </w:rPr>
        <w:t>ing of</w:t>
      </w:r>
      <w:r>
        <w:rPr>
          <w:color w:val="231F20"/>
          <w:spacing w:val="-30"/>
        </w:rPr>
        <w:t xml:space="preserve"> </w:t>
      </w:r>
      <w:r>
        <w:rPr>
          <w:color w:val="231F20"/>
          <w:spacing w:val="-6"/>
        </w:rPr>
        <w:t xml:space="preserve">the </w:t>
      </w:r>
      <w:r>
        <w:rPr>
          <w:color w:val="231F20"/>
          <w:spacing w:val="-5"/>
        </w:rPr>
        <w:t>ships. The operation efficiency of</w:t>
      </w:r>
      <w:r>
        <w:rPr>
          <w:color w:val="231F20"/>
          <w:spacing w:val="-30"/>
        </w:rPr>
        <w:t xml:space="preserve"> </w:t>
      </w:r>
      <w:r>
        <w:rPr>
          <w:color w:val="231F20"/>
          <w:spacing w:val="-5"/>
        </w:rPr>
        <w:t>the ships at shore stations is improved to achieve the optimal berthing ope</w:t>
      </w:r>
      <w:r>
        <w:rPr>
          <w:color w:val="231F20"/>
          <w:spacing w:val="-6"/>
        </w:rPr>
        <w:t>ration.</w:t>
      </w:r>
    </w:p>
    <w:p>
      <w:pPr>
        <w:pStyle w:val="BodyText"/>
        <w:spacing w:before="163"/>
        <w:ind w:left="1125" w:right="698" w:hanging="1"/>
      </w:pPr>
      <w:r>
        <w:rPr>
          <w:b/>
          <w:bCs/>
          <w:color w:val="231F20"/>
        </w:rPr>
        <w:t xml:space="preserve">Keywords: </w:t>
      </w:r>
      <w:r>
        <w:rPr>
          <w:color w:val="231F20"/>
          <w:sz w:val="18"/>
          <w:szCs w:val="18"/>
        </w:rPr>
        <w:t>liquefied nat</w:t>
      </w:r>
      <w:r>
        <w:rPr>
          <w:color w:val="231F20"/>
          <w:spacing w:val="-1"/>
          <w:sz w:val="18"/>
          <w:szCs w:val="18"/>
        </w:rPr>
        <w:t>ural</w:t>
      </w:r>
      <w:r>
        <w:rPr>
          <w:color w:val="231F20"/>
          <w:spacing w:val="13"/>
          <w:sz w:val="18"/>
          <w:szCs w:val="18"/>
        </w:rPr>
        <w:t xml:space="preserve"> </w:t>
      </w:r>
      <w:r>
        <w:rPr>
          <w:color w:val="231F20"/>
          <w:spacing w:val="-1"/>
          <w:sz w:val="18"/>
          <w:szCs w:val="18"/>
        </w:rPr>
        <w:t>gas</w:t>
      </w:r>
      <w:r>
        <w:rPr>
          <w:rFonts w:ascii="SimSun" w:eastAsia="SimSun" w:hAnsi="SimSun" w:cs="SimSun"/>
          <w:color w:val="231F20"/>
          <w:spacing w:val="-1"/>
          <w:sz w:val="18"/>
          <w:szCs w:val="18"/>
        </w:rPr>
        <w:t>（</w:t>
      </w:r>
      <w:r>
        <w:rPr>
          <w:color w:val="231F20"/>
          <w:spacing w:val="-1"/>
        </w:rPr>
        <w:t>LNG</w:t>
      </w:r>
      <w:r>
        <w:rPr>
          <w:rFonts w:ascii="SimSun" w:eastAsia="SimSun" w:hAnsi="SimSun" w:cs="SimSun"/>
          <w:color w:val="231F20"/>
          <w:spacing w:val="-1"/>
          <w:sz w:val="18"/>
          <w:szCs w:val="18"/>
        </w:rPr>
        <w:t>）</w:t>
      </w:r>
      <w:r>
        <w:rPr>
          <w:color w:val="231F20"/>
          <w:spacing w:val="-1"/>
        </w:rPr>
        <w:t>carrier; receiving terminal;</w:t>
      </w:r>
      <w:r>
        <w:rPr>
          <w:color w:val="231F20"/>
          <w:spacing w:val="16"/>
        </w:rPr>
        <w:t xml:space="preserve"> </w:t>
      </w:r>
      <w:r>
        <w:rPr>
          <w:color w:val="231F20"/>
          <w:spacing w:val="-1"/>
        </w:rPr>
        <w:t>compatibility;</w:t>
      </w:r>
      <w:r>
        <w:rPr>
          <w:color w:val="231F20"/>
          <w:spacing w:val="15"/>
        </w:rPr>
        <w:t xml:space="preserve"> </w:t>
      </w:r>
      <w:r>
        <w:rPr>
          <w:color w:val="231F20"/>
          <w:spacing w:val="-1"/>
        </w:rPr>
        <w:t>discharging</w:t>
      </w:r>
      <w:r>
        <w:rPr>
          <w:color w:val="231F20"/>
          <w:spacing w:val="16"/>
        </w:rPr>
        <w:t xml:space="preserve"> </w:t>
      </w:r>
      <w:r>
        <w:rPr>
          <w:color w:val="231F20"/>
          <w:spacing w:val="-1"/>
        </w:rPr>
        <w:t>operation;</w:t>
      </w:r>
      <w:r>
        <w:rPr>
          <w:color w:val="231F20"/>
          <w:spacing w:val="19"/>
        </w:rPr>
        <w:t xml:space="preserve"> </w:t>
      </w:r>
      <w:r>
        <w:rPr>
          <w:color w:val="231F20"/>
          <w:spacing w:val="-1"/>
        </w:rPr>
        <w:t>ship-shore</w:t>
      </w:r>
      <w:r>
        <w:rPr>
          <w:color w:val="231F20"/>
        </w:rPr>
        <w:t xml:space="preserve"> </w:t>
      </w:r>
      <w:r>
        <w:rPr>
          <w:color w:val="231F20"/>
        </w:rPr>
        <w:t>interface; control point; optimi</w:t>
      </w:r>
      <w:r>
        <w:rPr>
          <w:color w:val="231F20"/>
          <w:spacing w:val="-1"/>
        </w:rPr>
        <w:t>zation</w:t>
      </w:r>
    </w:p>
    <w:p>
      <w:pPr>
        <w:spacing w:before="96"/>
      </w:pPr>
    </w:p>
    <w:p>
      <w:pPr>
        <w:sectPr>
          <w:type w:val="continuous"/>
          <w:pgSz w:w="12076" w:h="16498"/>
          <w:pgMar w:top="641" w:right="604" w:bottom="0" w:left="14" w:header="0" w:footer="0" w:gutter="0"/>
          <w:pgNumType w:start="2"/>
          <w:cols w:num="1" w:space="708" w:equalWidth="0">
            <w:col w:w="11457" w:space="0"/>
          </w:cols>
        </w:sectPr>
      </w:pPr>
    </w:p>
    <w:p>
      <w:pPr>
        <w:spacing w:before="59" w:line="204" w:lineRule="auto"/>
        <w:ind w:left="1129"/>
        <w:rPr>
          <w:rFonts w:ascii="SimHei" w:eastAsia="SimHei" w:hAnsi="SimHei" w:cs="SimHei"/>
          <w:sz w:val="28"/>
          <w:szCs w:val="28"/>
        </w:rPr>
      </w:pPr>
      <w:r>
        <w:rPr>
          <w:rFonts w:ascii="SimHei" w:eastAsia="SimHei" w:hAnsi="SimHei" w:cs="SimHei"/>
          <w:color w:val="C3262C"/>
          <w:spacing w:val="-7"/>
          <w:sz w:val="28"/>
          <w:szCs w:val="28"/>
        </w:rPr>
        <w:t>0</w:t>
      </w:r>
      <w:r>
        <w:rPr>
          <w:rFonts w:ascii="SimHei" w:eastAsia="SimHei" w:hAnsi="SimHei" w:cs="SimHei"/>
          <w:color w:val="C3262C"/>
          <w:spacing w:val="96"/>
          <w:sz w:val="28"/>
          <w:szCs w:val="28"/>
        </w:rPr>
        <w:t xml:space="preserve"> </w:t>
      </w:r>
      <w:r>
        <w:rPr>
          <w:rFonts w:ascii="SimHei" w:eastAsia="SimHei" w:hAnsi="SimHei" w:cs="SimHei"/>
          <w:color w:val="C3262C"/>
          <w:spacing w:val="-7"/>
          <w:sz w:val="28"/>
          <w:szCs w:val="28"/>
        </w:rPr>
        <w:t>引</w:t>
      </w:r>
      <w:r>
        <w:rPr>
          <w:rFonts w:ascii="SimHei" w:eastAsia="SimHei" w:hAnsi="SimHei" w:cs="SimHei"/>
          <w:color w:val="C3262C"/>
          <w:spacing w:val="23"/>
          <w:sz w:val="28"/>
          <w:szCs w:val="28"/>
        </w:rPr>
        <w:t xml:space="preserve">  </w:t>
      </w:r>
      <w:r>
        <w:rPr>
          <w:rFonts w:ascii="SimHei" w:eastAsia="SimHei" w:hAnsi="SimHei" w:cs="SimHei"/>
          <w:color w:val="C3262C"/>
          <w:spacing w:val="-7"/>
          <w:sz w:val="28"/>
          <w:szCs w:val="28"/>
        </w:rPr>
        <w:t>言</w:t>
      </w:r>
    </w:p>
    <w:p>
      <w:pPr>
        <w:spacing w:line="281" w:lineRule="auto"/>
        <w:rPr>
          <w:rFonts w:ascii="Arial"/>
          <w:sz w:val="21"/>
        </w:rPr>
      </w:pPr>
    </w:p>
    <w:p>
      <w:pPr>
        <w:spacing w:before="69" w:line="272" w:lineRule="auto"/>
        <w:ind w:left="1121" w:right="302" w:firstLine="431"/>
        <w:jc w:val="both"/>
        <w:rPr>
          <w:rFonts w:ascii="SimSun" w:eastAsia="SimSun" w:hAnsi="SimSun" w:cs="SimSun"/>
          <w:sz w:val="21"/>
          <w:szCs w:val="21"/>
        </w:rPr>
      </w:pPr>
      <w:r>
        <w:rPr>
          <w:rFonts w:ascii="SimSun" w:eastAsia="SimSun" w:hAnsi="SimSun" w:cs="SimSun"/>
          <w:color w:val="231F20"/>
          <w:spacing w:val="-8"/>
          <w:sz w:val="21"/>
          <w:szCs w:val="21"/>
        </w:rPr>
        <w:t>天然气作为新兴能源，</w:t>
      </w:r>
      <w:r>
        <w:rPr>
          <w:rFonts w:ascii="SimSun" w:eastAsia="SimSun" w:hAnsi="SimSun" w:cs="SimSun"/>
          <w:color w:val="231F20"/>
          <w:spacing w:val="41"/>
          <w:sz w:val="21"/>
          <w:szCs w:val="21"/>
        </w:rPr>
        <w:t xml:space="preserve"> </w:t>
      </w:r>
      <w:r>
        <w:rPr>
          <w:rFonts w:ascii="SimSun" w:eastAsia="SimSun" w:hAnsi="SimSun" w:cs="SimSun"/>
          <w:color w:val="231F20"/>
          <w:spacing w:val="-8"/>
          <w:sz w:val="21"/>
          <w:szCs w:val="21"/>
        </w:rPr>
        <w:t>具有燃烧热值高、充分</w:t>
      </w:r>
      <w:r>
        <w:rPr>
          <w:rFonts w:ascii="SimSun" w:eastAsia="SimSun" w:hAnsi="SimSun" w:cs="SimSun"/>
          <w:color w:val="231F20"/>
          <w:sz w:val="21"/>
          <w:szCs w:val="21"/>
        </w:rPr>
        <w:t xml:space="preserve"> </w:t>
      </w:r>
      <w:r>
        <w:rPr>
          <w:rFonts w:ascii="SimSun" w:eastAsia="SimSun" w:hAnsi="SimSun" w:cs="SimSun"/>
          <w:color w:val="231F20"/>
          <w:sz w:val="21"/>
          <w:szCs w:val="21"/>
        </w:rPr>
        <w:t>燃烧后仅产生二氧化碳和水等优点，近些年</w:t>
      </w:r>
      <w:r>
        <w:rPr>
          <w:rFonts w:ascii="SimSun" w:eastAsia="SimSun" w:hAnsi="SimSun" w:cs="SimSun"/>
          <w:color w:val="231F20"/>
          <w:spacing w:val="-1"/>
          <w:sz w:val="21"/>
          <w:szCs w:val="21"/>
        </w:rPr>
        <w:t>来受到</w:t>
      </w:r>
      <w:r>
        <w:rPr>
          <w:rFonts w:ascii="SimSun" w:eastAsia="SimSun" w:hAnsi="SimSun" w:cs="SimSun"/>
          <w:color w:val="231F20"/>
          <w:sz w:val="21"/>
          <w:szCs w:val="21"/>
        </w:rPr>
        <w:t xml:space="preserve"> </w:t>
      </w:r>
      <w:r>
        <w:rPr>
          <w:rFonts w:ascii="SimSun" w:eastAsia="SimSun" w:hAnsi="SimSun" w:cs="SimSun"/>
          <w:color w:val="231F20"/>
          <w:sz w:val="21"/>
          <w:szCs w:val="21"/>
        </w:rPr>
        <w:t>世界各国的广泛重视</w:t>
      </w:r>
      <w:r>
        <w:rPr>
          <w:rFonts w:ascii="SimSun" w:eastAsia="SimSun" w:hAnsi="SimSun" w:cs="SimSun"/>
          <w:color w:val="231F20"/>
          <w:spacing w:val="-47"/>
          <w:sz w:val="21"/>
          <w:szCs w:val="21"/>
        </w:rPr>
        <w:t xml:space="preserve"> </w:t>
      </w:r>
      <w:r>
        <w:rPr>
          <w:rFonts w:ascii="SimSun" w:eastAsia="SimSun" w:hAnsi="SimSun" w:cs="SimSun"/>
          <w:color w:val="231F20"/>
          <w:position w:val="8"/>
          <w:sz w:val="12"/>
          <w:szCs w:val="12"/>
        </w:rPr>
        <w:t>[1]</w:t>
      </w:r>
      <w:r>
        <w:rPr>
          <w:rFonts w:ascii="SimSun" w:eastAsia="SimSun" w:hAnsi="SimSun" w:cs="SimSun"/>
          <w:color w:val="231F20"/>
          <w:spacing w:val="-35"/>
          <w:position w:val="8"/>
          <w:sz w:val="12"/>
          <w:szCs w:val="12"/>
        </w:rPr>
        <w:t xml:space="preserve"> </w:t>
      </w:r>
      <w:r>
        <w:rPr>
          <w:rFonts w:ascii="SimSun" w:eastAsia="SimSun" w:hAnsi="SimSun" w:cs="SimSun"/>
          <w:color w:val="231F20"/>
          <w:sz w:val="21"/>
          <w:szCs w:val="21"/>
        </w:rPr>
        <w:t>。LNG</w:t>
      </w:r>
      <w:r>
        <w:rPr>
          <w:rFonts w:ascii="SimSun" w:eastAsia="SimSun" w:hAnsi="SimSun" w:cs="SimSun"/>
          <w:color w:val="231F20"/>
          <w:spacing w:val="-49"/>
          <w:sz w:val="21"/>
          <w:szCs w:val="21"/>
        </w:rPr>
        <w:t xml:space="preserve"> </w:t>
      </w:r>
      <w:r>
        <w:rPr>
          <w:rFonts w:ascii="SimSun" w:eastAsia="SimSun" w:hAnsi="SimSun" w:cs="SimSun"/>
          <w:color w:val="231F20"/>
          <w:sz w:val="21"/>
          <w:szCs w:val="21"/>
        </w:rPr>
        <w:t>作为天</w:t>
      </w:r>
      <w:r>
        <w:rPr>
          <w:rFonts w:ascii="SimSun" w:eastAsia="SimSun" w:hAnsi="SimSun" w:cs="SimSun"/>
          <w:color w:val="231F20"/>
          <w:spacing w:val="-1"/>
          <w:sz w:val="21"/>
          <w:szCs w:val="21"/>
        </w:rPr>
        <w:t>然气的液态形</w:t>
      </w:r>
    </w:p>
    <w:p>
      <w:pPr>
        <w:spacing w:line="14" w:lineRule="auto"/>
        <w:rPr>
          <w:rFonts w:ascii="Arial"/>
          <w:sz w:val="2"/>
        </w:rPr>
      </w:pPr>
      <w:r>
        <w:rPr>
          <w:rFonts w:ascii="Arial" w:eastAsia="Arial" w:hAnsi="Arial" w:cs="Arial"/>
          <w:sz w:val="2"/>
          <w:szCs w:val="2"/>
        </w:rPr>
        <w:br w:type="column"/>
      </w:r>
    </w:p>
    <w:p>
      <w:pPr>
        <w:spacing w:before="49" w:line="281" w:lineRule="auto"/>
        <w:ind w:right="699" w:firstLine="22"/>
        <w:jc w:val="both"/>
        <w:rPr>
          <w:rFonts w:ascii="SimSun" w:eastAsia="SimSun" w:hAnsi="SimSun" w:cs="SimSun"/>
          <w:sz w:val="21"/>
          <w:szCs w:val="21"/>
        </w:rPr>
      </w:pPr>
      <w:r>
        <w:rPr>
          <w:rFonts w:ascii="SimSun" w:eastAsia="SimSun" w:hAnsi="SimSun" w:cs="SimSun"/>
          <w:color w:val="231F20"/>
          <w:spacing w:val="-2"/>
          <w:sz w:val="21"/>
          <w:szCs w:val="21"/>
        </w:rPr>
        <w:t>比大、储存压力低及便于进行安全且经济地运输等</w:t>
      </w:r>
      <w:r>
        <w:rPr>
          <w:rFonts w:ascii="SimSun" w:eastAsia="SimSun" w:hAnsi="SimSun" w:cs="SimSun"/>
          <w:color w:val="231F20"/>
          <w:spacing w:val="14"/>
          <w:sz w:val="21"/>
          <w:szCs w:val="21"/>
        </w:rPr>
        <w:t xml:space="preserve"> </w:t>
      </w:r>
      <w:r>
        <w:rPr>
          <w:rFonts w:ascii="SimSun" w:eastAsia="SimSun" w:hAnsi="SimSun" w:cs="SimSun"/>
          <w:color w:val="231F20"/>
          <w:spacing w:val="6"/>
          <w:sz w:val="21"/>
          <w:szCs w:val="21"/>
        </w:rPr>
        <w:t>特点。</w:t>
      </w:r>
      <w:r>
        <w:rPr>
          <w:rFonts w:ascii="SimSun" w:eastAsia="SimSun" w:hAnsi="SimSun" w:cs="SimSun"/>
          <w:color w:val="231F20"/>
          <w:spacing w:val="-14"/>
          <w:sz w:val="21"/>
          <w:szCs w:val="21"/>
        </w:rPr>
        <w:t xml:space="preserve"> </w:t>
      </w:r>
      <w:r>
        <w:rPr>
          <w:rFonts w:ascii="SimSun" w:eastAsia="SimSun" w:hAnsi="SimSun" w:cs="SimSun"/>
          <w:color w:val="231F20"/>
          <w:sz w:val="21"/>
          <w:szCs w:val="21"/>
        </w:rPr>
        <w:t>LNG</w:t>
      </w:r>
      <w:r>
        <w:rPr>
          <w:rFonts w:ascii="SimSun" w:eastAsia="SimSun" w:hAnsi="SimSun" w:cs="SimSun"/>
          <w:color w:val="231F20"/>
          <w:spacing w:val="-44"/>
          <w:sz w:val="21"/>
          <w:szCs w:val="21"/>
        </w:rPr>
        <w:t xml:space="preserve"> </w:t>
      </w:r>
      <w:r>
        <w:rPr>
          <w:rFonts w:ascii="SimSun" w:eastAsia="SimSun" w:hAnsi="SimSun" w:cs="SimSun"/>
          <w:color w:val="231F20"/>
          <w:spacing w:val="6"/>
          <w:sz w:val="21"/>
          <w:szCs w:val="21"/>
        </w:rPr>
        <w:t>船舶作为自</w:t>
      </w:r>
      <w:r>
        <w:rPr>
          <w:rFonts w:ascii="SimSun" w:eastAsia="SimSun" w:hAnsi="SimSun" w:cs="SimSun"/>
          <w:color w:val="231F20"/>
          <w:spacing w:val="-43"/>
          <w:sz w:val="21"/>
          <w:szCs w:val="21"/>
        </w:rPr>
        <w:t xml:space="preserve"> </w:t>
      </w:r>
      <w:r>
        <w:rPr>
          <w:rFonts w:ascii="SimSun" w:eastAsia="SimSun" w:hAnsi="SimSun" w:cs="SimSun"/>
          <w:color w:val="231F20"/>
          <w:spacing w:val="6"/>
          <w:sz w:val="21"/>
          <w:szCs w:val="21"/>
        </w:rPr>
        <w:t>20</w:t>
      </w:r>
      <w:r>
        <w:rPr>
          <w:rFonts w:ascii="SimSun" w:eastAsia="SimSun" w:hAnsi="SimSun" w:cs="SimSun"/>
          <w:color w:val="231F20"/>
          <w:spacing w:val="-45"/>
          <w:sz w:val="21"/>
          <w:szCs w:val="21"/>
        </w:rPr>
        <w:t xml:space="preserve"> </w:t>
      </w:r>
      <w:r>
        <w:rPr>
          <w:rFonts w:ascii="SimSun" w:eastAsia="SimSun" w:hAnsi="SimSun" w:cs="SimSun"/>
          <w:color w:val="231F20"/>
          <w:spacing w:val="6"/>
          <w:sz w:val="21"/>
          <w:szCs w:val="21"/>
        </w:rPr>
        <w:t>世纪</w:t>
      </w:r>
      <w:r>
        <w:rPr>
          <w:rFonts w:ascii="SimSun" w:eastAsia="SimSun" w:hAnsi="SimSun" w:cs="SimSun"/>
          <w:color w:val="231F20"/>
          <w:spacing w:val="-45"/>
          <w:sz w:val="21"/>
          <w:szCs w:val="21"/>
        </w:rPr>
        <w:t xml:space="preserve"> </w:t>
      </w:r>
      <w:r>
        <w:rPr>
          <w:rFonts w:ascii="SimSun" w:eastAsia="SimSun" w:hAnsi="SimSun" w:cs="SimSun"/>
          <w:color w:val="231F20"/>
          <w:spacing w:val="6"/>
          <w:sz w:val="21"/>
          <w:szCs w:val="21"/>
        </w:rPr>
        <w:t>70</w:t>
      </w:r>
      <w:r>
        <w:rPr>
          <w:rFonts w:ascii="SimSun" w:eastAsia="SimSun" w:hAnsi="SimSun" w:cs="SimSun"/>
          <w:color w:val="231F20"/>
          <w:spacing w:val="-42"/>
          <w:sz w:val="21"/>
          <w:szCs w:val="21"/>
        </w:rPr>
        <w:t xml:space="preserve"> </w:t>
      </w:r>
      <w:r>
        <w:rPr>
          <w:rFonts w:ascii="SimSun" w:eastAsia="SimSun" w:hAnsi="SimSun" w:cs="SimSun"/>
          <w:color w:val="231F20"/>
          <w:spacing w:val="6"/>
          <w:sz w:val="21"/>
          <w:szCs w:val="21"/>
        </w:rPr>
        <w:t>年代开始兴起</w:t>
      </w:r>
      <w:r>
        <w:rPr>
          <w:rFonts w:ascii="SimSun" w:eastAsia="SimSun" w:hAnsi="SimSun" w:cs="SimSun"/>
          <w:color w:val="231F20"/>
          <w:sz w:val="21"/>
          <w:szCs w:val="21"/>
        </w:rPr>
        <w:t xml:space="preserve"> </w:t>
      </w:r>
      <w:r>
        <w:rPr>
          <w:rFonts w:ascii="SimSun" w:eastAsia="SimSun" w:hAnsi="SimSun" w:cs="SimSun"/>
          <w:color w:val="231F20"/>
          <w:spacing w:val="-1"/>
          <w:sz w:val="21"/>
          <w:szCs w:val="21"/>
        </w:rPr>
        <w:t>的海上运输工具，是国际公认的“三高”产品，被</w:t>
      </w:r>
      <w:r>
        <w:rPr>
          <w:rFonts w:ascii="SimSun" w:eastAsia="SimSun" w:hAnsi="SimSun" w:cs="SimSun"/>
          <w:color w:val="231F20"/>
          <w:spacing w:val="14"/>
          <w:sz w:val="21"/>
          <w:szCs w:val="21"/>
        </w:rPr>
        <w:t xml:space="preserve"> </w:t>
      </w:r>
      <w:r>
        <w:rPr>
          <w:rFonts w:ascii="SimSun" w:eastAsia="SimSun" w:hAnsi="SimSun" w:cs="SimSun"/>
          <w:color w:val="231F20"/>
          <w:spacing w:val="-1"/>
          <w:sz w:val="21"/>
          <w:szCs w:val="21"/>
        </w:rPr>
        <w:t>喻为世界造船业“皇冠上的明珠”，近年来逐渐受</w:t>
      </w:r>
      <w:r>
        <w:rPr>
          <w:rFonts w:ascii="SimSun" w:eastAsia="SimSun" w:hAnsi="SimSun" w:cs="SimSun"/>
          <w:color w:val="231F20"/>
          <w:spacing w:val="14"/>
          <w:sz w:val="21"/>
          <w:szCs w:val="21"/>
        </w:rPr>
        <w:t xml:space="preserve"> </w:t>
      </w:r>
      <w:r>
        <w:rPr>
          <w:rFonts w:ascii="SimSun" w:eastAsia="SimSun" w:hAnsi="SimSun" w:cs="SimSun"/>
          <w:color w:val="231F20"/>
          <w:spacing w:val="-6"/>
          <w:sz w:val="21"/>
          <w:szCs w:val="21"/>
        </w:rPr>
        <w:t>到市场青睐</w:t>
      </w:r>
      <w:r>
        <w:rPr>
          <w:rFonts w:ascii="SimSun" w:eastAsia="SimSun" w:hAnsi="SimSun" w:cs="SimSun"/>
          <w:color w:val="231F20"/>
          <w:spacing w:val="-47"/>
          <w:sz w:val="21"/>
          <w:szCs w:val="21"/>
        </w:rPr>
        <w:t xml:space="preserve"> </w:t>
      </w:r>
      <w:r>
        <w:rPr>
          <w:rFonts w:ascii="SimSun" w:eastAsia="SimSun" w:hAnsi="SimSun" w:cs="SimSun"/>
          <w:color w:val="231F20"/>
          <w:spacing w:val="-6"/>
          <w:position w:val="8"/>
          <w:sz w:val="12"/>
          <w:szCs w:val="12"/>
        </w:rPr>
        <w:t>[2]</w:t>
      </w:r>
      <w:r>
        <w:rPr>
          <w:rFonts w:ascii="SimSun" w:eastAsia="SimSun" w:hAnsi="SimSun" w:cs="SimSun"/>
          <w:color w:val="231F20"/>
          <w:spacing w:val="-35"/>
          <w:position w:val="8"/>
          <w:sz w:val="12"/>
          <w:szCs w:val="12"/>
        </w:rPr>
        <w:t xml:space="preserve"> </w:t>
      </w:r>
      <w:r>
        <w:rPr>
          <w:rFonts w:ascii="SimSun" w:eastAsia="SimSun" w:hAnsi="SimSun" w:cs="SimSun"/>
          <w:color w:val="231F20"/>
          <w:spacing w:val="-6"/>
          <w:sz w:val="21"/>
          <w:szCs w:val="21"/>
        </w:rPr>
        <w:t>。LNG</w:t>
      </w:r>
      <w:r>
        <w:rPr>
          <w:rFonts w:ascii="SimSun" w:eastAsia="SimSun" w:hAnsi="SimSun" w:cs="SimSun"/>
          <w:color w:val="231F20"/>
          <w:spacing w:val="-48"/>
          <w:sz w:val="21"/>
          <w:szCs w:val="21"/>
        </w:rPr>
        <w:t xml:space="preserve"> </w:t>
      </w:r>
      <w:r>
        <w:rPr>
          <w:rFonts w:ascii="SimSun" w:eastAsia="SimSun" w:hAnsi="SimSun" w:cs="SimSun"/>
          <w:color w:val="231F20"/>
          <w:spacing w:val="-6"/>
          <w:sz w:val="21"/>
          <w:szCs w:val="21"/>
        </w:rPr>
        <w:t>船舶船岸匹配研究（ship</w:t>
      </w:r>
      <w:r>
        <w:rPr>
          <w:rFonts w:ascii="SimSun" w:eastAsia="SimSun" w:hAnsi="SimSun" w:cs="SimSun"/>
          <w:color w:val="231F20"/>
          <w:spacing w:val="-43"/>
          <w:sz w:val="21"/>
          <w:szCs w:val="21"/>
        </w:rPr>
        <w:t xml:space="preserve"> </w:t>
      </w:r>
      <w:r>
        <w:rPr>
          <w:rFonts w:ascii="SimSun" w:eastAsia="SimSun" w:hAnsi="SimSun" w:cs="SimSun"/>
          <w:color w:val="231F20"/>
          <w:spacing w:val="-6"/>
          <w:sz w:val="21"/>
          <w:szCs w:val="21"/>
        </w:rPr>
        <w:t>shore</w:t>
      </w:r>
    </w:p>
    <w:p>
      <w:pPr>
        <w:spacing w:line="281" w:lineRule="auto"/>
        <w:rPr>
          <w:rFonts w:ascii="SimSun" w:eastAsia="SimSun" w:hAnsi="SimSun" w:cs="SimSun"/>
          <w:sz w:val="21"/>
          <w:szCs w:val="21"/>
        </w:rPr>
        <w:sectPr>
          <w:type w:val="continuous"/>
          <w:pgSz w:w="12076" w:h="16498"/>
          <w:pgMar w:top="641" w:right="604" w:bottom="0" w:left="14" w:header="0" w:footer="0" w:gutter="0"/>
          <w:pgNumType w:start="3"/>
          <w:cols w:num="2" w:space="708" w:equalWidth="0">
            <w:col w:w="6044" w:space="100"/>
            <w:col w:w="5314" w:space="0"/>
          </w:cols>
        </w:sectPr>
      </w:pPr>
    </w:p>
    <w:p>
      <w:pPr>
        <w:spacing w:before="93" w:line="247" w:lineRule="auto"/>
        <w:ind w:left="1124"/>
        <w:rPr>
          <w:rFonts w:ascii="SimSun" w:eastAsia="SimSun" w:hAnsi="SimSun" w:cs="SimSun"/>
          <w:sz w:val="21"/>
          <w:szCs w:val="21"/>
        </w:rPr>
      </w:pPr>
      <w:r>
        <w:rPr>
          <w:rFonts w:ascii="SimSun" w:eastAsia="SimSun" w:hAnsi="SimSun" w:cs="SimSun"/>
          <w:color w:val="231F20"/>
          <w:spacing w:val="-5"/>
          <w:sz w:val="21"/>
          <w:szCs w:val="21"/>
          <w:u w:val="single" w:color="auto"/>
        </w:rPr>
        <w:t>式，液化后体积约是气态的 1/625，具有体积压缩    compatibility</w:t>
      </w:r>
      <w:r>
        <w:rPr>
          <w:rFonts w:ascii="SimSun" w:eastAsia="SimSun" w:hAnsi="SimSun" w:cs="SimSun"/>
          <w:color w:val="231F20"/>
          <w:spacing w:val="-22"/>
          <w:sz w:val="21"/>
          <w:szCs w:val="21"/>
          <w:u w:val="single" w:color="auto"/>
        </w:rPr>
        <w:t xml:space="preserve"> </w:t>
      </w:r>
      <w:r>
        <w:rPr>
          <w:rFonts w:ascii="SimSun" w:eastAsia="SimSun" w:hAnsi="SimSun" w:cs="SimSun"/>
          <w:color w:val="231F20"/>
          <w:spacing w:val="-5"/>
          <w:sz w:val="21"/>
          <w:szCs w:val="21"/>
          <w:u w:val="single" w:color="auto"/>
        </w:rPr>
        <w:t>study,</w:t>
      </w:r>
      <w:r>
        <w:rPr>
          <w:rFonts w:ascii="SimSun" w:eastAsia="SimSun" w:hAnsi="SimSun" w:cs="SimSun"/>
          <w:color w:val="231F20"/>
          <w:spacing w:val="-28"/>
          <w:sz w:val="21"/>
          <w:szCs w:val="21"/>
          <w:u w:val="single" w:color="auto"/>
        </w:rPr>
        <w:t xml:space="preserve"> </w:t>
      </w:r>
      <w:r>
        <w:rPr>
          <w:rFonts w:ascii="SimSun" w:eastAsia="SimSun" w:hAnsi="SimSun" w:cs="SimSun"/>
          <w:color w:val="231F20"/>
          <w:spacing w:val="-5"/>
          <w:sz w:val="21"/>
          <w:szCs w:val="21"/>
          <w:u w:val="single" w:color="auto"/>
        </w:rPr>
        <w:t>SSCS）是指在</w:t>
      </w:r>
      <w:r>
        <w:rPr>
          <w:rFonts w:ascii="SimSun" w:eastAsia="SimSun" w:hAnsi="SimSun" w:cs="SimSun"/>
          <w:color w:val="231F20"/>
          <w:spacing w:val="-33"/>
          <w:sz w:val="21"/>
          <w:szCs w:val="21"/>
          <w:u w:val="single" w:color="auto"/>
        </w:rPr>
        <w:t xml:space="preserve"> </w:t>
      </w:r>
      <w:r>
        <w:rPr>
          <w:rFonts w:ascii="SimSun" w:eastAsia="SimSun" w:hAnsi="SimSun" w:cs="SimSun"/>
          <w:color w:val="231F20"/>
          <w:spacing w:val="-5"/>
          <w:sz w:val="21"/>
          <w:szCs w:val="21"/>
          <w:u w:val="single" w:color="auto"/>
        </w:rPr>
        <w:t>LNG</w:t>
      </w:r>
      <w:r>
        <w:rPr>
          <w:rFonts w:ascii="SimSun" w:eastAsia="SimSun" w:hAnsi="SimSun" w:cs="SimSun"/>
          <w:color w:val="231F20"/>
          <w:spacing w:val="-45"/>
          <w:sz w:val="21"/>
          <w:szCs w:val="21"/>
          <w:u w:val="single" w:color="auto"/>
        </w:rPr>
        <w:t xml:space="preserve"> </w:t>
      </w:r>
      <w:r>
        <w:rPr>
          <w:rFonts w:ascii="SimSun" w:eastAsia="SimSun" w:hAnsi="SimSun" w:cs="SimSun"/>
          <w:color w:val="231F20"/>
          <w:spacing w:val="-5"/>
          <w:sz w:val="21"/>
          <w:szCs w:val="21"/>
          <w:u w:val="single" w:color="auto"/>
        </w:rPr>
        <w:t>船舶有计划</w:t>
      </w:r>
    </w:p>
    <w:p>
      <w:pPr>
        <w:spacing w:before="122" w:line="203" w:lineRule="auto"/>
        <w:ind w:left="1130"/>
        <w:rPr>
          <w:rFonts w:ascii="SimSun" w:eastAsia="SimSun" w:hAnsi="SimSun" w:cs="SimSun"/>
          <w:sz w:val="15"/>
          <w:szCs w:val="15"/>
        </w:rPr>
        <w:sectPr>
          <w:type w:val="continuous"/>
          <w:pgSz w:w="12076" w:h="16498"/>
          <w:pgMar w:top="641" w:right="604" w:bottom="0" w:left="14" w:header="0" w:footer="0" w:gutter="0"/>
          <w:pgNumType w:start="4"/>
          <w:cols w:num="1" w:space="708" w:equalWidth="0">
            <w:col w:w="11457" w:space="0"/>
          </w:cols>
        </w:sectPr>
      </w:pPr>
      <w:r>
        <w:rPr>
          <w:rFonts w:ascii="Microsoft YaHei" w:eastAsia="Microsoft YaHei" w:hAnsi="Microsoft YaHei" w:cs="Microsoft YaHei"/>
          <w:color w:val="6C6D70"/>
          <w:spacing w:val="-4"/>
          <w:sz w:val="15"/>
          <w:szCs w:val="15"/>
        </w:rPr>
        <w:t xml:space="preserve">收稿日期 </w:t>
      </w:r>
      <w:r>
        <w:rPr>
          <w:rFonts w:ascii="SimSun" w:eastAsia="SimSun" w:hAnsi="SimSun" w:cs="SimSun"/>
          <w:color w:val="6C6D70"/>
          <w:spacing w:val="-4"/>
          <w:sz w:val="15"/>
          <w:szCs w:val="15"/>
        </w:rPr>
        <w:t>：2022-12-06</w:t>
      </w:r>
      <w:r>
        <w:rPr>
          <w:rFonts w:ascii="SimSun" w:eastAsia="SimSun" w:hAnsi="SimSun" w:cs="SimSun"/>
          <w:color w:val="6C6D70"/>
          <w:spacing w:val="-25"/>
          <w:sz w:val="15"/>
          <w:szCs w:val="15"/>
        </w:rPr>
        <w:t xml:space="preserve"> </w:t>
      </w:r>
      <w:r>
        <w:rPr>
          <w:rFonts w:ascii="SimSun" w:eastAsia="SimSun" w:hAnsi="SimSun" w:cs="SimSun"/>
          <w:color w:val="6C6D70"/>
          <w:spacing w:val="-4"/>
          <w:sz w:val="15"/>
          <w:szCs w:val="15"/>
        </w:rPr>
        <w:t>；</w:t>
      </w:r>
      <w:r>
        <w:rPr>
          <w:rFonts w:ascii="Microsoft YaHei" w:eastAsia="Microsoft YaHei" w:hAnsi="Microsoft YaHei" w:cs="Microsoft YaHei"/>
          <w:color w:val="6C6D70"/>
          <w:spacing w:val="-4"/>
          <w:sz w:val="15"/>
          <w:szCs w:val="15"/>
        </w:rPr>
        <w:t xml:space="preserve">修回日期 </w:t>
      </w:r>
      <w:r>
        <w:rPr>
          <w:rFonts w:ascii="SimSun" w:eastAsia="SimSun" w:hAnsi="SimSun" w:cs="SimSun"/>
          <w:color w:val="6C6D70"/>
          <w:spacing w:val="-4"/>
          <w:sz w:val="15"/>
          <w:szCs w:val="15"/>
        </w:rPr>
        <w:t>：2023-01-16</w:t>
      </w:r>
    </w:p>
    <w:p>
      <w:pPr>
        <w:spacing w:before="2" w:line="202" w:lineRule="auto"/>
        <w:ind w:left="1126"/>
        <w:rPr>
          <w:rFonts w:ascii="SimSun" w:eastAsia="SimSun" w:hAnsi="SimSun" w:cs="SimSun"/>
          <w:sz w:val="15"/>
          <w:szCs w:val="15"/>
        </w:rPr>
      </w:pPr>
      <w:r>
        <w:rPr>
          <w:rFonts w:ascii="Microsoft YaHei" w:eastAsia="Microsoft YaHei" w:hAnsi="Microsoft YaHei" w:cs="Microsoft YaHei"/>
          <w:color w:val="6C6D70"/>
          <w:spacing w:val="-2"/>
          <w:sz w:val="15"/>
          <w:szCs w:val="15"/>
        </w:rPr>
        <w:t xml:space="preserve">作者简介 </w:t>
      </w:r>
      <w:r>
        <w:rPr>
          <w:rFonts w:ascii="SimSun" w:eastAsia="SimSun" w:hAnsi="SimSun" w:cs="SimSun"/>
          <w:color w:val="6C6D70"/>
          <w:spacing w:val="-2"/>
          <w:sz w:val="15"/>
          <w:szCs w:val="15"/>
        </w:rPr>
        <w:t>：张  坤（1989-</w:t>
      </w:r>
      <w:r>
        <w:rPr>
          <w:rFonts w:ascii="SimSun" w:eastAsia="SimSun" w:hAnsi="SimSun" w:cs="SimSun"/>
          <w:color w:val="6C6D70"/>
          <w:spacing w:val="-27"/>
          <w:sz w:val="15"/>
          <w:szCs w:val="15"/>
        </w:rPr>
        <w:t>），</w:t>
      </w:r>
      <w:r>
        <w:rPr>
          <w:rFonts w:ascii="SimSun" w:eastAsia="SimSun" w:hAnsi="SimSun" w:cs="SimSun"/>
          <w:color w:val="6C6D70"/>
          <w:spacing w:val="-2"/>
          <w:sz w:val="15"/>
          <w:szCs w:val="15"/>
        </w:rPr>
        <w:t>男，硕士，工程师。研究方向 ：LNG</w:t>
      </w:r>
      <w:r>
        <w:rPr>
          <w:rFonts w:ascii="SimSun" w:eastAsia="SimSun" w:hAnsi="SimSun" w:cs="SimSun"/>
          <w:color w:val="6C6D70"/>
          <w:spacing w:val="-32"/>
          <w:sz w:val="15"/>
          <w:szCs w:val="15"/>
        </w:rPr>
        <w:t xml:space="preserve"> </w:t>
      </w:r>
      <w:r>
        <w:rPr>
          <w:rFonts w:ascii="SimSun" w:eastAsia="SimSun" w:hAnsi="SimSun" w:cs="SimSun"/>
          <w:color w:val="6C6D70"/>
          <w:spacing w:val="-2"/>
          <w:sz w:val="15"/>
          <w:szCs w:val="15"/>
        </w:rPr>
        <w:t>接收站船岸界面技术研究和船岸作业安全管理。</w:t>
      </w:r>
    </w:p>
    <w:p>
      <w:pPr>
        <w:spacing w:line="275" w:lineRule="auto"/>
        <w:rPr>
          <w:rFonts w:ascii="Arial"/>
          <w:sz w:val="21"/>
        </w:rPr>
      </w:pPr>
    </w:p>
    <w:p>
      <w:pPr>
        <w:spacing w:before="71" w:line="174" w:lineRule="exact"/>
        <w:ind w:left="10511"/>
        <w:rPr>
          <w:rFonts w:ascii="Trebuchet MS" w:eastAsia="Trebuchet MS" w:hAnsi="Trebuchet MS" w:cs="Trebuchet MS"/>
          <w:sz w:val="24"/>
          <w:szCs w:val="24"/>
        </w:rPr>
      </w:pPr>
      <w:r>
        <w:rPr>
          <w:rFonts w:ascii="Trebuchet MS" w:eastAsia="Trebuchet MS" w:hAnsi="Trebuchet MS" w:cs="Trebuchet MS"/>
          <w:color w:val="231F20"/>
          <w:spacing w:val="6"/>
          <w:position w:val="-3"/>
          <w:sz w:val="24"/>
          <w:szCs w:val="24"/>
        </w:rPr>
        <w:t>97</w:t>
      </w:r>
    </w:p>
    <w:p>
      <w:pPr>
        <w:spacing w:line="174" w:lineRule="exact"/>
        <w:rPr>
          <w:rFonts w:ascii="Trebuchet MS" w:eastAsia="Trebuchet MS" w:hAnsi="Trebuchet MS" w:cs="Trebuchet MS"/>
          <w:sz w:val="24"/>
          <w:szCs w:val="24"/>
        </w:rPr>
        <w:sectPr>
          <w:type w:val="nextPage"/>
          <w:pgSz w:w="12076" w:h="16498"/>
          <w:pgMar w:top="641" w:right="604" w:bottom="0" w:left="14" w:header="0" w:footer="0" w:gutter="0"/>
          <w:pgNumType w:start="5"/>
          <w:cols w:num="1" w:space="708" w:equalWidth="0">
            <w:col w:w="11457" w:space="0"/>
          </w:cols>
          <w:titlePg w:val="0"/>
        </w:sectPr>
      </w:pPr>
    </w:p>
    <w:p>
      <w:pPr>
        <w:spacing w:before="158" w:line="402" w:lineRule="exact"/>
      </w:pPr>
      <w:r>
        <w:pict>
          <v:rect id="_x0000_s1028" style="width:5.1pt;height:4.85pt;margin-top:772.21pt;margin-left:84.8pt;mso-position-horizontal-relative:page;mso-position-vertical-relative:page;position:absolute;z-index:251672576" o:allowincell="f" filled="t" fillcolor="#bcbdc0" stroked="f"/>
        </w:pict>
      </w:r>
      <w:r>
        <w:pict>
          <v:rect id="_x0000_s1029" style="width:5.2pt;height:4.85pt;margin-top:772.23pt;margin-left:114.34pt;mso-position-horizontal-relative:page;mso-position-vertical-relative:page;position:absolute;z-index:251671552" o:allowincell="f" filled="t" fillcolor="#bcbdc0" stroked="f"/>
        </w:pict>
      </w:r>
      <w:r>
        <w:pict>
          <v:rect id="_x0000_s1030" style="width:4.9pt;height:4.95pt;margin-top:772.22pt;margin-left:133.61pt;mso-position-horizontal-relative:page;mso-position-vertical-relative:page;position:absolute;z-index:251673600" o:allowincell="f" filled="t" fillcolor="#bcbdc0" stroked="f"/>
        </w:pict>
      </w:r>
      <w:r>
        <w:pict>
          <v:rect id="_x0000_s1031" style="width:337.35pt;height:4.6pt;margin-top:63.5pt;margin-left:265.77pt;mso-position-horizontal-relative:page;mso-position-vertical-relative:page;position:absolute;z-index:251665408" o:allowincell="f" filled="t" fillcolor="#731e28" stroked="f"/>
        </w:pict>
      </w:r>
      <w:r>
        <w:drawing>
          <wp:anchor distT="0" distB="0" distL="0" distR="0" simplePos="0" relativeHeight="251667456" behindDoc="0" locked="0" layoutInCell="0" allowOverlap="1">
            <wp:simplePos x="0" y="0"/>
            <wp:positionH relativeFrom="page">
              <wp:posOffset>384046</wp:posOffset>
            </wp:positionH>
            <wp:positionV relativeFrom="page">
              <wp:posOffset>9688473</wp:posOffset>
            </wp:positionV>
            <wp:extent cx="263966" cy="263979"/>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9"/>
                    <a:stretch>
                      <a:fillRect/>
                    </a:stretch>
                  </pic:blipFill>
                  <pic:spPr>
                    <a:xfrm>
                      <a:off x="0" y="0"/>
                      <a:ext cx="263966" cy="263979"/>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1238798</wp:posOffset>
            </wp:positionH>
            <wp:positionV relativeFrom="page">
              <wp:posOffset>9807051</wp:posOffset>
            </wp:positionV>
            <wp:extent cx="180347" cy="62255"/>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0"/>
                    <a:stretch>
                      <a:fillRect/>
                    </a:stretch>
                  </pic:blipFill>
                  <pic:spPr>
                    <a:xfrm>
                      <a:off x="0" y="0"/>
                      <a:ext cx="180347" cy="62255"/>
                    </a:xfrm>
                    <a:prstGeom prst="rect">
                      <a:avLst/>
                    </a:prstGeom>
                  </pic:spPr>
                </pic:pic>
              </a:graphicData>
            </a:graphic>
          </wp:anchor>
        </w:drawing>
      </w:r>
      <w:r>
        <w:drawing>
          <wp:anchor distT="0" distB="0" distL="0" distR="0" simplePos="0" relativeHeight="251670528" behindDoc="0" locked="0" layoutInCell="0" allowOverlap="1">
            <wp:simplePos x="0" y="0"/>
            <wp:positionH relativeFrom="page">
              <wp:posOffset>1156519</wp:posOffset>
            </wp:positionH>
            <wp:positionV relativeFrom="page">
              <wp:posOffset>9807148</wp:posOffset>
            </wp:positionV>
            <wp:extent cx="70129" cy="6216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1"/>
                    <a:stretch>
                      <a:fillRect/>
                    </a:stretch>
                  </pic:blipFill>
                  <pic:spPr>
                    <a:xfrm>
                      <a:off x="0" y="0"/>
                      <a:ext cx="70129" cy="62166"/>
                    </a:xfrm>
                    <a:prstGeom prst="rect">
                      <a:avLst/>
                    </a:prstGeom>
                  </pic:spPr>
                </pic:pic>
              </a:graphicData>
            </a:graphic>
          </wp:anchor>
        </w:drawing>
      </w:r>
      <w:r>
        <w:drawing>
          <wp:anchor distT="0" distB="0" distL="0" distR="0" simplePos="0" relativeHeight="251669504" behindDoc="0" locked="0" layoutInCell="0" allowOverlap="1">
            <wp:simplePos x="0" y="0"/>
            <wp:positionH relativeFrom="page">
              <wp:posOffset>1533663</wp:posOffset>
            </wp:positionH>
            <wp:positionV relativeFrom="page">
              <wp:posOffset>9807149</wp:posOffset>
            </wp:positionV>
            <wp:extent cx="150888" cy="61583"/>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2"/>
                    <a:stretch>
                      <a:fillRect/>
                    </a:stretch>
                  </pic:blipFill>
                  <pic:spPr>
                    <a:xfrm>
                      <a:off x="0" y="0"/>
                      <a:ext cx="150888" cy="61583"/>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2404864</wp:posOffset>
            </wp:positionH>
            <wp:positionV relativeFrom="page">
              <wp:posOffset>608394</wp:posOffset>
            </wp:positionV>
            <wp:extent cx="881507" cy="256116"/>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881507" cy="256116"/>
                    </a:xfrm>
                    <a:prstGeom prst="rect">
                      <a:avLst/>
                    </a:prstGeom>
                  </pic:spPr>
                </pic:pic>
              </a:graphicData>
            </a:graphic>
          </wp:anchor>
        </w:drawing>
      </w:r>
      <w:r>
        <w:rPr>
          <w:position w:val="-8"/>
        </w:rPr>
        <w:drawing>
          <wp:inline distT="0" distB="0" distL="0" distR="0">
            <wp:extent cx="2278811" cy="25565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4"/>
                    <a:stretch>
                      <a:fillRect/>
                    </a:stretch>
                  </pic:blipFill>
                  <pic:spPr>
                    <a:xfrm>
                      <a:off x="0" y="0"/>
                      <a:ext cx="2278811" cy="255650"/>
                    </a:xfrm>
                    <a:prstGeom prst="rect">
                      <a:avLst/>
                    </a:prstGeom>
                  </pic:spPr>
                </pic:pic>
              </a:graphicData>
            </a:graphic>
          </wp:inline>
        </w:drawing>
      </w:r>
    </w:p>
    <w:p>
      <w:pPr>
        <w:spacing w:before="28"/>
      </w:pPr>
    </w:p>
    <w:p>
      <w:pPr>
        <w:spacing w:before="28"/>
      </w:pPr>
    </w:p>
    <w:p>
      <w:pPr>
        <w:sectPr>
          <w:pgSz w:w="12076" w:h="16498"/>
          <w:pgMar w:top="958" w:right="13" w:bottom="0" w:left="0" w:header="0" w:footer="0" w:gutter="0"/>
          <w:pgNumType w:start="6"/>
          <w:cols w:num="1" w:space="708" w:equalWidth="0">
            <w:col w:w="12063" w:space="0"/>
          </w:cols>
        </w:sectPr>
      </w:pPr>
    </w:p>
    <w:p>
      <w:pPr>
        <w:spacing w:before="43" w:line="277" w:lineRule="auto"/>
        <w:ind w:left="1306" w:right="298" w:firstLine="2"/>
        <w:jc w:val="both"/>
        <w:rPr>
          <w:rFonts w:ascii="SimSun" w:eastAsia="SimSun" w:hAnsi="SimSun" w:cs="SimSun"/>
          <w:sz w:val="21"/>
          <w:szCs w:val="21"/>
        </w:rPr>
      </w:pPr>
      <w:r>
        <w:rPr>
          <w:rFonts w:ascii="SimSun" w:eastAsia="SimSun" w:hAnsi="SimSun" w:cs="SimSun"/>
          <w:color w:val="231F20"/>
          <w:spacing w:val="10"/>
          <w:sz w:val="21"/>
          <w:szCs w:val="21"/>
        </w:rPr>
        <w:t>地靠泊</w:t>
      </w:r>
      <w:r>
        <w:rPr>
          <w:rFonts w:ascii="SimSun" w:eastAsia="SimSun" w:hAnsi="SimSun" w:cs="SimSun"/>
          <w:color w:val="231F20"/>
          <w:spacing w:val="-44"/>
          <w:sz w:val="21"/>
          <w:szCs w:val="21"/>
        </w:rPr>
        <w:t xml:space="preserve"> </w:t>
      </w:r>
      <w:r>
        <w:rPr>
          <w:rFonts w:ascii="SimSun" w:eastAsia="SimSun" w:hAnsi="SimSun" w:cs="SimSun"/>
          <w:color w:val="231F20"/>
          <w:sz w:val="21"/>
          <w:szCs w:val="21"/>
        </w:rPr>
        <w:t>LNG</w:t>
      </w:r>
      <w:r>
        <w:rPr>
          <w:rFonts w:ascii="SimSun" w:eastAsia="SimSun" w:hAnsi="SimSun" w:cs="SimSun"/>
          <w:color w:val="231F20"/>
          <w:spacing w:val="-46"/>
          <w:sz w:val="21"/>
          <w:szCs w:val="21"/>
        </w:rPr>
        <w:t xml:space="preserve"> </w:t>
      </w:r>
      <w:r>
        <w:rPr>
          <w:rFonts w:ascii="SimSun" w:eastAsia="SimSun" w:hAnsi="SimSun" w:cs="SimSun"/>
          <w:color w:val="231F20"/>
          <w:spacing w:val="10"/>
          <w:sz w:val="21"/>
          <w:szCs w:val="21"/>
        </w:rPr>
        <w:t>岸站前，由船岸双方就码头卸货设施</w:t>
      </w:r>
      <w:r>
        <w:rPr>
          <w:rFonts w:ascii="SimSun" w:eastAsia="SimSun" w:hAnsi="SimSun" w:cs="SimSun"/>
          <w:color w:val="231F20"/>
          <w:sz w:val="21"/>
          <w:szCs w:val="21"/>
        </w:rPr>
        <w:t xml:space="preserve"> </w:t>
      </w:r>
      <w:r>
        <w:rPr>
          <w:rFonts w:ascii="SimSun" w:eastAsia="SimSun" w:hAnsi="SimSun" w:cs="SimSun"/>
          <w:color w:val="231F20"/>
          <w:spacing w:val="-1"/>
          <w:sz w:val="21"/>
          <w:szCs w:val="21"/>
        </w:rPr>
        <w:t>及船舶具体信息进行交换，并由岸站对此进行逐一</w:t>
      </w:r>
      <w:r>
        <w:rPr>
          <w:rFonts w:ascii="SimSun" w:eastAsia="SimSun" w:hAnsi="SimSun" w:cs="SimSun"/>
          <w:color w:val="231F20"/>
          <w:spacing w:val="18"/>
          <w:sz w:val="21"/>
          <w:szCs w:val="21"/>
        </w:rPr>
        <w:t xml:space="preserve"> </w:t>
      </w:r>
      <w:r>
        <w:rPr>
          <w:rFonts w:ascii="SimSun" w:eastAsia="SimSun" w:hAnsi="SimSun" w:cs="SimSun"/>
          <w:color w:val="231F20"/>
          <w:spacing w:val="-1"/>
          <w:sz w:val="21"/>
          <w:szCs w:val="21"/>
        </w:rPr>
        <w:t>审核比对，确认船岸双方能够完全匹配，从而保证</w:t>
      </w:r>
      <w:r>
        <w:rPr>
          <w:rFonts w:ascii="SimSun" w:eastAsia="SimSun" w:hAnsi="SimSun" w:cs="SimSun"/>
          <w:color w:val="231F20"/>
          <w:spacing w:val="18"/>
          <w:sz w:val="21"/>
          <w:szCs w:val="21"/>
        </w:rPr>
        <w:t xml:space="preserve"> </w:t>
      </w:r>
      <w:r>
        <w:rPr>
          <w:rFonts w:ascii="SimSun" w:eastAsia="SimSun" w:hAnsi="SimSun" w:cs="SimSun"/>
          <w:color w:val="231F20"/>
          <w:spacing w:val="-3"/>
          <w:sz w:val="21"/>
          <w:szCs w:val="21"/>
        </w:rPr>
        <w:t>船舶能够安全靠泊、离泊及进行卸货作业</w:t>
      </w:r>
      <w:r>
        <w:rPr>
          <w:rFonts w:ascii="SimSun" w:eastAsia="SimSun" w:hAnsi="SimSun" w:cs="SimSun"/>
          <w:color w:val="231F20"/>
          <w:spacing w:val="-43"/>
          <w:sz w:val="21"/>
          <w:szCs w:val="21"/>
        </w:rPr>
        <w:t xml:space="preserve"> </w:t>
      </w:r>
      <w:r>
        <w:rPr>
          <w:rFonts w:ascii="SimSun" w:eastAsia="SimSun" w:hAnsi="SimSun" w:cs="SimSun"/>
          <w:color w:val="231F20"/>
          <w:spacing w:val="-3"/>
          <w:position w:val="8"/>
          <w:sz w:val="12"/>
          <w:szCs w:val="12"/>
        </w:rPr>
        <w:t>[3]</w:t>
      </w:r>
      <w:r>
        <w:rPr>
          <w:rFonts w:ascii="SimSun" w:eastAsia="SimSun" w:hAnsi="SimSun" w:cs="SimSun"/>
          <w:color w:val="231F20"/>
          <w:spacing w:val="-3"/>
          <w:sz w:val="21"/>
          <w:szCs w:val="21"/>
        </w:rPr>
        <w:t>。</w:t>
      </w:r>
    </w:p>
    <w:p>
      <w:pPr>
        <w:spacing w:line="301" w:lineRule="auto"/>
        <w:rPr>
          <w:rFonts w:ascii="Arial"/>
          <w:sz w:val="21"/>
        </w:rPr>
      </w:pPr>
    </w:p>
    <w:p>
      <w:pPr>
        <w:spacing w:before="120" w:line="203" w:lineRule="auto"/>
        <w:ind w:left="1335"/>
        <w:rPr>
          <w:rFonts w:ascii="Microsoft YaHei" w:eastAsia="Microsoft YaHei" w:hAnsi="Microsoft YaHei" w:cs="Microsoft YaHei"/>
          <w:sz w:val="28"/>
          <w:szCs w:val="28"/>
        </w:rPr>
      </w:pPr>
      <w:r>
        <w:rPr>
          <w:rFonts w:ascii="Microsoft YaHei" w:eastAsia="Microsoft YaHei" w:hAnsi="Microsoft YaHei" w:cs="Microsoft YaHei"/>
          <w:color w:val="C3262C"/>
          <w:spacing w:val="-5"/>
          <w:sz w:val="28"/>
          <w:szCs w:val="28"/>
        </w:rPr>
        <w:t>1   船岸匹配校核流程</w:t>
      </w:r>
    </w:p>
    <w:p>
      <w:pPr>
        <w:spacing w:before="285" w:line="286" w:lineRule="auto"/>
        <w:ind w:left="1306" w:right="299" w:firstLine="427"/>
        <w:rPr>
          <w:rFonts w:ascii="SimSun" w:eastAsia="SimSun" w:hAnsi="SimSun" w:cs="SimSun"/>
          <w:sz w:val="21"/>
          <w:szCs w:val="21"/>
        </w:rPr>
      </w:pPr>
      <w:r>
        <w:rPr>
          <w:rFonts w:ascii="SimSun" w:eastAsia="SimSun" w:hAnsi="SimSun" w:cs="SimSun"/>
          <w:color w:val="231F20"/>
          <w:spacing w:val="-16"/>
          <w:sz w:val="21"/>
          <w:szCs w:val="21"/>
        </w:rPr>
        <w:t>船岸匹配校核， 要实现硬件及软件的充分兼容。</w:t>
      </w:r>
      <w:r>
        <w:rPr>
          <w:rFonts w:ascii="SimSun" w:eastAsia="SimSun" w:hAnsi="SimSun" w:cs="SimSun"/>
          <w:color w:val="231F20"/>
          <w:spacing w:val="2"/>
          <w:sz w:val="21"/>
          <w:szCs w:val="21"/>
        </w:rPr>
        <w:t xml:space="preserve"> </w:t>
      </w:r>
      <w:r>
        <w:rPr>
          <w:rFonts w:ascii="SimSun" w:eastAsia="SimSun" w:hAnsi="SimSun" w:cs="SimSun"/>
          <w:color w:val="231F20"/>
          <w:spacing w:val="-10"/>
          <w:sz w:val="21"/>
          <w:szCs w:val="21"/>
        </w:rPr>
        <w:t>船岸校核的一般步骤为：岸站根据船期安排尽快与船</w:t>
      </w:r>
      <w:r>
        <w:rPr>
          <w:rFonts w:ascii="SimSun" w:eastAsia="SimSun" w:hAnsi="SimSun" w:cs="SimSun"/>
          <w:color w:val="231F20"/>
          <w:spacing w:val="16"/>
          <w:sz w:val="21"/>
          <w:szCs w:val="21"/>
        </w:rPr>
        <w:t xml:space="preserve"> </w:t>
      </w:r>
      <w:r>
        <w:rPr>
          <w:rFonts w:ascii="SimSun" w:eastAsia="SimSun" w:hAnsi="SimSun" w:cs="SimSun"/>
          <w:color w:val="231F20"/>
          <w:spacing w:val="-14"/>
          <w:sz w:val="21"/>
          <w:szCs w:val="21"/>
        </w:rPr>
        <w:t>方（包括船东、船舶管理公司或船舶租家） 建立联系</w:t>
      </w:r>
      <w:r>
        <w:rPr>
          <w:rFonts w:ascii="SimSun" w:eastAsia="SimSun" w:hAnsi="SimSun" w:cs="SimSun"/>
          <w:color w:val="231F20"/>
          <w:spacing w:val="17"/>
          <w:sz w:val="21"/>
          <w:szCs w:val="21"/>
        </w:rPr>
        <w:t xml:space="preserve"> </w:t>
      </w:r>
      <w:r>
        <w:rPr>
          <w:rFonts w:ascii="SimSun" w:eastAsia="SimSun" w:hAnsi="SimSun" w:cs="SimSun"/>
          <w:color w:val="231F20"/>
          <w:spacing w:val="-10"/>
          <w:sz w:val="21"/>
          <w:szCs w:val="21"/>
        </w:rPr>
        <w:t>并交换船岸信息；确认信息交换完成并开展匹配校核</w:t>
      </w:r>
      <w:r>
        <w:rPr>
          <w:rFonts w:ascii="SimSun" w:eastAsia="SimSun" w:hAnsi="SimSun" w:cs="SimSun"/>
          <w:color w:val="231F20"/>
          <w:spacing w:val="16"/>
          <w:sz w:val="21"/>
          <w:szCs w:val="21"/>
        </w:rPr>
        <w:t xml:space="preserve"> </w:t>
      </w:r>
      <w:r>
        <w:rPr>
          <w:rFonts w:ascii="SimSun" w:eastAsia="SimSun" w:hAnsi="SimSun" w:cs="SimSun"/>
          <w:color w:val="231F20"/>
          <w:spacing w:val="-11"/>
          <w:sz w:val="21"/>
          <w:szCs w:val="21"/>
        </w:rPr>
        <w:t>工作；向各相关方发送匹配校核结论（如满意或提出</w:t>
      </w:r>
      <w:r>
        <w:rPr>
          <w:rFonts w:ascii="SimSun" w:eastAsia="SimSun" w:hAnsi="SimSun" w:cs="SimSun"/>
          <w:color w:val="231F20"/>
          <w:spacing w:val="13"/>
          <w:sz w:val="21"/>
          <w:szCs w:val="21"/>
        </w:rPr>
        <w:t xml:space="preserve"> </w:t>
      </w:r>
      <w:r>
        <w:rPr>
          <w:rFonts w:ascii="SimSun" w:eastAsia="SimSun" w:hAnsi="SimSun" w:cs="SimSun"/>
          <w:color w:val="231F20"/>
          <w:spacing w:val="-13"/>
          <w:sz w:val="21"/>
          <w:szCs w:val="21"/>
        </w:rPr>
        <w:t>需改进部分</w:t>
      </w:r>
      <w:r>
        <w:rPr>
          <w:rFonts w:ascii="SimSun" w:eastAsia="SimSun" w:hAnsi="SimSun" w:cs="SimSun"/>
          <w:color w:val="231F20"/>
          <w:spacing w:val="-19"/>
          <w:sz w:val="21"/>
          <w:szCs w:val="21"/>
        </w:rPr>
        <w:t>）</w:t>
      </w:r>
      <w:r>
        <w:rPr>
          <w:rFonts w:ascii="SimSun" w:eastAsia="SimSun" w:hAnsi="SimSun" w:cs="SimSun"/>
          <w:color w:val="231F20"/>
          <w:spacing w:val="-8"/>
          <w:sz w:val="21"/>
          <w:szCs w:val="21"/>
        </w:rPr>
        <w:t xml:space="preserve"> </w:t>
      </w:r>
      <w:r>
        <w:rPr>
          <w:rFonts w:ascii="SimSun" w:eastAsia="SimSun" w:hAnsi="SimSun" w:cs="SimSun"/>
          <w:color w:val="231F20"/>
          <w:spacing w:val="-19"/>
          <w:sz w:val="21"/>
          <w:szCs w:val="21"/>
        </w:rPr>
        <w:t>，</w:t>
      </w:r>
      <w:r>
        <w:rPr>
          <w:rFonts w:ascii="SimSun" w:eastAsia="SimSun" w:hAnsi="SimSun" w:cs="SimSun"/>
          <w:color w:val="231F20"/>
          <w:spacing w:val="-13"/>
          <w:sz w:val="21"/>
          <w:szCs w:val="21"/>
        </w:rPr>
        <w:t>船方针对收到的研究结论进行确认或</w:t>
      </w:r>
      <w:r>
        <w:rPr>
          <w:rFonts w:ascii="SimSun" w:eastAsia="SimSun" w:hAnsi="SimSun" w:cs="SimSun"/>
          <w:color w:val="231F20"/>
          <w:sz w:val="21"/>
          <w:szCs w:val="21"/>
        </w:rPr>
        <w:t xml:space="preserve"> </w:t>
      </w:r>
      <w:r>
        <w:rPr>
          <w:rFonts w:ascii="SimSun" w:eastAsia="SimSun" w:hAnsi="SimSun" w:cs="SimSun"/>
          <w:color w:val="231F20"/>
          <w:spacing w:val="-20"/>
          <w:sz w:val="21"/>
          <w:szCs w:val="21"/>
        </w:rPr>
        <w:t>改进， 并反馈至接收站或装载码头方确认合格后，</w:t>
      </w:r>
      <w:r>
        <w:rPr>
          <w:rFonts w:ascii="SimSun" w:eastAsia="SimSun" w:hAnsi="SimSun" w:cs="SimSun"/>
          <w:color w:val="231F20"/>
          <w:spacing w:val="56"/>
          <w:sz w:val="21"/>
          <w:szCs w:val="21"/>
        </w:rPr>
        <w:t xml:space="preserve"> </w:t>
      </w:r>
      <w:r>
        <w:rPr>
          <w:rFonts w:ascii="SimSun" w:eastAsia="SimSun" w:hAnsi="SimSun" w:cs="SimSun"/>
          <w:color w:val="231F20"/>
          <w:spacing w:val="-20"/>
          <w:sz w:val="21"/>
          <w:szCs w:val="21"/>
        </w:rPr>
        <w:t>由</w:t>
      </w:r>
      <w:r>
        <w:rPr>
          <w:rFonts w:ascii="SimSun" w:eastAsia="SimSun" w:hAnsi="SimSun" w:cs="SimSun"/>
          <w:color w:val="231F20"/>
          <w:sz w:val="21"/>
          <w:szCs w:val="21"/>
        </w:rPr>
        <w:t xml:space="preserve"> </w:t>
      </w:r>
      <w:r>
        <w:rPr>
          <w:rFonts w:ascii="SimSun" w:eastAsia="SimSun" w:hAnsi="SimSun" w:cs="SimSun"/>
          <w:color w:val="231F20"/>
          <w:spacing w:val="-8"/>
          <w:sz w:val="21"/>
          <w:szCs w:val="21"/>
        </w:rPr>
        <w:t>岸站向船方发送“船岸匹配兼容准入函”</w:t>
      </w:r>
      <w:r>
        <w:rPr>
          <w:rFonts w:ascii="SimSun" w:eastAsia="SimSun" w:hAnsi="SimSun" w:cs="SimSun"/>
          <w:color w:val="231F20"/>
          <w:spacing w:val="-8"/>
          <w:position w:val="8"/>
          <w:sz w:val="12"/>
          <w:szCs w:val="12"/>
        </w:rPr>
        <w:t>[4]</w:t>
      </w:r>
      <w:r>
        <w:rPr>
          <w:rFonts w:ascii="SimSun" w:eastAsia="SimSun" w:hAnsi="SimSun" w:cs="SimSun"/>
          <w:color w:val="231F20"/>
          <w:spacing w:val="-8"/>
          <w:sz w:val="21"/>
          <w:szCs w:val="21"/>
        </w:rPr>
        <w:t>。部分船</w:t>
      </w:r>
      <w:r>
        <w:rPr>
          <w:rFonts w:ascii="SimSun" w:eastAsia="SimSun" w:hAnsi="SimSun" w:cs="SimSun"/>
          <w:color w:val="231F20"/>
          <w:spacing w:val="13"/>
          <w:sz w:val="21"/>
          <w:szCs w:val="21"/>
        </w:rPr>
        <w:t xml:space="preserve"> </w:t>
      </w:r>
      <w:r>
        <w:rPr>
          <w:rFonts w:ascii="SimSun" w:eastAsia="SimSun" w:hAnsi="SimSun" w:cs="SimSun"/>
          <w:color w:val="231F20"/>
          <w:spacing w:val="-16"/>
          <w:sz w:val="21"/>
          <w:szCs w:val="21"/>
        </w:rPr>
        <w:t>方还可能会对接收站或装载码头展开尽职调查，</w:t>
      </w:r>
      <w:r>
        <w:rPr>
          <w:rFonts w:ascii="SimSun" w:eastAsia="SimSun" w:hAnsi="SimSun" w:cs="SimSun"/>
          <w:color w:val="231F20"/>
          <w:spacing w:val="49"/>
          <w:sz w:val="21"/>
          <w:szCs w:val="21"/>
        </w:rPr>
        <w:t xml:space="preserve"> </w:t>
      </w:r>
      <w:r>
        <w:rPr>
          <w:rFonts w:ascii="SimSun" w:eastAsia="SimSun" w:hAnsi="SimSun" w:cs="SimSun"/>
          <w:color w:val="231F20"/>
          <w:spacing w:val="-16"/>
          <w:sz w:val="21"/>
          <w:szCs w:val="21"/>
        </w:rPr>
        <w:t>就船</w:t>
      </w:r>
    </w:p>
    <w:p>
      <w:pPr>
        <w:spacing w:line="14" w:lineRule="auto"/>
        <w:rPr>
          <w:rFonts w:ascii="Arial"/>
          <w:sz w:val="2"/>
        </w:rPr>
      </w:pPr>
      <w:r>
        <w:rPr>
          <w:rFonts w:ascii="Arial" w:eastAsia="Arial" w:hAnsi="Arial" w:cs="Arial"/>
          <w:sz w:val="2"/>
          <w:szCs w:val="2"/>
        </w:rPr>
        <w:br w:type="column"/>
      </w:r>
    </w:p>
    <w:p>
      <w:pPr>
        <w:pStyle w:val="BodyText"/>
        <w:spacing w:before="39" w:line="282" w:lineRule="auto"/>
        <w:ind w:right="1120" w:firstLine="2"/>
        <w:jc w:val="both"/>
        <w:rPr>
          <w:rFonts w:ascii="SimSun" w:eastAsia="SimSun" w:hAnsi="SimSun" w:cs="SimSun"/>
        </w:rPr>
      </w:pPr>
      <w:r>
        <w:rPr>
          <w:rFonts w:ascii="SimSun" w:eastAsia="SimSun" w:hAnsi="SimSun" w:cs="SimSun"/>
          <w:color w:val="231F20"/>
          <w:spacing w:val="-1"/>
        </w:rPr>
        <w:t>岸双方装卸货作业相关设施及问题进行进一步交流</w:t>
      </w:r>
      <w:r>
        <w:rPr>
          <w:rFonts w:ascii="SimSun" w:eastAsia="SimSun" w:hAnsi="SimSun" w:cs="SimSun"/>
          <w:color w:val="231F20"/>
          <w:spacing w:val="16"/>
        </w:rPr>
        <w:t xml:space="preserve"> </w:t>
      </w:r>
      <w:r>
        <w:rPr>
          <w:rFonts w:ascii="SimSun" w:eastAsia="SimSun" w:hAnsi="SimSun" w:cs="SimSun"/>
          <w:color w:val="231F20"/>
          <w:spacing w:val="-10"/>
        </w:rPr>
        <w:t>沟通直至船舶到港装卸货</w:t>
      </w:r>
      <w:r>
        <w:rPr>
          <w:rFonts w:ascii="SimSun" w:eastAsia="SimSun" w:hAnsi="SimSun" w:cs="SimSun"/>
          <w:color w:val="231F20"/>
          <w:spacing w:val="-49"/>
        </w:rPr>
        <w:t xml:space="preserve"> </w:t>
      </w:r>
      <w:r>
        <w:rPr>
          <w:rFonts w:ascii="SimSun" w:eastAsia="SimSun" w:hAnsi="SimSun" w:cs="SimSun"/>
          <w:color w:val="231F20"/>
          <w:spacing w:val="-10"/>
          <w:position w:val="8"/>
          <w:sz w:val="12"/>
          <w:szCs w:val="12"/>
        </w:rPr>
        <w:t>[5]</w:t>
      </w:r>
      <w:r>
        <w:rPr>
          <w:rFonts w:ascii="SimSun" w:eastAsia="SimSun" w:hAnsi="SimSun" w:cs="SimSun"/>
          <w:color w:val="231F20"/>
          <w:spacing w:val="-10"/>
        </w:rPr>
        <w:t>。船岸匹配校核应在确定</w:t>
      </w:r>
      <w:r>
        <w:rPr>
          <w:rFonts w:ascii="SimSun" w:eastAsia="SimSun" w:hAnsi="SimSun" w:cs="SimSun"/>
          <w:color w:val="231F20"/>
        </w:rPr>
        <w:t xml:space="preserve"> </w:t>
      </w:r>
      <w:r>
        <w:rPr>
          <w:rFonts w:ascii="SimSun" w:eastAsia="SimSun" w:hAnsi="SimSun" w:cs="SimSun"/>
          <w:color w:val="231F20"/>
          <w:spacing w:val="-5"/>
        </w:rPr>
        <w:t>船期后尽快开展，一般提前</w:t>
      </w:r>
      <w:r>
        <w:rPr>
          <w:rFonts w:ascii="SimSun" w:eastAsia="SimSun" w:hAnsi="SimSun" w:cs="SimSun"/>
          <w:color w:val="231F20"/>
          <w:spacing w:val="-58"/>
        </w:rPr>
        <w:t xml:space="preserve"> </w:t>
      </w:r>
      <w:r>
        <w:rPr>
          <w:rFonts w:ascii="SimSun" w:eastAsia="SimSun" w:hAnsi="SimSun" w:cs="SimSun"/>
          <w:color w:val="231F20"/>
          <w:spacing w:val="-5"/>
        </w:rPr>
        <w:t>4</w:t>
      </w:r>
      <w:r>
        <w:rPr>
          <w:rFonts w:ascii="SimSun" w:eastAsia="SimSun" w:hAnsi="SimSun" w:cs="SimSun"/>
          <w:color w:val="231F20"/>
          <w:spacing w:val="-53"/>
        </w:rPr>
        <w:t xml:space="preserve"> </w:t>
      </w:r>
      <w:r>
        <w:rPr>
          <w:color w:val="231F20"/>
          <w:spacing w:val="-5"/>
        </w:rPr>
        <w:t xml:space="preserve">~ </w:t>
      </w:r>
      <w:r>
        <w:rPr>
          <w:rFonts w:ascii="SimSun" w:eastAsia="SimSun" w:hAnsi="SimSun" w:cs="SimSun"/>
          <w:color w:val="231F20"/>
          <w:spacing w:val="-5"/>
        </w:rPr>
        <w:t>6</w:t>
      </w:r>
      <w:r>
        <w:rPr>
          <w:rFonts w:ascii="SimSun" w:eastAsia="SimSun" w:hAnsi="SimSun" w:cs="SimSun"/>
          <w:color w:val="231F20"/>
          <w:spacing w:val="-57"/>
        </w:rPr>
        <w:t xml:space="preserve"> </w:t>
      </w:r>
      <w:r>
        <w:rPr>
          <w:rFonts w:ascii="SimSun" w:eastAsia="SimSun" w:hAnsi="SimSun" w:cs="SimSun"/>
          <w:color w:val="231F20"/>
          <w:spacing w:val="-5"/>
        </w:rPr>
        <w:t>周以上为</w:t>
      </w:r>
      <w:r>
        <w:rPr>
          <w:rFonts w:ascii="SimSun" w:eastAsia="SimSun" w:hAnsi="SimSun" w:cs="SimSun"/>
          <w:color w:val="231F20"/>
          <w:spacing w:val="-6"/>
        </w:rPr>
        <w:t>宜，以确</w:t>
      </w:r>
      <w:r>
        <w:rPr>
          <w:rFonts w:ascii="SimSun" w:eastAsia="SimSun" w:hAnsi="SimSun" w:cs="SimSun"/>
          <w:color w:val="231F20"/>
        </w:rPr>
        <w:t xml:space="preserve"> </w:t>
      </w:r>
      <w:r>
        <w:rPr>
          <w:rFonts w:ascii="SimSun" w:eastAsia="SimSun" w:hAnsi="SimSun" w:cs="SimSun"/>
          <w:color w:val="231F20"/>
          <w:spacing w:val="-15"/>
        </w:rPr>
        <w:t>保船岸双方能够及时对问题进行整改，</w:t>
      </w:r>
      <w:r>
        <w:rPr>
          <w:rFonts w:ascii="SimSun" w:eastAsia="SimSun" w:hAnsi="SimSun" w:cs="SimSun"/>
          <w:color w:val="231F20"/>
          <w:spacing w:val="30"/>
        </w:rPr>
        <w:t xml:space="preserve"> </w:t>
      </w:r>
      <w:r>
        <w:rPr>
          <w:rFonts w:ascii="SimSun" w:eastAsia="SimSun" w:hAnsi="SimSun" w:cs="SimSun"/>
          <w:color w:val="231F20"/>
          <w:spacing w:val="-15"/>
        </w:rPr>
        <w:t>不影</w:t>
      </w:r>
      <w:r>
        <w:rPr>
          <w:rFonts w:ascii="SimSun" w:eastAsia="SimSun" w:hAnsi="SimSun" w:cs="SimSun"/>
          <w:color w:val="231F20"/>
          <w:spacing w:val="-16"/>
        </w:rPr>
        <w:t>响船舶按</w:t>
      </w:r>
      <w:r>
        <w:rPr>
          <w:rFonts w:ascii="SimSun" w:eastAsia="SimSun" w:hAnsi="SimSun" w:cs="SimSun"/>
          <w:color w:val="231F20"/>
        </w:rPr>
        <w:t xml:space="preserve"> </w:t>
      </w:r>
      <w:r>
        <w:rPr>
          <w:rFonts w:ascii="SimSun" w:eastAsia="SimSun" w:hAnsi="SimSun" w:cs="SimSun"/>
          <w:color w:val="231F20"/>
          <w:spacing w:val="-10"/>
        </w:rPr>
        <w:t>期正常进行装卸货作业，流程如图</w:t>
      </w:r>
      <w:r>
        <w:rPr>
          <w:rFonts w:ascii="SimSun" w:eastAsia="SimSun" w:hAnsi="SimSun" w:cs="SimSun"/>
          <w:color w:val="231F20"/>
          <w:spacing w:val="-40"/>
        </w:rPr>
        <w:t xml:space="preserve"> </w:t>
      </w:r>
      <w:r>
        <w:rPr>
          <w:rFonts w:ascii="SimSun" w:eastAsia="SimSun" w:hAnsi="SimSun" w:cs="SimSun"/>
          <w:color w:val="231F20"/>
          <w:spacing w:val="-10"/>
        </w:rPr>
        <w:t>1</w:t>
      </w:r>
      <w:r>
        <w:rPr>
          <w:rFonts w:ascii="SimSun" w:eastAsia="SimSun" w:hAnsi="SimSun" w:cs="SimSun"/>
          <w:color w:val="231F20"/>
          <w:spacing w:val="-58"/>
        </w:rPr>
        <w:t xml:space="preserve"> </w:t>
      </w:r>
      <w:r>
        <w:rPr>
          <w:rFonts w:ascii="SimSun" w:eastAsia="SimSun" w:hAnsi="SimSun" w:cs="SimSun"/>
          <w:color w:val="231F20"/>
          <w:spacing w:val="-10"/>
        </w:rPr>
        <w:t>所示。</w:t>
      </w:r>
    </w:p>
    <w:p>
      <w:pPr>
        <w:spacing w:before="18" w:line="1340" w:lineRule="exact"/>
        <w:ind w:firstLine="109"/>
      </w:pPr>
      <w:r>
        <w:rPr>
          <w:position w:val="-26"/>
        </w:rPr>
        <w:drawing>
          <wp:inline distT="0" distB="0" distL="0" distR="0">
            <wp:extent cx="2791967" cy="85039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5"/>
                    <a:stretch>
                      <a:fillRect/>
                    </a:stretch>
                  </pic:blipFill>
                  <pic:spPr>
                    <a:xfrm>
                      <a:off x="0" y="0"/>
                      <a:ext cx="2791967" cy="850392"/>
                    </a:xfrm>
                    <a:prstGeom prst="rect">
                      <a:avLst/>
                    </a:prstGeom>
                  </pic:spPr>
                </pic:pic>
              </a:graphicData>
            </a:graphic>
          </wp:inline>
        </w:drawing>
      </w:r>
    </w:p>
    <w:p>
      <w:pPr>
        <w:spacing w:before="63" w:line="211" w:lineRule="auto"/>
        <w:ind w:left="932"/>
        <w:rPr>
          <w:rFonts w:ascii="SimSun" w:eastAsia="SimSun" w:hAnsi="SimSun" w:cs="SimSun"/>
          <w:sz w:val="18"/>
          <w:szCs w:val="18"/>
        </w:rPr>
      </w:pPr>
      <w:r>
        <w:rPr>
          <w:rFonts w:ascii="SimSun" w:eastAsia="SimSun" w:hAnsi="SimSun" w:cs="SimSun"/>
          <w:color w:val="231F20"/>
          <w:spacing w:val="-3"/>
          <w:sz w:val="18"/>
          <w:szCs w:val="18"/>
        </w:rPr>
        <w:t>图</w:t>
      </w:r>
      <w:r>
        <w:rPr>
          <w:rFonts w:ascii="SimSun" w:eastAsia="SimSun" w:hAnsi="SimSun" w:cs="SimSun"/>
          <w:color w:val="231F20"/>
          <w:spacing w:val="-24"/>
          <w:sz w:val="18"/>
          <w:szCs w:val="18"/>
        </w:rPr>
        <w:t xml:space="preserve"> </w:t>
      </w:r>
      <w:r>
        <w:rPr>
          <w:rFonts w:ascii="SimSun" w:eastAsia="SimSun" w:hAnsi="SimSun" w:cs="SimSun"/>
          <w:color w:val="231F20"/>
          <w:spacing w:val="-3"/>
          <w:sz w:val="18"/>
          <w:szCs w:val="18"/>
        </w:rPr>
        <w:t>1</w:t>
      </w:r>
      <w:r>
        <w:rPr>
          <w:rFonts w:ascii="SimSun" w:eastAsia="SimSun" w:hAnsi="SimSun" w:cs="SimSun"/>
          <w:color w:val="231F20"/>
          <w:spacing w:val="47"/>
          <w:sz w:val="18"/>
          <w:szCs w:val="18"/>
        </w:rPr>
        <w:t xml:space="preserve"> </w:t>
      </w:r>
      <w:r>
        <w:rPr>
          <w:rFonts w:ascii="SimSun" w:eastAsia="SimSun" w:hAnsi="SimSun" w:cs="SimSun"/>
          <w:color w:val="231F20"/>
          <w:spacing w:val="-3"/>
          <w:sz w:val="18"/>
          <w:szCs w:val="18"/>
        </w:rPr>
        <w:t>船岸匹配校核工作的基本流程</w:t>
      </w:r>
    </w:p>
    <w:p>
      <w:pPr>
        <w:spacing w:line="336" w:lineRule="auto"/>
        <w:rPr>
          <w:rFonts w:ascii="Arial"/>
          <w:sz w:val="21"/>
        </w:rPr>
      </w:pPr>
    </w:p>
    <w:p>
      <w:pPr>
        <w:spacing w:before="121" w:line="203" w:lineRule="auto"/>
        <w:ind w:left="11"/>
        <w:rPr>
          <w:rFonts w:ascii="Microsoft YaHei" w:eastAsia="Microsoft YaHei" w:hAnsi="Microsoft YaHei" w:cs="Microsoft YaHei"/>
          <w:sz w:val="28"/>
          <w:szCs w:val="28"/>
        </w:rPr>
      </w:pPr>
      <w:r>
        <w:rPr>
          <w:rFonts w:ascii="Microsoft YaHei" w:eastAsia="Microsoft YaHei" w:hAnsi="Microsoft YaHei" w:cs="Microsoft YaHei"/>
          <w:color w:val="C3262C"/>
          <w:spacing w:val="-3"/>
          <w:sz w:val="28"/>
          <w:szCs w:val="28"/>
        </w:rPr>
        <w:t>2</w:t>
      </w:r>
      <w:r>
        <w:rPr>
          <w:rFonts w:ascii="Microsoft YaHei" w:eastAsia="Microsoft YaHei" w:hAnsi="Microsoft YaHei" w:cs="Microsoft YaHei"/>
          <w:color w:val="C3262C"/>
          <w:spacing w:val="42"/>
          <w:w w:val="101"/>
          <w:sz w:val="28"/>
          <w:szCs w:val="28"/>
        </w:rPr>
        <w:t xml:space="preserve">  </w:t>
      </w:r>
      <w:r>
        <w:rPr>
          <w:rFonts w:ascii="Microsoft YaHei" w:eastAsia="Microsoft YaHei" w:hAnsi="Microsoft YaHei" w:cs="Microsoft YaHei"/>
          <w:color w:val="C3262C"/>
          <w:spacing w:val="-3"/>
          <w:sz w:val="28"/>
          <w:szCs w:val="28"/>
        </w:rPr>
        <w:t>船岸匹配信息交换及资料收集</w:t>
      </w:r>
    </w:p>
    <w:p>
      <w:pPr>
        <w:spacing w:before="291" w:line="269" w:lineRule="auto"/>
        <w:ind w:right="1039" w:firstLine="426"/>
        <w:jc w:val="both"/>
        <w:rPr>
          <w:rFonts w:ascii="SimSun" w:eastAsia="SimSun" w:hAnsi="SimSun" w:cs="SimSun"/>
          <w:sz w:val="21"/>
          <w:szCs w:val="21"/>
        </w:rPr>
      </w:pPr>
      <w:r>
        <w:rPr>
          <w:rFonts w:ascii="SimSun" w:eastAsia="SimSun" w:hAnsi="SimSun" w:cs="SimSun"/>
          <w:color w:val="231F20"/>
          <w:spacing w:val="9"/>
          <w:sz w:val="21"/>
          <w:szCs w:val="21"/>
        </w:rPr>
        <w:t xml:space="preserve">岸站通过邮件方式向船方发送接收站或装载 </w:t>
      </w:r>
      <w:r>
        <w:rPr>
          <w:rFonts w:ascii="SimSun" w:eastAsia="SimSun" w:hAnsi="SimSun" w:cs="SimSun"/>
          <w:color w:val="231F20"/>
          <w:spacing w:val="-1"/>
          <w:sz w:val="21"/>
          <w:szCs w:val="21"/>
        </w:rPr>
        <w:t xml:space="preserve">码头船岸信息确认表，船方按照确认表所述信息填 </w:t>
      </w:r>
      <w:r>
        <w:rPr>
          <w:rFonts w:ascii="SimSun" w:eastAsia="SimSun" w:hAnsi="SimSun" w:cs="SimSun"/>
          <w:color w:val="231F20"/>
          <w:spacing w:val="-7"/>
          <w:sz w:val="21"/>
          <w:szCs w:val="21"/>
        </w:rPr>
        <w:t>写并反馈至岸站，</w:t>
      </w:r>
      <w:r>
        <w:rPr>
          <w:rFonts w:ascii="SimSun" w:eastAsia="SimSun" w:hAnsi="SimSun" w:cs="SimSun"/>
          <w:color w:val="231F20"/>
          <w:spacing w:val="-29"/>
          <w:sz w:val="21"/>
          <w:szCs w:val="21"/>
        </w:rPr>
        <w:t xml:space="preserve"> </w:t>
      </w:r>
      <w:r>
        <w:rPr>
          <w:rFonts w:ascii="SimSun" w:eastAsia="SimSun" w:hAnsi="SimSun" w:cs="SimSun"/>
          <w:color w:val="231F20"/>
          <w:spacing w:val="-7"/>
          <w:sz w:val="21"/>
          <w:szCs w:val="21"/>
        </w:rPr>
        <w:t>具体需要交换的信息如表</w:t>
      </w:r>
      <w:r>
        <w:rPr>
          <w:rFonts w:ascii="SimSun" w:eastAsia="SimSun" w:hAnsi="SimSun" w:cs="SimSun"/>
          <w:color w:val="231F20"/>
          <w:spacing w:val="-47"/>
          <w:sz w:val="21"/>
          <w:szCs w:val="21"/>
        </w:rPr>
        <w:t xml:space="preserve"> </w:t>
      </w:r>
      <w:r>
        <w:rPr>
          <w:rFonts w:ascii="SimSun" w:eastAsia="SimSun" w:hAnsi="SimSun" w:cs="SimSun"/>
          <w:color w:val="231F20"/>
          <w:spacing w:val="-7"/>
          <w:sz w:val="21"/>
          <w:szCs w:val="21"/>
        </w:rPr>
        <w:t>1所示。</w:t>
      </w:r>
    </w:p>
    <w:p>
      <w:pPr>
        <w:spacing w:line="269" w:lineRule="auto"/>
        <w:rPr>
          <w:rFonts w:ascii="SimSun" w:eastAsia="SimSun" w:hAnsi="SimSun" w:cs="SimSun"/>
          <w:sz w:val="21"/>
          <w:szCs w:val="21"/>
        </w:rPr>
        <w:sectPr>
          <w:type w:val="continuous"/>
          <w:pgSz w:w="12076" w:h="16498"/>
          <w:pgMar w:top="958" w:right="13" w:bottom="0" w:left="0" w:header="0" w:footer="0" w:gutter="0"/>
          <w:pgNumType w:start="7"/>
          <w:cols w:num="2" w:space="708" w:equalWidth="0">
            <w:col w:w="6224" w:space="100"/>
            <w:col w:w="5739" w:space="0"/>
          </w:cols>
        </w:sectPr>
      </w:pPr>
    </w:p>
    <w:p>
      <w:pPr>
        <w:spacing w:before="97" w:line="182" w:lineRule="auto"/>
        <w:ind w:left="4190"/>
        <w:rPr>
          <w:rFonts w:ascii="Microsoft YaHei" w:eastAsia="Microsoft YaHei" w:hAnsi="Microsoft YaHei" w:cs="Microsoft YaHei"/>
          <w:sz w:val="22"/>
          <w:szCs w:val="22"/>
        </w:rPr>
      </w:pPr>
      <w:r>
        <w:rPr>
          <w:rFonts w:ascii="Microsoft YaHei" w:eastAsia="Microsoft YaHei" w:hAnsi="Microsoft YaHei" w:cs="Microsoft YaHei"/>
          <w:color w:val="231F20"/>
          <w:spacing w:val="-2"/>
          <w:sz w:val="22"/>
          <w:szCs w:val="22"/>
        </w:rPr>
        <w:t>表 1   船岸匹配校核需交换提供的信息项</w:t>
      </w:r>
    </w:p>
    <w:tbl>
      <w:tblPr>
        <w:tblStyle w:val="TableNormal0"/>
        <w:tblW w:w="9675" w:type="dxa"/>
        <w:tblInd w:w="128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Pr>
      <w:tblGrid>
        <w:gridCol w:w="866"/>
        <w:gridCol w:w="4490"/>
        <w:gridCol w:w="4319"/>
      </w:tblGrid>
      <w:tr>
        <w:tblPrEx>
          <w:tblW w:w="9675" w:type="dxa"/>
          <w:tblInd w:w="1284"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PrEx>
        <w:trPr>
          <w:trHeight w:val="393"/>
        </w:trPr>
        <w:tc>
          <w:tcPr>
            <w:tcW w:w="866" w:type="dxa"/>
            <w:tcBorders>
              <w:top w:val="single" w:sz="6" w:space="0" w:color="231F20"/>
              <w:left w:val="single" w:sz="6" w:space="0" w:color="231F20"/>
            </w:tcBorders>
            <w:shd w:val="clear" w:color="auto" w:fill="E6E7E9"/>
            <w:vAlign w:val="top"/>
          </w:tcPr>
          <w:p>
            <w:pPr>
              <w:pStyle w:val="TableText"/>
              <w:spacing w:before="105" w:line="214" w:lineRule="auto"/>
              <w:ind w:left="203"/>
            </w:pPr>
            <w:r>
              <w:rPr>
                <w:color w:val="231F20"/>
                <w:spacing w:val="-3"/>
              </w:rPr>
              <w:t>序</w:t>
            </w:r>
            <w:r>
              <w:rPr>
                <w:color w:val="231F20"/>
                <w:spacing w:val="4"/>
              </w:rPr>
              <w:t xml:space="preserve"> </w:t>
            </w:r>
            <w:r>
              <w:rPr>
                <w:color w:val="231F20"/>
                <w:spacing w:val="-3"/>
              </w:rPr>
              <w:t>号</w:t>
            </w:r>
          </w:p>
        </w:tc>
        <w:tc>
          <w:tcPr>
            <w:tcW w:w="4490" w:type="dxa"/>
            <w:tcBorders>
              <w:top w:val="single" w:sz="6" w:space="0" w:color="231F20"/>
            </w:tcBorders>
            <w:shd w:val="clear" w:color="auto" w:fill="E6E7E9"/>
            <w:vAlign w:val="top"/>
          </w:tcPr>
          <w:p>
            <w:pPr>
              <w:pStyle w:val="TableText"/>
              <w:spacing w:before="105" w:line="214" w:lineRule="auto"/>
              <w:ind w:left="803"/>
            </w:pPr>
            <w:r>
              <w:rPr>
                <w:color w:val="231F20"/>
                <w:spacing w:val="-1"/>
              </w:rPr>
              <w:t>接收站或装载码头信息需提供的信息</w:t>
            </w:r>
          </w:p>
        </w:tc>
        <w:tc>
          <w:tcPr>
            <w:tcW w:w="4319" w:type="dxa"/>
            <w:tcBorders>
              <w:top w:val="single" w:sz="6" w:space="0" w:color="231F20"/>
              <w:right w:val="single" w:sz="6" w:space="0" w:color="231F20"/>
            </w:tcBorders>
            <w:shd w:val="clear" w:color="auto" w:fill="E6E7E9"/>
            <w:vAlign w:val="top"/>
          </w:tcPr>
          <w:p>
            <w:pPr>
              <w:pStyle w:val="TableText"/>
              <w:spacing w:before="105" w:line="214" w:lineRule="auto"/>
              <w:ind w:left="1439"/>
            </w:pPr>
            <w:r>
              <w:rPr>
                <w:color w:val="231F20"/>
                <w:spacing w:val="-1"/>
              </w:rPr>
              <w:t>船方需提供的信息</w:t>
            </w:r>
          </w:p>
        </w:tc>
      </w:tr>
      <w:tr>
        <w:tblPrEx>
          <w:tblW w:w="9675" w:type="dxa"/>
          <w:tblInd w:w="1284" w:type="dxa"/>
          <w:tblLayout w:type="fixed"/>
        </w:tblPrEx>
        <w:trPr>
          <w:trHeight w:val="839"/>
        </w:trPr>
        <w:tc>
          <w:tcPr>
            <w:tcW w:w="866" w:type="dxa"/>
            <w:tcBorders>
              <w:left w:val="single" w:sz="6" w:space="0" w:color="231F20"/>
            </w:tcBorders>
            <w:vAlign w:val="top"/>
          </w:tcPr>
          <w:p>
            <w:pPr>
              <w:spacing w:line="296" w:lineRule="auto"/>
              <w:rPr>
                <w:rFonts w:ascii="Arial"/>
                <w:sz w:val="21"/>
              </w:rPr>
            </w:pPr>
          </w:p>
          <w:p>
            <w:pPr>
              <w:pStyle w:val="TableText"/>
              <w:spacing w:before="59" w:line="183" w:lineRule="auto"/>
              <w:ind w:left="398"/>
            </w:pPr>
            <w:r>
              <w:rPr>
                <w:color w:val="231F20"/>
              </w:rPr>
              <w:t>1</w:t>
            </w:r>
          </w:p>
        </w:tc>
        <w:tc>
          <w:tcPr>
            <w:tcW w:w="4490" w:type="dxa"/>
            <w:vAlign w:val="top"/>
          </w:tcPr>
          <w:p>
            <w:pPr>
              <w:pStyle w:val="TableText"/>
              <w:spacing w:before="87" w:line="235" w:lineRule="auto"/>
              <w:ind w:left="135" w:right="143"/>
              <w:jc w:val="both"/>
            </w:pPr>
            <w:r>
              <w:rPr>
                <w:color w:val="231F20"/>
                <w:spacing w:val="2"/>
              </w:rPr>
              <w:t>港口及码头基本信息，包括名称、地理位置坐标、靠</w:t>
            </w:r>
            <w:r>
              <w:rPr>
                <w:color w:val="231F20"/>
                <w:spacing w:val="14"/>
              </w:rPr>
              <w:t xml:space="preserve"> </w:t>
            </w:r>
            <w:r>
              <w:rPr>
                <w:color w:val="231F20"/>
                <w:spacing w:val="-6"/>
              </w:rPr>
              <w:t>泊方式（左</w:t>
            </w:r>
            <w:r>
              <w:rPr>
                <w:color w:val="231F20"/>
                <w:spacing w:val="-27"/>
              </w:rPr>
              <w:t xml:space="preserve"> </w:t>
            </w:r>
            <w:r>
              <w:rPr>
                <w:color w:val="231F20"/>
                <w:spacing w:val="-6"/>
              </w:rPr>
              <w:t>/</w:t>
            </w:r>
            <w:r>
              <w:rPr>
                <w:color w:val="231F20"/>
                <w:spacing w:val="-40"/>
              </w:rPr>
              <w:t xml:space="preserve"> </w:t>
            </w:r>
            <w:r>
              <w:rPr>
                <w:color w:val="231F20"/>
                <w:spacing w:val="-6"/>
              </w:rPr>
              <w:t>右舷）、潮位信息、水深及密度、泊位尺</w:t>
            </w:r>
            <w:r>
              <w:rPr>
                <w:color w:val="231F20"/>
              </w:rPr>
              <w:t xml:space="preserve"> </w:t>
            </w:r>
            <w:r>
              <w:rPr>
                <w:color w:val="231F20"/>
                <w:spacing w:val="-1"/>
              </w:rPr>
              <w:t>寸、朝向角度等</w:t>
            </w:r>
          </w:p>
        </w:tc>
        <w:tc>
          <w:tcPr>
            <w:tcW w:w="4319" w:type="dxa"/>
            <w:tcBorders>
              <w:right w:val="single" w:sz="6" w:space="0" w:color="231F20"/>
            </w:tcBorders>
            <w:vAlign w:val="top"/>
          </w:tcPr>
          <w:p>
            <w:pPr>
              <w:pStyle w:val="TableText"/>
              <w:spacing w:before="207" w:line="230" w:lineRule="auto"/>
              <w:ind w:left="149" w:right="62" w:hanging="7"/>
            </w:pPr>
            <w:r>
              <w:rPr>
                <w:color w:val="231F20"/>
                <w:spacing w:val="-2"/>
              </w:rPr>
              <w:t>船舶主要尺寸参数，包括总长、船长、型宽、型深、</w:t>
            </w:r>
            <w:r>
              <w:rPr>
                <w:color w:val="231F20"/>
                <w:spacing w:val="5"/>
              </w:rPr>
              <w:t xml:space="preserve"> </w:t>
            </w:r>
            <w:r>
              <w:rPr>
                <w:color w:val="231F20"/>
                <w:spacing w:val="-13"/>
              </w:rPr>
              <w:t>吃水（设计/</w:t>
            </w:r>
            <w:r>
              <w:rPr>
                <w:color w:val="231F20"/>
                <w:spacing w:val="-52"/>
              </w:rPr>
              <w:t xml:space="preserve"> </w:t>
            </w:r>
            <w:r>
              <w:rPr>
                <w:color w:val="231F20"/>
                <w:spacing w:val="-13"/>
              </w:rPr>
              <w:t>结构/</w:t>
            </w:r>
            <w:r>
              <w:rPr>
                <w:color w:val="231F20"/>
                <w:spacing w:val="-53"/>
              </w:rPr>
              <w:t xml:space="preserve"> </w:t>
            </w:r>
            <w:r>
              <w:rPr>
                <w:color w:val="231F20"/>
                <w:spacing w:val="-13"/>
              </w:rPr>
              <w:t>压载/</w:t>
            </w:r>
            <w:r>
              <w:rPr>
                <w:color w:val="231F20"/>
                <w:spacing w:val="-50"/>
              </w:rPr>
              <w:t xml:space="preserve"> </w:t>
            </w:r>
            <w:r>
              <w:rPr>
                <w:color w:val="231F20"/>
                <w:spacing w:val="-13"/>
              </w:rPr>
              <w:t>空载）、排水量、载重吨等</w:t>
            </w:r>
          </w:p>
        </w:tc>
      </w:tr>
      <w:tr>
        <w:tblPrEx>
          <w:tblW w:w="9675" w:type="dxa"/>
          <w:tblInd w:w="1284" w:type="dxa"/>
          <w:tblLayout w:type="fixed"/>
        </w:tblPrEx>
        <w:trPr>
          <w:trHeight w:val="839"/>
        </w:trPr>
        <w:tc>
          <w:tcPr>
            <w:tcW w:w="866" w:type="dxa"/>
            <w:tcBorders>
              <w:left w:val="single" w:sz="6" w:space="0" w:color="231F20"/>
            </w:tcBorders>
            <w:vAlign w:val="top"/>
          </w:tcPr>
          <w:p>
            <w:pPr>
              <w:spacing w:line="298" w:lineRule="auto"/>
              <w:rPr>
                <w:rFonts w:ascii="Arial"/>
                <w:sz w:val="21"/>
              </w:rPr>
            </w:pPr>
          </w:p>
          <w:p>
            <w:pPr>
              <w:pStyle w:val="TableText"/>
              <w:spacing w:before="58" w:line="183" w:lineRule="auto"/>
              <w:ind w:left="383"/>
            </w:pPr>
            <w:r>
              <w:rPr>
                <w:color w:val="231F20"/>
              </w:rPr>
              <w:t>2</w:t>
            </w:r>
          </w:p>
        </w:tc>
        <w:tc>
          <w:tcPr>
            <w:tcW w:w="4490" w:type="dxa"/>
            <w:vAlign w:val="top"/>
          </w:tcPr>
          <w:p>
            <w:pPr>
              <w:pStyle w:val="TableText"/>
              <w:spacing w:before="90" w:line="235" w:lineRule="auto"/>
              <w:ind w:left="139" w:right="64" w:hanging="2"/>
              <w:jc w:val="both"/>
            </w:pPr>
            <w:r>
              <w:rPr>
                <w:color w:val="231F20"/>
                <w:spacing w:val="6"/>
              </w:rPr>
              <w:t>可装卸船舶基本要求和尺寸，包括可靠泊船舶长度、</w:t>
            </w:r>
            <w:r>
              <w:rPr>
                <w:color w:val="231F20"/>
              </w:rPr>
              <w:t xml:space="preserve"> </w:t>
            </w:r>
            <w:r>
              <w:rPr>
                <w:color w:val="231F20"/>
                <w:spacing w:val="2"/>
              </w:rPr>
              <w:t>型宽、型深允许范围、吃水限制、排水量要求、载重</w:t>
            </w:r>
            <w:r>
              <w:rPr>
                <w:color w:val="231F20"/>
                <w:spacing w:val="4"/>
              </w:rPr>
              <w:t xml:space="preserve">  </w:t>
            </w:r>
            <w:r>
              <w:rPr>
                <w:color w:val="231F20"/>
                <w:spacing w:val="-2"/>
              </w:rPr>
              <w:t>吨限制等</w:t>
            </w:r>
          </w:p>
        </w:tc>
        <w:tc>
          <w:tcPr>
            <w:tcW w:w="4319" w:type="dxa"/>
            <w:tcBorders>
              <w:right w:val="single" w:sz="6" w:space="0" w:color="231F20"/>
            </w:tcBorders>
            <w:vAlign w:val="top"/>
          </w:tcPr>
          <w:p>
            <w:pPr>
              <w:pStyle w:val="TableText"/>
              <w:spacing w:before="80" w:line="238" w:lineRule="auto"/>
              <w:ind w:left="142" w:right="135"/>
              <w:jc w:val="both"/>
            </w:pPr>
            <w:r>
              <w:rPr>
                <w:color w:val="231F20"/>
                <w:spacing w:val="2"/>
              </w:rPr>
              <w:t>船舶缆绳信息，包括缆绳的材质（混合纤维</w:t>
            </w:r>
            <w:r>
              <w:rPr>
                <w:color w:val="231F20"/>
                <w:spacing w:val="-28"/>
              </w:rPr>
              <w:t xml:space="preserve"> </w:t>
            </w:r>
            <w:r>
              <w:rPr>
                <w:color w:val="231F20"/>
                <w:spacing w:val="2"/>
              </w:rPr>
              <w:t>/</w:t>
            </w:r>
            <w:r>
              <w:rPr>
                <w:color w:val="231F20"/>
                <w:spacing w:val="-39"/>
              </w:rPr>
              <w:t xml:space="preserve"> </w:t>
            </w:r>
            <w:r>
              <w:rPr>
                <w:color w:val="231F20"/>
                <w:spacing w:val="2"/>
              </w:rPr>
              <w:t>钢丝</w:t>
            </w:r>
            <w:r>
              <w:rPr>
                <w:color w:val="231F20"/>
              </w:rPr>
              <w:t xml:space="preserve"> </w:t>
            </w:r>
            <w:r>
              <w:rPr>
                <w:color w:val="231F20"/>
                <w:spacing w:val="2"/>
              </w:rPr>
              <w:t>缆）、长度、直径、最小破断力、允许张力、尾绳</w:t>
            </w:r>
            <w:r>
              <w:rPr>
                <w:color w:val="231F20"/>
                <w:spacing w:val="14"/>
              </w:rPr>
              <w:t xml:space="preserve"> </w:t>
            </w:r>
            <w:r>
              <w:rPr>
                <w:color w:val="231F20"/>
                <w:spacing w:val="-1"/>
              </w:rPr>
              <w:t>的长度（11/22</w:t>
            </w:r>
            <w:r>
              <w:rPr>
                <w:color w:val="231F20"/>
                <w:spacing w:val="-39"/>
              </w:rPr>
              <w:t xml:space="preserve"> </w:t>
            </w:r>
            <w:r>
              <w:rPr>
                <w:color w:val="231F20"/>
                <w:spacing w:val="-1"/>
              </w:rPr>
              <w:t>m）及相关证书等</w:t>
            </w:r>
          </w:p>
        </w:tc>
      </w:tr>
      <w:tr>
        <w:tblPrEx>
          <w:tblW w:w="9675" w:type="dxa"/>
          <w:tblInd w:w="1284" w:type="dxa"/>
          <w:tblLayout w:type="fixed"/>
        </w:tblPrEx>
        <w:trPr>
          <w:trHeight w:val="539"/>
        </w:trPr>
        <w:tc>
          <w:tcPr>
            <w:tcW w:w="866" w:type="dxa"/>
            <w:tcBorders>
              <w:left w:val="single" w:sz="6" w:space="0" w:color="231F20"/>
            </w:tcBorders>
            <w:vAlign w:val="top"/>
          </w:tcPr>
          <w:p>
            <w:pPr>
              <w:pStyle w:val="TableText"/>
              <w:spacing w:before="209" w:line="182" w:lineRule="auto"/>
              <w:ind w:left="386"/>
            </w:pPr>
            <w:r>
              <w:rPr>
                <w:color w:val="231F20"/>
              </w:rPr>
              <w:t>3</w:t>
            </w:r>
          </w:p>
        </w:tc>
        <w:tc>
          <w:tcPr>
            <w:tcW w:w="4490" w:type="dxa"/>
            <w:vAlign w:val="top"/>
          </w:tcPr>
          <w:p>
            <w:pPr>
              <w:pStyle w:val="TableText"/>
              <w:spacing w:before="59" w:line="230" w:lineRule="auto"/>
              <w:ind w:left="134" w:right="141"/>
            </w:pPr>
            <w:r>
              <w:rPr>
                <w:color w:val="231F20"/>
                <w:spacing w:val="2"/>
              </w:rPr>
              <w:t>装卸臂布置及参数，包括臂包络线范围、碰撞研究报</w:t>
            </w:r>
            <w:r>
              <w:rPr>
                <w:color w:val="231F20"/>
                <w:spacing w:val="17"/>
              </w:rPr>
              <w:t xml:space="preserve"> </w:t>
            </w:r>
            <w:r>
              <w:rPr>
                <w:color w:val="231F20"/>
                <w:spacing w:val="-4"/>
              </w:rPr>
              <w:t>告、直径、装</w:t>
            </w:r>
            <w:r>
              <w:rPr>
                <w:color w:val="231F20"/>
                <w:spacing w:val="-45"/>
              </w:rPr>
              <w:t xml:space="preserve"> </w:t>
            </w:r>
            <w:r>
              <w:rPr>
                <w:color w:val="231F20"/>
                <w:spacing w:val="-4"/>
              </w:rPr>
              <w:t>/</w:t>
            </w:r>
            <w:r>
              <w:rPr>
                <w:color w:val="231F20"/>
                <w:spacing w:val="-41"/>
              </w:rPr>
              <w:t xml:space="preserve"> </w:t>
            </w:r>
            <w:r>
              <w:rPr>
                <w:color w:val="231F20"/>
                <w:spacing w:val="-4"/>
              </w:rPr>
              <w:t>卸率参数等</w:t>
            </w:r>
          </w:p>
        </w:tc>
        <w:tc>
          <w:tcPr>
            <w:tcW w:w="4319" w:type="dxa"/>
            <w:tcBorders>
              <w:right w:val="single" w:sz="6" w:space="0" w:color="231F20"/>
            </w:tcBorders>
            <w:vAlign w:val="top"/>
          </w:tcPr>
          <w:p>
            <w:pPr>
              <w:pStyle w:val="TableText"/>
              <w:spacing w:before="179" w:line="214" w:lineRule="auto"/>
              <w:ind w:left="143"/>
            </w:pPr>
            <w:r>
              <w:rPr>
                <w:color w:val="231F20"/>
                <w:spacing w:val="-4"/>
              </w:rPr>
              <w:t>卸料歧管的尺寸、高度、间距及横纵向布置等信息</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05" w:line="183" w:lineRule="auto"/>
              <w:ind w:left="380"/>
            </w:pPr>
            <w:r>
              <w:rPr>
                <w:color w:val="231F20"/>
              </w:rPr>
              <w:t>4</w:t>
            </w:r>
          </w:p>
        </w:tc>
        <w:tc>
          <w:tcPr>
            <w:tcW w:w="4490" w:type="dxa"/>
            <w:vAlign w:val="top"/>
          </w:tcPr>
          <w:p>
            <w:pPr>
              <w:pStyle w:val="TableText"/>
              <w:spacing w:before="76" w:line="212" w:lineRule="auto"/>
              <w:ind w:left="138"/>
            </w:pPr>
            <w:r>
              <w:rPr>
                <w:color w:val="231F20"/>
                <w:spacing w:val="-1"/>
              </w:rPr>
              <w:t>护舷布置及参数</w:t>
            </w:r>
          </w:p>
        </w:tc>
        <w:tc>
          <w:tcPr>
            <w:tcW w:w="4319" w:type="dxa"/>
            <w:tcBorders>
              <w:right w:val="single" w:sz="6" w:space="0" w:color="231F20"/>
            </w:tcBorders>
            <w:vAlign w:val="top"/>
          </w:tcPr>
          <w:p>
            <w:pPr>
              <w:pStyle w:val="TableText"/>
              <w:spacing w:before="75" w:line="214" w:lineRule="auto"/>
              <w:ind w:left="142"/>
            </w:pPr>
            <w:r>
              <w:rPr>
                <w:color w:val="231F20"/>
                <w:spacing w:val="-1"/>
              </w:rPr>
              <w:t>船舯平行体尺寸</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03" w:line="185" w:lineRule="auto"/>
              <w:ind w:left="384"/>
            </w:pPr>
            <w:r>
              <w:rPr>
                <w:color w:val="231F20"/>
              </w:rPr>
              <w:t>5</w:t>
            </w:r>
          </w:p>
        </w:tc>
        <w:tc>
          <w:tcPr>
            <w:tcW w:w="4490" w:type="dxa"/>
            <w:vAlign w:val="top"/>
          </w:tcPr>
          <w:p>
            <w:pPr>
              <w:pStyle w:val="TableText"/>
              <w:spacing w:before="76" w:line="215" w:lineRule="auto"/>
              <w:ind w:left="134"/>
            </w:pPr>
            <w:r>
              <w:rPr>
                <w:color w:val="231F20"/>
                <w:spacing w:val="-1"/>
              </w:rPr>
              <w:t>代理及拖轮服务信息</w:t>
            </w:r>
          </w:p>
        </w:tc>
        <w:tc>
          <w:tcPr>
            <w:tcW w:w="4319" w:type="dxa"/>
            <w:tcBorders>
              <w:right w:val="single" w:sz="6" w:space="0" w:color="231F20"/>
            </w:tcBorders>
            <w:vAlign w:val="top"/>
          </w:tcPr>
          <w:p>
            <w:pPr>
              <w:pStyle w:val="TableText"/>
              <w:spacing w:before="76" w:line="215" w:lineRule="auto"/>
              <w:ind w:left="144"/>
            </w:pPr>
            <w:r>
              <w:rPr>
                <w:color w:val="231F20"/>
                <w:spacing w:val="-1"/>
              </w:rPr>
              <w:t>绞盘绞车位置及参数信息</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05" w:line="184" w:lineRule="auto"/>
              <w:ind w:left="384"/>
            </w:pPr>
            <w:r>
              <w:rPr>
                <w:color w:val="231F20"/>
              </w:rPr>
              <w:t>6</w:t>
            </w:r>
          </w:p>
        </w:tc>
        <w:tc>
          <w:tcPr>
            <w:tcW w:w="4490" w:type="dxa"/>
            <w:vAlign w:val="top"/>
          </w:tcPr>
          <w:p>
            <w:pPr>
              <w:pStyle w:val="TableText"/>
              <w:spacing w:before="77" w:line="214" w:lineRule="auto"/>
              <w:ind w:left="142"/>
            </w:pPr>
            <w:r>
              <w:rPr>
                <w:color w:val="231F20"/>
                <w:spacing w:val="-1"/>
              </w:rPr>
              <w:t>系缆墩及系缆钩布置及参数信息</w:t>
            </w:r>
          </w:p>
        </w:tc>
        <w:tc>
          <w:tcPr>
            <w:tcW w:w="4319" w:type="dxa"/>
            <w:tcBorders>
              <w:right w:val="single" w:sz="6" w:space="0" w:color="231F20"/>
            </w:tcBorders>
            <w:vAlign w:val="top"/>
          </w:tcPr>
          <w:p>
            <w:pPr>
              <w:pStyle w:val="TableText"/>
              <w:spacing w:before="77" w:line="215" w:lineRule="auto"/>
              <w:ind w:left="142"/>
            </w:pPr>
            <w:r>
              <w:rPr>
                <w:color w:val="231F20"/>
                <w:spacing w:val="-1"/>
              </w:rPr>
              <w:t>登船梯可放置位置信息</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11" w:line="179" w:lineRule="auto"/>
              <w:ind w:left="382"/>
            </w:pPr>
            <w:r>
              <w:rPr>
                <w:color w:val="231F20"/>
              </w:rPr>
              <w:t>7</w:t>
            </w:r>
          </w:p>
        </w:tc>
        <w:tc>
          <w:tcPr>
            <w:tcW w:w="4490" w:type="dxa"/>
            <w:vAlign w:val="top"/>
          </w:tcPr>
          <w:p>
            <w:pPr>
              <w:pStyle w:val="TableText"/>
              <w:spacing w:before="78" w:line="215" w:lineRule="auto"/>
              <w:ind w:left="135"/>
            </w:pPr>
            <w:r>
              <w:rPr>
                <w:color w:val="231F20"/>
                <w:spacing w:val="-1"/>
              </w:rPr>
              <w:t>登船梯参数信息</w:t>
            </w:r>
          </w:p>
        </w:tc>
        <w:tc>
          <w:tcPr>
            <w:tcW w:w="4319" w:type="dxa"/>
            <w:tcBorders>
              <w:right w:val="single" w:sz="6" w:space="0" w:color="231F20"/>
            </w:tcBorders>
            <w:vAlign w:val="top"/>
          </w:tcPr>
          <w:p>
            <w:pPr>
              <w:pStyle w:val="TableText"/>
              <w:spacing w:before="78" w:line="214" w:lineRule="auto"/>
              <w:ind w:left="143"/>
            </w:pPr>
            <w:r>
              <w:rPr>
                <w:color w:val="231F20"/>
                <w:spacing w:val="-1"/>
              </w:rPr>
              <w:t>卸料泵及喷淋泵参数</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09" w:line="182" w:lineRule="auto"/>
              <w:ind w:left="385"/>
            </w:pPr>
            <w:r>
              <w:rPr>
                <w:color w:val="231F20"/>
              </w:rPr>
              <w:t>8</w:t>
            </w:r>
          </w:p>
        </w:tc>
        <w:tc>
          <w:tcPr>
            <w:tcW w:w="4490" w:type="dxa"/>
            <w:vAlign w:val="top"/>
          </w:tcPr>
          <w:p>
            <w:pPr>
              <w:pStyle w:val="TableText"/>
              <w:spacing w:before="79" w:line="215" w:lineRule="auto"/>
              <w:ind w:left="135"/>
            </w:pPr>
            <w:r>
              <w:rPr>
                <w:color w:val="231F20"/>
                <w:spacing w:val="2"/>
              </w:rPr>
              <w:t>船岸通信及应急切断（</w:t>
            </w:r>
            <w:r>
              <w:rPr>
                <w:color w:val="231F20"/>
              </w:rPr>
              <w:t>ESD</w:t>
            </w:r>
            <w:r>
              <w:rPr>
                <w:color w:val="231F20"/>
                <w:spacing w:val="2"/>
              </w:rPr>
              <w:t>）系统信息</w:t>
            </w:r>
          </w:p>
        </w:tc>
        <w:tc>
          <w:tcPr>
            <w:tcW w:w="4319" w:type="dxa"/>
            <w:tcBorders>
              <w:right w:val="single" w:sz="6" w:space="0" w:color="231F20"/>
            </w:tcBorders>
            <w:vAlign w:val="top"/>
          </w:tcPr>
          <w:p>
            <w:pPr>
              <w:pStyle w:val="TableText"/>
              <w:spacing w:before="81" w:line="212" w:lineRule="auto"/>
              <w:ind w:left="144"/>
            </w:pPr>
            <w:r>
              <w:rPr>
                <w:color w:val="231F20"/>
                <w:spacing w:val="-2"/>
              </w:rPr>
              <w:t>氮气系统</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10" w:line="184" w:lineRule="auto"/>
              <w:ind w:left="383"/>
            </w:pPr>
            <w:r>
              <w:rPr>
                <w:color w:val="231F20"/>
              </w:rPr>
              <w:t>9</w:t>
            </w:r>
          </w:p>
        </w:tc>
        <w:tc>
          <w:tcPr>
            <w:tcW w:w="4490" w:type="dxa"/>
            <w:vAlign w:val="top"/>
          </w:tcPr>
          <w:p>
            <w:pPr>
              <w:pStyle w:val="TableText"/>
              <w:spacing w:before="83" w:line="210" w:lineRule="auto"/>
              <w:ind w:left="136"/>
            </w:pPr>
            <w:r>
              <w:rPr>
                <w:color w:val="231F20"/>
                <w:spacing w:val="-1"/>
              </w:rPr>
              <w:t>缆绳张力监测系统</w:t>
            </w:r>
          </w:p>
        </w:tc>
        <w:tc>
          <w:tcPr>
            <w:tcW w:w="4319" w:type="dxa"/>
            <w:tcBorders>
              <w:right w:val="single" w:sz="6" w:space="0" w:color="231F20"/>
            </w:tcBorders>
            <w:vAlign w:val="top"/>
          </w:tcPr>
          <w:p>
            <w:pPr>
              <w:pStyle w:val="TableText"/>
              <w:spacing w:before="80" w:line="214" w:lineRule="auto"/>
              <w:ind w:left="139"/>
            </w:pPr>
            <w:r>
              <w:rPr>
                <w:color w:val="231F20"/>
                <w:spacing w:val="-1"/>
              </w:rPr>
              <w:t>燃料油及淡水管线信息</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11" w:line="182" w:lineRule="auto"/>
              <w:ind w:left="353"/>
            </w:pPr>
            <w:r>
              <w:rPr>
                <w:color w:val="231F20"/>
                <w:spacing w:val="-6"/>
              </w:rPr>
              <w:t>10</w:t>
            </w:r>
          </w:p>
        </w:tc>
        <w:tc>
          <w:tcPr>
            <w:tcW w:w="4490" w:type="dxa"/>
            <w:vAlign w:val="top"/>
          </w:tcPr>
          <w:p>
            <w:pPr>
              <w:pStyle w:val="TableText"/>
              <w:spacing w:before="81" w:line="215" w:lineRule="auto"/>
              <w:ind w:left="135"/>
            </w:pPr>
            <w:r>
              <w:rPr>
                <w:color w:val="231F20"/>
                <w:spacing w:val="-1"/>
              </w:rPr>
              <w:t>辅助靠泊系统</w:t>
            </w:r>
          </w:p>
        </w:tc>
        <w:tc>
          <w:tcPr>
            <w:tcW w:w="4319" w:type="dxa"/>
            <w:tcBorders>
              <w:right w:val="single" w:sz="6" w:space="0" w:color="231F20"/>
            </w:tcBorders>
            <w:vAlign w:val="top"/>
          </w:tcPr>
          <w:p>
            <w:pPr>
              <w:pStyle w:val="TableText"/>
              <w:spacing w:before="81" w:line="215" w:lineRule="auto"/>
              <w:ind w:left="143"/>
            </w:pPr>
            <w:r>
              <w:rPr>
                <w:color w:val="231F20"/>
              </w:rPr>
              <w:t>ESD</w:t>
            </w:r>
            <w:r>
              <w:rPr>
                <w:color w:val="231F20"/>
                <w:spacing w:val="-29"/>
              </w:rPr>
              <w:t xml:space="preserve"> </w:t>
            </w:r>
            <w:r>
              <w:rPr>
                <w:color w:val="231F20"/>
                <w:spacing w:val="3"/>
              </w:rPr>
              <w:t>系统及触发条件信息</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12" w:line="183" w:lineRule="auto"/>
              <w:ind w:left="353"/>
            </w:pPr>
            <w:r>
              <w:rPr>
                <w:color w:val="231F20"/>
                <w:spacing w:val="-6"/>
              </w:rPr>
              <w:t>11</w:t>
            </w:r>
          </w:p>
        </w:tc>
        <w:tc>
          <w:tcPr>
            <w:tcW w:w="4490" w:type="dxa"/>
            <w:vAlign w:val="top"/>
          </w:tcPr>
          <w:p>
            <w:pPr>
              <w:pStyle w:val="TableText"/>
              <w:spacing w:before="82" w:line="215" w:lineRule="auto"/>
              <w:ind w:left="140"/>
            </w:pPr>
            <w:r>
              <w:rPr>
                <w:color w:val="231F20"/>
                <w:spacing w:val="-2"/>
              </w:rPr>
              <w:t>消防设备信息</w:t>
            </w:r>
          </w:p>
        </w:tc>
        <w:tc>
          <w:tcPr>
            <w:tcW w:w="4319" w:type="dxa"/>
            <w:tcBorders>
              <w:right w:val="single" w:sz="6" w:space="0" w:color="231F20"/>
            </w:tcBorders>
            <w:vAlign w:val="top"/>
          </w:tcPr>
          <w:p>
            <w:pPr>
              <w:pStyle w:val="TableText"/>
              <w:spacing w:before="83" w:line="212" w:lineRule="auto"/>
              <w:ind w:left="140"/>
            </w:pPr>
            <w:r>
              <w:rPr>
                <w:color w:val="231F20"/>
                <w:spacing w:val="-1"/>
              </w:rPr>
              <w:t>起重机布置及参数</w:t>
            </w:r>
          </w:p>
        </w:tc>
      </w:tr>
      <w:tr>
        <w:tblPrEx>
          <w:tblW w:w="9675" w:type="dxa"/>
          <w:tblInd w:w="1284" w:type="dxa"/>
          <w:tblLayout w:type="fixed"/>
        </w:tblPrEx>
        <w:trPr>
          <w:trHeight w:val="329"/>
        </w:trPr>
        <w:tc>
          <w:tcPr>
            <w:tcW w:w="866" w:type="dxa"/>
            <w:tcBorders>
              <w:left w:val="single" w:sz="6" w:space="0" w:color="231F20"/>
            </w:tcBorders>
            <w:vAlign w:val="top"/>
          </w:tcPr>
          <w:p>
            <w:pPr>
              <w:pStyle w:val="TableText"/>
              <w:spacing w:before="113" w:line="183" w:lineRule="auto"/>
              <w:ind w:left="353"/>
            </w:pPr>
            <w:r>
              <w:rPr>
                <w:color w:val="231F20"/>
                <w:spacing w:val="-6"/>
              </w:rPr>
              <w:t>12</w:t>
            </w:r>
          </w:p>
        </w:tc>
        <w:tc>
          <w:tcPr>
            <w:tcW w:w="4490" w:type="dxa"/>
            <w:vAlign w:val="top"/>
          </w:tcPr>
          <w:p>
            <w:pPr>
              <w:pStyle w:val="TableText"/>
              <w:spacing w:before="83" w:line="215" w:lineRule="auto"/>
              <w:ind w:left="134"/>
            </w:pPr>
            <w:r>
              <w:rPr>
                <w:color w:val="231F20"/>
                <w:spacing w:val="-1"/>
              </w:rPr>
              <w:t>航道、港区及锚地信息</w:t>
            </w:r>
          </w:p>
        </w:tc>
        <w:tc>
          <w:tcPr>
            <w:tcW w:w="4319" w:type="dxa"/>
            <w:tcBorders>
              <w:right w:val="single" w:sz="6" w:space="0" w:color="231F20"/>
            </w:tcBorders>
            <w:vAlign w:val="top"/>
          </w:tcPr>
          <w:p>
            <w:pPr>
              <w:pStyle w:val="TableText"/>
              <w:spacing w:before="83" w:line="215" w:lineRule="auto"/>
              <w:ind w:left="147"/>
            </w:pPr>
            <w:r>
              <w:rPr>
                <w:color w:val="231F20"/>
                <w:spacing w:val="-2"/>
              </w:rPr>
              <w:t>消防设备信息</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6" w:history="1">
        <w:r>
          <w:rPr>
            <w:rFonts w:ascii="SimSun" w:eastAsia="SimSun" w:hAnsi="SimSun" w:cs="SimSun"/>
            <w:b/>
            <w:bCs/>
            <w:noProof w:val="0"/>
            <w:snapToGrid/>
            <w:color w:val="0000EE"/>
            <w:kern w:val="0"/>
            <w:sz w:val="30"/>
            <w:szCs w:val="30"/>
            <w:u w:val="single" w:color="0000EE"/>
          </w:rPr>
          <w:t>https://d.book118.com/386045004132010050</w:t>
        </w:r>
      </w:hyperlink>
    </w:p>
    <w:p/>
    <w:sectPr>
      <w:type w:val="continuous"/>
      <w:pgSz w:w="12076" w:h="16498"/>
      <w:pgMar w:top="958" w:right="13" w:bottom="0" w:left="0" w:header="0" w:footer="0" w:gutter="0"/>
      <w:pgNumType w:start="8"/>
      <w:cols w:num="1" w:space="708" w:equalWidth="0">
        <w:col w:w="12063"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Times New Roman" w:eastAsia="Times New Roman" w:hAnsi="Times New Roman" w:cs="Times New Roma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hyperlink" Target="https://d.book118.com/38604500413201005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2024-02-18T20:26:22Z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2024-02-18T20:32:12Z</vt:filetime>
  </property>
  <property fmtid="{D5CDD505-2E9C-101B-9397-08002B2CF9AE}" pid="3" name="CRO">
    <vt:lpwstr>wqlLaW5nc29mdCBQREYgdG8gV1BTIDkw</vt:lpwstr>
  </property>
</Properties>
</file>