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0" w:lineRule="auto"/>
        <w:ind w:firstLine="0" w:firstLineChars="0"/>
        <w:jc w:val="both"/>
        <w:rPr>
          <w:rFonts w:eastAsia="楷体_GB2312" w:cs="Times New Roman"/>
          <w:bCs/>
          <w:color w:val="000000"/>
          <w:spacing w:val="60"/>
          <w:sz w:val="32"/>
          <w:szCs w:val="32"/>
        </w:rPr>
      </w:pPr>
    </w:p>
    <w:p>
      <w:pPr>
        <w:spacing w:line="240" w:lineRule="auto"/>
        <w:ind w:firstLine="0" w:firstLineChars="0"/>
        <w:jc w:val="center"/>
        <w:rPr>
          <w:rFonts w:eastAsia="楷体_GB2312" w:cs="Times New Roman"/>
          <w:b/>
          <w:bCs/>
          <w:color w:val="000000"/>
          <w:spacing w:val="60"/>
          <w:sz w:val="32"/>
          <w:szCs w:val="32"/>
        </w:rPr>
      </w:pPr>
    </w:p>
    <w:p>
      <w:pPr>
        <w:spacing w:line="240" w:lineRule="auto"/>
        <w:ind w:firstLine="130" w:firstLineChars="100"/>
        <w:jc w:val="center"/>
        <w:rPr>
          <w:rFonts w:cs="Times New Roman"/>
          <w:b/>
          <w:sz w:val="13"/>
          <w:szCs w:val="13"/>
        </w:rPr>
      </w:pPr>
      <w:bookmarkStart w:id="0" w:name="_Hlk6310773"/>
      <w:r>
        <w:rPr>
          <w:rFonts w:cs="Times New Roman"/>
          <w:b/>
          <w:sz w:val="13"/>
          <w:szCs w:val="13"/>
        </w:rPr>
        <w:t>长春市果语堂科技有限</w:t>
      </w:r>
      <w:r>
        <w:rPr>
          <w:rFonts w:cs="Times New Roman" w:hint="eastAsia"/>
          <w:b/>
          <w:sz w:val="13"/>
          <w:szCs w:val="13"/>
        </w:rPr>
        <w:t>公司品牌定位研究</w:t>
      </w:r>
    </w:p>
    <w:bookmarkEnd w:id="0"/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ind w:firstLine="480"/>
        <w:rPr>
          <w:rFonts w:cs="Times New Roman"/>
        </w:rPr>
      </w:pPr>
    </w:p>
    <w:p>
      <w:pPr>
        <w:spacing w:before="150" w:after="150" w:line="460" w:lineRule="exact"/>
        <w:ind w:firstLine="640"/>
        <w:rPr>
          <w:rFonts w:eastAsia="方正黑体简体" w:cs="Times New Roman"/>
          <w:sz w:val="32"/>
        </w:rPr>
      </w:pPr>
    </w:p>
    <w:p>
      <w:pPr>
        <w:spacing w:before="150" w:after="150" w:line="460" w:lineRule="exact"/>
        <w:ind w:firstLine="0" w:firstLineChars="0"/>
        <w:rPr>
          <w:rFonts w:eastAsia="黑体" w:cs="Times New Roman"/>
          <w:b/>
          <w:sz w:val="32"/>
          <w:szCs w:val="32"/>
        </w:rPr>
      </w:pPr>
    </w:p>
    <w:p>
      <w:pPr>
        <w:spacing w:before="150" w:after="150" w:line="460" w:lineRule="exact"/>
        <w:ind w:firstLine="0" w:firstLineChars="0"/>
        <w:jc w:val="center"/>
        <w:rPr>
          <w:rFonts w:eastAsia="黑体" w:cs="Times New Roman"/>
          <w:b/>
          <w:sz w:val="32"/>
          <w:szCs w:val="32"/>
        </w:rPr>
      </w:pPr>
      <w:r>
        <w:rPr>
          <w:rFonts w:eastAsia="黑体" w:cs="Times New Roman"/>
          <w:b/>
          <w:sz w:val="32"/>
          <w:szCs w:val="32"/>
        </w:rPr>
        <w:t>摘       要</w:t>
      </w:r>
    </w:p>
    <w:p>
      <w:pPr>
        <w:pStyle w:val="text-idt25"/>
        <w:spacing w:before="0" w:beforeAutospacing="0" w:after="0" w:afterAutospacing="0" w:line="440" w:lineRule="exact"/>
        <w:ind w:firstLine="480"/>
        <w:textAlignment w:val="baseline"/>
        <w:rPr>
          <w:rFonts w:ascii="Times New Roman" w:eastAsia="楷体" w:hAnsi="Times New Roman" w:cs="Times New Roman"/>
          <w:color w:val="000000"/>
          <w:kern w:val="2"/>
          <w:shd w:val="clear" w:color="auto" w:fill="FFFFFF"/>
        </w:rPr>
        <w:sectPr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/>
          <w:pgMar w:top="1440" w:right="1800" w:bottom="1440" w:left="1800" w:header="851" w:footer="992" w:gutter="0"/>
          <w:cols w:num="1" w:space="425"/>
          <w:titlePg/>
          <w:docGrid w:type="lines" w:linePitch="312" w:charSpace="0"/>
        </w:sectPr>
      </w:pPr>
      <w:r>
        <w:rPr>
          <w:rFonts w:eastAsia="楷体_GB2312"/>
          <w:kern w:val="22"/>
        </w:rPr>
        <w:t>近几年来，伴随着网络的不断进步与物流的飞速发展，国家各级有关部门对</w:t>
      </w:r>
      <w:r>
        <w:rPr>
          <w:rFonts w:eastAsia="楷体_GB2312" w:hint="eastAsia"/>
          <w:kern w:val="22"/>
        </w:rPr>
        <w:t>生鲜</w:t>
      </w:r>
      <w:r>
        <w:rPr>
          <w:rFonts w:eastAsia="楷体_GB2312"/>
          <w:kern w:val="22"/>
        </w:rPr>
        <w:t>产品发展的关注与扶持力度逐步加大</w:t>
      </w:r>
      <w:r>
        <w:rPr>
          <w:rFonts w:eastAsia="楷体_GB2312" w:hint="eastAsia"/>
          <w:kern w:val="22"/>
        </w:rPr>
        <w:t>。</w:t>
      </w:r>
      <w:r>
        <w:rPr>
          <w:rFonts w:eastAsia="楷体_GB2312"/>
          <w:kern w:val="22"/>
        </w:rPr>
        <w:t>与此同时生鲜市场扩张迅速，行业竞争不断增加，消费者在购买产品时也不再仅仅关注于产品本身，品牌形象对消费者购买行为的影响也在增加，</w:t>
      </w:r>
      <w:r>
        <w:rPr>
          <w:rFonts w:eastAsia="楷体_GB2312" w:hint="eastAsia"/>
          <w:kern w:val="22"/>
        </w:rPr>
        <w:t>然而</w:t>
      </w:r>
      <w:r>
        <w:rPr>
          <w:rFonts w:eastAsia="楷体_GB2312"/>
          <w:kern w:val="22"/>
        </w:rPr>
        <w:t>大多数公司</w:t>
      </w:r>
      <w:r>
        <w:rPr>
          <w:rFonts w:eastAsia="楷体_GB2312" w:hint="eastAsia"/>
          <w:kern w:val="22"/>
        </w:rPr>
        <w:t>仍然存在</w:t>
      </w:r>
      <w:r>
        <w:rPr>
          <w:rFonts w:eastAsia="楷体_GB2312"/>
          <w:kern w:val="22"/>
        </w:rPr>
        <w:t>品牌定位不准确</w:t>
      </w:r>
      <w:r>
        <w:rPr>
          <w:rFonts w:eastAsia="楷体_GB2312" w:hint="eastAsia"/>
          <w:kern w:val="22"/>
        </w:rPr>
        <w:t>、</w:t>
      </w:r>
      <w:r>
        <w:rPr>
          <w:rFonts w:eastAsia="楷体_GB2312"/>
          <w:kern w:val="22"/>
        </w:rPr>
        <w:t>品牌形象不清晰等问题。本文以</w:t>
      </w:r>
      <w:r>
        <w:rPr>
          <w:rFonts w:eastAsia="楷体_GB2312" w:hint="eastAsia"/>
          <w:kern w:val="22"/>
        </w:rPr>
        <w:t>长春市果语堂科技有限公司</w:t>
      </w:r>
      <w:r>
        <w:rPr>
          <w:rFonts w:eastAsia="楷体_GB2312"/>
          <w:kern w:val="22"/>
        </w:rPr>
        <w:t>的品牌定位分析为研究目标，以相关理论为基础，</w:t>
      </w:r>
      <w:r>
        <w:rPr>
          <w:rFonts w:eastAsia="楷体_GB2312" w:hint="eastAsia"/>
          <w:kern w:val="22"/>
        </w:rPr>
        <w:t>我们主要使用文献检索，深度访谈和调查等研究方法。收集的有效问卷通过</w:t>
      </w:r>
      <w:r>
        <w:rPr>
          <w:rFonts w:ascii="Times New Roman" w:eastAsia="楷体_GB2312" w:hAnsi="Times New Roman" w:cs="Times New Roman"/>
          <w:kern w:val="22"/>
        </w:rPr>
        <w:t>SPSS</w:t>
      </w:r>
      <w:r>
        <w:rPr>
          <w:rFonts w:eastAsia="楷体_GB2312" w:hint="eastAsia"/>
          <w:kern w:val="22"/>
        </w:rPr>
        <w:t>和其他软件进行分析，以调查一系列相关的消费数据，如品牌消费者特征、习惯、态度、满意度和意愿。然后，利用品牌维度分析市场位置、价格位置、图像位置、地理位置、人群位置和渠道位置。</w:t>
      </w:r>
      <w:r>
        <w:rPr>
          <w:rFonts w:eastAsia="楷体_GB2312"/>
          <w:kern w:val="22"/>
        </w:rPr>
        <w:t>将该品牌在消费者心中最深刻的品牌</w:t>
      </w:r>
      <w:r>
        <w:rPr>
          <w:rFonts w:eastAsia="楷体_GB2312" w:hint="eastAsia"/>
          <w:kern w:val="22"/>
        </w:rPr>
        <w:t>形象</w:t>
      </w:r>
    </w:p>
    <w:p>
      <w:pPr>
        <w:pStyle w:val="text-idt25"/>
        <w:spacing w:before="0" w:beforeAutospacing="0" w:after="0" w:afterAutospacing="0" w:line="440" w:lineRule="exact"/>
        <w:ind w:firstLine="480"/>
        <w:textAlignment w:val="baseline"/>
        <w:rPr>
          <w:rFonts w:ascii="Times New Roman" w:eastAsia="楷体" w:hAnsi="Times New Roman" w:cs="Times New Roman"/>
          <w:color w:val="000000"/>
          <w:kern w:val="2"/>
          <w:shd w:val="clear" w:color="auto" w:fill="FFFFFF"/>
        </w:rPr>
      </w:pPr>
      <w:r>
        <w:rPr>
          <w:rFonts w:eastAsia="楷体_GB2312"/>
          <w:kern w:val="22"/>
        </w:rPr>
        <w:t>提炼出来，从而形成能够代表品牌形象的标语等。</w:t>
      </w:r>
      <w:r>
        <w:rPr>
          <w:rFonts w:eastAsia="楷体_GB2312" w:hint="eastAsia"/>
          <w:kern w:val="22"/>
        </w:rPr>
        <w:t>本文</w:t>
      </w:r>
      <w:r>
        <w:rPr>
          <w:rFonts w:eastAsia="楷体_GB2312"/>
          <w:kern w:val="22"/>
        </w:rPr>
        <w:t>对果语堂的品牌形象进行更加详尽细致的刻画，对水果生鲜行业的品牌</w:t>
      </w:r>
      <w:r>
        <w:rPr>
          <w:rFonts w:eastAsia="楷体_GB2312" w:hint="eastAsia"/>
          <w:kern w:val="22"/>
        </w:rPr>
        <w:t>定位</w:t>
      </w:r>
      <w:r>
        <w:rPr>
          <w:rFonts w:eastAsia="楷体_GB2312"/>
          <w:kern w:val="22"/>
        </w:rPr>
        <w:t>具有一定的借鉴意义。</w:t>
      </w:r>
    </w:p>
    <w:p>
      <w:pPr>
        <w:spacing w:line="440" w:lineRule="exact"/>
        <w:ind w:firstLine="480"/>
        <w:rPr>
          <w:rFonts w:eastAsia="楷体" w:cs="Times New Roman"/>
        </w:rPr>
      </w:pPr>
      <w:r>
        <w:rPr>
          <w:rFonts w:eastAsia="楷体" w:cs="Times New Roman"/>
        </w:rPr>
        <w:t>【</w:t>
      </w:r>
      <w:r>
        <w:rPr>
          <w:rFonts w:eastAsia="黑体" w:cs="Times New Roman"/>
        </w:rPr>
        <w:t>关键词</w:t>
      </w:r>
      <w:r>
        <w:rPr>
          <w:rFonts w:eastAsia="楷体" w:cs="Times New Roman"/>
        </w:rPr>
        <w:t>】</w:t>
      </w:r>
      <w:r>
        <w:rPr>
          <w:rFonts w:ascii="宋体" w:eastAsia="楷体_GB2312" w:hAnsi="宋体" w:cs="宋体" w:hint="eastAsia"/>
          <w:kern w:val="22"/>
        </w:rPr>
        <w:t xml:space="preserve">品牌定位 </w:t>
      </w:r>
      <w:r>
        <w:rPr>
          <w:rFonts w:ascii="宋体" w:eastAsia="楷体_GB2312" w:hAnsi="宋体" w:cs="宋体"/>
          <w:kern w:val="22"/>
        </w:rPr>
        <w:t xml:space="preserve"> </w:t>
      </w:r>
      <w:r>
        <w:rPr>
          <w:rFonts w:ascii="宋体" w:eastAsia="楷体_GB2312" w:hAnsi="宋体" w:cs="宋体" w:hint="eastAsia"/>
          <w:kern w:val="22"/>
        </w:rPr>
        <w:t xml:space="preserve">品牌形象 </w:t>
      </w:r>
      <w:r>
        <w:rPr>
          <w:rFonts w:ascii="宋体" w:eastAsia="楷体_GB2312" w:hAnsi="宋体" w:cs="宋体"/>
          <w:kern w:val="22"/>
        </w:rPr>
        <w:t xml:space="preserve"> </w:t>
      </w:r>
      <w:r>
        <w:rPr>
          <w:rFonts w:ascii="宋体" w:eastAsia="楷体_GB2312" w:hAnsi="宋体" w:cs="宋体" w:hint="eastAsia"/>
          <w:kern w:val="22"/>
        </w:rPr>
        <w:t>品牌影响力</w:t>
      </w:r>
      <w:r>
        <w:rPr>
          <w:rFonts w:ascii="宋体" w:eastAsia="楷体_GB2312" w:hAnsi="宋体" w:cs="宋体"/>
          <w:kern w:val="22"/>
        </w:rPr>
        <w:t xml:space="preserve"> </w:t>
      </w:r>
      <w:r>
        <w:rPr>
          <w:rFonts w:eastAsia="楷体" w:cs="Times New Roman"/>
        </w:rPr>
        <w:t xml:space="preserve"> </w:t>
      </w: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  <w:rPr>
          <w:rFonts w:eastAsia="楷体" w:cs="Times New Roman"/>
          <w:color w:val="000000" w:themeColor="text1"/>
          <w:kern w:val="22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440" w:lineRule="exact"/>
        <w:ind w:firstLine="480"/>
      </w:pPr>
    </w:p>
    <w:p>
      <w:pPr>
        <w:spacing w:line="360" w:lineRule="auto"/>
        <w:ind w:firstLine="0" w:firstLineChars="0"/>
        <w:rPr>
          <w:rFonts w:eastAsia="Arial Unicode MS" w:cs="Times New Roman"/>
          <w:b/>
          <w:sz w:val="36"/>
          <w:szCs w:val="36"/>
        </w:rPr>
      </w:pPr>
    </w:p>
    <w:p>
      <w:pPr>
        <w:spacing w:line="360" w:lineRule="auto"/>
        <w:ind w:firstLine="720"/>
        <w:jc w:val="center"/>
        <w:rPr>
          <w:rFonts w:cs="Times New Roman"/>
          <w:b/>
          <w:bCs/>
          <w:color w:val="000000"/>
          <w:sz w:val="30"/>
        </w:rPr>
      </w:pPr>
      <w:r>
        <w:rPr>
          <w:rFonts w:eastAsia="Arial Unicode MS" w:cs="Times New Roman"/>
          <w:b/>
          <w:sz w:val="36"/>
          <w:szCs w:val="36"/>
        </w:rPr>
        <w:t>Abstract</w:t>
      </w:r>
    </w:p>
    <w:p>
      <w:pPr>
        <w:adjustRightInd w:val="0"/>
        <w:snapToGrid w:val="0"/>
        <w:ind w:firstLine="480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In</w:t>
      </w:r>
      <w:r>
        <w:rPr>
          <w:rFonts w:ascii="Arial Unicode MS" w:eastAsia="Arial Unicode MS" w:hAnsi="Arial Unicode MS" w:cs="Arial Unicode MS"/>
        </w:rPr>
        <w:t xml:space="preserve"> recent</w:t>
      </w:r>
      <w:r>
        <w:rPr>
          <w:rFonts w:ascii="Arial Unicode MS" w:eastAsia="Arial Unicode MS" w:hAnsi="Arial Unicode MS" w:cs="Arial Unicode MS"/>
        </w:rPr>
        <w:t xml:space="preserve"> years,</w:t>
      </w:r>
      <w:r>
        <w:rPr>
          <w:rFonts w:ascii="Arial Unicode MS" w:eastAsia="Arial Unicode MS" w:hAnsi="Arial Unicode MS" w:cs="Arial Unicode MS"/>
        </w:rPr>
        <w:t xml:space="preserve"> with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continuous</w:t>
      </w:r>
      <w:r>
        <w:rPr>
          <w:rFonts w:ascii="Arial Unicode MS" w:eastAsia="Arial Unicode MS" w:hAnsi="Arial Unicode MS" w:cs="Arial Unicode MS"/>
        </w:rPr>
        <w:t xml:space="preserve"> progress</w:t>
      </w:r>
      <w:r>
        <w:rPr>
          <w:rFonts w:ascii="Arial Unicode MS" w:eastAsia="Arial Unicode MS" w:hAnsi="Arial Unicode MS" w:cs="Arial Unicode MS"/>
        </w:rPr>
        <w:t xml:space="preserve"> of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network</w:t>
      </w:r>
      <w:r>
        <w:rPr>
          <w:rFonts w:ascii="Arial Unicode MS" w:eastAsia="Arial Unicode MS" w:hAnsi="Arial Unicode MS" w:cs="Arial Unicode MS"/>
        </w:rPr>
        <w:t xml:space="preserve"> and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rapid</w:t>
      </w:r>
      <w:r>
        <w:rPr>
          <w:rFonts w:ascii="Arial Unicode MS" w:eastAsia="Arial Unicode MS" w:hAnsi="Arial Unicode MS" w:cs="Arial Unicode MS"/>
        </w:rPr>
        <w:t xml:space="preserve"> development</w:t>
      </w:r>
      <w:r>
        <w:rPr>
          <w:rFonts w:ascii="Arial Unicode MS" w:eastAsia="Arial Unicode MS" w:hAnsi="Arial Unicode MS" w:cs="Arial Unicode MS"/>
        </w:rPr>
        <w:t xml:space="preserve"> of</w:t>
      </w:r>
      <w:r>
        <w:rPr>
          <w:rFonts w:ascii="Arial Unicode MS" w:eastAsia="Arial Unicode MS" w:hAnsi="Arial Unicode MS" w:cs="Arial Unicode MS"/>
        </w:rPr>
        <w:t xml:space="preserve"> logistics,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relevant</w:t>
      </w:r>
      <w:r>
        <w:rPr>
          <w:rFonts w:ascii="Arial Unicode MS" w:eastAsia="Arial Unicode MS" w:hAnsi="Arial Unicode MS" w:cs="Arial Unicode MS"/>
        </w:rPr>
        <w:t xml:space="preserve"> departments</w:t>
      </w:r>
      <w:r>
        <w:rPr>
          <w:rFonts w:ascii="Arial Unicode MS" w:eastAsia="Arial Unicode MS" w:hAnsi="Arial Unicode MS" w:cs="Arial Unicode MS"/>
        </w:rPr>
        <w:t xml:space="preserve"> at</w:t>
      </w:r>
      <w:r>
        <w:rPr>
          <w:rFonts w:ascii="Arial Unicode MS" w:eastAsia="Arial Unicode MS" w:hAnsi="Arial Unicode MS" w:cs="Arial Unicode MS"/>
        </w:rPr>
        <w:t xml:space="preserve"> all</w:t>
      </w:r>
      <w:r>
        <w:rPr>
          <w:rFonts w:ascii="Arial Unicode MS" w:eastAsia="Arial Unicode MS" w:hAnsi="Arial Unicode MS" w:cs="Arial Unicode MS"/>
        </w:rPr>
        <w:t xml:space="preserve"> levels</w:t>
      </w:r>
      <w:r>
        <w:rPr>
          <w:rFonts w:ascii="Arial Unicode MS" w:eastAsia="Arial Unicode MS" w:hAnsi="Arial Unicode MS" w:cs="Arial Unicode MS"/>
        </w:rPr>
        <w:t xml:space="preserve"> of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state</w:t>
      </w:r>
      <w:r>
        <w:rPr>
          <w:rFonts w:ascii="Arial Unicode MS" w:eastAsia="Arial Unicode MS" w:hAnsi="Arial Unicode MS" w:cs="Arial Unicode MS"/>
        </w:rPr>
        <w:t xml:space="preserve"> pay</w:t>
      </w:r>
      <w:r>
        <w:rPr>
          <w:rFonts w:ascii="Arial Unicode MS" w:eastAsia="Arial Unicode MS" w:hAnsi="Arial Unicode MS" w:cs="Arial Unicode MS"/>
        </w:rPr>
        <w:t xml:space="preserve"> more</w:t>
      </w:r>
      <w:r>
        <w:rPr>
          <w:rFonts w:ascii="Arial Unicode MS" w:eastAsia="Arial Unicode MS" w:hAnsi="Arial Unicode MS" w:cs="Arial Unicode MS"/>
        </w:rPr>
        <w:t xml:space="preserve"> attention</w:t>
      </w:r>
      <w:r>
        <w:rPr>
          <w:rFonts w:ascii="Arial Unicode MS" w:eastAsia="Arial Unicode MS" w:hAnsi="Arial Unicode MS" w:cs="Arial Unicode MS"/>
        </w:rPr>
        <w:t xml:space="preserve"> to</w:t>
      </w:r>
      <w:r>
        <w:rPr>
          <w:rFonts w:ascii="Arial Unicode MS" w:eastAsia="Arial Unicode MS" w:hAnsi="Arial Unicode MS" w:cs="Arial Unicode MS"/>
        </w:rPr>
        <w:t xml:space="preserve"> and</w:t>
      </w:r>
      <w:r>
        <w:rPr>
          <w:rFonts w:ascii="Arial Unicode MS" w:eastAsia="Arial Unicode MS" w:hAnsi="Arial Unicode MS" w:cs="Arial Unicode MS"/>
        </w:rPr>
        <w:t xml:space="preserve"> support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development</w:t>
      </w:r>
      <w:r>
        <w:rPr>
          <w:rFonts w:ascii="Arial Unicode MS" w:eastAsia="Arial Unicode MS" w:hAnsi="Arial Unicode MS" w:cs="Arial Unicode MS"/>
        </w:rPr>
        <w:t xml:space="preserve"> of</w:t>
      </w:r>
      <w:r>
        <w:rPr>
          <w:rFonts w:ascii="Arial Unicode MS" w:eastAsia="Arial Unicode MS" w:hAnsi="Arial Unicode MS" w:cs="Arial Unicode MS"/>
        </w:rPr>
        <w:t xml:space="preserve"> fresh</w:t>
      </w:r>
      <w:r>
        <w:rPr>
          <w:rFonts w:ascii="Arial Unicode MS" w:eastAsia="Arial Unicode MS" w:hAnsi="Arial Unicode MS" w:cs="Arial Unicode MS"/>
        </w:rPr>
        <w:t xml:space="preserve"> products.</w:t>
      </w:r>
      <w:r>
        <w:rPr>
          <w:rFonts w:ascii="Arial Unicode MS" w:eastAsia="Arial Unicode MS" w:hAnsi="Arial Unicode MS" w:cs="Arial Unicode MS"/>
        </w:rPr>
        <w:t xml:space="preserve"> At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same</w:t>
      </w:r>
      <w:r>
        <w:rPr>
          <w:rFonts w:ascii="Arial Unicode MS" w:eastAsia="Arial Unicode MS" w:hAnsi="Arial Unicode MS" w:cs="Arial Unicode MS"/>
        </w:rPr>
        <w:t xml:space="preserve"> time,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fresh</w:t>
      </w:r>
      <w:r>
        <w:rPr>
          <w:rFonts w:ascii="Arial Unicode MS" w:eastAsia="Arial Unicode MS" w:hAnsi="Arial Unicode MS" w:cs="Arial Unicode MS"/>
        </w:rPr>
        <w:t xml:space="preserve"> market</w:t>
      </w:r>
      <w:r>
        <w:rPr>
          <w:rFonts w:ascii="Arial Unicode MS" w:eastAsia="Arial Unicode MS" w:hAnsi="Arial Unicode MS" w:cs="Arial Unicode MS"/>
        </w:rPr>
        <w:t xml:space="preserve"> is</w:t>
      </w:r>
      <w:r>
        <w:rPr>
          <w:rFonts w:ascii="Arial Unicode MS" w:eastAsia="Arial Unicode MS" w:hAnsi="Arial Unicode MS" w:cs="Arial Unicode MS"/>
        </w:rPr>
        <w:t xml:space="preserve"> expanding</w:t>
      </w:r>
      <w:r>
        <w:rPr>
          <w:rFonts w:ascii="Arial Unicode MS" w:eastAsia="Arial Unicode MS" w:hAnsi="Arial Unicode MS" w:cs="Arial Unicode MS"/>
        </w:rPr>
        <w:t xml:space="preserve"> rapidly,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industry</w:t>
      </w:r>
      <w:r>
        <w:rPr>
          <w:rFonts w:ascii="Arial Unicode MS" w:eastAsia="Arial Unicode MS" w:hAnsi="Arial Unicode MS" w:cs="Arial Unicode MS"/>
        </w:rPr>
        <w:t xml:space="preserve"> competition</w:t>
      </w:r>
      <w:r>
        <w:rPr>
          <w:rFonts w:ascii="Arial Unicode MS" w:eastAsia="Arial Unicode MS" w:hAnsi="Arial Unicode MS" w:cs="Arial Unicode MS"/>
        </w:rPr>
        <w:t xml:space="preserve"> is</w:t>
      </w:r>
      <w:r>
        <w:rPr>
          <w:rFonts w:ascii="Arial Unicode MS" w:eastAsia="Arial Unicode MS" w:hAnsi="Arial Unicode MS" w:cs="Arial Unicode MS"/>
        </w:rPr>
        <w:t xml:space="preserve"> increasing,</w:t>
      </w:r>
      <w:r>
        <w:rPr>
          <w:rFonts w:ascii="Arial Unicode MS" w:eastAsia="Arial Unicode MS" w:hAnsi="Arial Unicode MS" w:cs="Arial Unicode MS"/>
        </w:rPr>
        <w:t xml:space="preserve"> and</w:t>
      </w:r>
      <w:r>
        <w:rPr>
          <w:rFonts w:ascii="Arial Unicode MS" w:eastAsia="Arial Unicode MS" w:hAnsi="Arial Unicode MS" w:cs="Arial Unicode MS"/>
        </w:rPr>
        <w:t xml:space="preserve"> consumers</w:t>
      </w:r>
      <w:r>
        <w:rPr>
          <w:rFonts w:ascii="Arial Unicode MS" w:eastAsia="Arial Unicode MS" w:hAnsi="Arial Unicode MS" w:cs="Arial Unicode MS"/>
        </w:rPr>
        <w:t xml:space="preserve"> no</w:t>
      </w:r>
      <w:r>
        <w:rPr>
          <w:rFonts w:ascii="Arial Unicode MS" w:eastAsia="Arial Unicode MS" w:hAnsi="Arial Unicode MS" w:cs="Arial Unicode MS"/>
        </w:rPr>
        <w:t xml:space="preserve"> longer</w:t>
      </w:r>
      <w:r>
        <w:rPr>
          <w:rFonts w:ascii="Arial Unicode MS" w:eastAsia="Arial Unicode MS" w:hAnsi="Arial Unicode MS" w:cs="Arial Unicode MS"/>
        </w:rPr>
        <w:t xml:space="preserve"> only</w:t>
      </w:r>
      <w:r>
        <w:rPr>
          <w:rFonts w:ascii="Arial Unicode MS" w:eastAsia="Arial Unicode MS" w:hAnsi="Arial Unicode MS" w:cs="Arial Unicode MS"/>
        </w:rPr>
        <w:t xml:space="preserve"> focus</w:t>
      </w:r>
      <w:r>
        <w:rPr>
          <w:rFonts w:ascii="Arial Unicode MS" w:eastAsia="Arial Unicode MS" w:hAnsi="Arial Unicode MS" w:cs="Arial Unicode MS"/>
        </w:rPr>
        <w:t xml:space="preserve"> on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product</w:t>
      </w:r>
      <w:r>
        <w:rPr>
          <w:rFonts w:ascii="Arial Unicode MS" w:eastAsia="Arial Unicode MS" w:hAnsi="Arial Unicode MS" w:cs="Arial Unicode MS"/>
        </w:rPr>
        <w:t xml:space="preserve"> itself</w:t>
      </w:r>
      <w:r>
        <w:rPr>
          <w:rFonts w:ascii="Arial Unicode MS" w:eastAsia="Arial Unicode MS" w:hAnsi="Arial Unicode MS" w:cs="Arial Unicode MS"/>
        </w:rPr>
        <w:t xml:space="preserve"> when</w:t>
      </w:r>
      <w:r>
        <w:rPr>
          <w:rFonts w:ascii="Arial Unicode MS" w:eastAsia="Arial Unicode MS" w:hAnsi="Arial Unicode MS" w:cs="Arial Unicode MS"/>
        </w:rPr>
        <w:t xml:space="preserve"> buying</w:t>
      </w:r>
      <w:r>
        <w:rPr>
          <w:rFonts w:ascii="Arial Unicode MS" w:eastAsia="Arial Unicode MS" w:hAnsi="Arial Unicode MS" w:cs="Arial Unicode MS"/>
        </w:rPr>
        <w:t xml:space="preserve"> products,</w:t>
      </w:r>
      <w:r>
        <w:rPr>
          <w:rFonts w:ascii="Arial Unicode MS" w:eastAsia="Arial Unicode MS" w:hAnsi="Arial Unicode MS" w:cs="Arial Unicode MS"/>
        </w:rPr>
        <w:t xml:space="preserve"> and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brand</w:t>
      </w:r>
      <w:r>
        <w:rPr>
          <w:rFonts w:ascii="Arial Unicode MS" w:eastAsia="Arial Unicode MS" w:hAnsi="Arial Unicode MS" w:cs="Arial Unicode MS"/>
        </w:rPr>
        <w:t xml:space="preserve"> image</w:t>
      </w:r>
      <w:r>
        <w:rPr>
          <w:rFonts w:ascii="Arial Unicode MS" w:eastAsia="Arial Unicode MS" w:hAnsi="Arial Unicode MS" w:cs="Arial Unicode MS"/>
        </w:rPr>
        <w:t xml:space="preserve"> has</w:t>
      </w:r>
      <w:r>
        <w:rPr>
          <w:rFonts w:ascii="Arial Unicode MS" w:eastAsia="Arial Unicode MS" w:hAnsi="Arial Unicode MS" w:cs="Arial Unicode MS"/>
        </w:rPr>
        <w:t xml:space="preserve"> an</w:t>
      </w:r>
      <w:r>
        <w:rPr>
          <w:rFonts w:ascii="Arial Unicode MS" w:eastAsia="Arial Unicode MS" w:hAnsi="Arial Unicode MS" w:cs="Arial Unicode MS"/>
        </w:rPr>
        <w:t xml:space="preserve"> increasing</w:t>
      </w:r>
      <w:r>
        <w:rPr>
          <w:rFonts w:ascii="Arial Unicode MS" w:eastAsia="Arial Unicode MS" w:hAnsi="Arial Unicode MS" w:cs="Arial Unicode MS"/>
        </w:rPr>
        <w:t xml:space="preserve"> impact</w:t>
      </w:r>
      <w:r>
        <w:rPr>
          <w:rFonts w:ascii="Arial Unicode MS" w:eastAsia="Arial Unicode MS" w:hAnsi="Arial Unicode MS" w:cs="Arial Unicode MS"/>
        </w:rPr>
        <w:t xml:space="preserve"> on</w:t>
      </w:r>
      <w:r>
        <w:rPr>
          <w:rFonts w:ascii="Arial Unicode MS" w:eastAsia="Arial Unicode MS" w:hAnsi="Arial Unicode MS" w:cs="Arial Unicode MS"/>
        </w:rPr>
        <w:t xml:space="preserve"> consumers'</w:t>
      </w:r>
      <w:r>
        <w:rPr>
          <w:rFonts w:ascii="Arial Unicode MS" w:eastAsia="Arial Unicode MS" w:hAnsi="Arial Unicode MS" w:cs="Arial Unicode MS"/>
        </w:rPr>
        <w:t xml:space="preserve"> buying</w:t>
      </w:r>
      <w:r>
        <w:rPr>
          <w:rFonts w:ascii="Arial Unicode MS" w:eastAsia="Arial Unicode MS" w:hAnsi="Arial Unicode MS" w:cs="Arial Unicode MS"/>
        </w:rPr>
        <w:t xml:space="preserve"> behavior.</w:t>
      </w:r>
      <w:r>
        <w:rPr>
          <w:rFonts w:ascii="Arial Unicode MS" w:eastAsia="Arial Unicode MS" w:hAnsi="Arial Unicode MS" w:cs="Arial Unicode MS"/>
        </w:rPr>
        <w:t xml:space="preserve"> However,</w:t>
      </w:r>
      <w:r>
        <w:rPr>
          <w:rFonts w:ascii="Arial Unicode MS" w:eastAsia="Arial Unicode MS" w:hAnsi="Arial Unicode MS" w:cs="Arial Unicode MS"/>
        </w:rPr>
        <w:t xml:space="preserve"> most</w:t>
      </w:r>
      <w:r>
        <w:rPr>
          <w:rFonts w:ascii="Arial Unicode MS" w:eastAsia="Arial Unicode MS" w:hAnsi="Arial Unicode MS" w:cs="Arial Unicode MS"/>
        </w:rPr>
        <w:t xml:space="preserve"> companies</w:t>
      </w:r>
      <w:r>
        <w:rPr>
          <w:rFonts w:ascii="Arial Unicode MS" w:eastAsia="Arial Unicode MS" w:hAnsi="Arial Unicode MS" w:cs="Arial Unicode MS"/>
        </w:rPr>
        <w:t xml:space="preserve"> still</w:t>
      </w:r>
      <w:r>
        <w:rPr>
          <w:rFonts w:ascii="Arial Unicode MS" w:eastAsia="Arial Unicode MS" w:hAnsi="Arial Unicode MS" w:cs="Arial Unicode MS"/>
        </w:rPr>
        <w:t xml:space="preserve"> have</w:t>
      </w:r>
      <w:r>
        <w:rPr>
          <w:rFonts w:ascii="Arial Unicode MS" w:eastAsia="Arial Unicode MS" w:hAnsi="Arial Unicode MS" w:cs="Arial Unicode MS"/>
        </w:rPr>
        <w:t xml:space="preserve"> problems</w:t>
      </w:r>
      <w:r>
        <w:rPr>
          <w:rFonts w:ascii="Arial Unicode MS" w:eastAsia="Arial Unicode MS" w:hAnsi="Arial Unicode MS" w:cs="Arial Unicode MS"/>
        </w:rPr>
        <w:t xml:space="preserve"> such</w:t>
      </w:r>
      <w:r>
        <w:rPr>
          <w:rFonts w:ascii="Arial Unicode MS" w:eastAsia="Arial Unicode MS" w:hAnsi="Arial Unicode MS" w:cs="Arial Unicode MS"/>
        </w:rPr>
        <w:t xml:space="preserve"> as</w:t>
      </w:r>
      <w:r>
        <w:rPr>
          <w:rFonts w:ascii="Arial Unicode MS" w:eastAsia="Arial Unicode MS" w:hAnsi="Arial Unicode MS" w:cs="Arial Unicode MS"/>
        </w:rPr>
        <w:t xml:space="preserve"> inaccurate</w:t>
      </w:r>
      <w:r>
        <w:rPr>
          <w:rFonts w:ascii="Arial Unicode MS" w:eastAsia="Arial Unicode MS" w:hAnsi="Arial Unicode MS" w:cs="Arial Unicode MS"/>
        </w:rPr>
        <w:t xml:space="preserve"> brand</w:t>
      </w:r>
      <w:r>
        <w:rPr>
          <w:rFonts w:ascii="Arial Unicode MS" w:eastAsia="Arial Unicode MS" w:hAnsi="Arial Unicode MS" w:cs="Arial Unicode MS"/>
        </w:rPr>
        <w:t xml:space="preserve"> positioning</w:t>
      </w:r>
      <w:r>
        <w:rPr>
          <w:rFonts w:ascii="Arial Unicode MS" w:eastAsia="Arial Unicode MS" w:hAnsi="Arial Unicode MS" w:cs="Arial Unicode MS"/>
        </w:rPr>
        <w:t xml:space="preserve"> and</w:t>
      </w:r>
      <w:r>
        <w:rPr>
          <w:rFonts w:ascii="Arial Unicode MS" w:eastAsia="Arial Unicode MS" w:hAnsi="Arial Unicode MS" w:cs="Arial Unicode MS"/>
        </w:rPr>
        <w:t xml:space="preserve"> unclear</w:t>
      </w:r>
      <w:r>
        <w:rPr>
          <w:rFonts w:ascii="Arial Unicode MS" w:eastAsia="Arial Unicode MS" w:hAnsi="Arial Unicode MS" w:cs="Arial Unicode MS"/>
        </w:rPr>
        <w:t xml:space="preserve"> brand</w:t>
      </w:r>
      <w:r>
        <w:rPr>
          <w:rFonts w:ascii="Arial Unicode MS" w:eastAsia="Arial Unicode MS" w:hAnsi="Arial Unicode MS" w:cs="Arial Unicode MS"/>
        </w:rPr>
        <w:t xml:space="preserve"> image.</w:t>
      </w:r>
      <w:r>
        <w:rPr>
          <w:rFonts w:ascii="Arial Unicode MS" w:eastAsia="Arial Unicode MS" w:hAnsi="Arial Unicode MS" w:cs="Arial Unicode MS"/>
        </w:rPr>
        <w:t xml:space="preserve"> This</w:t>
      </w:r>
      <w:r>
        <w:rPr>
          <w:rFonts w:ascii="Arial Unicode MS" w:eastAsia="Arial Unicode MS" w:hAnsi="Arial Unicode MS" w:cs="Arial Unicode MS"/>
        </w:rPr>
        <w:t xml:space="preserve"> paper</w:t>
      </w:r>
      <w:r>
        <w:rPr>
          <w:rFonts w:ascii="Arial Unicode MS" w:eastAsia="Arial Unicode MS" w:hAnsi="Arial Unicode MS" w:cs="Arial Unicode MS"/>
        </w:rPr>
        <w:t xml:space="preserve"> takes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brand</w:t>
      </w:r>
      <w:r>
        <w:rPr>
          <w:rFonts w:ascii="Arial Unicode MS" w:eastAsia="Arial Unicode MS" w:hAnsi="Arial Unicode MS" w:cs="Arial Unicode MS"/>
        </w:rPr>
        <w:t xml:space="preserve"> positioning</w:t>
      </w:r>
      <w:r>
        <w:rPr>
          <w:rFonts w:ascii="Arial Unicode MS" w:eastAsia="Arial Unicode MS" w:hAnsi="Arial Unicode MS" w:cs="Arial Unicode MS"/>
        </w:rPr>
        <w:t xml:space="preserve"> analysis</w:t>
      </w:r>
      <w:r>
        <w:rPr>
          <w:rFonts w:ascii="Arial Unicode MS" w:eastAsia="Arial Unicode MS" w:hAnsi="Arial Unicode MS" w:cs="Arial Unicode MS"/>
        </w:rPr>
        <w:t xml:space="preserve"> of</w:t>
      </w:r>
      <w:r>
        <w:rPr>
          <w:rFonts w:ascii="Arial Unicode MS" w:eastAsia="Arial Unicode MS" w:hAnsi="Arial Unicode MS" w:cs="Arial Unicode MS"/>
        </w:rPr>
        <w:t xml:space="preserve"> Changchun</w:t>
      </w:r>
      <w:r>
        <w:rPr>
          <w:rFonts w:ascii="Arial Unicode MS" w:eastAsia="Arial Unicode MS" w:hAnsi="Arial Unicode MS" w:cs="Arial Unicode MS"/>
        </w:rPr>
        <w:t xml:space="preserve"> Guoyutang</w:t>
      </w:r>
      <w:r>
        <w:rPr>
          <w:rFonts w:ascii="Arial Unicode MS" w:eastAsia="Arial Unicode MS" w:hAnsi="Arial Unicode MS" w:cs="Arial Unicode MS"/>
        </w:rPr>
        <w:t xml:space="preserve"> technology</w:t>
      </w:r>
      <w:r>
        <w:rPr>
          <w:rFonts w:ascii="Arial Unicode MS" w:eastAsia="Arial Unicode MS" w:hAnsi="Arial Unicode MS" w:cs="Arial Unicode MS"/>
        </w:rPr>
        <w:t xml:space="preserve"> co.,</w:t>
      </w:r>
      <w:r>
        <w:rPr>
          <w:rFonts w:ascii="Arial Unicode MS" w:eastAsia="Arial Unicode MS" w:hAnsi="Arial Unicode MS" w:cs="Arial Unicode MS"/>
        </w:rPr>
        <w:t xml:space="preserve"> ltd.</w:t>
      </w:r>
      <w:r>
        <w:rPr>
          <w:rFonts w:ascii="Arial Unicode MS" w:eastAsia="Arial Unicode MS" w:hAnsi="Arial Unicode MS" w:cs="Arial Unicode MS"/>
        </w:rPr>
        <w:t xml:space="preserve"> as</w:t>
      </w:r>
      <w:r>
        <w:rPr>
          <w:rFonts w:ascii="Arial Unicode MS" w:eastAsia="Arial Unicode MS" w:hAnsi="Arial Unicode MS" w:cs="Arial Unicode MS"/>
        </w:rPr>
        <w:t xml:space="preserve"> the</w:t>
      </w:r>
      <w:r>
        <w:rPr>
          <w:rFonts w:ascii="Arial Unicode MS" w:eastAsia="Arial Unicode MS" w:hAnsi="Arial Unicode MS" w:cs="Arial Unicode MS"/>
        </w:rPr>
        <w:t xml:space="preserve"> research</w:t>
      </w:r>
      <w:r>
        <w:rPr>
          <w:rFonts w:ascii="Arial Unicode MS" w:eastAsia="Arial Unicode MS" w:hAnsi="Arial Unicode MS" w:cs="Arial Unicode MS"/>
        </w:rPr>
        <w:t xml:space="preserve"> target,</w:t>
      </w:r>
      <w:r>
        <w:rPr>
          <w:rFonts w:ascii="Arial Unicode MS" w:eastAsia="Arial Unicode MS" w:hAnsi="Arial Unicode MS" w:cs="Arial Unicode MS"/>
        </w:rPr>
        <w:t xml:space="preserve"> based</w:t>
      </w:r>
      <w:r>
        <w:rPr>
          <w:rFonts w:ascii="Arial Unicode MS" w:eastAsia="Arial Unicode MS" w:hAnsi="Arial Unicode MS" w:cs="Arial Unicode MS"/>
        </w:rPr>
        <w:t xml:space="preserve"> on</w:t>
      </w:r>
      <w:r>
        <w:rPr>
          <w:rFonts w:ascii="Arial Unicode MS" w:eastAsia="Arial Unicode MS" w:hAnsi="Arial Unicode MS" w:cs="Arial Unicode MS"/>
        </w:rPr>
        <w:t xml:space="preserve"> relevant</w:t>
      </w:r>
      <w:r>
        <w:rPr>
          <w:rFonts w:ascii="Arial Unicode MS" w:eastAsia="Arial Unicode MS" w:hAnsi="Arial Unicode MS" w:cs="Arial Unicode MS"/>
        </w:rPr>
        <w:t xml:space="preserve"> theories,</w:t>
      </w:r>
      <w:r>
        <w:rPr>
          <w:rFonts w:ascii="Arial Unicode MS" w:eastAsia="Arial Unicode MS" w:hAnsi="Arial Unicode MS" w:cs="Arial Unicode MS"/>
        </w:rPr>
        <w:t xml:space="preserve"> and</w:t>
      </w:r>
      <w:r>
        <w:rPr>
          <w:rFonts w:ascii="Arial Unicode MS" w:eastAsia="Arial Unicode MS" w:hAnsi="Arial Unicode MS" w:cs="Arial Unicode MS"/>
        </w:rPr>
        <w:t xml:space="preserve"> mainly</w:t>
      </w:r>
      <w:r>
        <w:rPr>
          <w:rFonts w:ascii="Arial Unicode MS" w:eastAsia="Arial Unicode MS" w:hAnsi="Arial Unicode MS" w:cs="Arial Unicode MS"/>
        </w:rPr>
        <w:t xml:space="preserve"> adopts</w:t>
      </w:r>
      <w:r>
        <w:rPr>
          <w:rFonts w:ascii="Arial Unicode MS" w:eastAsia="Arial Unicode MS" w:hAnsi="Arial Unicode MS" w:cs="Arial Unicode MS"/>
        </w:rPr>
        <w:br/>
      </w:r>
      <w:r>
        <w:rPr>
          <w:rFonts w:ascii="Arial Unicode MS" w:eastAsia="Arial Unicode MS" w:hAnsi="Arial Unicode MS" w:cs="Arial Unicode MS"/>
        </w:rPr>
        <w:br/>
      </w:r>
    </w:p>
    <w:p>
      <w:pPr>
        <w:widowControl/>
        <w:spacing w:after="0"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https://d.book118.com/386114042032010100</w:t>
        </w:r>
      </w:hyperlink>
    </w:p>
    <w:p>
      <w:pPr>
        <w:adjustRightInd w:val="0"/>
        <w:snapToGrid w:val="0"/>
        <w:ind w:firstLine="480"/>
        <w:rPr>
          <w:rFonts w:ascii="Arial Unicode MS" w:eastAsia="Arial Unicode MS" w:hAnsi="Arial Unicode MS" w:cs="Arial Unicode MS"/>
        </w:rPr>
      </w:pPr>
    </w:p>
    <w:sectPr>
      <w:headerReference w:type="default" r:id="rId12"/>
      <w:footerReference w:type="default" r:id="rId13"/>
      <w:headerReference w:type="first" r:id="rId14"/>
      <w:footerReference w:type="first" r:id="rId15"/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</w:p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124"/>
    <w:rsid w:val="00011D52"/>
    <w:rsid w:val="00020873"/>
    <w:rsid w:val="000244FF"/>
    <w:rsid w:val="0003455D"/>
    <w:rsid w:val="00035381"/>
    <w:rsid w:val="00035B9C"/>
    <w:rsid w:val="0004321E"/>
    <w:rsid w:val="0004493B"/>
    <w:rsid w:val="000467B9"/>
    <w:rsid w:val="0006666D"/>
    <w:rsid w:val="00066CAB"/>
    <w:rsid w:val="00073B58"/>
    <w:rsid w:val="00075CA4"/>
    <w:rsid w:val="00082C25"/>
    <w:rsid w:val="000847EC"/>
    <w:rsid w:val="000B5F50"/>
    <w:rsid w:val="000C75D9"/>
    <w:rsid w:val="000D5C5E"/>
    <w:rsid w:val="000E0E2A"/>
    <w:rsid w:val="00117124"/>
    <w:rsid w:val="00120AC6"/>
    <w:rsid w:val="00132895"/>
    <w:rsid w:val="001447C4"/>
    <w:rsid w:val="001520E2"/>
    <w:rsid w:val="00190BF4"/>
    <w:rsid w:val="001A757F"/>
    <w:rsid w:val="001B628F"/>
    <w:rsid w:val="0020073F"/>
    <w:rsid w:val="00214229"/>
    <w:rsid w:val="00216171"/>
    <w:rsid w:val="00217B86"/>
    <w:rsid w:val="0022006D"/>
    <w:rsid w:val="00222525"/>
    <w:rsid w:val="00227590"/>
    <w:rsid w:val="00230E0E"/>
    <w:rsid w:val="00231734"/>
    <w:rsid w:val="00242CE2"/>
    <w:rsid w:val="002519CB"/>
    <w:rsid w:val="00265F61"/>
    <w:rsid w:val="002705F9"/>
    <w:rsid w:val="00271938"/>
    <w:rsid w:val="002778BC"/>
    <w:rsid w:val="002A045D"/>
    <w:rsid w:val="002B4D8D"/>
    <w:rsid w:val="002C31B7"/>
    <w:rsid w:val="002D2DF1"/>
    <w:rsid w:val="002F4091"/>
    <w:rsid w:val="002F7920"/>
    <w:rsid w:val="00302DF3"/>
    <w:rsid w:val="00305ADF"/>
    <w:rsid w:val="00306C6A"/>
    <w:rsid w:val="00320906"/>
    <w:rsid w:val="00320D0F"/>
    <w:rsid w:val="003435D6"/>
    <w:rsid w:val="00344004"/>
    <w:rsid w:val="0034546C"/>
    <w:rsid w:val="00353DBD"/>
    <w:rsid w:val="003A55CD"/>
    <w:rsid w:val="003B18B1"/>
    <w:rsid w:val="003B1BD5"/>
    <w:rsid w:val="003B3265"/>
    <w:rsid w:val="003B7C1A"/>
    <w:rsid w:val="003C30FD"/>
    <w:rsid w:val="003C4A38"/>
    <w:rsid w:val="003D043D"/>
    <w:rsid w:val="003E7F2B"/>
    <w:rsid w:val="003F2737"/>
    <w:rsid w:val="00405873"/>
    <w:rsid w:val="00407CEC"/>
    <w:rsid w:val="004115D6"/>
    <w:rsid w:val="0041654B"/>
    <w:rsid w:val="00417942"/>
    <w:rsid w:val="004238D2"/>
    <w:rsid w:val="0043702F"/>
    <w:rsid w:val="00470DCB"/>
    <w:rsid w:val="0047268E"/>
    <w:rsid w:val="004730DD"/>
    <w:rsid w:val="004736D3"/>
    <w:rsid w:val="004A344E"/>
    <w:rsid w:val="004A684A"/>
    <w:rsid w:val="004B5E03"/>
    <w:rsid w:val="004C55EC"/>
    <w:rsid w:val="004D018A"/>
    <w:rsid w:val="004F3304"/>
    <w:rsid w:val="004F3560"/>
    <w:rsid w:val="00500DAD"/>
    <w:rsid w:val="00502E23"/>
    <w:rsid w:val="005059B7"/>
    <w:rsid w:val="005075BB"/>
    <w:rsid w:val="0051686F"/>
    <w:rsid w:val="005170EE"/>
    <w:rsid w:val="005313CF"/>
    <w:rsid w:val="00532990"/>
    <w:rsid w:val="00540783"/>
    <w:rsid w:val="005421EE"/>
    <w:rsid w:val="00546863"/>
    <w:rsid w:val="005564F2"/>
    <w:rsid w:val="005717F9"/>
    <w:rsid w:val="00574E98"/>
    <w:rsid w:val="00585091"/>
    <w:rsid w:val="005A0EBA"/>
    <w:rsid w:val="005C6695"/>
    <w:rsid w:val="005D2661"/>
    <w:rsid w:val="005E2904"/>
    <w:rsid w:val="005E5C45"/>
    <w:rsid w:val="005E5F6E"/>
    <w:rsid w:val="005F319D"/>
    <w:rsid w:val="005F3A16"/>
    <w:rsid w:val="005F6F5E"/>
    <w:rsid w:val="00605E33"/>
    <w:rsid w:val="00605E6C"/>
    <w:rsid w:val="00610B55"/>
    <w:rsid w:val="00633DE4"/>
    <w:rsid w:val="00644499"/>
    <w:rsid w:val="00656BD2"/>
    <w:rsid w:val="00657573"/>
    <w:rsid w:val="00681AF1"/>
    <w:rsid w:val="0068291B"/>
    <w:rsid w:val="00682920"/>
    <w:rsid w:val="00692549"/>
    <w:rsid w:val="0069753A"/>
    <w:rsid w:val="006A2E84"/>
    <w:rsid w:val="006A59E3"/>
    <w:rsid w:val="006B5B89"/>
    <w:rsid w:val="006B6A15"/>
    <w:rsid w:val="006E18E9"/>
    <w:rsid w:val="006F5160"/>
    <w:rsid w:val="00700AB9"/>
    <w:rsid w:val="007055C2"/>
    <w:rsid w:val="00705C3C"/>
    <w:rsid w:val="007109EF"/>
    <w:rsid w:val="0071694A"/>
    <w:rsid w:val="00732FDF"/>
    <w:rsid w:val="007409C5"/>
    <w:rsid w:val="0074703B"/>
    <w:rsid w:val="00757E7E"/>
    <w:rsid w:val="007654F6"/>
    <w:rsid w:val="007723C3"/>
    <w:rsid w:val="00772E80"/>
    <w:rsid w:val="00776D7F"/>
    <w:rsid w:val="007A3628"/>
    <w:rsid w:val="007A5412"/>
    <w:rsid w:val="007A5F07"/>
    <w:rsid w:val="007B1CE2"/>
    <w:rsid w:val="007C1DFE"/>
    <w:rsid w:val="007C2BE2"/>
    <w:rsid w:val="007C595C"/>
    <w:rsid w:val="007D4910"/>
    <w:rsid w:val="007E1BBF"/>
    <w:rsid w:val="007E5D3E"/>
    <w:rsid w:val="007F20BC"/>
    <w:rsid w:val="007F5190"/>
    <w:rsid w:val="00802404"/>
    <w:rsid w:val="008133A4"/>
    <w:rsid w:val="0082233D"/>
    <w:rsid w:val="00831973"/>
    <w:rsid w:val="00847BB6"/>
    <w:rsid w:val="008507A9"/>
    <w:rsid w:val="00864643"/>
    <w:rsid w:val="008845AA"/>
    <w:rsid w:val="0089527E"/>
    <w:rsid w:val="008A05B0"/>
    <w:rsid w:val="008B2E3A"/>
    <w:rsid w:val="008D6D54"/>
    <w:rsid w:val="008E35AC"/>
    <w:rsid w:val="008F28BD"/>
    <w:rsid w:val="009029D6"/>
    <w:rsid w:val="0091428D"/>
    <w:rsid w:val="0091721D"/>
    <w:rsid w:val="00917C91"/>
    <w:rsid w:val="009207D4"/>
    <w:rsid w:val="00922199"/>
    <w:rsid w:val="00922FAD"/>
    <w:rsid w:val="009263D7"/>
    <w:rsid w:val="00927342"/>
    <w:rsid w:val="009348A2"/>
    <w:rsid w:val="009406EE"/>
    <w:rsid w:val="00941705"/>
    <w:rsid w:val="00941AD4"/>
    <w:rsid w:val="009441C3"/>
    <w:rsid w:val="00947EA5"/>
    <w:rsid w:val="0095322E"/>
    <w:rsid w:val="00955E86"/>
    <w:rsid w:val="00966013"/>
    <w:rsid w:val="00995F3E"/>
    <w:rsid w:val="009B4529"/>
    <w:rsid w:val="009D4D1D"/>
    <w:rsid w:val="009E1B00"/>
    <w:rsid w:val="009E4DC9"/>
    <w:rsid w:val="009E598B"/>
    <w:rsid w:val="00A236DF"/>
    <w:rsid w:val="00A31D26"/>
    <w:rsid w:val="00A326D5"/>
    <w:rsid w:val="00A551C1"/>
    <w:rsid w:val="00A655F8"/>
    <w:rsid w:val="00A75891"/>
    <w:rsid w:val="00A95631"/>
    <w:rsid w:val="00AA0CAE"/>
    <w:rsid w:val="00AB0F3D"/>
    <w:rsid w:val="00AB689D"/>
    <w:rsid w:val="00AC419F"/>
    <w:rsid w:val="00AC549F"/>
    <w:rsid w:val="00AD0191"/>
    <w:rsid w:val="00AD027E"/>
    <w:rsid w:val="00AE07A7"/>
    <w:rsid w:val="00AF140C"/>
    <w:rsid w:val="00AF6270"/>
    <w:rsid w:val="00B06302"/>
    <w:rsid w:val="00B07DEE"/>
    <w:rsid w:val="00B1231A"/>
    <w:rsid w:val="00B24A5A"/>
    <w:rsid w:val="00B32BEF"/>
    <w:rsid w:val="00B36626"/>
    <w:rsid w:val="00B4114F"/>
    <w:rsid w:val="00B85925"/>
    <w:rsid w:val="00BA1E2B"/>
    <w:rsid w:val="00BD103E"/>
    <w:rsid w:val="00BD6FAA"/>
    <w:rsid w:val="00BF3F17"/>
    <w:rsid w:val="00C01CFB"/>
    <w:rsid w:val="00C108EC"/>
    <w:rsid w:val="00C10C21"/>
    <w:rsid w:val="00C14D0B"/>
    <w:rsid w:val="00C257AB"/>
    <w:rsid w:val="00C33CBE"/>
    <w:rsid w:val="00C35597"/>
    <w:rsid w:val="00C504EA"/>
    <w:rsid w:val="00C50AE9"/>
    <w:rsid w:val="00C50C1C"/>
    <w:rsid w:val="00C54195"/>
    <w:rsid w:val="00C611D1"/>
    <w:rsid w:val="00C67562"/>
    <w:rsid w:val="00C856A2"/>
    <w:rsid w:val="00C94941"/>
    <w:rsid w:val="00C966C7"/>
    <w:rsid w:val="00CA16FE"/>
    <w:rsid w:val="00CB2A8E"/>
    <w:rsid w:val="00CC2E9D"/>
    <w:rsid w:val="00CC5DA6"/>
    <w:rsid w:val="00CD2B39"/>
    <w:rsid w:val="00CE2A51"/>
    <w:rsid w:val="00CF0307"/>
    <w:rsid w:val="00CF7BD7"/>
    <w:rsid w:val="00D0600F"/>
    <w:rsid w:val="00D06272"/>
    <w:rsid w:val="00D23507"/>
    <w:rsid w:val="00D37092"/>
    <w:rsid w:val="00D41FEC"/>
    <w:rsid w:val="00D469F6"/>
    <w:rsid w:val="00D52E0B"/>
    <w:rsid w:val="00D60A05"/>
    <w:rsid w:val="00D61A07"/>
    <w:rsid w:val="00D65C33"/>
    <w:rsid w:val="00D73DC9"/>
    <w:rsid w:val="00D7540A"/>
    <w:rsid w:val="00D81CAD"/>
    <w:rsid w:val="00D91A7F"/>
    <w:rsid w:val="00DA1F37"/>
    <w:rsid w:val="00DB6C34"/>
    <w:rsid w:val="00DC09A1"/>
    <w:rsid w:val="00DC3ADB"/>
    <w:rsid w:val="00DC5EF0"/>
    <w:rsid w:val="00DC6662"/>
    <w:rsid w:val="00DE0EEB"/>
    <w:rsid w:val="00DE4551"/>
    <w:rsid w:val="00DF655C"/>
    <w:rsid w:val="00E122E1"/>
    <w:rsid w:val="00E2032A"/>
    <w:rsid w:val="00E24728"/>
    <w:rsid w:val="00E576DB"/>
    <w:rsid w:val="00E65F67"/>
    <w:rsid w:val="00E70C14"/>
    <w:rsid w:val="00E82B75"/>
    <w:rsid w:val="00E97994"/>
    <w:rsid w:val="00EA69A8"/>
    <w:rsid w:val="00ED046F"/>
    <w:rsid w:val="00EE4B48"/>
    <w:rsid w:val="00F011CE"/>
    <w:rsid w:val="00F021DF"/>
    <w:rsid w:val="00F13E09"/>
    <w:rsid w:val="00F41274"/>
    <w:rsid w:val="00F4170F"/>
    <w:rsid w:val="00F45B73"/>
    <w:rsid w:val="00F51F1E"/>
    <w:rsid w:val="00F56018"/>
    <w:rsid w:val="00F6786A"/>
    <w:rsid w:val="00F919A8"/>
    <w:rsid w:val="00F9467A"/>
    <w:rsid w:val="00FA1780"/>
    <w:rsid w:val="00FA471E"/>
    <w:rsid w:val="00FB694F"/>
    <w:rsid w:val="00FC04E8"/>
    <w:rsid w:val="00FE7DD7"/>
    <w:rsid w:val="00FF05E9"/>
    <w:rsid w:val="00FF1E92"/>
    <w:rsid w:val="4CC6239E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Theme="majorEastAsia" w:hAnsiTheme="majorHAnsi" w:cstheme="maj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index heading"/>
    <w:lsdException w:name="caption" w:uiPriority="0" w:qFormat="1"/>
    <w:lsdException w:name="table of figures"/>
    <w:lsdException w:name="envelope address"/>
    <w:lsdException w:name="envelope return"/>
    <w:lsdException w:name="footnote reference" w:semiHidden="0" w:uiPriority="0" w:unhideWhenUsed="0" w:qFormat="1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qFormat="1"/>
    <w:lsdException w:name="Table Simple 1" w:qFormat="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qFormat="1"/>
    <w:lsdException w:name="Table Theme"/>
    <w:lsdException w:name="Placeholder Text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0" w:line="400" w:lineRule="exact"/>
      <w:ind w:firstLine="200" w:firstLineChars="200"/>
      <w:jc w:val="both"/>
    </w:pPr>
    <w:rPr>
      <w:rFonts w:ascii="Times New Roman" w:eastAsia="宋体" w:hAnsi="Times New Roman" w:cstheme="minorBidi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line="240" w:lineRule="auto"/>
      <w:outlineLvl w:val="0"/>
    </w:pPr>
    <w:rPr>
      <w:b/>
      <w:bCs/>
      <w:kern w:val="44"/>
      <w:sz w:val="30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spacing w:line="240" w:lineRule="auto"/>
      <w:outlineLvl w:val="1"/>
    </w:pPr>
    <w:rPr>
      <w:rFonts w:asciiTheme="majorHAnsi" w:hAnsiTheme="majorHAnsi" w:cstheme="majorBidi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semiHidden/>
    <w:unhideWhenUsed/>
    <w:qFormat/>
    <w:rPr>
      <w:rFonts w:ascii="Arial" w:eastAsia="黑体" w:hAnsi="Arial"/>
      <w:sz w:val="20"/>
    </w:rPr>
  </w:style>
  <w:style w:type="paragraph" w:styleId="CommentText">
    <w:name w:val="annotation text"/>
    <w:basedOn w:val="Normal"/>
    <w:link w:val="Char2"/>
    <w:uiPriority w:val="99"/>
    <w:semiHidden/>
    <w:unhideWhenUsed/>
    <w:qFormat/>
    <w:pPr>
      <w:jc w:val="left"/>
    </w:pPr>
  </w:style>
  <w:style w:type="paragraph" w:styleId="TOC3">
    <w:name w:val="toc 3"/>
    <w:basedOn w:val="Normal"/>
    <w:next w:val="Normal"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BalloonText">
    <w:name w:val="Balloon Text"/>
    <w:basedOn w:val="Normal"/>
    <w:link w:val="Char4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8296"/>
      </w:tabs>
      <w:ind w:firstLine="560"/>
    </w:pPr>
    <w:rPr>
      <w:sz w:val="30"/>
      <w:szCs w:val="30"/>
    </w:rPr>
  </w:style>
  <w:style w:type="paragraph" w:styleId="FootnoteText">
    <w:name w:val="footnote text"/>
    <w:basedOn w:val="Normal"/>
    <w:link w:val="Char"/>
    <w:qFormat/>
    <w:pPr>
      <w:snapToGrid w:val="0"/>
      <w:jc w:val="left"/>
    </w:pPr>
    <w:rPr>
      <w:sz w:val="18"/>
    </w:r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  <w:rPr>
      <w:sz w:val="32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  <w:jc w:val="left"/>
    </w:pPr>
    <w:rPr>
      <w:rFonts w:cs="Times New Roman"/>
      <w:kern w:val="0"/>
    </w:rPr>
  </w:style>
  <w:style w:type="paragraph" w:styleId="CommentSubject">
    <w:name w:val="annotation subject"/>
    <w:basedOn w:val="CommentText"/>
    <w:next w:val="CommentText"/>
    <w:link w:val="Char3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unhideWhenUsed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Classic1">
    <w:name w:val="Table Classic 1"/>
    <w:basedOn w:val="TableNormal"/>
    <w:uiPriority w:val="99"/>
    <w:semiHidden/>
    <w:unhideWhenUsed/>
    <w:pPr>
      <w:widowControl w:val="0"/>
      <w:spacing w:after="0" w:line="240" w:lineRule="auto"/>
      <w:jc w:val="both"/>
    </w:pPr>
    <w:tblPr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qFormat/>
    <w:pPr>
      <w:widowControl w:val="0"/>
      <w:spacing w:after="0" w:line="240" w:lineRule="auto"/>
      <w:jc w:val="both"/>
    </w:pPr>
    <w:tblPr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customStyle="1" w:styleId="1">
    <w:name w:val="样式1"/>
    <w:hidden/>
    <w:uiPriority w:val="99"/>
    <w:qFormat/>
    <w:rPr>
      <w:rFonts w:ascii="Times New Roman" w:eastAsia="黑体" w:hAnsi="Times New Roman" w:cs="黑体" w:hint="eastAsia"/>
      <w:bCs/>
      <w:color w:val="000000"/>
      <w:kern w:val="0"/>
      <w:sz w:val="32"/>
      <w:szCs w:val="32"/>
    </w:rPr>
  </w:style>
  <w:style w:type="paragraph" w:customStyle="1" w:styleId="10">
    <w:name w:val="列出段落1"/>
    <w:basedOn w:val="Normal"/>
    <w:uiPriority w:val="34"/>
    <w:qFormat/>
    <w:pPr>
      <w:ind w:firstLine="420"/>
    </w:pPr>
    <w:rPr>
      <w:rFonts w:cs="Times New Roman"/>
    </w:rPr>
  </w:style>
  <w:style w:type="character" w:customStyle="1" w:styleId="updated">
    <w:name w:val="updated"/>
    <w:basedOn w:val="DefaultParagraphFont"/>
  </w:style>
  <w:style w:type="character" w:customStyle="1" w:styleId="Char">
    <w:name w:val="脚注文本 Char"/>
    <w:basedOn w:val="DefaultParagraphFont"/>
    <w:link w:val="FootnoteText"/>
    <w:qFormat/>
    <w:rPr>
      <w:rFonts w:asciiTheme="minorHAnsi" w:eastAsiaTheme="minorEastAsia" w:hAnsiTheme="minorHAnsi" w:cstheme="minorBidi"/>
      <w:sz w:val="18"/>
      <w:szCs w:val="24"/>
    </w:rPr>
  </w:style>
  <w:style w:type="paragraph" w:customStyle="1" w:styleId="text-idt25">
    <w:name w:val="text-idt25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Char0">
    <w:name w:val="页眉 Char"/>
    <w:basedOn w:val="DefaultParagraphFont"/>
    <w:link w:val="Header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qFormat/>
    <w:rPr>
      <w:rFonts w:asciiTheme="minorHAnsi" w:eastAsiaTheme="minorEastAsia" w:hAnsiTheme="minorHAnsi" w:cstheme="minorBidi"/>
      <w:sz w:val="18"/>
      <w:szCs w:val="18"/>
    </w:rPr>
  </w:style>
  <w:style w:type="character" w:customStyle="1" w:styleId="Title-tempChar">
    <w:name w:val="Title-temp Char"/>
    <w:basedOn w:val="DefaultParagraphFont"/>
    <w:link w:val="Title-temp"/>
    <w:qFormat/>
    <w:locked/>
    <w:rPr>
      <w:rFonts w:ascii="微软雅黑" w:eastAsia="微软雅黑" w:hAnsi="微软雅黑"/>
      <w:sz w:val="24"/>
    </w:rPr>
  </w:style>
  <w:style w:type="paragraph" w:customStyle="1" w:styleId="Title-temp">
    <w:name w:val="Title-temp"/>
    <w:basedOn w:val="Normal"/>
    <w:next w:val="Normal"/>
    <w:link w:val="Title-tempChar"/>
    <w:qFormat/>
    <w:pPr>
      <w:widowControl/>
      <w:spacing w:before="120" w:after="120" w:line="276" w:lineRule="auto"/>
      <w:ind w:left="100" w:right="100" w:leftChars="100" w:rightChars="100"/>
      <w:jc w:val="center"/>
    </w:pPr>
    <w:rPr>
      <w:rFonts w:ascii="微软雅黑" w:eastAsia="微软雅黑" w:hAnsi="微软雅黑" w:cstheme="majorBidi"/>
      <w:szCs w:val="22"/>
    </w:rPr>
  </w:style>
  <w:style w:type="character" w:customStyle="1" w:styleId="question-tempChar">
    <w:name w:val="question-temp Char"/>
    <w:basedOn w:val="DefaultParagraphFont"/>
    <w:link w:val="question-temp"/>
    <w:qFormat/>
    <w:locked/>
    <w:rPr>
      <w:rFonts w:ascii="微软雅黑" w:eastAsia="微软雅黑" w:hAnsi="微软雅黑"/>
      <w:sz w:val="18"/>
    </w:rPr>
  </w:style>
  <w:style w:type="paragraph" w:customStyle="1" w:styleId="question-temp">
    <w:name w:val="question-temp"/>
    <w:basedOn w:val="Normal"/>
    <w:link w:val="question-tempChar"/>
    <w:qFormat/>
    <w:pPr>
      <w:widowControl/>
      <w:spacing w:after="60" w:line="276" w:lineRule="auto"/>
      <w:jc w:val="left"/>
    </w:pPr>
    <w:rPr>
      <w:rFonts w:ascii="微软雅黑" w:eastAsia="微软雅黑" w:hAnsi="微软雅黑" w:cstheme="majorBidi"/>
      <w:sz w:val="18"/>
      <w:szCs w:val="22"/>
    </w:rPr>
  </w:style>
  <w:style w:type="character" w:customStyle="1" w:styleId="option-tempChar">
    <w:name w:val="option-temp Char"/>
    <w:basedOn w:val="question-tempChar"/>
    <w:link w:val="option-temp"/>
    <w:qFormat/>
    <w:locked/>
    <w:rPr>
      <w:rFonts w:eastAsia="微软雅黑" w:asciiTheme="minorEastAsia" w:hAnsiTheme="minorEastAsia" w:cstheme="minorEastAsia"/>
      <w:color w:val="404040" w:themeColor="text1" w:themeTint="BF"/>
      <w:sz w:val="18"/>
      <w:szCs w:val="18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option-temp">
    <w:name w:val="option-temp"/>
    <w:link w:val="option-tempChar"/>
    <w:qFormat/>
    <w:pPr>
      <w:spacing w:after="0" w:line="240" w:lineRule="auto"/>
      <w:ind w:left="100" w:right="100" w:leftChars="100" w:rightChars="100"/>
    </w:pPr>
    <w:rPr>
      <w:rFonts w:eastAsia="微软雅黑" w:asciiTheme="minorEastAsia" w:hAnsiTheme="minorEastAsia" w:cstheme="minorEastAsia"/>
      <w:color w:val="404040" w:themeColor="text1" w:themeTint="BF"/>
      <w:kern w:val="2"/>
      <w:sz w:val="18"/>
      <w:szCs w:val="18"/>
      <w:lang w:val="en-US" w:eastAsia="zh-CN" w:bidi="ar-SA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Char2">
    <w:name w:val="批注文字 Char"/>
    <w:basedOn w:val="DefaultParagraphFont"/>
    <w:link w:val="CommentText"/>
    <w:uiPriority w:val="99"/>
    <w:semiHidden/>
    <w:qFormat/>
    <w:rPr>
      <w:rFonts w:asciiTheme="minorHAnsi" w:eastAsiaTheme="minorEastAsia" w:hAnsiTheme="minorHAnsi" w:cstheme="minorBidi"/>
      <w:sz w:val="21"/>
      <w:szCs w:val="24"/>
    </w:rPr>
  </w:style>
  <w:style w:type="character" w:customStyle="1" w:styleId="Char3">
    <w:name w:val="批注主题 Char"/>
    <w:basedOn w:val="Char2"/>
    <w:link w:val="CommentSubject"/>
    <w:uiPriority w:val="99"/>
    <w:semiHidden/>
    <w:qFormat/>
    <w:rPr>
      <w:rFonts w:asciiTheme="minorHAnsi" w:eastAsiaTheme="minorEastAsia" w:hAnsiTheme="minorHAnsi" w:cstheme="minorBidi"/>
      <w:b/>
      <w:bCs/>
      <w:sz w:val="21"/>
      <w:szCs w:val="24"/>
    </w:rPr>
  </w:style>
  <w:style w:type="character" w:customStyle="1" w:styleId="Char4">
    <w:name w:val="批注框文本 Char"/>
    <w:basedOn w:val="DefaultParagraphFont"/>
    <w:link w:val="BalloonText"/>
    <w:uiPriority w:val="99"/>
    <w:semiHidden/>
    <w:qFormat/>
    <w:rPr>
      <w:rFonts w:asciiTheme="minorHAnsi" w:eastAsiaTheme="minorEastAsia" w:hAnsiTheme="minorHAnsi" w:cstheme="minorBidi"/>
      <w:sz w:val="18"/>
      <w:szCs w:val="18"/>
    </w:rPr>
  </w:style>
  <w:style w:type="table" w:customStyle="1" w:styleId="2">
    <w:name w:val="样式2"/>
    <w:uiPriority w:val="99"/>
    <w:qFormat/>
    <w:tblPr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customStyle="1" w:styleId="3">
    <w:name w:val="样式3"/>
    <w:basedOn w:val="TableSimple1"/>
    <w:uiPriority w:val="99"/>
    <w:qFormat/>
    <w:tblPr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eastAsia="宋体" w:asciiTheme="minorHAnsi" w:hAnsiTheme="minorHAnsi" w:cstheme="minorBidi"/>
      <w:b/>
      <w:bCs/>
      <w:kern w:val="44"/>
      <w:sz w:val="30"/>
      <w:szCs w:val="44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eastAsia="宋体"/>
      <w:b/>
      <w:bCs/>
      <w:sz w:val="28"/>
      <w:szCs w:val="32"/>
    </w:rPr>
  </w:style>
  <w:style w:type="paragraph" w:styleId="Quote">
    <w:name w:val="Quote"/>
    <w:basedOn w:val="Normal"/>
    <w:next w:val="Normal"/>
    <w:link w:val="Char5"/>
    <w:uiPriority w:val="29"/>
    <w:qFormat/>
    <w:pPr>
      <w:jc w:val="left"/>
    </w:pPr>
    <w:rPr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Char5">
    <w:name w:val="引用 Char"/>
    <w:basedOn w:val="DefaultParagraphFont"/>
    <w:link w:val="Quote"/>
    <w:uiPriority w:val="29"/>
    <w:rPr>
      <w:rFonts w:eastAsia="宋体" w:asciiTheme="minorHAnsi" w:hAnsiTheme="minorHAnsi" w:cstheme="minorBidi"/>
      <w:iCs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paragraph" w:customStyle="1" w:styleId="Revision">
    <w:name w:val="Revision"/>
    <w:hidden/>
    <w:uiPriority w:val="99"/>
    <w:semiHidden/>
    <w:qFormat/>
    <w:pPr>
      <w:spacing w:after="0" w:line="240" w:lineRule="auto"/>
    </w:pPr>
    <w:rPr>
      <w:rFonts w:ascii="Times New Roman" w:eastAsia="宋体" w:hAnsi="Times New Roman" w:cstheme="minorBidi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yperlink" Target="https://d.book118.com/386114042032010100" TargetMode="Externa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7E0F611-D517-4A8B-91C0-508095B035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3160</Words>
  <Characters>18012</Characters>
  <Application>Microsoft Office Word</Application>
  <DocSecurity>0</DocSecurity>
  <Lines>150</Lines>
  <Paragraphs>42</Paragraphs>
  <ScaleCrop>false</ScaleCrop>
  <Company/>
  <LinksUpToDate>false</LinksUpToDate>
  <CharactersWithSpaces>21130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张老师</cp:lastModifiedBy>
  <cp:revision>10</cp:revision>
  <cp:lastPrinted>2021-05-16T21:39:00Z</cp:lastPrinted>
  <dcterms:created xsi:type="dcterms:W3CDTF">2019-04-29T01:56:00Z</dcterms:created>
  <dcterms:modified xsi:type="dcterms:W3CDTF">2023-11-06T06:47:16Z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2619145ABFD44B4E8F143ACC293A9A50_12</vt:lpwstr>
  </property>
  <property fmtid="{D5CDD505-2E9C-101B-9397-08002B2CF9AE}" pid="3" name="KSOProductBuildVer">
    <vt:lpwstr>2052-12.1.0.15712</vt:lpwstr>
  </property>
</Properties>
</file>