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2"/>
        <w:rPr>
          <w:rFonts w:ascii="Times New Roman"/>
          <w:b w:val="0"/>
          <w:sz w:val="27"/>
        </w:rPr>
      </w:pPr>
    </w:p>
    <w:p>
      <w:pPr>
        <w:spacing w:before="0" w:line="991" w:lineRule="exact"/>
        <w:ind w:left="0" w:right="1441" w:firstLine="0"/>
        <w:jc w:val="center"/>
        <w:rPr>
          <w:sz w:val="78"/>
        </w:rPr>
      </w:pPr>
      <w:r>
        <w:rPr>
          <w:sz w:val="78"/>
        </w:rPr>
        <w:t>220t/h</w:t>
      </w:r>
      <w:r>
        <w:rPr>
          <w:spacing w:val="-20"/>
          <w:sz w:val="78"/>
        </w:rPr>
        <w:t xml:space="preserve"> 锅炉烟气氨法脱硫工程</w:t>
      </w:r>
    </w:p>
    <w:p>
      <w:pPr>
        <w:pStyle w:val="BodyText"/>
        <w:spacing w:before="1"/>
        <w:rPr>
          <w:b w:val="0"/>
          <w:sz w:val="106"/>
        </w:rPr>
      </w:pPr>
    </w:p>
    <w:p>
      <w:pPr>
        <w:pStyle w:val="Title"/>
      </w:pPr>
      <w:r>
        <w:t>技 术 方 案</w:t>
      </w:r>
    </w:p>
    <w:p>
      <w:pPr>
        <w:pStyle w:val="BodyText"/>
        <w:rPr>
          <w:b w:val="0"/>
          <w:sz w:val="108"/>
        </w:rPr>
      </w:pPr>
    </w:p>
    <w:p>
      <w:pPr>
        <w:pStyle w:val="BodyText"/>
        <w:rPr>
          <w:b w:val="0"/>
          <w:sz w:val="108"/>
        </w:rPr>
      </w:pPr>
    </w:p>
    <w:p>
      <w:pPr>
        <w:pStyle w:val="BodyText"/>
        <w:rPr>
          <w:b w:val="0"/>
          <w:sz w:val="108"/>
        </w:rPr>
      </w:pPr>
    </w:p>
    <w:p>
      <w:pPr>
        <w:pStyle w:val="BodyText"/>
        <w:rPr>
          <w:b w:val="0"/>
          <w:sz w:val="108"/>
        </w:rPr>
      </w:pPr>
    </w:p>
    <w:p>
      <w:pPr>
        <w:pStyle w:val="BodyText"/>
        <w:rPr>
          <w:b w:val="0"/>
          <w:sz w:val="108"/>
        </w:rPr>
      </w:pPr>
    </w:p>
    <w:p>
      <w:pPr>
        <w:pStyle w:val="BodyText"/>
        <w:rPr>
          <w:b w:val="0"/>
          <w:sz w:val="108"/>
        </w:rPr>
      </w:pPr>
    </w:p>
    <w:p>
      <w:pPr>
        <w:pStyle w:val="BodyText"/>
        <w:rPr>
          <w:b w:val="0"/>
          <w:sz w:val="108"/>
        </w:rPr>
      </w:pPr>
    </w:p>
    <w:p>
      <w:pPr>
        <w:pStyle w:val="BodyText"/>
        <w:spacing w:before="4"/>
        <w:rPr>
          <w:b w:val="0"/>
          <w:sz w:val="94"/>
        </w:rPr>
      </w:pPr>
    </w:p>
    <w:p>
      <w:pPr>
        <w:spacing w:before="0" w:line="324" w:lineRule="auto"/>
        <w:ind w:left="5914" w:right="5123" w:hanging="2161"/>
        <w:jc w:val="left"/>
        <w:rPr>
          <w:sz w:val="54"/>
        </w:rPr>
      </w:pPr>
      <w:r>
        <w:rPr>
          <w:spacing w:val="-1"/>
          <w:sz w:val="54"/>
        </w:rPr>
        <w:t>山东雪花生物化工股份</w:t>
      </w:r>
      <w:r>
        <w:rPr>
          <w:sz w:val="54"/>
        </w:rPr>
        <w:t>2023</w:t>
      </w:r>
      <w:r>
        <w:rPr>
          <w:spacing w:val="-90"/>
          <w:sz w:val="54"/>
        </w:rPr>
        <w:t xml:space="preserve"> 年 </w:t>
      </w:r>
      <w:r>
        <w:rPr>
          <w:sz w:val="54"/>
        </w:rPr>
        <w:t>5</w:t>
      </w:r>
      <w:r>
        <w:rPr>
          <w:spacing w:val="-67"/>
          <w:sz w:val="54"/>
        </w:rPr>
        <w:t xml:space="preserve"> 月</w:t>
      </w:r>
    </w:p>
    <w:p>
      <w:pPr>
        <w:spacing w:after="0" w:line="324" w:lineRule="auto"/>
        <w:jc w:val="left"/>
        <w:rPr>
          <w:sz w:val="54"/>
        </w:rPr>
        <w:sectPr>
          <w:headerReference w:type="default" r:id="rId4"/>
          <w:footerReference w:type="default" r:id="rId5"/>
          <w:type w:val="continuous"/>
          <w:pgSz w:w="17860" w:h="25260"/>
          <w:pgMar w:top="1420" w:right="0" w:bottom="1920" w:left="1420" w:header="1044" w:footer="1738"/>
          <w:pgNumType w:start="1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4"/>
        <w:rPr>
          <w:b w:val="0"/>
          <w:sz w:val="22"/>
        </w:rPr>
      </w:pPr>
    </w:p>
    <w:p>
      <w:pPr>
        <w:tabs>
          <w:tab w:val="left" w:pos="1619"/>
        </w:tabs>
        <w:spacing w:before="24"/>
        <w:ind w:left="0" w:right="2534" w:firstLine="0"/>
        <w:jc w:val="center"/>
        <w:rPr>
          <w:sz w:val="54"/>
        </w:rPr>
      </w:pPr>
      <w:r>
        <w:rPr>
          <w:sz w:val="54"/>
        </w:rPr>
        <w:t>目</w:t>
        <w:tab/>
        <w:t>录</w:t>
      </w:r>
    </w:p>
    <w:p>
      <w:pPr>
        <w:pStyle w:val="BodyText"/>
        <w:rPr>
          <w:b w:val="0"/>
          <w:sz w:val="54"/>
        </w:rPr>
      </w:pPr>
    </w:p>
    <w:p>
      <w:pPr>
        <w:pStyle w:val="BodyText"/>
        <w:spacing w:before="1"/>
        <w:rPr>
          <w:b w:val="0"/>
          <w:sz w:val="52"/>
        </w:rPr>
      </w:pPr>
    </w:p>
    <w:p>
      <w:pPr>
        <w:spacing w:after="0"/>
        <w:rPr>
          <w:sz w:val="52"/>
        </w:rPr>
        <w:sectPr>
          <w:headerReference w:type="default" r:id="rId6"/>
          <w:footerReference w:type="default" r:id="rId7"/>
          <w:pgSz w:w="17860" w:h="25260"/>
          <w:pgMar w:top="1420" w:right="0" w:bottom="2575" w:left="1420" w:header="1044" w:footer="1738"/>
          <w:pgNumType w:start="2"/>
          <w:cols w:space="708"/>
        </w:sectPr>
      </w:pPr>
    </w:p>
    <w:sdt>
      <w:sdtPr>
        <w:id w:val="1591165768"/>
        <w:docPartObj>
          <w:docPartGallery w:val="Table of Contents"/>
          <w:docPartUnique/>
        </w:docPartObj>
      </w:sdtPr>
      <w:sdtContent>
        <w:p>
          <w:pPr>
            <w:pStyle w:val="TOC1"/>
            <w:numPr>
              <w:ilvl w:val="0"/>
              <w:numId w:val="11"/>
            </w:numPr>
            <w:tabs>
              <w:tab w:val="left" w:pos="1400"/>
              <w:tab w:val="right" w:leader="dot" w:pos="14073"/>
            </w:tabs>
            <w:spacing w:before="0" w:after="0" w:line="240" w:lineRule="auto"/>
            <w:ind w:left="1399" w:right="0" w:hanging="634"/>
            <w:jc w:val="left"/>
          </w:pPr>
          <w:r>
            <w:fldChar w:fldCharType="begin"/>
          </w:r>
          <w:r>
            <w:instrText xml:space="preserve">  \l “_TOC_250012“ </w:instrText>
          </w:r>
          <w:r>
            <w:fldChar w:fldCharType="separate"/>
          </w:r>
          <w:r>
            <w:t>工程概况</w:t>
          </w:r>
          <w:r>
            <w:rPr>
              <w:rFonts w:ascii="Times New Roman" w:eastAsia="Times New Roman"/>
            </w:rPr>
            <w:tab/>
          </w:r>
          <w:r>
            <w:t>4</w:t>
          </w:r>
          <w:r>
            <w:fldChar w:fldCharType="end"/>
          </w:r>
        </w:p>
        <w:p>
          <w:pPr>
            <w:pStyle w:val="TOC1"/>
            <w:numPr>
              <w:ilvl w:val="0"/>
              <w:numId w:val="11"/>
            </w:numPr>
            <w:tabs>
              <w:tab w:val="left" w:pos="1400"/>
              <w:tab w:val="right" w:leader="dot" w:pos="14122"/>
            </w:tabs>
            <w:spacing w:before="398" w:after="0" w:line="240" w:lineRule="auto"/>
            <w:ind w:left="1399" w:right="0" w:hanging="634"/>
            <w:jc w:val="left"/>
          </w:pPr>
          <w:r>
            <w:fldChar w:fldCharType="begin"/>
          </w:r>
          <w:r>
            <w:instrText xml:space="preserve">  \l “_TOC_250011“ </w:instrText>
          </w:r>
          <w:r>
            <w:fldChar w:fldCharType="separate"/>
          </w:r>
          <w:r>
            <w:t>根本参数及设计要求</w:t>
          </w:r>
          <w:r>
            <w:rPr>
              <w:rFonts w:ascii="Times New Roman" w:eastAsia="Times New Roman"/>
            </w:rPr>
            <w:tab/>
          </w:r>
          <w:r>
            <w:t>5</w:t>
          </w:r>
          <w:r>
            <w:fldChar w:fldCharType="end"/>
          </w:r>
        </w:p>
        <w:p>
          <w:pPr>
            <w:pStyle w:val="TOC1"/>
            <w:numPr>
              <w:ilvl w:val="0"/>
              <w:numId w:val="11"/>
            </w:numPr>
            <w:tabs>
              <w:tab w:val="left" w:pos="1188"/>
              <w:tab w:val="right" w:leader="dot" w:pos="14149"/>
            </w:tabs>
            <w:spacing w:before="398" w:after="0" w:line="240" w:lineRule="auto"/>
            <w:ind w:left="1187" w:right="0" w:hanging="422"/>
            <w:jc w:val="left"/>
          </w:pPr>
          <w:r>
            <w:fldChar w:fldCharType="begin"/>
          </w:r>
          <w:r>
            <w:instrText xml:space="preserve">  \l “_TOC_250010“ </w:instrText>
          </w:r>
          <w:r>
            <w:fldChar w:fldCharType="separate"/>
          </w:r>
          <w:r>
            <w:t>标准和标准〔不仅限于此〕</w:t>
          </w:r>
          <w:r>
            <w:rPr>
              <w:rFonts w:ascii="Times New Roman" w:eastAsia="Times New Roman"/>
            </w:rPr>
            <w:tab/>
          </w:r>
          <w:r>
            <w:t>6</w:t>
          </w:r>
          <w:r>
            <w:fldChar w:fldCharType="end"/>
          </w:r>
        </w:p>
        <w:p>
          <w:pPr>
            <w:pStyle w:val="TOC1"/>
            <w:numPr>
              <w:ilvl w:val="0"/>
              <w:numId w:val="11"/>
            </w:numPr>
            <w:tabs>
              <w:tab w:val="left" w:pos="1188"/>
              <w:tab w:val="right" w:leader="dot" w:pos="14106"/>
            </w:tabs>
            <w:spacing w:before="398" w:after="0" w:line="240" w:lineRule="auto"/>
            <w:ind w:left="1187" w:right="0" w:hanging="422"/>
            <w:jc w:val="left"/>
          </w:pPr>
          <w:r>
            <w:t>脱硫系统技术指标</w:t>
          </w:r>
          <w:r>
            <w:rPr>
              <w:rFonts w:ascii="Times New Roman" w:eastAsia="Times New Roman"/>
            </w:rPr>
            <w:tab/>
          </w:r>
          <w:r>
            <w:t>11</w:t>
          </w:r>
        </w:p>
        <w:p>
          <w:pPr>
            <w:pStyle w:val="TOC2"/>
            <w:tabs>
              <w:tab w:val="right" w:leader="dot" w:pos="14242"/>
            </w:tabs>
            <w:spacing w:before="328"/>
          </w:pPr>
          <w:r>
            <w:fldChar w:fldCharType="begin"/>
          </w:r>
          <w:r>
            <w:instrText xml:space="preserve">  \l “_TOC_250009“ </w:instrText>
          </w:r>
          <w:r>
            <w:fldChar w:fldCharType="separate"/>
          </w:r>
          <w:r>
            <w:t>二、技术方案及工艺特点</w:t>
          </w:r>
          <w:r>
            <w:rPr>
              <w:rFonts w:ascii="Times New Roman" w:eastAsia="Times New Roman"/>
            </w:rPr>
            <w:tab/>
          </w:r>
          <w:r>
            <w:t>12</w:t>
          </w:r>
          <w:r>
            <w:fldChar w:fldCharType="end"/>
          </w:r>
        </w:p>
        <w:p>
          <w:pPr>
            <w:pStyle w:val="TOC1"/>
            <w:numPr>
              <w:ilvl w:val="0"/>
              <w:numId w:val="10"/>
            </w:numPr>
            <w:tabs>
              <w:tab w:val="left" w:pos="1083"/>
              <w:tab w:val="right" w:leader="dot" w:pos="14062"/>
            </w:tabs>
            <w:spacing w:before="141" w:after="0" w:line="240" w:lineRule="auto"/>
            <w:ind w:left="1082" w:right="0" w:hanging="317"/>
            <w:jc w:val="left"/>
          </w:pPr>
          <w:r>
            <w:fldChar w:fldCharType="begin"/>
          </w:r>
          <w:r>
            <w:instrText xml:space="preserve">  \l “_TOC_250008“ </w:instrText>
          </w:r>
          <w:r>
            <w:fldChar w:fldCharType="separate"/>
          </w:r>
          <w:r>
            <w:t>设计原则</w:t>
          </w:r>
          <w:r>
            <w:rPr>
              <w:rFonts w:ascii="Times New Roman" w:eastAsia="Times New Roman"/>
            </w:rPr>
            <w:tab/>
          </w:r>
          <w:r>
            <w:t>12</w:t>
          </w:r>
          <w:r>
            <w:fldChar w:fldCharType="end"/>
          </w:r>
        </w:p>
        <w:p>
          <w:pPr>
            <w:pStyle w:val="TOC1"/>
            <w:numPr>
              <w:ilvl w:val="0"/>
              <w:numId w:val="10"/>
            </w:numPr>
            <w:tabs>
              <w:tab w:val="left" w:pos="1188"/>
              <w:tab w:val="right" w:leader="dot" w:pos="14083"/>
            </w:tabs>
            <w:spacing w:before="398" w:after="0" w:line="240" w:lineRule="auto"/>
            <w:ind w:left="1187" w:right="0" w:hanging="422"/>
            <w:jc w:val="left"/>
          </w:pPr>
          <w:r>
            <w:fldChar w:fldCharType="begin"/>
          </w:r>
          <w:r>
            <w:instrText xml:space="preserve">  \l “_TOC_250007“ </w:instrText>
          </w:r>
          <w:r>
            <w:fldChar w:fldCharType="separate"/>
          </w:r>
          <w:r>
            <w:t>氨法脱硫概述</w:t>
          </w:r>
          <w:r>
            <w:rPr>
              <w:rFonts w:ascii="Times New Roman" w:eastAsia="Times New Roman"/>
            </w:rPr>
            <w:tab/>
          </w:r>
          <w:r>
            <w:t>13</w:t>
          </w:r>
          <w:r>
            <w:fldChar w:fldCharType="end"/>
          </w:r>
        </w:p>
        <w:p>
          <w:pPr>
            <w:pStyle w:val="TOC1"/>
            <w:numPr>
              <w:ilvl w:val="0"/>
              <w:numId w:val="9"/>
            </w:numPr>
            <w:tabs>
              <w:tab w:val="left" w:pos="1083"/>
              <w:tab w:val="right" w:leader="dot" w:pos="14143"/>
            </w:tabs>
            <w:spacing w:before="398" w:after="0" w:line="240" w:lineRule="auto"/>
            <w:ind w:left="1082" w:right="0" w:hanging="317"/>
            <w:jc w:val="left"/>
          </w:pPr>
          <w:r>
            <w:fldChar w:fldCharType="begin"/>
          </w:r>
          <w:r>
            <w:instrText xml:space="preserve">  \l “_TOC_250006“ </w:instrText>
          </w:r>
          <w:r>
            <w:fldChar w:fldCharType="separate"/>
          </w:r>
          <w:r>
            <w:t>本工艺技术特点</w:t>
          </w:r>
          <w:r>
            <w:rPr>
              <w:rFonts w:ascii="Times New Roman" w:eastAsia="Times New Roman"/>
            </w:rPr>
            <w:tab/>
          </w:r>
          <w:r>
            <w:t>15</w:t>
          </w:r>
          <w:r>
            <w:fldChar w:fldCharType="end"/>
          </w:r>
        </w:p>
        <w:p>
          <w:pPr>
            <w:pStyle w:val="TOC1"/>
            <w:numPr>
              <w:ilvl w:val="0"/>
              <w:numId w:val="9"/>
            </w:numPr>
            <w:tabs>
              <w:tab w:val="left" w:pos="1083"/>
              <w:tab w:val="right" w:leader="dot" w:pos="14171"/>
            </w:tabs>
            <w:spacing w:before="398" w:after="0" w:line="240" w:lineRule="auto"/>
            <w:ind w:left="1082" w:right="0" w:hanging="317"/>
            <w:jc w:val="left"/>
          </w:pPr>
          <w:r>
            <w:fldChar w:fldCharType="begin"/>
          </w:r>
          <w:r>
            <w:instrText xml:space="preserve">  \l “_TOC_250005“ </w:instrText>
          </w:r>
          <w:r>
            <w:fldChar w:fldCharType="separate"/>
          </w:r>
          <w:r>
            <w:t>脱硫及硫酸铵回收工艺系统描述</w:t>
          </w:r>
          <w:r>
            <w:rPr>
              <w:rFonts w:ascii="Times New Roman" w:eastAsia="Times New Roman"/>
            </w:rPr>
            <w:tab/>
          </w:r>
          <w:r>
            <w:t>16</w:t>
          </w:r>
          <w:r>
            <w:fldChar w:fldCharType="end"/>
          </w:r>
        </w:p>
        <w:p>
          <w:pPr>
            <w:pStyle w:val="TOC1"/>
            <w:numPr>
              <w:ilvl w:val="1"/>
              <w:numId w:val="9"/>
            </w:numPr>
            <w:tabs>
              <w:tab w:val="left" w:pos="1508"/>
              <w:tab w:val="right" w:leader="dot" w:pos="14171"/>
            </w:tabs>
            <w:spacing w:before="398" w:after="0" w:line="240" w:lineRule="auto"/>
            <w:ind w:left="1507" w:right="0" w:hanging="742"/>
            <w:jc w:val="left"/>
          </w:pPr>
          <w:r>
            <w:t>文丘里、洗涤塔、复喷塔选材</w:t>
          </w:r>
          <w:r>
            <w:rPr>
              <w:rFonts w:ascii="Times New Roman" w:eastAsia="Times New Roman"/>
            </w:rPr>
            <w:tab/>
          </w:r>
          <w:r>
            <w:t>17</w:t>
          </w:r>
        </w:p>
        <w:p>
          <w:pPr>
            <w:pStyle w:val="TOC1"/>
            <w:numPr>
              <w:ilvl w:val="1"/>
              <w:numId w:val="9"/>
            </w:numPr>
            <w:tabs>
              <w:tab w:val="left" w:pos="1508"/>
              <w:tab w:val="right" w:leader="dot" w:pos="14062"/>
            </w:tabs>
            <w:spacing w:before="398" w:after="0" w:line="240" w:lineRule="auto"/>
            <w:ind w:left="1507" w:right="0" w:hanging="742"/>
            <w:jc w:val="left"/>
          </w:pPr>
          <w:r>
            <w:t>除雾器</w:t>
          </w:r>
          <w:r>
            <w:rPr>
              <w:rFonts w:ascii="Times New Roman" w:eastAsia="Times New Roman"/>
            </w:rPr>
            <w:tab/>
          </w:r>
          <w:r>
            <w:t>20</w:t>
          </w:r>
        </w:p>
        <w:p>
          <w:pPr>
            <w:pStyle w:val="TOC1"/>
            <w:numPr>
              <w:ilvl w:val="1"/>
              <w:numId w:val="9"/>
            </w:numPr>
            <w:tabs>
              <w:tab w:val="left" w:pos="1612"/>
              <w:tab w:val="right" w:leader="dot" w:pos="14078"/>
            </w:tabs>
            <w:spacing w:before="398" w:after="0" w:line="240" w:lineRule="auto"/>
            <w:ind w:left="1611" w:right="0" w:hanging="846"/>
            <w:jc w:val="left"/>
          </w:pPr>
          <w:r>
            <w:t>烟气系统</w:t>
          </w:r>
          <w:r>
            <w:rPr>
              <w:rFonts w:ascii="Times New Roman" w:eastAsia="Times New Roman"/>
            </w:rPr>
            <w:tab/>
          </w:r>
          <w:r>
            <w:t>20</w:t>
          </w:r>
        </w:p>
        <w:p>
          <w:pPr>
            <w:pStyle w:val="TOC1"/>
            <w:numPr>
              <w:ilvl w:val="1"/>
              <w:numId w:val="9"/>
            </w:numPr>
            <w:tabs>
              <w:tab w:val="left" w:pos="1612"/>
              <w:tab w:val="right" w:leader="dot" w:pos="14094"/>
            </w:tabs>
            <w:spacing w:before="398" w:after="0" w:line="240" w:lineRule="auto"/>
            <w:ind w:left="1611" w:right="0" w:hanging="846"/>
            <w:jc w:val="left"/>
          </w:pPr>
          <w:r>
            <w:t>脱硫吸取系统</w:t>
          </w:r>
          <w:r>
            <w:rPr>
              <w:rFonts w:ascii="Times New Roman" w:eastAsia="Times New Roman"/>
            </w:rPr>
            <w:tab/>
          </w:r>
          <w:r>
            <w:t>21</w:t>
          </w:r>
        </w:p>
        <w:p>
          <w:pPr>
            <w:pStyle w:val="TOC1"/>
            <w:numPr>
              <w:ilvl w:val="1"/>
              <w:numId w:val="9"/>
            </w:numPr>
            <w:tabs>
              <w:tab w:val="left" w:pos="1612"/>
              <w:tab w:val="right" w:leader="dot" w:pos="14106"/>
            </w:tabs>
            <w:spacing w:before="398" w:after="0" w:line="240" w:lineRule="auto"/>
            <w:ind w:left="1611" w:right="0" w:hanging="846"/>
            <w:jc w:val="left"/>
          </w:pPr>
          <w:r>
            <w:t>脱硫剂储藏系统</w:t>
          </w:r>
          <w:r>
            <w:rPr>
              <w:rFonts w:ascii="Times New Roman" w:eastAsia="Times New Roman"/>
            </w:rPr>
            <w:tab/>
          </w:r>
          <w:r>
            <w:t>22</w:t>
          </w:r>
        </w:p>
        <w:p>
          <w:pPr>
            <w:pStyle w:val="TOC1"/>
            <w:numPr>
              <w:ilvl w:val="1"/>
              <w:numId w:val="9"/>
            </w:numPr>
            <w:tabs>
              <w:tab w:val="left" w:pos="1508"/>
              <w:tab w:val="right" w:leader="dot" w:pos="14083"/>
            </w:tabs>
            <w:spacing w:before="397" w:after="0" w:line="240" w:lineRule="auto"/>
            <w:ind w:left="1507" w:right="0" w:hanging="742"/>
            <w:jc w:val="left"/>
          </w:pPr>
          <w:r>
            <w:t>补充水系统</w:t>
          </w:r>
          <w:r>
            <w:rPr>
              <w:rFonts w:ascii="Times New Roman" w:eastAsia="Times New Roman"/>
            </w:rPr>
            <w:tab/>
          </w:r>
          <w:r>
            <w:t>22</w:t>
          </w:r>
        </w:p>
        <w:p>
          <w:pPr>
            <w:pStyle w:val="TOC1"/>
            <w:numPr>
              <w:ilvl w:val="1"/>
              <w:numId w:val="9"/>
            </w:numPr>
            <w:tabs>
              <w:tab w:val="left" w:pos="1508"/>
              <w:tab w:val="right" w:leader="dot" w:pos="14144"/>
            </w:tabs>
            <w:spacing w:before="399" w:after="0" w:line="240" w:lineRule="auto"/>
            <w:ind w:left="1507" w:right="0" w:hanging="742"/>
            <w:jc w:val="left"/>
          </w:pPr>
          <w:r>
            <w:t>亚硫酸铵氧化系统</w:t>
          </w:r>
          <w:r>
            <w:rPr>
              <w:rFonts w:ascii="Times New Roman" w:eastAsia="Times New Roman"/>
            </w:rPr>
            <w:tab/>
          </w:r>
          <w:r>
            <w:t>22</w:t>
          </w:r>
        </w:p>
        <w:p>
          <w:pPr>
            <w:pStyle w:val="TOC1"/>
            <w:numPr>
              <w:ilvl w:val="1"/>
              <w:numId w:val="9"/>
            </w:numPr>
            <w:tabs>
              <w:tab w:val="left" w:pos="1508"/>
              <w:tab w:val="right" w:leader="dot" w:pos="14144"/>
            </w:tabs>
            <w:spacing w:before="398" w:after="0" w:line="240" w:lineRule="auto"/>
            <w:ind w:left="1507" w:right="0" w:hanging="742"/>
            <w:jc w:val="left"/>
          </w:pPr>
          <w:r>
            <w:t>电气、仪表掌握系统</w:t>
          </w:r>
          <w:r>
            <w:rPr>
              <w:rFonts w:ascii="Times New Roman" w:eastAsia="Times New Roman"/>
            </w:rPr>
            <w:tab/>
          </w:r>
          <w:r>
            <w:t>22</w:t>
          </w:r>
        </w:p>
        <w:p>
          <w:pPr>
            <w:pStyle w:val="TOC1"/>
            <w:numPr>
              <w:ilvl w:val="0"/>
              <w:numId w:val="9"/>
            </w:numPr>
            <w:tabs>
              <w:tab w:val="left" w:pos="1400"/>
              <w:tab w:val="right" w:leader="dot" w:pos="14111"/>
            </w:tabs>
            <w:spacing w:before="398" w:after="0" w:line="240" w:lineRule="auto"/>
            <w:ind w:left="1399" w:right="0" w:hanging="634"/>
            <w:jc w:val="left"/>
          </w:pPr>
          <w:r>
            <w:fldChar w:fldCharType="begin"/>
          </w:r>
          <w:r>
            <w:instrText xml:space="preserve">  \l “_TOC_250004“ </w:instrText>
          </w:r>
          <w:r>
            <w:fldChar w:fldCharType="separate"/>
          </w:r>
          <w:r>
            <w:t>主要经济技术指标</w:t>
          </w:r>
          <w:r>
            <w:rPr>
              <w:rFonts w:ascii="Times New Roman" w:eastAsia="Times New Roman"/>
            </w:rPr>
            <w:tab/>
          </w:r>
          <w:r>
            <w:t>25</w:t>
          </w:r>
          <w:r>
            <w:fldChar w:fldCharType="end"/>
          </w:r>
        </w:p>
        <w:p>
          <w:pPr>
            <w:pStyle w:val="TOC1"/>
            <w:numPr>
              <w:ilvl w:val="0"/>
              <w:numId w:val="9"/>
            </w:numPr>
            <w:tabs>
              <w:tab w:val="left" w:pos="1083"/>
              <w:tab w:val="right" w:leader="dot" w:pos="14374"/>
            </w:tabs>
            <w:spacing w:before="398" w:after="0" w:line="240" w:lineRule="auto"/>
            <w:ind w:left="1082" w:right="0" w:hanging="317"/>
            <w:jc w:val="left"/>
          </w:pPr>
          <w:r>
            <w:fldChar w:fldCharType="begin"/>
          </w:r>
          <w:r>
            <w:instrText xml:space="preserve">  \l “_TOC_250003“ </w:instrText>
          </w:r>
          <w:r>
            <w:fldChar w:fldCharType="separate"/>
          </w:r>
          <w:r>
            <w:rPr>
              <w:w w:val="95"/>
            </w:rPr>
            <w:t>脱硫系统运行费用与硫酸铵回收统</w:t>
          </w:r>
          <w:r>
            <w:rPr>
              <w:spacing w:val="11"/>
              <w:w w:val="95"/>
            </w:rPr>
            <w:t>计</w:t>
          </w:r>
          <w:r>
            <w:rPr>
              <w:w w:val="95"/>
            </w:rPr>
            <w:t>(年运行时间按</w:t>
          </w:r>
          <w:r>
            <w:rPr>
              <w:spacing w:val="-28"/>
              <w:w w:val="95"/>
            </w:rPr>
            <w:t xml:space="preserve"> </w:t>
          </w:r>
          <w:r>
            <w:rPr>
              <w:w w:val="95"/>
            </w:rPr>
            <w:t>7500</w:t>
          </w:r>
          <w:r>
            <w:rPr>
              <w:spacing w:val="-33"/>
              <w:w w:val="95"/>
            </w:rPr>
            <w:t xml:space="preserve"> </w:t>
          </w:r>
          <w:r>
            <w:rPr>
              <w:w w:val="95"/>
            </w:rPr>
            <w:t>小时计)</w:t>
          </w:r>
          <w:r>
            <w:rPr>
              <w:rFonts w:ascii="Times New Roman" w:eastAsia="Times New Roman"/>
              <w:w w:val="95"/>
            </w:rPr>
            <w:tab/>
          </w:r>
          <w:r>
            <w:rPr>
              <w:w w:val="95"/>
            </w:rPr>
            <w:t>25</w:t>
          </w:r>
          <w:r>
            <w:fldChar w:fldCharType="end"/>
          </w:r>
          <w:r>
            <w:br/>
          </w:r>
          <w:r>
            <w:br/>
          </w:r>
        </w:p>
        <w:p>
          <w:pPr>
            <w:widowControl/>
            <w:autoSpaceDE/>
            <w:autoSpaceDN/>
            <w:spacing w:before="0" w:after="0" w:line="240" w:lineRule="auto"/>
            <w:ind w:left="0" w:right="0"/>
            <w:jc w:val="left"/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</w:pPr>
          <w:r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  <w:t>以上内容仅为本文档的试下载部分，为可阅读页数的一半内容。如要下载或阅读全文，请访问：</w:t>
          </w:r>
          <w:hyperlink r:id="rId8" w:history="1">
            <w:r>
              <w:rPr>
                <w:rFonts w:ascii="SimSun" w:eastAsia="SimSun" w:hAnsi="SimSun" w:cs="SimSun"/>
                <w:b/>
                <w:bCs/>
                <w:color w:val="0000EE"/>
                <w:sz w:val="30"/>
                <w:szCs w:val="30"/>
                <w:u w:val="single" w:color="0000EE"/>
              </w:rPr>
              <w:t>https://d.book118.com/386140105144010031</w:t>
            </w:r>
          </w:hyperlink>
        </w:p>
        <w:p>
          <w:pPr>
            <w:pStyle w:val="TOC1"/>
            <w:numPr>
              <w:ilvl w:val="0"/>
              <w:numId w:val="9"/>
            </w:numPr>
            <w:tabs>
              <w:tab w:val="left" w:pos="1083"/>
              <w:tab w:val="right" w:leader="dot" w:pos="14374"/>
            </w:tabs>
            <w:spacing w:before="398" w:after="0" w:line="240" w:lineRule="auto"/>
            <w:ind w:left="1082" w:right="0" w:hanging="317"/>
            <w:jc w:val="left"/>
          </w:pPr>
        </w:p>
      </w:sdtContent>
    </w:sdt>
    <w:sectPr>
      <w:headerReference w:type="default" r:id="rId9"/>
      <w:footerReference w:type="default" r:id="rId10"/>
      <w:type w:val="continuous"/>
      <w:pgSz w:w="17860" w:h="25260"/>
      <w:pgMar w:top="1422" w:right="0" w:bottom="2575" w:left="1420" w:header="708" w:footer="708"/>
      <w:pgNumType w:start="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5600700</wp:posOffset>
          </wp:positionH>
          <wp:positionV relativeFrom="page">
            <wp:posOffset>14998700</wp:posOffset>
          </wp:positionV>
          <wp:extent cx="50800" cy="38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2.55pt;height:19.1pt;margin-top:1164.99pt;margin-left:436.1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82" w:lineRule="exact"/>
                  <w:ind w:left="20" w:right="0" w:firstLine="0"/>
                  <w:jc w:val="left"/>
                  <w:rPr>
                    <w:b/>
                    <w:sz w:val="31"/>
                  </w:rPr>
                </w:pPr>
                <w:r>
                  <w:rPr>
                    <w:b/>
                    <w:color w:val="FF7F00"/>
                    <w:spacing w:val="-23"/>
                    <w:position w:val="1"/>
                    <w:sz w:val="33"/>
                  </w:rPr>
                  <w:t>a</w:t>
                </w:r>
                <w:r>
                  <w:fldChar w:fldCharType="begin"/>
                </w:r>
                <w:r>
                  <w:rPr>
                    <w:b/>
                    <w:spacing w:val="-23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5600700</wp:posOffset>
          </wp:positionH>
          <wp:positionV relativeFrom="page">
            <wp:posOffset>14998700</wp:posOffset>
          </wp:positionV>
          <wp:extent cx="50800" cy="38100"/>
          <wp:effectExtent l="0" t="0" r="0" b="0"/>
          <wp:wrapNone/>
          <wp:docPr id="12978310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831003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2.55pt;height:19.1pt;margin-top:1164.99pt;margin-left:436.1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82" w:lineRule="exact"/>
                  <w:ind w:left="20" w:right="0" w:firstLine="0"/>
                  <w:jc w:val="left"/>
                  <w:rPr>
                    <w:b/>
                    <w:sz w:val="31"/>
                  </w:rPr>
                </w:pPr>
                <w:r>
                  <w:rPr>
                    <w:b/>
                    <w:color w:val="FF7F00"/>
                    <w:spacing w:val="-23"/>
                    <w:position w:val="1"/>
                    <w:sz w:val="33"/>
                  </w:rPr>
                  <w:t>a</w:t>
                </w:r>
                <w:r>
                  <w:fldChar w:fldCharType="begin"/>
                </w:r>
                <w:r>
                  <w:rPr>
                    <w:b/>
                    <w:spacing w:val="-23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5600700</wp:posOffset>
          </wp:positionH>
          <wp:positionV relativeFrom="page">
            <wp:posOffset>14998700</wp:posOffset>
          </wp:positionV>
          <wp:extent cx="50800" cy="38100"/>
          <wp:effectExtent l="0" t="0" r="0" b="0"/>
          <wp:wrapNone/>
          <wp:docPr id="70132047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320476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2.55pt;height:19.1pt;margin-top:1164.99pt;margin-left:436.11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82" w:lineRule="exact"/>
                  <w:ind w:left="20" w:right="0" w:firstLine="0"/>
                  <w:jc w:val="left"/>
                  <w:rPr>
                    <w:b/>
                    <w:sz w:val="31"/>
                  </w:rPr>
                </w:pPr>
                <w:r>
                  <w:rPr>
                    <w:b/>
                    <w:color w:val="FF7F00"/>
                    <w:spacing w:val="-23"/>
                    <w:position w:val="1"/>
                    <w:sz w:val="33"/>
                  </w:rPr>
                  <w:t>a</w:t>
                </w:r>
                <w:r>
                  <w:fldChar w:fldCharType="begin"/>
                </w:r>
                <w:r>
                  <w:rPr>
                    <w:b/>
                    <w:spacing w:val="-23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1358900</wp:posOffset>
          </wp:positionH>
          <wp:positionV relativeFrom="page">
            <wp:posOffset>850900</wp:posOffset>
          </wp:positionV>
          <wp:extent cx="8648700" cy="508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487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21.25pt;height:18.6pt;margin-top:51.18pt;margin-left:374.2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71" w:lineRule="exact"/>
                  <w:ind w:left="20" w:right="0" w:firstLine="0"/>
                  <w:jc w:val="left"/>
                  <w:rPr>
                    <w:b/>
                    <w:sz w:val="33"/>
                  </w:rPr>
                </w:pPr>
                <w:r>
                  <w:rPr>
                    <w:b/>
                    <w:color w:val="FF7F00"/>
                    <w:spacing w:val="-40"/>
                    <w:sz w:val="33"/>
                  </w:rPr>
                  <w:t>(G</w:t>
                </w:r>
                <w:r>
                  <w:rPr>
                    <w:b/>
                    <w:color w:val="FF7F00"/>
                    <w:spacing w:val="-252"/>
                    <w:sz w:val="33"/>
                  </w:rPr>
                  <w:t>认</w:t>
                </w:r>
                <w:r>
                  <w:rPr>
                    <w:b/>
                    <w:color w:val="FF7F00"/>
                    <w:spacing w:val="-40"/>
                    <w:sz w:val="33"/>
                  </w:rPr>
                  <w:t>MP</w:t>
                </w:r>
                <w:r>
                  <w:rPr>
                    <w:b/>
                    <w:color w:val="FF7F00"/>
                    <w:spacing w:val="-173"/>
                    <w:sz w:val="33"/>
                  </w:rPr>
                  <w:t>证)厂-资房料(管与理设标施)准解</w:t>
                </w:r>
                <w:r>
                  <w:rPr>
                    <w:b/>
                    <w:color w:val="FF7F00"/>
                    <w:spacing w:val="-131"/>
                    <w:sz w:val="33"/>
                  </w:rPr>
                  <w:t>U</w:t>
                </w:r>
                <w:r>
                  <w:rPr>
                    <w:b/>
                    <w:color w:val="FF7F00"/>
                    <w:spacing w:val="-267"/>
                    <w:sz w:val="33"/>
                  </w:rPr>
                  <w:t>和析</w:t>
                </w:r>
                <w:r>
                  <w:rPr>
                    <w:b/>
                    <w:color w:val="FF7F00"/>
                    <w:spacing w:val="-66"/>
                    <w:sz w:val="33"/>
                  </w:rPr>
                  <w:t>RE</w:t>
                </w:r>
                <w:r>
                  <w:rPr>
                    <w:b/>
                    <w:color w:val="FF7F00"/>
                    <w:sz w:val="33"/>
                  </w:rPr>
                  <w:t>治理记录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1358900</wp:posOffset>
          </wp:positionH>
          <wp:positionV relativeFrom="page">
            <wp:posOffset>850900</wp:posOffset>
          </wp:positionV>
          <wp:extent cx="8648700" cy="50800"/>
          <wp:effectExtent l="0" t="0" r="0" b="0"/>
          <wp:wrapNone/>
          <wp:docPr id="14553234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32346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487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21.25pt;height:18.6pt;margin-top:51.18pt;margin-left:374.2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71" w:lineRule="exact"/>
                  <w:ind w:left="20" w:right="0" w:firstLine="0"/>
                  <w:jc w:val="left"/>
                  <w:rPr>
                    <w:b/>
                    <w:sz w:val="33"/>
                  </w:rPr>
                </w:pPr>
                <w:r>
                  <w:rPr>
                    <w:b/>
                    <w:color w:val="FF7F00"/>
                    <w:spacing w:val="-40"/>
                    <w:sz w:val="33"/>
                  </w:rPr>
                  <w:t>(G</w:t>
                </w:r>
                <w:r>
                  <w:rPr>
                    <w:b/>
                    <w:color w:val="FF7F00"/>
                    <w:spacing w:val="-252"/>
                    <w:sz w:val="33"/>
                  </w:rPr>
                  <w:t>认</w:t>
                </w:r>
                <w:r>
                  <w:rPr>
                    <w:b/>
                    <w:color w:val="FF7F00"/>
                    <w:spacing w:val="-40"/>
                    <w:sz w:val="33"/>
                  </w:rPr>
                  <w:t>MP</w:t>
                </w:r>
                <w:r>
                  <w:rPr>
                    <w:b/>
                    <w:color w:val="FF7F00"/>
                    <w:spacing w:val="-173"/>
                    <w:sz w:val="33"/>
                  </w:rPr>
                  <w:t>证)厂-资房料(管与理设标施)准解</w:t>
                </w:r>
                <w:r>
                  <w:rPr>
                    <w:b/>
                    <w:color w:val="FF7F00"/>
                    <w:spacing w:val="-131"/>
                    <w:sz w:val="33"/>
                  </w:rPr>
                  <w:t>U</w:t>
                </w:r>
                <w:r>
                  <w:rPr>
                    <w:b/>
                    <w:color w:val="FF7F00"/>
                    <w:spacing w:val="-267"/>
                    <w:sz w:val="33"/>
                  </w:rPr>
                  <w:t>和析</w:t>
                </w:r>
                <w:r>
                  <w:rPr>
                    <w:b/>
                    <w:color w:val="FF7F00"/>
                    <w:spacing w:val="-66"/>
                    <w:sz w:val="33"/>
                  </w:rPr>
                  <w:t>RE</w:t>
                </w:r>
                <w:r>
                  <w:rPr>
                    <w:b/>
                    <w:color w:val="FF7F00"/>
                    <w:sz w:val="33"/>
                  </w:rPr>
                  <w:t>治理记录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1358900</wp:posOffset>
          </wp:positionH>
          <wp:positionV relativeFrom="page">
            <wp:posOffset>850900</wp:posOffset>
          </wp:positionV>
          <wp:extent cx="8648700" cy="50800"/>
          <wp:effectExtent l="0" t="0" r="0" b="0"/>
          <wp:wrapNone/>
          <wp:docPr id="5193010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30102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487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21.25pt;height:18.6pt;margin-top:51.18pt;margin-left:374.2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71" w:lineRule="exact"/>
                  <w:ind w:left="20" w:right="0" w:firstLine="0"/>
                  <w:jc w:val="left"/>
                  <w:rPr>
                    <w:b/>
                    <w:sz w:val="33"/>
                  </w:rPr>
                </w:pPr>
                <w:r>
                  <w:rPr>
                    <w:b/>
                    <w:color w:val="FF7F00"/>
                    <w:spacing w:val="-40"/>
                    <w:sz w:val="33"/>
                  </w:rPr>
                  <w:t>(G</w:t>
                </w:r>
                <w:r>
                  <w:rPr>
                    <w:b/>
                    <w:color w:val="FF7F00"/>
                    <w:spacing w:val="-252"/>
                    <w:sz w:val="33"/>
                  </w:rPr>
                  <w:t>认</w:t>
                </w:r>
                <w:r>
                  <w:rPr>
                    <w:b/>
                    <w:color w:val="FF7F00"/>
                    <w:spacing w:val="-40"/>
                    <w:sz w:val="33"/>
                  </w:rPr>
                  <w:t>MP</w:t>
                </w:r>
                <w:r>
                  <w:rPr>
                    <w:b/>
                    <w:color w:val="FF7F00"/>
                    <w:spacing w:val="-173"/>
                    <w:sz w:val="33"/>
                  </w:rPr>
                  <w:t>证)厂-资房料(管与理设标施)准解</w:t>
                </w:r>
                <w:r>
                  <w:rPr>
                    <w:b/>
                    <w:color w:val="FF7F00"/>
                    <w:spacing w:val="-131"/>
                    <w:sz w:val="33"/>
                  </w:rPr>
                  <w:t>U</w:t>
                </w:r>
                <w:r>
                  <w:rPr>
                    <w:b/>
                    <w:color w:val="FF7F00"/>
                    <w:spacing w:val="-267"/>
                    <w:sz w:val="33"/>
                  </w:rPr>
                  <w:t>和析</w:t>
                </w:r>
                <w:r>
                  <w:rPr>
                    <w:b/>
                    <w:color w:val="FF7F00"/>
                    <w:spacing w:val="-66"/>
                    <w:sz w:val="33"/>
                  </w:rPr>
                  <w:t>RE</w:t>
                </w:r>
                <w:r>
                  <w:rPr>
                    <w:b/>
                    <w:color w:val="FF7F00"/>
                    <w:sz w:val="33"/>
                  </w:rPr>
                  <w:t>治理记录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CD4C"/>
    <w:multiLevelType w:val="hybridMultilevel"/>
    <w:tmpl w:val="00000000"/>
    <w:lvl w:ilvl="0">
      <w:start w:val="1"/>
      <w:numFmt w:val="decimal"/>
      <w:lvlText w:val="%1"/>
      <w:lvlJc w:val="left"/>
      <w:pPr>
        <w:ind w:left="1082" w:hanging="317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261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9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3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317"/>
      </w:pPr>
      <w:rPr>
        <w:rFonts w:hint="default"/>
      </w:rPr>
    </w:lvl>
  </w:abstractNum>
  <w:abstractNum w:abstractNumId="1">
    <w:nsid w:val="12A3BCEB"/>
    <w:multiLevelType w:val="hybridMultilevel"/>
    <w:tmpl w:val="00000000"/>
    <w:lvl w:ilvl="0">
      <w:start w:val="4"/>
      <w:numFmt w:val="decimal"/>
      <w:lvlText w:val="%1"/>
      <w:lvlJc w:val="left"/>
      <w:pPr>
        <w:ind w:left="1126" w:hanging="360"/>
        <w:jc w:val="right"/>
      </w:pPr>
      <w:rPr>
        <w:rFonts w:ascii="仿宋" w:eastAsia="仿宋" w:hAnsi="仿宋" w:cs="仿宋" w:hint="default"/>
        <w:w w:val="99"/>
        <w:sz w:val="48"/>
        <w:szCs w:val="48"/>
      </w:rPr>
    </w:lvl>
    <w:lvl w:ilvl="1">
      <w:start w:val="1"/>
      <w:numFmt w:val="decimal"/>
      <w:lvlText w:val="%1.%2"/>
      <w:lvlJc w:val="left"/>
      <w:pPr>
        <w:ind w:left="1507" w:hanging="742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928" w:hanging="1163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3">
      <w:start w:val="0"/>
      <w:numFmt w:val="bullet"/>
      <w:lvlText w:val="•"/>
      <w:lvlJc w:val="left"/>
      <w:pPr>
        <w:ind w:left="3734" w:hanging="11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9" w:hanging="11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4" w:hanging="11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11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4" w:hanging="11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09" w:hanging="1163"/>
      </w:pPr>
      <w:rPr>
        <w:rFonts w:hint="default"/>
      </w:rPr>
    </w:lvl>
  </w:abstractNum>
  <w:abstractNum w:abstractNumId="2">
    <w:nsid w:val="1BF80ECC"/>
    <w:multiLevelType w:val="hybridMultilevel"/>
    <w:tmpl w:val="00000000"/>
    <w:lvl w:ilvl="0">
      <w:start w:val="5"/>
      <w:numFmt w:val="decimal"/>
      <w:lvlText w:val="%1"/>
      <w:lvlJc w:val="left"/>
      <w:pPr>
        <w:ind w:left="1928" w:hanging="116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928" w:hanging="1163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928" w:hanging="1163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3">
      <w:start w:val="1"/>
      <w:numFmt w:val="decimal"/>
      <w:lvlText w:val="（%4）"/>
      <w:lvlJc w:val="left"/>
      <w:pPr>
        <w:ind w:left="766" w:hanging="1056"/>
        <w:jc w:val="left"/>
      </w:pPr>
      <w:rPr>
        <w:rFonts w:ascii="仿宋" w:eastAsia="仿宋" w:hAnsi="仿宋" w:cs="仿宋" w:hint="default"/>
        <w:b/>
        <w:bCs/>
        <w:spacing w:val="-2"/>
        <w:w w:val="99"/>
        <w:sz w:val="40"/>
        <w:szCs w:val="40"/>
      </w:rPr>
    </w:lvl>
    <w:lvl w:ilvl="4">
      <w:start w:val="0"/>
      <w:numFmt w:val="bullet"/>
      <w:lvlText w:val="•"/>
      <w:lvlJc w:val="left"/>
      <w:pPr>
        <w:ind w:left="675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73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86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9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13" w:hanging="1056"/>
      </w:pPr>
      <w:rPr>
        <w:rFonts w:hint="default"/>
      </w:rPr>
    </w:lvl>
  </w:abstractNum>
  <w:abstractNum w:abstractNumId="3">
    <w:nsid w:val="332F3387"/>
    <w:multiLevelType w:val="hybridMultilevel"/>
    <w:tmpl w:val="00000000"/>
    <w:lvl w:ilvl="0">
      <w:start w:val="1"/>
      <w:numFmt w:val="upperLetter"/>
      <w:lvlText w:val="%1."/>
      <w:lvlJc w:val="left"/>
      <w:pPr>
        <w:ind w:left="2025" w:hanging="630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3461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0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4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8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2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7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1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5" w:hanging="630"/>
      </w:pPr>
      <w:rPr>
        <w:rFonts w:hint="default"/>
      </w:rPr>
    </w:lvl>
  </w:abstractNum>
  <w:abstractNum w:abstractNumId="4">
    <w:nsid w:val="47F4171F"/>
    <w:multiLevelType w:val="hybridMultilevel"/>
    <w:tmpl w:val="00000000"/>
    <w:lvl w:ilvl="0">
      <w:start w:val="1"/>
      <w:numFmt w:val="decimal"/>
      <w:lvlText w:val="%1"/>
      <w:lvlJc w:val="left"/>
      <w:pPr>
        <w:ind w:left="1126" w:hanging="360"/>
        <w:jc w:val="left"/>
      </w:pPr>
      <w:rPr>
        <w:rFonts w:ascii="仿宋" w:eastAsia="仿宋" w:hAnsi="仿宋" w:cs="仿宋" w:hint="default"/>
        <w:w w:val="99"/>
        <w:sz w:val="48"/>
        <w:szCs w:val="48"/>
      </w:rPr>
    </w:lvl>
    <w:lvl w:ilvl="1">
      <w:start w:val="1"/>
      <w:numFmt w:val="decimal"/>
      <w:lvlText w:val="%1.%2"/>
      <w:lvlJc w:val="left"/>
      <w:pPr>
        <w:ind w:left="1507" w:hanging="742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3159" w:hanging="7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9" w:hanging="7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9" w:hanging="7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7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7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7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9" w:hanging="742"/>
      </w:pPr>
      <w:rPr>
        <w:rFonts w:hint="default"/>
      </w:rPr>
    </w:lvl>
  </w:abstractNum>
  <w:abstractNum w:abstractNumId="5">
    <w:nsid w:val="4A4DD333"/>
    <w:multiLevelType w:val="hybridMultilevel"/>
    <w:tmpl w:val="00000000"/>
    <w:lvl w:ilvl="0">
      <w:start w:val="1"/>
      <w:numFmt w:val="decimal"/>
      <w:lvlText w:val="（%1）"/>
      <w:lvlJc w:val="left"/>
      <w:pPr>
        <w:ind w:left="1821" w:hanging="1056"/>
        <w:jc w:val="left"/>
      </w:pPr>
      <w:rPr>
        <w:rFonts w:ascii="仿宋" w:eastAsia="仿宋" w:hAnsi="仿宋" w:cs="仿宋" w:hint="default"/>
        <w:b/>
        <w:bCs/>
        <w:spacing w:val="-2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328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4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0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9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5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5" w:hanging="1056"/>
      </w:pPr>
      <w:rPr>
        <w:rFonts w:hint="default"/>
      </w:rPr>
    </w:lvl>
  </w:abstractNum>
  <w:abstractNum w:abstractNumId="6">
    <w:nsid w:val="591DB7DB"/>
    <w:multiLevelType w:val="hybridMultilevel"/>
    <w:tmpl w:val="00000000"/>
    <w:lvl w:ilvl="0">
      <w:start w:val="1"/>
      <w:numFmt w:val="decimal"/>
      <w:lvlText w:val="（%1）"/>
      <w:lvlJc w:val="left"/>
      <w:pPr>
        <w:ind w:left="1818" w:hanging="1053"/>
        <w:jc w:val="left"/>
      </w:pPr>
      <w:rPr>
        <w:rFonts w:hint="default"/>
        <w:spacing w:val="-2"/>
        <w:w w:val="100"/>
      </w:rPr>
    </w:lvl>
    <w:lvl w:ilvl="1">
      <w:start w:val="1"/>
      <w:numFmt w:val="decimal"/>
      <w:lvlText w:val="%2）"/>
      <w:lvlJc w:val="left"/>
      <w:pPr>
        <w:ind w:left="2242" w:hanging="635"/>
        <w:jc w:val="left"/>
      </w:pPr>
      <w:rPr>
        <w:rFonts w:ascii="仿宋" w:eastAsia="仿宋" w:hAnsi="仿宋" w:cs="仿宋" w:hint="default"/>
        <w:b/>
        <w:bCs/>
        <w:spacing w:val="0"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381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7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50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28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0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4" w:hanging="635"/>
      </w:pPr>
      <w:rPr>
        <w:rFonts w:hint="default"/>
      </w:rPr>
    </w:lvl>
  </w:abstractNum>
  <w:abstractNum w:abstractNumId="7">
    <w:nsid w:val="5FE74CF8"/>
    <w:multiLevelType w:val="hybridMultilevel"/>
    <w:tmpl w:val="00000000"/>
    <w:lvl w:ilvl="0">
      <w:start w:val="1"/>
      <w:numFmt w:val="decimal"/>
      <w:lvlText w:val="%1"/>
      <w:lvlJc w:val="left"/>
      <w:pPr>
        <w:ind w:left="1486" w:hanging="720"/>
        <w:jc w:val="left"/>
      </w:pPr>
      <w:rPr>
        <w:rFonts w:ascii="仿宋" w:eastAsia="仿宋" w:hAnsi="仿宋" w:cs="仿宋" w:hint="default"/>
        <w:w w:val="99"/>
        <w:sz w:val="48"/>
        <w:szCs w:val="48"/>
      </w:rPr>
    </w:lvl>
    <w:lvl w:ilvl="1">
      <w:start w:val="1"/>
      <w:numFmt w:val="decimal"/>
      <w:lvlText w:val="%1.%2"/>
      <w:lvlJc w:val="left"/>
      <w:pPr>
        <w:ind w:left="1507" w:hanging="742"/>
        <w:jc w:val="left"/>
      </w:pPr>
      <w:rPr>
        <w:rFonts w:hint="default"/>
        <w:b/>
        <w:bCs/>
        <w:w w:val="99"/>
      </w:rPr>
    </w:lvl>
    <w:lvl w:ilvl="2">
      <w:start w:val="0"/>
      <w:numFmt w:val="bullet"/>
      <w:lvlText w:val="•"/>
      <w:lvlJc w:val="left"/>
      <w:pPr>
        <w:ind w:left="3159" w:hanging="7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9" w:hanging="7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9" w:hanging="7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7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7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7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9" w:hanging="742"/>
      </w:pPr>
      <w:rPr>
        <w:rFonts w:hint="default"/>
      </w:rPr>
    </w:lvl>
  </w:abstractNum>
  <w:abstractNum w:abstractNumId="8">
    <w:nsid w:val="6925D250"/>
    <w:multiLevelType w:val="hybridMultilevel"/>
    <w:tmpl w:val="00000000"/>
    <w:lvl w:ilvl="0">
      <w:start w:val="0"/>
      <w:numFmt w:val="bullet"/>
      <w:lvlText w:val="◆"/>
      <w:lvlJc w:val="left"/>
      <w:pPr>
        <w:ind w:left="766" w:hanging="634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2327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9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6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3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03" w:hanging="634"/>
      </w:pPr>
      <w:rPr>
        <w:rFonts w:hint="default"/>
      </w:rPr>
    </w:lvl>
  </w:abstractNum>
  <w:abstractNum w:abstractNumId="9">
    <w:nsid w:val="7C11E649"/>
    <w:multiLevelType w:val="hybridMultilevel"/>
    <w:tmpl w:val="00000000"/>
    <w:lvl w:ilvl="0">
      <w:start w:val="4"/>
      <w:numFmt w:val="decimal"/>
      <w:lvlText w:val="%1"/>
      <w:lvlJc w:val="left"/>
      <w:pPr>
        <w:ind w:left="1082" w:hanging="317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1"/>
      <w:numFmt w:val="decimal"/>
      <w:lvlText w:val="%1.%2"/>
      <w:lvlJc w:val="left"/>
      <w:pPr>
        <w:ind w:left="1507" w:hanging="742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3159" w:hanging="7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9" w:hanging="7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9" w:hanging="7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7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7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7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9" w:hanging="742"/>
      </w:pPr>
      <w:rPr>
        <w:rFonts w:hint="default"/>
      </w:rPr>
    </w:lvl>
  </w:abstractNum>
  <w:abstractNum w:abstractNumId="10">
    <w:nsid w:val="7DC8A744"/>
    <w:multiLevelType w:val="hybridMultilevel"/>
    <w:tmpl w:val="00000000"/>
    <w:lvl w:ilvl="0">
      <w:start w:val="1"/>
      <w:numFmt w:val="decimal"/>
      <w:lvlText w:val="%1"/>
      <w:lvlJc w:val="left"/>
      <w:pPr>
        <w:ind w:left="1399" w:hanging="634"/>
        <w:jc w:val="left"/>
      </w:pPr>
      <w:rPr>
        <w:rFonts w:ascii="仿宋" w:eastAsia="仿宋" w:hAnsi="仿宋" w:cs="仿宋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2903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0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1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15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23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27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1" w:hanging="63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398"/>
      <w:ind w:left="1082" w:hanging="742"/>
    </w:pPr>
    <w:rPr>
      <w:rFonts w:ascii="仿宋" w:eastAsia="仿宋" w:hAnsi="仿宋" w:cs="仿宋"/>
      <w:b/>
      <w:bCs/>
      <w:sz w:val="42"/>
      <w:szCs w:val="42"/>
    </w:rPr>
  </w:style>
  <w:style w:type="paragraph" w:customStyle="1" w:styleId="TOC2">
    <w:name w:val="TOC 2"/>
    <w:basedOn w:val="Normal"/>
    <w:uiPriority w:val="1"/>
    <w:qFormat/>
    <w:pPr>
      <w:spacing w:before="71"/>
      <w:ind w:left="766"/>
    </w:pPr>
    <w:rPr>
      <w:rFonts w:ascii="仿宋" w:eastAsia="仿宋" w:hAnsi="仿宋" w:cs="仿宋"/>
      <w:b/>
      <w:bCs/>
      <w:sz w:val="31"/>
      <w:szCs w:val="31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b/>
      <w:bCs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766" w:hanging="360"/>
      <w:outlineLvl w:val="1"/>
    </w:pPr>
    <w:rPr>
      <w:rFonts w:ascii="仿宋" w:eastAsia="仿宋" w:hAnsi="仿宋" w:cs="仿宋"/>
      <w:sz w:val="48"/>
      <w:szCs w:val="48"/>
    </w:rPr>
  </w:style>
  <w:style w:type="paragraph" w:styleId="Title">
    <w:name w:val="Title"/>
    <w:basedOn w:val="Normal"/>
    <w:uiPriority w:val="1"/>
    <w:qFormat/>
    <w:pPr>
      <w:ind w:right="1533"/>
      <w:jc w:val="center"/>
    </w:pPr>
    <w:rPr>
      <w:rFonts w:ascii="仿宋" w:eastAsia="仿宋" w:hAnsi="仿宋" w:cs="仿宋"/>
      <w:sz w:val="108"/>
      <w:szCs w:val="108"/>
    </w:rPr>
  </w:style>
  <w:style w:type="paragraph" w:styleId="ListParagraph">
    <w:name w:val="List Paragraph"/>
    <w:basedOn w:val="Normal"/>
    <w:uiPriority w:val="1"/>
    <w:qFormat/>
    <w:pPr>
      <w:ind w:left="1507" w:hanging="742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pPr>
      <w:spacing w:before="199"/>
    </w:pPr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yperlink" Target="https://d.book118.com/386140105144010031" TargetMode="External" /><Relationship Id="rId9" Type="http://schemas.openxmlformats.org/officeDocument/2006/relationships/header" Target="header3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2023-10-07T03:45:29Z</dcterms:created>
  <dcterms:modified xsi:type="dcterms:W3CDTF">2023-10-07T03:45:29Z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2023-04-02T00:00:00Z</vt:filetime>
  </property>
  <property fmtid="{D5CDD505-2E9C-101B-9397-08002B2CF9AE}" pid="3" name="LastSaved">
    <vt:filetime>2023-10-07T00:00:00Z</vt:filetime>
  </property>
</Properties>
</file>