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1、[题干]抽动秽语综合征的药物治疗可选用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A.安坦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B.氟哌啶醇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C.鲁米那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D.妥泰。E,丙戊酸钠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2、治疗自汗、盗汗阴虚火旺证的首选方剂是(　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A.青蒿鳖甲汤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B.知柏地黄丸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C.当归六黄汤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D.天王补心丹。E,犀角地黄汤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【解析】阴虚火旺证。夜寐盗汗，或有自汗，五心烦热，或兼午后潮热，两颧色红，口渴，舌红少苔，脉细数。治法：滋阴降火。代表方：当归六黄汤加减。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3、[题干]下列哪一项不是癫证的病因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A.郁愤不解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B.有所大喜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C.思虑太过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D.醇酒厚味。E,所愿不遂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4、[题干]2个月女婴，拒食、吐奶、嗜睡，面色青灰，前囟紧张，脐部有脓性分泌物。最关键的检查应为()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A.血常规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B.头颅CT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C.血气分析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D.脑脊液检查。E,脐部分泌物培养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5、[题干]婴儿腹泻的治疗原则不包括哪一项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A.加强护理，防治并发症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B.严格禁食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C.调整和早期进食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D.合理用药。E,纠正水、电解质紊乱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6、[题干]下列癫痫类型脑电图改变正确的是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https://d.book118.com/386243213024010051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38624321302401005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