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一、建设项目基本情况</w:t>
      </w: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382"/>
        <w:gridCol w:w="1637"/>
        <w:gridCol w:w="2212"/>
        <w:gridCol w:w="2639"/>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建设项目名称</w:t>
            </w:r>
          </w:p>
        </w:tc>
        <w:tc>
          <w:tcPr>
            <w:tcW w:w="6488" w:type="dxa"/>
            <w:gridSpan w:val="3"/>
            <w:vAlign w:val="center"/>
          </w:tcPr>
          <w:p>
            <w:pPr>
              <w:adjustRightInd w:val="0"/>
              <w:snapToGrid w:val="0"/>
              <w:jc w:val="center"/>
              <w:rPr>
                <w:sz w:val="24"/>
              </w:rPr>
            </w:pPr>
            <w:bookmarkStart w:id="0" w:name="_GoBack"/>
            <w:r>
              <w:rPr>
                <w:sz w:val="24"/>
              </w:rPr>
              <w:t>煤气化渣循环再利用项目</w:t>
            </w:r>
            <w:bookmarkEnd w:id="0"/>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项目代码</w:t>
            </w:r>
          </w:p>
        </w:tc>
        <w:tc>
          <w:tcPr>
            <w:tcW w:w="6488" w:type="dxa"/>
            <w:gridSpan w:val="3"/>
            <w:vAlign w:val="center"/>
          </w:tcPr>
          <w:p>
            <w:pPr>
              <w:adjustRightInd w:val="0"/>
              <w:snapToGrid w:val="0"/>
              <w:jc w:val="center"/>
              <w:rPr>
                <w:sz w:val="24"/>
              </w:rPr>
            </w:pPr>
            <w:r>
              <w:rPr>
                <w:sz w:val="24"/>
              </w:rPr>
              <w:t>2307-610523-04-05-159647</w:t>
            </w:r>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建设单位联系人</w:t>
            </w:r>
          </w:p>
        </w:tc>
        <w:tc>
          <w:tcPr>
            <w:tcW w:w="1637" w:type="dxa"/>
            <w:vAlign w:val="center"/>
          </w:tcPr>
          <w:p>
            <w:pPr>
              <w:adjustRightInd w:val="0"/>
              <w:snapToGrid w:val="0"/>
              <w:jc w:val="center"/>
              <w:rPr>
                <w:sz w:val="24"/>
              </w:rPr>
            </w:pPr>
          </w:p>
        </w:tc>
        <w:tc>
          <w:tcPr>
            <w:tcW w:w="2212" w:type="dxa"/>
            <w:vAlign w:val="center"/>
          </w:tcPr>
          <w:p>
            <w:pPr>
              <w:adjustRightInd w:val="0"/>
              <w:snapToGrid w:val="0"/>
              <w:jc w:val="center"/>
              <w:rPr>
                <w:sz w:val="24"/>
              </w:rPr>
            </w:pPr>
            <w:r>
              <w:rPr>
                <w:sz w:val="24"/>
              </w:rPr>
              <w:t>联系方式</w:t>
            </w:r>
          </w:p>
        </w:tc>
        <w:tc>
          <w:tcPr>
            <w:tcW w:w="2639" w:type="dxa"/>
            <w:vAlign w:val="center"/>
          </w:tcPr>
          <w:p>
            <w:pPr>
              <w:adjustRightInd w:val="0"/>
              <w:snapToGrid w:val="0"/>
              <w:jc w:val="center"/>
              <w:rPr>
                <w:sz w:val="24"/>
              </w:rPr>
            </w:pPr>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建设地点</w:t>
            </w:r>
          </w:p>
        </w:tc>
        <w:tc>
          <w:tcPr>
            <w:tcW w:w="6488" w:type="dxa"/>
            <w:gridSpan w:val="3"/>
            <w:vAlign w:val="center"/>
          </w:tcPr>
          <w:p>
            <w:pPr>
              <w:adjustRightInd w:val="0"/>
              <w:snapToGrid w:val="0"/>
              <w:jc w:val="center"/>
              <w:rPr>
                <w:sz w:val="24"/>
              </w:rPr>
            </w:pPr>
            <w:r>
              <w:rPr>
                <w:sz w:val="24"/>
                <w:u w:val="single"/>
              </w:rPr>
              <w:t>陕西</w:t>
            </w:r>
            <w:r>
              <w:rPr>
                <w:sz w:val="24"/>
              </w:rPr>
              <w:t>省（自治区）</w:t>
            </w:r>
            <w:r>
              <w:rPr>
                <w:sz w:val="24"/>
                <w:u w:val="single"/>
              </w:rPr>
              <w:t>渭南</w:t>
            </w:r>
            <w:r>
              <w:rPr>
                <w:sz w:val="24"/>
              </w:rPr>
              <w:t>市</w:t>
            </w:r>
            <w:r>
              <w:rPr>
                <w:sz w:val="24"/>
                <w:u w:val="single"/>
              </w:rPr>
              <w:t>大荔</w:t>
            </w:r>
            <w:r>
              <w:rPr>
                <w:sz w:val="24"/>
              </w:rPr>
              <w:t>县（区）/乡（街道）</w:t>
            </w:r>
            <w:r>
              <w:rPr>
                <w:sz w:val="24"/>
                <w:u w:val="single"/>
              </w:rPr>
              <w:t>经济开发区晨光大道中段</w:t>
            </w:r>
            <w:r>
              <w:rPr>
                <w:sz w:val="24"/>
              </w:rPr>
              <w:t>（具体地址）</w:t>
            </w:r>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地理坐标</w:t>
            </w:r>
          </w:p>
        </w:tc>
        <w:tc>
          <w:tcPr>
            <w:tcW w:w="6488" w:type="dxa"/>
            <w:gridSpan w:val="3"/>
            <w:vAlign w:val="center"/>
          </w:tcPr>
          <w:p>
            <w:pPr>
              <w:jc w:val="center"/>
              <w:rPr>
                <w:sz w:val="24"/>
              </w:rPr>
            </w:pPr>
            <w:r>
              <w:rPr>
                <w:sz w:val="24"/>
              </w:rPr>
              <w:t>（</w:t>
            </w:r>
            <w:r>
              <w:rPr>
                <w:sz w:val="24"/>
                <w:u w:val="single"/>
              </w:rPr>
              <w:t>109</w:t>
            </w:r>
            <w:r>
              <w:rPr>
                <w:sz w:val="24"/>
              </w:rPr>
              <w:t>度</w:t>
            </w:r>
            <w:r>
              <w:rPr>
                <w:sz w:val="24"/>
                <w:u w:val="single"/>
              </w:rPr>
              <w:t>55</w:t>
            </w:r>
            <w:r>
              <w:rPr>
                <w:sz w:val="24"/>
              </w:rPr>
              <w:t>分</w:t>
            </w:r>
            <w:r>
              <w:rPr>
                <w:sz w:val="24"/>
                <w:u w:val="single"/>
              </w:rPr>
              <w:t>30.893</w:t>
            </w:r>
            <w:r>
              <w:rPr>
                <w:sz w:val="24"/>
              </w:rPr>
              <w:t>秒，</w:t>
            </w:r>
            <w:r>
              <w:rPr>
                <w:sz w:val="24"/>
                <w:u w:val="single"/>
              </w:rPr>
              <w:t>34</w:t>
            </w:r>
            <w:r>
              <w:rPr>
                <w:sz w:val="24"/>
              </w:rPr>
              <w:t>度</w:t>
            </w:r>
            <w:r>
              <w:rPr>
                <w:sz w:val="24"/>
                <w:u w:val="single"/>
              </w:rPr>
              <w:t>43</w:t>
            </w:r>
            <w:r>
              <w:rPr>
                <w:sz w:val="24"/>
              </w:rPr>
              <w:t>分</w:t>
            </w:r>
            <w:r>
              <w:rPr>
                <w:sz w:val="24"/>
                <w:u w:val="single"/>
              </w:rPr>
              <w:t>5.524</w:t>
            </w:r>
            <w:r>
              <w:rPr>
                <w:sz w:val="24"/>
              </w:rPr>
              <w:t>秒）</w:t>
            </w:r>
          </w:p>
        </w:tc>
      </w:tr>
      <w:tr>
        <w:tblPrEx>
          <w:tblW w:w="8870" w:type="dxa"/>
          <w:jc w:val="center"/>
          <w:tblLayout w:type="fixed"/>
          <w:tblCellMar>
            <w:top w:w="0" w:type="dxa"/>
            <w:left w:w="0" w:type="dxa"/>
            <w:bottom w:w="0" w:type="dxa"/>
            <w:right w:w="0" w:type="dxa"/>
          </w:tblCellMar>
        </w:tblPrEx>
        <w:trPr>
          <w:trHeight w:val="561"/>
          <w:jc w:val="center"/>
        </w:trPr>
        <w:tc>
          <w:tcPr>
            <w:tcW w:w="2382" w:type="dxa"/>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1637" w:type="dxa"/>
            <w:vAlign w:val="center"/>
          </w:tcPr>
          <w:p>
            <w:pPr>
              <w:adjustRightInd w:val="0"/>
              <w:snapToGrid w:val="0"/>
              <w:jc w:val="center"/>
              <w:rPr>
                <w:sz w:val="24"/>
              </w:rPr>
            </w:pPr>
            <w:r>
              <w:rPr>
                <w:sz w:val="24"/>
              </w:rPr>
              <w:t>N7723固体废物治理</w:t>
            </w:r>
          </w:p>
          <w:p>
            <w:pPr>
              <w:adjustRightInd w:val="0"/>
              <w:snapToGrid w:val="0"/>
              <w:jc w:val="center"/>
              <w:rPr>
                <w:sz w:val="24"/>
              </w:rPr>
            </w:pPr>
            <w:r>
              <w:rPr>
                <w:sz w:val="24"/>
              </w:rPr>
              <w:t>M7320工程和技术研究和试验发展</w:t>
            </w:r>
          </w:p>
        </w:tc>
        <w:tc>
          <w:tcPr>
            <w:tcW w:w="2212" w:type="dxa"/>
            <w:vAlign w:val="center"/>
          </w:tcPr>
          <w:p>
            <w:pPr>
              <w:adjustRightInd w:val="0"/>
              <w:snapToGrid w:val="0"/>
              <w:jc w:val="center"/>
              <w:rPr>
                <w:sz w:val="24"/>
              </w:rPr>
            </w:pPr>
            <w:r>
              <w:rPr>
                <w:sz w:val="24"/>
              </w:rPr>
              <w:t>建设项目</w:t>
            </w:r>
          </w:p>
          <w:p>
            <w:pPr>
              <w:adjustRightInd w:val="0"/>
              <w:snapToGrid w:val="0"/>
              <w:jc w:val="center"/>
              <w:rPr>
                <w:sz w:val="24"/>
              </w:rPr>
            </w:pPr>
            <w:r>
              <w:rPr>
                <w:sz w:val="24"/>
              </w:rPr>
              <w:t>行业类别</w:t>
            </w:r>
          </w:p>
        </w:tc>
        <w:tc>
          <w:tcPr>
            <w:tcW w:w="2639" w:type="dxa"/>
            <w:vAlign w:val="center"/>
          </w:tcPr>
          <w:p>
            <w:pPr>
              <w:adjustRightInd w:val="0"/>
              <w:snapToGrid w:val="0"/>
              <w:rPr>
                <w:sz w:val="24"/>
              </w:rPr>
            </w:pPr>
            <w:r>
              <w:rPr>
                <w:sz w:val="24"/>
              </w:rPr>
              <w:t>四十七、生态保护和环境治理业—103一般工业固体废物（含污水处理污泥）、建筑施工废弃物处置及综合利用</w:t>
            </w:r>
          </w:p>
          <w:p>
            <w:pPr>
              <w:adjustRightInd w:val="0"/>
              <w:snapToGrid w:val="0"/>
              <w:rPr>
                <w:sz w:val="24"/>
              </w:rPr>
            </w:pPr>
            <w:r>
              <w:rPr>
                <w:sz w:val="24"/>
              </w:rPr>
              <w:t>四十五、研究和试验发展—98专业实验室、研发（试验）基地</w:t>
            </w:r>
          </w:p>
        </w:tc>
      </w:tr>
      <w:tr>
        <w:tblPrEx>
          <w:tblW w:w="8870" w:type="dxa"/>
          <w:jc w:val="center"/>
          <w:tblLayout w:type="fixed"/>
          <w:tblCellMar>
            <w:top w:w="0" w:type="dxa"/>
            <w:left w:w="0" w:type="dxa"/>
            <w:bottom w:w="0" w:type="dxa"/>
            <w:right w:w="0" w:type="dxa"/>
          </w:tblCellMar>
        </w:tblPrEx>
        <w:trPr>
          <w:trHeight w:val="1219"/>
          <w:jc w:val="center"/>
        </w:trPr>
        <w:tc>
          <w:tcPr>
            <w:tcW w:w="2382" w:type="dxa"/>
            <w:tcMar>
              <w:top w:w="16" w:type="dxa"/>
              <w:left w:w="16" w:type="dxa"/>
              <w:right w:w="16" w:type="dxa"/>
            </w:tcMar>
            <w:vAlign w:val="center"/>
          </w:tcPr>
          <w:p>
            <w:pPr>
              <w:adjustRightInd w:val="0"/>
              <w:snapToGrid w:val="0"/>
              <w:jc w:val="center"/>
              <w:rPr>
                <w:sz w:val="24"/>
              </w:rPr>
            </w:pPr>
            <w:r>
              <w:rPr>
                <w:sz w:val="24"/>
              </w:rPr>
              <w:t>建设性质</w:t>
            </w:r>
          </w:p>
        </w:tc>
        <w:tc>
          <w:tcPr>
            <w:tcW w:w="1637" w:type="dxa"/>
            <w:vAlign w:val="center"/>
          </w:tcPr>
          <w:p>
            <w:pPr>
              <w:jc w:val="left"/>
              <w:rPr>
                <w:sz w:val="24"/>
              </w:rPr>
            </w:pPr>
            <w:r>
              <w:rPr>
                <w:sz w:val="24"/>
              </w:rPr>
              <w:fldChar w:fldCharType="begin"/>
            </w:r>
            <w:r>
              <w:rPr>
                <w:sz w:val="24"/>
              </w:rPr>
              <w:instrText xml:space="preserve"> eq \o\ac(□,√)</w:instrText>
            </w:r>
            <w:r>
              <w:rPr>
                <w:sz w:val="24"/>
              </w:rPr>
              <w:fldChar w:fldCharType="separate"/>
            </w:r>
            <w:r>
              <w:rPr>
                <w:sz w:val="24"/>
              </w:rPr>
              <w:fldChar w:fldCharType="end"/>
            </w:r>
            <w:r>
              <w:rPr>
                <w:sz w:val="24"/>
              </w:rPr>
              <w:t>新建（迁建）</w:t>
            </w:r>
          </w:p>
          <w:p>
            <w:pPr>
              <w:jc w:val="left"/>
              <w:rPr>
                <w:sz w:val="24"/>
              </w:rPr>
            </w:pPr>
            <w:r>
              <w:rPr>
                <w:sz w:val="24"/>
              </w:rPr>
              <w:t>□改建</w:t>
            </w:r>
          </w:p>
          <w:p>
            <w:pPr>
              <w:jc w:val="left"/>
              <w:rPr>
                <w:sz w:val="24"/>
              </w:rPr>
            </w:pPr>
            <w:r>
              <w:rPr>
                <w:sz w:val="24"/>
              </w:rPr>
              <w:t>□扩建</w:t>
            </w:r>
          </w:p>
          <w:p>
            <w:pPr>
              <w:jc w:val="left"/>
              <w:rPr>
                <w:sz w:val="24"/>
              </w:rPr>
            </w:pPr>
            <w:r>
              <w:rPr>
                <w:sz w:val="24"/>
              </w:rPr>
              <w:t>□技术改造</w:t>
            </w:r>
          </w:p>
        </w:tc>
        <w:tc>
          <w:tcPr>
            <w:tcW w:w="2212" w:type="dxa"/>
            <w:vAlign w:val="center"/>
          </w:tcPr>
          <w:p>
            <w:pPr>
              <w:adjustRightInd w:val="0"/>
              <w:snapToGrid w:val="0"/>
              <w:jc w:val="center"/>
              <w:rPr>
                <w:sz w:val="24"/>
              </w:rPr>
            </w:pPr>
            <w:r>
              <w:rPr>
                <w:sz w:val="24"/>
              </w:rPr>
              <w:t>建设项目</w:t>
            </w:r>
          </w:p>
          <w:p>
            <w:pPr>
              <w:adjustRightInd w:val="0"/>
              <w:snapToGrid w:val="0"/>
              <w:jc w:val="center"/>
              <w:rPr>
                <w:sz w:val="24"/>
              </w:rPr>
            </w:pPr>
            <w:r>
              <w:rPr>
                <w:sz w:val="24"/>
              </w:rPr>
              <w:t>申报情形</w:t>
            </w:r>
          </w:p>
        </w:tc>
        <w:tc>
          <w:tcPr>
            <w:tcW w:w="2639" w:type="dxa"/>
            <w:vAlign w:val="center"/>
          </w:tcPr>
          <w:p>
            <w:pPr>
              <w:jc w:val="left"/>
              <w:rPr>
                <w:sz w:val="24"/>
              </w:rPr>
            </w:pPr>
            <w:r>
              <w:rPr>
                <w:sz w:val="24"/>
              </w:rPr>
              <w:fldChar w:fldCharType="begin"/>
            </w:r>
            <w:r>
              <w:rPr>
                <w:sz w:val="24"/>
              </w:rPr>
              <w:instrText xml:space="preserve"> eq \o\ac(□,√)</w:instrText>
            </w:r>
            <w:r>
              <w:rPr>
                <w:sz w:val="24"/>
              </w:rPr>
              <w:fldChar w:fldCharType="separate"/>
            </w:r>
            <w:r>
              <w:rPr>
                <w:sz w:val="24"/>
              </w:rPr>
              <w:fldChar w:fldCharType="end"/>
            </w:r>
            <w:r>
              <w:rPr>
                <w:sz w:val="24"/>
              </w:rPr>
              <w:t xml:space="preserve">首次申报项目             </w:t>
            </w:r>
          </w:p>
          <w:p>
            <w:pPr>
              <w:jc w:val="left"/>
              <w:rPr>
                <w:sz w:val="24"/>
              </w:rPr>
            </w:pPr>
            <w:r>
              <w:rPr>
                <w:sz w:val="24"/>
              </w:rPr>
              <w:t>□不予批准后再次申报项目</w:t>
            </w:r>
          </w:p>
          <w:p>
            <w:pPr>
              <w:jc w:val="left"/>
              <w:rPr>
                <w:sz w:val="24"/>
              </w:rPr>
            </w:pPr>
            <w:r>
              <w:rPr>
                <w:sz w:val="24"/>
              </w:rPr>
              <w:t xml:space="preserve">□超五年重新审核项目     </w:t>
            </w:r>
          </w:p>
          <w:p>
            <w:pPr>
              <w:jc w:val="left"/>
              <w:rPr>
                <w:sz w:val="24"/>
              </w:rPr>
            </w:pPr>
            <w:r>
              <w:rPr>
                <w:sz w:val="24"/>
              </w:rPr>
              <w:t>□重大变动重新报批项目</w:t>
            </w:r>
          </w:p>
        </w:tc>
      </w:tr>
      <w:tr>
        <w:tblPrEx>
          <w:tblW w:w="8870" w:type="dxa"/>
          <w:jc w:val="center"/>
          <w:tblLayout w:type="fixed"/>
          <w:tblCellMar>
            <w:top w:w="0" w:type="dxa"/>
            <w:left w:w="0" w:type="dxa"/>
            <w:bottom w:w="0" w:type="dxa"/>
            <w:right w:w="0" w:type="dxa"/>
          </w:tblCellMar>
        </w:tblPrEx>
        <w:trPr>
          <w:trHeight w:val="851"/>
          <w:jc w:val="center"/>
        </w:trPr>
        <w:tc>
          <w:tcPr>
            <w:tcW w:w="2382" w:type="dxa"/>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备案）部门（选填）</w:t>
            </w:r>
          </w:p>
        </w:tc>
        <w:tc>
          <w:tcPr>
            <w:tcW w:w="1637" w:type="dxa"/>
            <w:vAlign w:val="center"/>
          </w:tcPr>
          <w:p>
            <w:pPr>
              <w:adjustRightInd w:val="0"/>
              <w:snapToGrid w:val="0"/>
              <w:jc w:val="center"/>
              <w:rPr>
                <w:sz w:val="24"/>
              </w:rPr>
            </w:pPr>
            <w:r>
              <w:rPr>
                <w:sz w:val="24"/>
              </w:rPr>
              <w:t>/</w:t>
            </w:r>
          </w:p>
        </w:tc>
        <w:tc>
          <w:tcPr>
            <w:tcW w:w="2212" w:type="dxa"/>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备案）文号（选填）</w:t>
            </w:r>
          </w:p>
        </w:tc>
        <w:tc>
          <w:tcPr>
            <w:tcW w:w="2639" w:type="dxa"/>
            <w:vAlign w:val="center"/>
          </w:tcPr>
          <w:p>
            <w:pPr>
              <w:adjustRightInd w:val="0"/>
              <w:snapToGrid w:val="0"/>
              <w:jc w:val="center"/>
              <w:rPr>
                <w:sz w:val="24"/>
              </w:rPr>
            </w:pPr>
            <w:r>
              <w:rPr>
                <w:sz w:val="24"/>
              </w:rPr>
              <w:t>/</w:t>
            </w:r>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总投资（万元）</w:t>
            </w:r>
          </w:p>
        </w:tc>
        <w:tc>
          <w:tcPr>
            <w:tcW w:w="1637" w:type="dxa"/>
            <w:vAlign w:val="center"/>
          </w:tcPr>
          <w:p>
            <w:pPr>
              <w:adjustRightInd w:val="0"/>
              <w:snapToGrid w:val="0"/>
              <w:jc w:val="center"/>
              <w:rPr>
                <w:sz w:val="24"/>
              </w:rPr>
            </w:pPr>
            <w:r>
              <w:rPr>
                <w:sz w:val="24"/>
              </w:rPr>
              <w:t>1095.03</w:t>
            </w:r>
          </w:p>
        </w:tc>
        <w:tc>
          <w:tcPr>
            <w:tcW w:w="2212" w:type="dxa"/>
            <w:tcMar>
              <w:top w:w="16" w:type="dxa"/>
              <w:left w:w="16" w:type="dxa"/>
              <w:right w:w="16" w:type="dxa"/>
            </w:tcMar>
            <w:vAlign w:val="center"/>
          </w:tcPr>
          <w:p>
            <w:pPr>
              <w:adjustRightInd w:val="0"/>
              <w:snapToGrid w:val="0"/>
              <w:jc w:val="center"/>
              <w:rPr>
                <w:sz w:val="24"/>
              </w:rPr>
            </w:pPr>
            <w:r>
              <w:rPr>
                <w:sz w:val="24"/>
              </w:rPr>
              <w:t>环保投资（万元）</w:t>
            </w:r>
          </w:p>
        </w:tc>
        <w:tc>
          <w:tcPr>
            <w:tcW w:w="2639" w:type="dxa"/>
            <w:vAlign w:val="center"/>
          </w:tcPr>
          <w:p>
            <w:pPr>
              <w:adjustRightInd w:val="0"/>
              <w:snapToGrid w:val="0"/>
              <w:jc w:val="center"/>
              <w:rPr>
                <w:sz w:val="24"/>
              </w:rPr>
            </w:pPr>
            <w:r>
              <w:rPr>
                <w:sz w:val="24"/>
              </w:rPr>
              <w:t>82.5</w:t>
            </w:r>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环保投资占比（%）</w:t>
            </w:r>
          </w:p>
        </w:tc>
        <w:tc>
          <w:tcPr>
            <w:tcW w:w="1637" w:type="dxa"/>
            <w:vAlign w:val="center"/>
          </w:tcPr>
          <w:p>
            <w:pPr>
              <w:adjustRightInd w:val="0"/>
              <w:snapToGrid w:val="0"/>
              <w:jc w:val="center"/>
              <w:rPr>
                <w:sz w:val="24"/>
              </w:rPr>
            </w:pPr>
            <w:r>
              <w:rPr>
                <w:sz w:val="24"/>
              </w:rPr>
              <w:t>7.5</w:t>
            </w:r>
          </w:p>
        </w:tc>
        <w:tc>
          <w:tcPr>
            <w:tcW w:w="2212" w:type="dxa"/>
            <w:tcMar>
              <w:top w:w="16" w:type="dxa"/>
              <w:left w:w="16" w:type="dxa"/>
              <w:right w:w="16" w:type="dxa"/>
            </w:tcMar>
            <w:vAlign w:val="center"/>
          </w:tcPr>
          <w:p>
            <w:pPr>
              <w:adjustRightInd w:val="0"/>
              <w:snapToGrid w:val="0"/>
              <w:jc w:val="center"/>
              <w:rPr>
                <w:sz w:val="24"/>
              </w:rPr>
            </w:pPr>
            <w:r>
              <w:rPr>
                <w:sz w:val="24"/>
              </w:rPr>
              <w:t>施工工期</w:t>
            </w:r>
          </w:p>
        </w:tc>
        <w:tc>
          <w:tcPr>
            <w:tcW w:w="2639" w:type="dxa"/>
            <w:vAlign w:val="center"/>
          </w:tcPr>
          <w:p>
            <w:pPr>
              <w:adjustRightInd w:val="0"/>
              <w:snapToGrid w:val="0"/>
              <w:jc w:val="center"/>
              <w:rPr>
                <w:sz w:val="24"/>
              </w:rPr>
            </w:pPr>
            <w:r>
              <w:rPr>
                <w:sz w:val="24"/>
              </w:rPr>
              <w:t>6个月</w:t>
            </w:r>
          </w:p>
        </w:tc>
      </w:tr>
      <w:tr>
        <w:tblPrEx>
          <w:tblW w:w="8870" w:type="dxa"/>
          <w:jc w:val="center"/>
          <w:tblLayout w:type="fixed"/>
          <w:tblCellMar>
            <w:top w:w="0" w:type="dxa"/>
            <w:left w:w="0" w:type="dxa"/>
            <w:bottom w:w="0" w:type="dxa"/>
            <w:right w:w="0" w:type="dxa"/>
          </w:tblCellMar>
        </w:tblPrEx>
        <w:trPr>
          <w:trHeight w:val="497"/>
          <w:jc w:val="center"/>
        </w:trPr>
        <w:tc>
          <w:tcPr>
            <w:tcW w:w="2382" w:type="dxa"/>
            <w:tcMar>
              <w:top w:w="16" w:type="dxa"/>
              <w:left w:w="16" w:type="dxa"/>
              <w:right w:w="16" w:type="dxa"/>
            </w:tcMar>
            <w:vAlign w:val="center"/>
          </w:tcPr>
          <w:p>
            <w:pPr>
              <w:adjustRightInd w:val="0"/>
              <w:snapToGrid w:val="0"/>
              <w:jc w:val="center"/>
              <w:rPr>
                <w:sz w:val="24"/>
              </w:rPr>
            </w:pPr>
            <w:r>
              <w:rPr>
                <w:sz w:val="24"/>
              </w:rPr>
              <w:t>是否开工建设</w:t>
            </w:r>
          </w:p>
        </w:tc>
        <w:tc>
          <w:tcPr>
            <w:tcW w:w="1637" w:type="dxa"/>
            <w:vAlign w:val="center"/>
          </w:tcPr>
          <w:p>
            <w:pPr>
              <w:adjustRightInd w:val="0"/>
              <w:snapToGrid w:val="0"/>
              <w:rPr>
                <w:sz w:val="24"/>
              </w:rPr>
            </w:pPr>
            <w:r>
              <w:rPr>
                <w:rFonts w:ascii="Wingdings 2" w:hAnsi="Wingdings 2"/>
                <w:sz w:val="24"/>
              </w:rPr>
              <w:sym w:font="Wingdings 2" w:char="F052"/>
            </w:r>
            <w:r>
              <w:rPr>
                <w:sz w:val="24"/>
              </w:rPr>
              <w:t>否</w:t>
            </w:r>
          </w:p>
          <w:p>
            <w:pPr>
              <w:adjustRightInd w:val="0"/>
              <w:snapToGrid w:val="0"/>
              <w:rPr>
                <w:sz w:val="24"/>
              </w:rPr>
            </w:pPr>
            <w:r>
              <w:rPr>
                <w:rFonts w:ascii="Wingdings 2" w:hAnsi="Wingdings 2"/>
                <w:sz w:val="24"/>
              </w:rPr>
              <w:sym w:font="Wingdings 2" w:char="F0A3"/>
            </w:r>
            <w:r>
              <w:rPr>
                <w:sz w:val="24"/>
              </w:rPr>
              <w:t>是</w:t>
            </w:r>
          </w:p>
        </w:tc>
        <w:tc>
          <w:tcPr>
            <w:tcW w:w="2212" w:type="dxa"/>
            <w:tcMar>
              <w:top w:w="16" w:type="dxa"/>
              <w:left w:w="16" w:type="dxa"/>
              <w:right w:w="16" w:type="dxa"/>
            </w:tcMar>
            <w:vAlign w:val="center"/>
          </w:tcPr>
          <w:p>
            <w:pPr>
              <w:adjustRightInd w:val="0"/>
              <w:snapToGrid w:val="0"/>
              <w:jc w:val="center"/>
              <w:rPr>
                <w:spacing w:val="-6"/>
                <w:sz w:val="24"/>
              </w:rPr>
            </w:pPr>
            <w:r>
              <w:rPr>
                <w:spacing w:val="-6"/>
                <w:sz w:val="24"/>
              </w:rPr>
              <w:t>用地（用海）</w:t>
            </w:r>
          </w:p>
          <w:p>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2639" w:type="dxa"/>
            <w:vAlign w:val="center"/>
          </w:tcPr>
          <w:p>
            <w:pPr>
              <w:adjustRightInd w:val="0"/>
              <w:snapToGrid w:val="0"/>
              <w:jc w:val="center"/>
              <w:rPr>
                <w:sz w:val="24"/>
              </w:rPr>
            </w:pPr>
            <w:r>
              <w:rPr>
                <w:sz w:val="24"/>
              </w:rPr>
              <w:t>2214</w:t>
            </w:r>
          </w:p>
        </w:tc>
      </w:tr>
      <w:tr>
        <w:tblPrEx>
          <w:tblW w:w="8870" w:type="dxa"/>
          <w:jc w:val="center"/>
          <w:tblLayout w:type="fixed"/>
          <w:tblCellMar>
            <w:top w:w="0" w:type="dxa"/>
            <w:left w:w="108" w:type="dxa"/>
            <w:bottom w:w="0" w:type="dxa"/>
            <w:right w:w="108" w:type="dxa"/>
          </w:tblCellMar>
        </w:tblPrEx>
        <w:trPr>
          <w:trHeight w:val="701"/>
          <w:jc w:val="center"/>
        </w:trPr>
        <w:tc>
          <w:tcPr>
            <w:tcW w:w="2382" w:type="dxa"/>
            <w:vAlign w:val="center"/>
          </w:tcPr>
          <w:p>
            <w:pPr>
              <w:autoSpaceDE w:val="0"/>
              <w:autoSpaceDN w:val="0"/>
              <w:adjustRightInd w:val="0"/>
              <w:snapToGrid w:val="0"/>
              <w:jc w:val="center"/>
              <w:rPr>
                <w:kern w:val="0"/>
                <w:sz w:val="24"/>
              </w:rPr>
            </w:pPr>
            <w:r>
              <w:rPr>
                <w:kern w:val="0"/>
                <w:sz w:val="24"/>
              </w:rPr>
              <w:t>专项评价设置情况</w:t>
            </w:r>
          </w:p>
        </w:tc>
        <w:tc>
          <w:tcPr>
            <w:tcW w:w="6488" w:type="dxa"/>
            <w:gridSpan w:val="3"/>
            <w:vAlign w:val="center"/>
          </w:tcPr>
          <w:p>
            <w:pPr>
              <w:autoSpaceDE w:val="0"/>
              <w:autoSpaceDN w:val="0"/>
              <w:adjustRightInd w:val="0"/>
              <w:snapToGrid w:val="0"/>
              <w:jc w:val="center"/>
              <w:rPr>
                <w:kern w:val="0"/>
                <w:sz w:val="24"/>
              </w:rPr>
            </w:pPr>
            <w:r>
              <w:rPr>
                <w:kern w:val="0"/>
                <w:sz w:val="24"/>
              </w:rPr>
              <w:t>无</w:t>
            </w:r>
          </w:p>
        </w:tc>
      </w:tr>
    </w:tbl>
    <w:p>
      <w:pPr>
        <w:sectPr>
          <w:footerReference w:type="default" r:id="rId6"/>
          <w:type w:val="continuous"/>
          <w:pgSz w:w="11906" w:h="16838"/>
          <w:pgMar w:top="1701" w:right="1531" w:bottom="1701" w:left="1531" w:header="851" w:footer="851" w:gutter="0"/>
          <w:pgNumType w:fmt="numberInDash"/>
          <w:cols w:num="1" w:space="72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703"/>
          <w:jc w:val="center"/>
        </w:trPr>
        <w:tc>
          <w:tcPr>
            <w:tcW w:w="2382" w:type="dxa"/>
            <w:vAlign w:val="center"/>
          </w:tcPr>
          <w:p>
            <w:pPr>
              <w:autoSpaceDE w:val="0"/>
              <w:autoSpaceDN w:val="0"/>
              <w:adjustRightInd w:val="0"/>
              <w:snapToGrid w:val="0"/>
              <w:jc w:val="center"/>
              <w:rPr>
                <w:kern w:val="0"/>
                <w:sz w:val="24"/>
              </w:rPr>
            </w:pPr>
            <w:r>
              <w:rPr>
                <w:sz w:val="24"/>
              </w:rPr>
              <w:t>规划情况</w:t>
            </w:r>
          </w:p>
        </w:tc>
        <w:tc>
          <w:tcPr>
            <w:tcW w:w="6488" w:type="dxa"/>
            <w:vAlign w:val="center"/>
          </w:tcPr>
          <w:p>
            <w:pPr>
              <w:autoSpaceDE w:val="0"/>
              <w:autoSpaceDN w:val="0"/>
              <w:adjustRightInd w:val="0"/>
              <w:snapToGrid w:val="0"/>
              <w:spacing w:line="360" w:lineRule="auto"/>
              <w:ind w:firstLine="480" w:firstLineChars="200"/>
              <w:rPr>
                <w:sz w:val="24"/>
              </w:rPr>
            </w:pPr>
            <w:r>
              <w:rPr>
                <w:sz w:val="24"/>
              </w:rPr>
              <w:t>规划名称：《大荔经济技术开发区新区总体规划（2020-2035）》</w:t>
            </w:r>
          </w:p>
          <w:p>
            <w:pPr>
              <w:autoSpaceDE w:val="0"/>
              <w:autoSpaceDN w:val="0"/>
              <w:adjustRightInd w:val="0"/>
              <w:snapToGrid w:val="0"/>
              <w:spacing w:line="360" w:lineRule="auto"/>
              <w:ind w:firstLine="480" w:firstLineChars="200"/>
              <w:rPr>
                <w:sz w:val="24"/>
              </w:rPr>
            </w:pPr>
            <w:r>
              <w:rPr>
                <w:sz w:val="24"/>
              </w:rPr>
              <w:t>审批机关：大荔县人民政府</w:t>
            </w:r>
          </w:p>
          <w:p>
            <w:pPr>
              <w:autoSpaceDE w:val="0"/>
              <w:autoSpaceDN w:val="0"/>
              <w:adjustRightInd w:val="0"/>
              <w:snapToGrid w:val="0"/>
              <w:spacing w:line="360" w:lineRule="auto"/>
              <w:ind w:firstLine="480" w:firstLineChars="200"/>
              <w:rPr>
                <w:sz w:val="24"/>
              </w:rPr>
            </w:pPr>
            <w:r>
              <w:rPr>
                <w:sz w:val="24"/>
              </w:rPr>
              <w:t>审批文件名称及文号：大荔县人民政府关于同意《大荔经济技术开发区新区总体规划（2020-2035）》的批复 荔政函[2022]14号</w:t>
            </w:r>
          </w:p>
        </w:tc>
      </w:tr>
      <w:tr>
        <w:tblPrEx>
          <w:tblW w:w="8870" w:type="dxa"/>
          <w:jc w:val="center"/>
          <w:tblLayout w:type="fixed"/>
          <w:tblCellMar>
            <w:top w:w="0" w:type="dxa"/>
            <w:left w:w="108" w:type="dxa"/>
            <w:bottom w:w="0" w:type="dxa"/>
            <w:right w:w="108" w:type="dxa"/>
          </w:tblCellMar>
        </w:tblPrEx>
        <w:trPr>
          <w:trHeight w:val="1355"/>
          <w:jc w:val="center"/>
        </w:trPr>
        <w:tc>
          <w:tcPr>
            <w:tcW w:w="2382" w:type="dxa"/>
            <w:vAlign w:val="center"/>
          </w:tcPr>
          <w:p>
            <w:pPr>
              <w:adjustRightInd w:val="0"/>
              <w:snapToGrid w:val="0"/>
              <w:jc w:val="center"/>
              <w:rPr>
                <w:sz w:val="24"/>
              </w:rPr>
            </w:pPr>
            <w:r>
              <w:rPr>
                <w:sz w:val="24"/>
              </w:rPr>
              <w:t>规划环境影响</w:t>
            </w:r>
          </w:p>
          <w:p>
            <w:pPr>
              <w:adjustRightInd w:val="0"/>
              <w:snapToGrid w:val="0"/>
              <w:jc w:val="center"/>
              <w:rPr>
                <w:kern w:val="0"/>
                <w:sz w:val="24"/>
              </w:rPr>
            </w:pPr>
            <w:r>
              <w:rPr>
                <w:sz w:val="24"/>
              </w:rPr>
              <w:t>评价情况</w:t>
            </w:r>
          </w:p>
        </w:tc>
        <w:tc>
          <w:tcPr>
            <w:tcW w:w="6488" w:type="dxa"/>
            <w:vAlign w:val="center"/>
          </w:tcPr>
          <w:p>
            <w:pPr>
              <w:autoSpaceDE w:val="0"/>
              <w:autoSpaceDN w:val="0"/>
              <w:adjustRightInd w:val="0"/>
              <w:snapToGrid w:val="0"/>
              <w:spacing w:line="360" w:lineRule="auto"/>
              <w:ind w:firstLine="480" w:firstLineChars="200"/>
              <w:rPr>
                <w:kern w:val="0"/>
                <w:sz w:val="24"/>
              </w:rPr>
            </w:pPr>
            <w:r>
              <w:rPr>
                <w:kern w:val="0"/>
                <w:sz w:val="24"/>
              </w:rPr>
              <w:t>规划环评文件名称：《大荔经济技术开发区新区总体规划（2020-2035）环境影响报告书》</w:t>
            </w:r>
          </w:p>
          <w:p>
            <w:pPr>
              <w:autoSpaceDE w:val="0"/>
              <w:autoSpaceDN w:val="0"/>
              <w:adjustRightInd w:val="0"/>
              <w:snapToGrid w:val="0"/>
              <w:spacing w:line="360" w:lineRule="auto"/>
              <w:ind w:firstLine="480" w:firstLineChars="200"/>
              <w:rPr>
                <w:kern w:val="0"/>
                <w:sz w:val="24"/>
              </w:rPr>
            </w:pPr>
            <w:r>
              <w:rPr>
                <w:kern w:val="0"/>
                <w:sz w:val="24"/>
              </w:rPr>
              <w:t>审查机关：渭南市生态环境局</w:t>
            </w:r>
          </w:p>
          <w:p>
            <w:pPr>
              <w:autoSpaceDE w:val="0"/>
              <w:autoSpaceDN w:val="0"/>
              <w:adjustRightInd w:val="0"/>
              <w:snapToGrid w:val="0"/>
              <w:spacing w:line="360" w:lineRule="auto"/>
              <w:ind w:firstLine="480" w:firstLineChars="200"/>
              <w:rPr>
                <w:kern w:val="0"/>
                <w:sz w:val="24"/>
              </w:rPr>
            </w:pPr>
            <w:r>
              <w:rPr>
                <w:kern w:val="0"/>
                <w:sz w:val="24"/>
              </w:rPr>
              <w:t>审查文件名称及文号：《关于大荔经济技术开发区新区总体规划（2020-2035）环境影响报告书的审查意见》 渭环函[2020]278号</w:t>
            </w:r>
          </w:p>
        </w:tc>
      </w:tr>
      <w:tr>
        <w:tblPrEx>
          <w:tblW w:w="8870" w:type="dxa"/>
          <w:jc w:val="center"/>
          <w:tblLayout w:type="fixed"/>
          <w:tblCellMar>
            <w:top w:w="0" w:type="dxa"/>
            <w:left w:w="108" w:type="dxa"/>
            <w:bottom w:w="0" w:type="dxa"/>
            <w:right w:w="108" w:type="dxa"/>
          </w:tblCellMar>
        </w:tblPrEx>
        <w:trPr>
          <w:trHeight w:val="704"/>
          <w:jc w:val="center"/>
        </w:trPr>
        <w:tc>
          <w:tcPr>
            <w:tcW w:w="2382" w:type="dxa"/>
            <w:vAlign w:val="center"/>
          </w:tcPr>
          <w:p>
            <w:pPr>
              <w:autoSpaceDE w:val="0"/>
              <w:autoSpaceDN w:val="0"/>
              <w:adjustRightInd w:val="0"/>
              <w:snapToGrid w:val="0"/>
              <w:jc w:val="center"/>
              <w:rPr>
                <w:kern w:val="0"/>
                <w:sz w:val="24"/>
              </w:rPr>
            </w:pPr>
            <w:r>
              <w:rPr>
                <w:kern w:val="0"/>
                <w:sz w:val="24"/>
              </w:rPr>
              <w:t>规划及规划环境</w:t>
            </w:r>
          </w:p>
          <w:p>
            <w:pPr>
              <w:autoSpaceDE w:val="0"/>
              <w:autoSpaceDN w:val="0"/>
              <w:adjustRightInd w:val="0"/>
              <w:snapToGrid w:val="0"/>
              <w:jc w:val="center"/>
              <w:rPr>
                <w:kern w:val="0"/>
                <w:sz w:val="24"/>
              </w:rPr>
            </w:pPr>
            <w:r>
              <w:rPr>
                <w:kern w:val="0"/>
                <w:sz w:val="24"/>
              </w:rPr>
              <w:t>影响评价符合性分析</w:t>
            </w:r>
          </w:p>
        </w:tc>
        <w:tc>
          <w:tcPr>
            <w:tcW w:w="6488" w:type="dxa"/>
            <w:vAlign w:val="center"/>
          </w:tcPr>
          <w:p>
            <w:pPr>
              <w:autoSpaceDE w:val="0"/>
              <w:autoSpaceDN w:val="0"/>
              <w:adjustRightInd w:val="0"/>
              <w:snapToGrid w:val="0"/>
              <w:spacing w:line="360" w:lineRule="auto"/>
              <w:ind w:firstLine="480" w:firstLineChars="200"/>
              <w:rPr>
                <w:kern w:val="0"/>
                <w:sz w:val="24"/>
              </w:rPr>
            </w:pPr>
            <w:r>
              <w:rPr>
                <w:sz w:val="24"/>
              </w:rPr>
              <w:t>本项目符合《大荔经济技术开发区新区总体规划（2020-2035）》、</w:t>
            </w:r>
            <w:r>
              <w:rPr>
                <w:kern w:val="0"/>
                <w:sz w:val="24"/>
              </w:rPr>
              <w:t>《大荔经济技术开发区新区总体规划（2020-2035）环境影响报告书》</w:t>
            </w:r>
            <w:r>
              <w:rPr>
                <w:sz w:val="24"/>
              </w:rPr>
              <w:t>及其审查意见的相关要求，具体符合性对照分析见表1-1。</w:t>
            </w:r>
          </w:p>
          <w:p>
            <w:pPr>
              <w:jc w:val="center"/>
              <w:rPr>
                <w:b/>
                <w:bCs/>
                <w:color w:val="000000"/>
                <w:sz w:val="24"/>
              </w:rPr>
            </w:pPr>
            <w:r>
              <w:rPr>
                <w:b/>
                <w:bCs/>
                <w:color w:val="000000"/>
                <w:sz w:val="24"/>
              </w:rPr>
              <w:t>表1-1    本项目与规划及规划环评符合性分析</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1"/>
              <w:gridCol w:w="3544"/>
              <w:gridCol w:w="1111"/>
              <w:gridCol w:w="42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trPr>
              <w:tc>
                <w:tcPr>
                  <w:tcW w:w="3773" w:type="pct"/>
                  <w:gridSpan w:val="2"/>
                  <w:vAlign w:val="center"/>
                </w:tcPr>
                <w:p>
                  <w:pPr>
                    <w:autoSpaceDE w:val="0"/>
                    <w:autoSpaceDN w:val="0"/>
                    <w:adjustRightInd w:val="0"/>
                    <w:snapToGrid w:val="0"/>
                    <w:jc w:val="center"/>
                    <w:rPr>
                      <w:color w:val="000000"/>
                      <w:szCs w:val="21"/>
                    </w:rPr>
                  </w:pPr>
                  <w:r>
                    <w:rPr>
                      <w:color w:val="000000"/>
                      <w:szCs w:val="21"/>
                    </w:rPr>
                    <w:t>规划及规划环评相关内容</w:t>
                  </w:r>
                </w:p>
              </w:tc>
              <w:tc>
                <w:tcPr>
                  <w:tcW w:w="887" w:type="pct"/>
                  <w:vAlign w:val="center"/>
                </w:tcPr>
                <w:p>
                  <w:pPr>
                    <w:autoSpaceDE w:val="0"/>
                    <w:autoSpaceDN w:val="0"/>
                    <w:adjustRightInd w:val="0"/>
                    <w:snapToGrid w:val="0"/>
                    <w:jc w:val="center"/>
                    <w:rPr>
                      <w:color w:val="000000"/>
                      <w:szCs w:val="21"/>
                    </w:rPr>
                  </w:pPr>
                  <w:r>
                    <w:rPr>
                      <w:color w:val="000000"/>
                      <w:szCs w:val="21"/>
                    </w:rPr>
                    <w:t>本项目情况</w:t>
                  </w:r>
                </w:p>
              </w:tc>
              <w:tc>
                <w:tcPr>
                  <w:tcW w:w="340" w:type="pct"/>
                  <w:vAlign w:val="center"/>
                </w:tcPr>
                <w:p>
                  <w:pPr>
                    <w:autoSpaceDE w:val="0"/>
                    <w:autoSpaceDN w:val="0"/>
                    <w:adjustRightInd w:val="0"/>
                    <w:snapToGrid w:val="0"/>
                    <w:jc w:val="center"/>
                    <w:rPr>
                      <w:color w:val="000000"/>
                      <w:szCs w:val="21"/>
                    </w:rPr>
                  </w:pPr>
                  <w:r>
                    <w:rPr>
                      <w:color w:val="000000"/>
                      <w:szCs w:val="21"/>
                    </w:rPr>
                    <w:t>符合性</w:t>
                  </w:r>
                </w:p>
              </w:tc>
            </w:tr>
            <w:tr>
              <w:tblPrEx>
                <w:tblW w:w="5000" w:type="pct"/>
                <w:tblInd w:w="0" w:type="dxa"/>
                <w:tblLayout w:type="fixed"/>
                <w:tblCellMar>
                  <w:top w:w="0" w:type="dxa"/>
                  <w:left w:w="108" w:type="dxa"/>
                  <w:bottom w:w="0" w:type="dxa"/>
                  <w:right w:w="108" w:type="dxa"/>
                </w:tblCellMar>
              </w:tblPrEx>
              <w:trPr>
                <w:trHeight w:val="283"/>
              </w:trPr>
              <w:tc>
                <w:tcPr>
                  <w:tcW w:w="943" w:type="pct"/>
                  <w:vAlign w:val="center"/>
                </w:tcPr>
                <w:p>
                  <w:pPr>
                    <w:autoSpaceDE w:val="0"/>
                    <w:autoSpaceDN w:val="0"/>
                    <w:adjustRightInd w:val="0"/>
                    <w:snapToGrid w:val="0"/>
                    <w:jc w:val="center"/>
                    <w:rPr>
                      <w:color w:val="000000"/>
                      <w:szCs w:val="21"/>
                    </w:rPr>
                  </w:pPr>
                  <w:r>
                    <w:rPr>
                      <w:color w:val="000000"/>
                      <w:szCs w:val="21"/>
                    </w:rPr>
                    <w:t>《大荔经济技术开发区新区总体规划（2020-2035）》</w:t>
                  </w:r>
                </w:p>
              </w:tc>
              <w:tc>
                <w:tcPr>
                  <w:tcW w:w="2830" w:type="pct"/>
                  <w:vAlign w:val="center"/>
                </w:tcPr>
                <w:p>
                  <w:pPr>
                    <w:autoSpaceDE w:val="0"/>
                    <w:autoSpaceDN w:val="0"/>
                    <w:adjustRightInd w:val="0"/>
                    <w:snapToGrid w:val="0"/>
                    <w:rPr>
                      <w:color w:val="000000"/>
                      <w:szCs w:val="21"/>
                    </w:rPr>
                  </w:pPr>
                  <w:r>
                    <w:rPr>
                      <w:color w:val="000000"/>
                      <w:szCs w:val="21"/>
                    </w:rPr>
                    <w:t>根据产业类型和产业目标，产业布局为“一带、两轴、八片区”。</w:t>
                  </w:r>
                </w:p>
                <w:p>
                  <w:pPr>
                    <w:autoSpaceDE w:val="0"/>
                    <w:autoSpaceDN w:val="0"/>
                    <w:adjustRightInd w:val="0"/>
                    <w:snapToGrid w:val="0"/>
                    <w:rPr>
                      <w:color w:val="000000"/>
                      <w:szCs w:val="21"/>
                    </w:rPr>
                  </w:pPr>
                  <w:r>
                    <w:rPr>
                      <w:color w:val="000000"/>
                      <w:szCs w:val="21"/>
                    </w:rPr>
                    <w:t>“一带”指中围绕主要交通轴（大华路）带形成的产业群。</w:t>
                  </w:r>
                </w:p>
                <w:p>
                  <w:pPr>
                    <w:autoSpaceDE w:val="0"/>
                    <w:autoSpaceDN w:val="0"/>
                    <w:adjustRightInd w:val="0"/>
                    <w:snapToGrid w:val="0"/>
                    <w:rPr>
                      <w:color w:val="000000"/>
                      <w:szCs w:val="21"/>
                    </w:rPr>
                  </w:pPr>
                  <w:r>
                    <w:rPr>
                      <w:color w:val="000000"/>
                      <w:szCs w:val="21"/>
                    </w:rPr>
                    <w:t>“两轴”是两条贯穿东西的主轴线（创业大道、经开南路）。</w:t>
                  </w:r>
                </w:p>
                <w:p>
                  <w:pPr>
                    <w:autoSpaceDE w:val="0"/>
                    <w:autoSpaceDN w:val="0"/>
                    <w:adjustRightInd w:val="0"/>
                    <w:snapToGrid w:val="0"/>
                    <w:rPr>
                      <w:color w:val="000000"/>
                      <w:szCs w:val="21"/>
                    </w:rPr>
                  </w:pPr>
                  <w:r>
                    <w:rPr>
                      <w:color w:val="000000"/>
                      <w:szCs w:val="21"/>
                    </w:rPr>
                    <w:t>“八片区”指所包含的产业结构是：</w:t>
                  </w:r>
                </w:p>
                <w:p>
                  <w:pPr>
                    <w:autoSpaceDE w:val="0"/>
                    <w:autoSpaceDN w:val="0"/>
                    <w:adjustRightInd w:val="0"/>
                    <w:snapToGrid w:val="0"/>
                    <w:spacing w:after="0"/>
                    <w:rPr>
                      <w:color w:val="000000"/>
                      <w:szCs w:val="21"/>
                    </w:rPr>
                  </w:pPr>
                </w:p>
              </w:tc>
              <w:tc>
                <w:tcPr>
                  <w:tcW w:w="887" w:type="pct"/>
                  <w:vAlign w:val="center"/>
                </w:tcPr>
                <w:p>
                  <w:pPr>
                    <w:jc w:val="center"/>
                    <w:rPr>
                      <w:color w:val="000000"/>
                      <w:szCs w:val="21"/>
                    </w:rPr>
                  </w:pPr>
                  <w:r>
                    <w:rPr>
                      <w:color w:val="000000"/>
                      <w:szCs w:val="21"/>
                    </w:rPr>
                    <w:t>本项目位于装备制造基地。</w:t>
                  </w:r>
                </w:p>
              </w:tc>
              <w:tc>
                <w:tcPr>
                  <w:tcW w:w="340" w:type="pct"/>
                  <w:vAlign w:val="center"/>
                </w:tcPr>
                <w:p>
                  <w:pPr>
                    <w:autoSpaceDE w:val="0"/>
                    <w:autoSpaceDN w:val="0"/>
                    <w:adjustRightInd w:val="0"/>
                    <w:snapToGrid w:val="0"/>
                    <w:jc w:val="center"/>
                    <w:rPr>
                      <w:color w:val="000000"/>
                      <w:szCs w:val="21"/>
                    </w:rPr>
                  </w:pPr>
                  <w:r>
                    <w:rPr>
                      <w:color w:val="000000"/>
                      <w:szCs w:val="21"/>
                    </w:rPr>
                    <w:t>符合</w:t>
                  </w:r>
                </w:p>
              </w:tc>
            </w:tr>
          </w:tbl>
          <w:p/>
        </w:tc>
      </w:tr>
    </w:tbl>
    <w:p>
      <w:pPr>
        <w:sectPr>
          <w:footerReference w:type="default" r:id="rId7"/>
          <w:type w:val="nextPage"/>
          <w:pgSz w:w="11906" w:h="16838"/>
          <w:pgMar w:top="1701" w:right="1531" w:bottom="1701" w:left="1531" w:header="851" w:footer="851" w:gutter="0"/>
          <w:pgNumType w:fmt="numberInDash" w:start="2"/>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704"/>
          <w:jc w:val="center"/>
        </w:trPr>
        <w:tc>
          <w:tcPr>
            <w:tcW w:w="2382" w:type="dxa"/>
            <w:vAlign w:val="center"/>
          </w:tcPr>
          <w:p/>
        </w:tc>
        <w:tc>
          <w:tcPr>
            <w:tcW w:w="6488" w:type="dxa"/>
            <w:vAlign w:val="center"/>
          </w:tcPr>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1"/>
              <w:gridCol w:w="3544"/>
              <w:gridCol w:w="1111"/>
              <w:gridCol w:w="42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trPr>
              <w:tc>
                <w:tcPr>
                  <w:tcW w:w="943" w:type="pct"/>
                  <w:vAlign w:val="center"/>
                </w:tcPr>
                <w:p/>
              </w:tc>
              <w:tc>
                <w:tcPr>
                  <w:tcW w:w="2830" w:type="pct"/>
                  <w:vAlign w:val="center"/>
                </w:tcPr>
                <w:p>
                  <w:pPr>
                    <w:autoSpaceDE w:val="0"/>
                    <w:autoSpaceDN w:val="0"/>
                    <w:adjustRightInd w:val="0"/>
                    <w:snapToGrid w:val="0"/>
                    <w:spacing w:before="0"/>
                    <w:rPr>
                      <w:color w:val="000000"/>
                      <w:szCs w:val="21"/>
                    </w:rPr>
                  </w:pPr>
                  <w:r>
                    <w:rPr>
                      <w:color w:val="000000"/>
                      <w:szCs w:val="21"/>
                    </w:rPr>
                    <w:t>综合产业基地、现代农业体验示范基地、食品加工及农业科技转换基地、综合服务基地、新材料产业基地、分子工业产业基地、物流仓储基地、装备制造基地。</w:t>
                  </w:r>
                </w:p>
              </w:tc>
              <w:tc>
                <w:tcPr>
                  <w:tcW w:w="887" w:type="pct"/>
                  <w:vAlign w:val="center"/>
                </w:tcPr>
                <w:p/>
              </w:tc>
              <w:tc>
                <w:tcPr>
                  <w:tcW w:w="340" w:type="pct"/>
                  <w:vAlign w:val="center"/>
                </w:tcPr>
                <w:p/>
              </w:tc>
            </w:tr>
            <w:tr>
              <w:tblPrEx>
                <w:tblW w:w="5000" w:type="pct"/>
                <w:tblInd w:w="0" w:type="dxa"/>
                <w:tblLayout w:type="fixed"/>
                <w:tblCellMar>
                  <w:top w:w="0" w:type="dxa"/>
                  <w:left w:w="108" w:type="dxa"/>
                  <w:bottom w:w="0" w:type="dxa"/>
                  <w:right w:w="108" w:type="dxa"/>
                </w:tblCellMar>
              </w:tblPrEx>
              <w:trPr>
                <w:trHeight w:val="283"/>
              </w:trPr>
              <w:tc>
                <w:tcPr>
                  <w:tcW w:w="943" w:type="pct"/>
                  <w:vAlign w:val="center"/>
                </w:tcPr>
                <w:p>
                  <w:pPr>
                    <w:autoSpaceDE w:val="0"/>
                    <w:autoSpaceDN w:val="0"/>
                    <w:adjustRightInd w:val="0"/>
                    <w:snapToGrid w:val="0"/>
                    <w:jc w:val="center"/>
                    <w:rPr>
                      <w:color w:val="000000"/>
                      <w:szCs w:val="21"/>
                    </w:rPr>
                  </w:pPr>
                  <w:r>
                    <w:rPr>
                      <w:color w:val="000000"/>
                      <w:szCs w:val="21"/>
                    </w:rPr>
                    <w:t>《大荔经济技术开发区新区总体规划（2020-2035）环境影响报告书》及审查意见</w:t>
                  </w:r>
                </w:p>
              </w:tc>
              <w:tc>
                <w:tcPr>
                  <w:tcW w:w="2830" w:type="pct"/>
                  <w:vAlign w:val="center"/>
                </w:tcPr>
                <w:p>
                  <w:pPr>
                    <w:autoSpaceDE w:val="0"/>
                    <w:autoSpaceDN w:val="0"/>
                    <w:adjustRightInd w:val="0"/>
                    <w:snapToGrid w:val="0"/>
                  </w:pPr>
                  <w:r>
                    <w:t>9.5 行业准入控制建议</w:t>
                  </w:r>
                </w:p>
                <w:p>
                  <w:pPr>
                    <w:autoSpaceDE w:val="0"/>
                    <w:autoSpaceDN w:val="0"/>
                    <w:adjustRightInd w:val="0"/>
                    <w:snapToGrid w:val="0"/>
                    <w:rPr>
                      <w:szCs w:val="21"/>
                    </w:rPr>
                  </w:pPr>
                  <w:r>
                    <w:rPr>
                      <w:szCs w:val="21"/>
                    </w:rPr>
                    <w:t>9.5.2 鼓励引进的项目和优先发展行业</w:t>
                  </w:r>
                </w:p>
                <w:p>
                  <w:pPr>
                    <w:autoSpaceDE w:val="0"/>
                    <w:autoSpaceDN w:val="0"/>
                    <w:adjustRightInd w:val="0"/>
                    <w:snapToGrid w:val="0"/>
                    <w:rPr>
                      <w:szCs w:val="21"/>
                    </w:rPr>
                  </w:pPr>
                  <w:r>
                    <w:rPr>
                      <w:szCs w:val="21"/>
                    </w:rPr>
                    <w:t>（2）利用开发区现有企业产品、中间产品、固体废物、副产品等作为原料</w:t>
                  </w:r>
                </w:p>
                <w:p>
                  <w:pPr>
                    <w:autoSpaceDE w:val="0"/>
                    <w:autoSpaceDN w:val="0"/>
                    <w:adjustRightInd w:val="0"/>
                    <w:snapToGrid w:val="0"/>
                    <w:rPr>
                      <w:szCs w:val="21"/>
                    </w:rPr>
                  </w:pPr>
                  <w:r>
                    <w:rPr>
                      <w:szCs w:val="21"/>
                    </w:rPr>
                    <w:t>进行生产的项目，或能为其他企业提供生产原料，构成“产品链”、能实现“循环经济”的项目。</w:t>
                  </w:r>
                </w:p>
              </w:tc>
              <w:tc>
                <w:tcPr>
                  <w:tcW w:w="887" w:type="pct"/>
                  <w:vAlign w:val="center"/>
                </w:tcPr>
                <w:p>
                  <w:pPr>
                    <w:jc w:val="center"/>
                    <w:rPr>
                      <w:szCs w:val="21"/>
                    </w:rPr>
                  </w:pPr>
                  <w:r>
                    <w:rPr>
                      <w:szCs w:val="21"/>
                    </w:rPr>
                    <w:t>本项目属于煤气化渣循环再利用项目，利用陕化、蒲洁、渭化的煤气化渣，形成一套铁渣、聚合氯化铝和人造石中试研究系统。</w:t>
                  </w:r>
                </w:p>
              </w:tc>
              <w:tc>
                <w:tcPr>
                  <w:tcW w:w="340" w:type="pct"/>
                  <w:vAlign w:val="center"/>
                </w:tcPr>
                <w:p>
                  <w:pPr>
                    <w:autoSpaceDE w:val="0"/>
                    <w:autoSpaceDN w:val="0"/>
                    <w:adjustRightInd w:val="0"/>
                    <w:snapToGrid w:val="0"/>
                    <w:jc w:val="center"/>
                    <w:rPr>
                      <w:color w:val="000000"/>
                      <w:szCs w:val="21"/>
                    </w:rPr>
                  </w:pPr>
                  <w:r>
                    <w:rPr>
                      <w:color w:val="000000"/>
                      <w:szCs w:val="21"/>
                    </w:rPr>
                    <w:t>符合</w:t>
                  </w:r>
                </w:p>
              </w:tc>
            </w:tr>
          </w:tbl>
          <w:p>
            <w:pPr>
              <w:autoSpaceDE w:val="0"/>
              <w:autoSpaceDN w:val="0"/>
              <w:adjustRightInd w:val="0"/>
              <w:snapToGrid w:val="0"/>
              <w:jc w:val="center"/>
              <w:rPr>
                <w:kern w:val="0"/>
                <w:sz w:val="24"/>
              </w:rPr>
            </w:pPr>
          </w:p>
        </w:tc>
      </w:tr>
      <w:tr>
        <w:tblPrEx>
          <w:tblW w:w="8870" w:type="dxa"/>
          <w:jc w:val="center"/>
          <w:tblLayout w:type="fixed"/>
          <w:tblCellMar>
            <w:top w:w="0" w:type="dxa"/>
            <w:left w:w="108" w:type="dxa"/>
            <w:bottom w:w="0" w:type="dxa"/>
            <w:right w:w="108" w:type="dxa"/>
          </w:tblCellMar>
        </w:tblPrEx>
        <w:trPr>
          <w:trHeight w:val="1021"/>
          <w:jc w:val="center"/>
        </w:trPr>
        <w:tc>
          <w:tcPr>
            <w:tcW w:w="2382" w:type="dxa"/>
            <w:vAlign w:val="center"/>
          </w:tcPr>
          <w:p>
            <w:pPr>
              <w:autoSpaceDE w:val="0"/>
              <w:autoSpaceDN w:val="0"/>
              <w:adjustRightInd w:val="0"/>
              <w:snapToGrid w:val="0"/>
              <w:jc w:val="center"/>
              <w:rPr>
                <w:kern w:val="0"/>
                <w:sz w:val="24"/>
              </w:rPr>
            </w:pPr>
            <w:r>
              <w:rPr>
                <w:kern w:val="0"/>
                <w:sz w:val="24"/>
              </w:rPr>
              <w:t>其他符合性分析</w:t>
            </w:r>
          </w:p>
        </w:tc>
        <w:tc>
          <w:tcPr>
            <w:tcW w:w="6488" w:type="dxa"/>
            <w:vAlign w:val="center"/>
          </w:tcPr>
          <w:p>
            <w:pPr>
              <w:adjustRightInd w:val="0"/>
              <w:snapToGrid w:val="0"/>
              <w:spacing w:line="360" w:lineRule="auto"/>
              <w:ind w:firstLine="480" w:firstLineChars="200"/>
              <w:rPr>
                <w:b/>
                <w:bCs/>
                <w:kern w:val="0"/>
                <w:sz w:val="24"/>
              </w:rPr>
            </w:pPr>
            <w:r>
              <w:rPr>
                <w:b/>
                <w:bCs/>
                <w:kern w:val="0"/>
                <w:sz w:val="24"/>
              </w:rPr>
              <w:t>一、产业政策符合性分析</w:t>
            </w:r>
          </w:p>
          <w:p>
            <w:pPr>
              <w:adjustRightInd w:val="0"/>
              <w:snapToGrid w:val="0"/>
              <w:spacing w:line="360" w:lineRule="auto"/>
              <w:ind w:firstLine="480" w:firstLineChars="200"/>
              <w:rPr>
                <w:sz w:val="24"/>
              </w:rPr>
            </w:pPr>
            <w:r>
              <w:rPr>
                <w:sz w:val="24"/>
              </w:rPr>
              <w:t>项目不属于《产业结构调整指导目录（2019年本）》中的鼓励类、限制类及淘汰类，可视为允许类；不属于《陕西省限制投资类产业指导目录》（陕发改产业〔2007</w:t>
            </w:r>
            <w:r>
              <w:rPr>
                <w:kern w:val="0"/>
                <w:sz w:val="24"/>
              </w:rPr>
              <w:t>〕</w:t>
            </w:r>
            <w:r>
              <w:rPr>
                <w:sz w:val="24"/>
              </w:rPr>
              <w:t>97号）中限制投资类项目；项目工艺、设备不含《部分工业行业淘汰落后生产工艺装备和产品指导目录》（工产业〔2010〕第122号）中淘汰落后的生产工艺装备。</w:t>
            </w:r>
          </w:p>
          <w:p>
            <w:pPr>
              <w:pStyle w:val="PlainText"/>
              <w:spacing w:line="360" w:lineRule="auto"/>
              <w:ind w:firstLine="499"/>
              <w:rPr>
                <w:rFonts w:ascii="Times New Roman"/>
                <w:b/>
                <w:sz w:val="24"/>
              </w:rPr>
            </w:pPr>
            <w:r>
              <w:rPr>
                <w:rFonts w:ascii="Times New Roman"/>
                <w:b/>
                <w:sz w:val="24"/>
              </w:rPr>
              <w:t>二、“三线一单”符合性分析</w:t>
            </w:r>
          </w:p>
          <w:p>
            <w:pPr>
              <w:autoSpaceDE w:val="0"/>
              <w:autoSpaceDN w:val="0"/>
              <w:adjustRightInd w:val="0"/>
              <w:snapToGrid w:val="0"/>
              <w:spacing w:line="360" w:lineRule="auto"/>
              <w:ind w:firstLine="480" w:firstLineChars="200"/>
              <w:rPr>
                <w:kern w:val="0"/>
                <w:sz w:val="24"/>
              </w:rPr>
            </w:pPr>
            <w:r>
              <w:rPr>
                <w:kern w:val="0"/>
                <w:sz w:val="24"/>
              </w:rPr>
              <w:t>根据陕西省生态环境厅办公室关于印发《陕西省“三线一单”生态环境分区管控应用技术指南：环境影响评价（试行）》的通知（陕环办发〔2022〕76号），本项目与陕西省渭南市“三线一单”符合性分析见表1-2。本项目与陕西省生态环境分区管控单元位置关系图见附图1。</w:t>
            </w:r>
          </w:p>
          <w:p>
            <w:pPr>
              <w:autoSpaceDE w:val="0"/>
              <w:autoSpaceDN w:val="0"/>
              <w:adjustRightInd w:val="0"/>
              <w:snapToGrid w:val="0"/>
              <w:jc w:val="center"/>
              <w:rPr>
                <w:b/>
                <w:bCs/>
                <w:kern w:val="0"/>
                <w:sz w:val="24"/>
              </w:rPr>
            </w:pPr>
            <w:r>
              <w:rPr>
                <w:b/>
                <w:bCs/>
                <w:kern w:val="0"/>
                <w:sz w:val="24"/>
              </w:rPr>
              <w:t>表1-2    项目与陕西省渭南市“三线一单”符合性分析</w:t>
            </w:r>
          </w:p>
        </w:tc>
      </w:tr>
    </w:tbl>
    <w:p>
      <w:pPr>
        <w:sectPr>
          <w:footerReference w:type="default" r:id="rId8"/>
          <w:type w:val="nextPage"/>
          <w:pgSz w:w="11906" w:h="16838"/>
          <w:pgMar w:top="1701" w:right="1531" w:bottom="1701" w:left="1531" w:header="851" w:footer="851" w:gutter="0"/>
          <w:pgNumType w:fmt="numberInDash" w:start="3"/>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28"/>
              <w:gridCol w:w="529"/>
              <w:gridCol w:w="411"/>
              <w:gridCol w:w="336"/>
              <w:gridCol w:w="426"/>
              <w:gridCol w:w="456"/>
              <w:gridCol w:w="364"/>
              <w:gridCol w:w="1786"/>
              <w:gridCol w:w="1224"/>
              <w:gridCol w:w="40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7"/>
              </w:trPr>
              <w:tc>
                <w:tcPr>
                  <w:tcW w:w="263" w:type="pct"/>
                  <w:tcMar>
                    <w:left w:w="0" w:type="dxa"/>
                    <w:right w:w="0" w:type="dxa"/>
                  </w:tcMar>
                  <w:vAlign w:val="center"/>
                </w:tcPr>
                <w:p>
                  <w:pPr>
                    <w:jc w:val="center"/>
                    <w:rPr>
                      <w:color w:val="000000"/>
                      <w:szCs w:val="21"/>
                    </w:rPr>
                  </w:pPr>
                  <w:r>
                    <w:rPr>
                      <w:color w:val="000000"/>
                      <w:szCs w:val="21"/>
                    </w:rPr>
                    <w:t>序号</w:t>
                  </w:r>
                </w:p>
              </w:tc>
              <w:tc>
                <w:tcPr>
                  <w:tcW w:w="422" w:type="pct"/>
                  <w:tcMar>
                    <w:left w:w="0" w:type="dxa"/>
                    <w:right w:w="0" w:type="dxa"/>
                  </w:tcMar>
                  <w:vAlign w:val="center"/>
                </w:tcPr>
                <w:p>
                  <w:pPr>
                    <w:jc w:val="center"/>
                    <w:rPr>
                      <w:color w:val="000000"/>
                      <w:szCs w:val="21"/>
                    </w:rPr>
                  </w:pPr>
                  <w:r>
                    <w:rPr>
                      <w:color w:val="000000"/>
                      <w:szCs w:val="21"/>
                    </w:rPr>
                    <w:t>市（区）</w:t>
                  </w:r>
                </w:p>
              </w:tc>
              <w:tc>
                <w:tcPr>
                  <w:tcW w:w="328" w:type="pct"/>
                  <w:tcMar>
                    <w:left w:w="0" w:type="dxa"/>
                    <w:right w:w="0" w:type="dxa"/>
                  </w:tcMar>
                  <w:vAlign w:val="center"/>
                </w:tcPr>
                <w:p>
                  <w:pPr>
                    <w:jc w:val="center"/>
                    <w:rPr>
                      <w:color w:val="000000"/>
                      <w:szCs w:val="21"/>
                    </w:rPr>
                  </w:pPr>
                  <w:r>
                    <w:rPr>
                      <w:color w:val="000000"/>
                      <w:szCs w:val="21"/>
                    </w:rPr>
                    <w:t>区县</w:t>
                  </w:r>
                </w:p>
              </w:tc>
              <w:tc>
                <w:tcPr>
                  <w:tcW w:w="268" w:type="pct"/>
                  <w:tcMar>
                    <w:left w:w="0" w:type="dxa"/>
                    <w:right w:w="0" w:type="dxa"/>
                  </w:tcMar>
                  <w:vAlign w:val="center"/>
                </w:tcPr>
                <w:p>
                  <w:pPr>
                    <w:jc w:val="center"/>
                    <w:rPr>
                      <w:color w:val="000000"/>
                      <w:szCs w:val="21"/>
                    </w:rPr>
                  </w:pPr>
                  <w:r>
                    <w:rPr>
                      <w:color w:val="000000"/>
                      <w:szCs w:val="21"/>
                    </w:rPr>
                    <w:t>环境管控单元名称</w:t>
                  </w:r>
                </w:p>
              </w:tc>
              <w:tc>
                <w:tcPr>
                  <w:tcW w:w="340" w:type="pct"/>
                  <w:vAlign w:val="center"/>
                </w:tcPr>
                <w:p>
                  <w:pPr>
                    <w:jc w:val="center"/>
                    <w:rPr>
                      <w:color w:val="000000"/>
                      <w:szCs w:val="21"/>
                    </w:rPr>
                  </w:pPr>
                  <w:r>
                    <w:rPr>
                      <w:color w:val="000000"/>
                      <w:szCs w:val="21"/>
                    </w:rPr>
                    <w:t>单元要素属性</w:t>
                  </w:r>
                </w:p>
              </w:tc>
              <w:tc>
                <w:tcPr>
                  <w:tcW w:w="364" w:type="pct"/>
                  <w:vAlign w:val="center"/>
                </w:tcPr>
                <w:p>
                  <w:pPr>
                    <w:jc w:val="center"/>
                    <w:rPr>
                      <w:color w:val="000000"/>
                      <w:szCs w:val="21"/>
                    </w:rPr>
                  </w:pPr>
                  <w:r>
                    <w:rPr>
                      <w:color w:val="000000"/>
                      <w:szCs w:val="21"/>
                    </w:rPr>
                    <w:t>管控单元分类</w:t>
                  </w:r>
                </w:p>
              </w:tc>
              <w:tc>
                <w:tcPr>
                  <w:tcW w:w="1717" w:type="pct"/>
                  <w:gridSpan w:val="2"/>
                  <w:tcMar>
                    <w:left w:w="0" w:type="dxa"/>
                    <w:right w:w="0" w:type="dxa"/>
                  </w:tcMar>
                  <w:vAlign w:val="center"/>
                </w:tcPr>
                <w:p>
                  <w:pPr>
                    <w:jc w:val="center"/>
                    <w:rPr>
                      <w:color w:val="000000"/>
                      <w:szCs w:val="21"/>
                    </w:rPr>
                  </w:pPr>
                  <w:r>
                    <w:rPr>
                      <w:color w:val="000000"/>
                      <w:szCs w:val="21"/>
                    </w:rPr>
                    <w:t>管控要求</w:t>
                  </w:r>
                </w:p>
              </w:tc>
              <w:tc>
                <w:tcPr>
                  <w:tcW w:w="977" w:type="pct"/>
                  <w:tcMar>
                    <w:left w:w="0" w:type="dxa"/>
                    <w:right w:w="0" w:type="dxa"/>
                  </w:tcMar>
                  <w:vAlign w:val="center"/>
                </w:tcPr>
                <w:p>
                  <w:pPr>
                    <w:jc w:val="center"/>
                    <w:rPr>
                      <w:color w:val="000000"/>
                      <w:szCs w:val="21"/>
                    </w:rPr>
                  </w:pPr>
                  <w:r>
                    <w:rPr>
                      <w:color w:val="000000"/>
                      <w:szCs w:val="21"/>
                    </w:rPr>
                    <w:t>符合性</w:t>
                  </w:r>
                </w:p>
              </w:tc>
              <w:tc>
                <w:tcPr>
                  <w:tcW w:w="321" w:type="pct"/>
                  <w:tcMar>
                    <w:left w:w="0" w:type="dxa"/>
                    <w:right w:w="0" w:type="dxa"/>
                  </w:tcMar>
                  <w:vAlign w:val="center"/>
                </w:tcPr>
                <w:p>
                  <w:pPr>
                    <w:jc w:val="center"/>
                    <w:rPr>
                      <w:color w:val="000000"/>
                      <w:szCs w:val="21"/>
                    </w:rPr>
                  </w:pPr>
                  <w:r>
                    <w:rPr>
                      <w:color w:val="000000"/>
                      <w:szCs w:val="21"/>
                    </w:rPr>
                    <w:t>面积/长度</w:t>
                  </w:r>
                </w:p>
              </w:tc>
            </w:tr>
            <w:tr>
              <w:tblPrEx>
                <w:tblW w:w="5000" w:type="pct"/>
                <w:tblInd w:w="0" w:type="dxa"/>
                <w:tblLayout w:type="fixed"/>
                <w:tblCellMar>
                  <w:top w:w="0" w:type="dxa"/>
                  <w:left w:w="108" w:type="dxa"/>
                  <w:bottom w:w="0" w:type="dxa"/>
                  <w:right w:w="108" w:type="dxa"/>
                </w:tblCellMar>
              </w:tblPrEx>
              <w:trPr>
                <w:trHeight w:val="317"/>
              </w:trPr>
              <w:tc>
                <w:tcPr>
                  <w:tcW w:w="263" w:type="pct"/>
                  <w:tcMar>
                    <w:left w:w="0" w:type="dxa"/>
                    <w:right w:w="0" w:type="dxa"/>
                  </w:tcMar>
                  <w:vAlign w:val="center"/>
                </w:tcPr>
                <w:p>
                  <w:pPr>
                    <w:jc w:val="center"/>
                    <w:rPr>
                      <w:color w:val="000000"/>
                      <w:szCs w:val="21"/>
                    </w:rPr>
                  </w:pPr>
                  <w:r>
                    <w:rPr>
                      <w:color w:val="000000"/>
                      <w:szCs w:val="21"/>
                    </w:rPr>
                    <w:t>1</w:t>
                  </w:r>
                </w:p>
              </w:tc>
              <w:tc>
                <w:tcPr>
                  <w:tcW w:w="422" w:type="pct"/>
                  <w:tcMar>
                    <w:left w:w="0" w:type="dxa"/>
                    <w:right w:w="0" w:type="dxa"/>
                  </w:tcMar>
                  <w:vAlign w:val="center"/>
                </w:tcPr>
                <w:p>
                  <w:pPr>
                    <w:jc w:val="center"/>
                  </w:pPr>
                  <w:r>
                    <w:t>渭南市</w:t>
                  </w:r>
                </w:p>
              </w:tc>
              <w:tc>
                <w:tcPr>
                  <w:tcW w:w="328" w:type="pct"/>
                  <w:tcMar>
                    <w:left w:w="0" w:type="dxa"/>
                    <w:right w:w="0" w:type="dxa"/>
                  </w:tcMar>
                  <w:vAlign w:val="center"/>
                </w:tcPr>
                <w:p>
                  <w:pPr>
                    <w:jc w:val="center"/>
                  </w:pPr>
                  <w:r>
                    <w:t>大</w:t>
                  </w:r>
                </w:p>
                <w:p>
                  <w:pPr>
                    <w:jc w:val="center"/>
                  </w:pPr>
                  <w:r>
                    <w:t>荔</w:t>
                  </w:r>
                </w:p>
                <w:p>
                  <w:pPr>
                    <w:jc w:val="center"/>
                    <w:rPr>
                      <w:color w:val="000000"/>
                      <w:szCs w:val="21"/>
                    </w:rPr>
                  </w:pPr>
                  <w:r>
                    <w:t>县</w:t>
                  </w:r>
                </w:p>
              </w:tc>
              <w:tc>
                <w:tcPr>
                  <w:tcW w:w="268" w:type="pct"/>
                  <w:tcMar>
                    <w:left w:w="0" w:type="dxa"/>
                    <w:right w:w="0" w:type="dxa"/>
                  </w:tcMar>
                  <w:vAlign w:val="center"/>
                </w:tcPr>
                <w:p>
                  <w:pPr>
                    <w:jc w:val="center"/>
                    <w:rPr>
                      <w:color w:val="000000"/>
                      <w:szCs w:val="21"/>
                    </w:rPr>
                  </w:pPr>
                  <w:r>
                    <w:rPr>
                      <w:color w:val="000000"/>
                    </w:rPr>
                    <w:t>重点管控单元</w:t>
                  </w:r>
                </w:p>
              </w:tc>
              <w:tc>
                <w:tcPr>
                  <w:tcW w:w="340" w:type="pct"/>
                  <w:vAlign w:val="center"/>
                </w:tcPr>
                <w:p>
                  <w:pPr>
                    <w:jc w:val="center"/>
                  </w:pPr>
                  <w:r>
                    <w:t>/</w:t>
                  </w:r>
                </w:p>
              </w:tc>
              <w:tc>
                <w:tcPr>
                  <w:tcW w:w="364" w:type="pct"/>
                  <w:vAlign w:val="center"/>
                </w:tcPr>
                <w:p>
                  <w:pPr>
                    <w:jc w:val="center"/>
                  </w:pPr>
                  <w:r>
                    <w:rPr>
                      <w:color w:val="000000"/>
                    </w:rPr>
                    <w:t>重点管控单元</w:t>
                  </w:r>
                </w:p>
              </w:tc>
              <w:tc>
                <w:tcPr>
                  <w:tcW w:w="291" w:type="pct"/>
                  <w:tcMar>
                    <w:left w:w="0" w:type="dxa"/>
                    <w:right w:w="0" w:type="dxa"/>
                  </w:tcMar>
                  <w:vAlign w:val="center"/>
                </w:tcPr>
                <w:p>
                  <w:pPr>
                    <w:jc w:val="center"/>
                    <w:rPr>
                      <w:color w:val="000000"/>
                      <w:szCs w:val="21"/>
                    </w:rPr>
                  </w:pPr>
                  <w:r>
                    <w:t>空间布局约束</w:t>
                  </w:r>
                </w:p>
              </w:tc>
              <w:tc>
                <w:tcPr>
                  <w:tcW w:w="1426" w:type="pct"/>
                  <w:tcMar>
                    <w:left w:w="0" w:type="dxa"/>
                    <w:right w:w="0" w:type="dxa"/>
                  </w:tcMar>
                  <w:vAlign w:val="center"/>
                </w:tcPr>
                <w:p>
                  <w:pPr>
                    <w:pStyle w:val="a7"/>
                    <w:spacing w:before="24" w:after="24"/>
                    <w:rPr>
                      <w:rFonts w:ascii="Times New Roman"/>
                      <w:color w:val="000000"/>
                    </w:rPr>
                  </w:pPr>
                  <w:r>
                    <w:rPr>
                      <w:rFonts w:ascii="Times New Roman"/>
                      <w:color w:val="000000"/>
                    </w:rPr>
                    <w:t>渭河两岸划定保护区域，区域内禁止建设任何与水环境管理无关的项目，并在适宜地区建设生态湿地，构建渭河生态屏障。</w:t>
                  </w:r>
                </w:p>
              </w:tc>
              <w:tc>
                <w:tcPr>
                  <w:tcW w:w="977" w:type="pct"/>
                  <w:tcMar>
                    <w:left w:w="0" w:type="dxa"/>
                    <w:right w:w="0" w:type="dxa"/>
                  </w:tcMar>
                  <w:vAlign w:val="center"/>
                </w:tcPr>
                <w:p>
                  <w:pPr>
                    <w:jc w:val="center"/>
                    <w:rPr>
                      <w:color w:val="000000"/>
                      <w:szCs w:val="21"/>
                    </w:rPr>
                  </w:pPr>
                  <w:r>
                    <w:rPr>
                      <w:color w:val="000000"/>
                      <w:szCs w:val="21"/>
                    </w:rPr>
                    <w:t>本项目不在渭河两岸划定保护区域。</w:t>
                  </w: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r>
              <w:tblPrEx>
                <w:tblW w:w="5000" w:type="pct"/>
                <w:tblInd w:w="0" w:type="dxa"/>
                <w:tblLayout w:type="fixed"/>
                <w:tblCellMar>
                  <w:top w:w="0" w:type="dxa"/>
                  <w:left w:w="108" w:type="dxa"/>
                  <w:bottom w:w="0" w:type="dxa"/>
                  <w:right w:w="108" w:type="dxa"/>
                </w:tblCellMar>
              </w:tblPrEx>
              <w:trPr>
                <w:trHeight w:val="317"/>
              </w:trPr>
              <w:tc>
                <w:tcPr>
                  <w:tcW w:w="263" w:type="pct"/>
                  <w:tcMar>
                    <w:left w:w="0" w:type="dxa"/>
                    <w:right w:w="0" w:type="dxa"/>
                  </w:tcMar>
                  <w:vAlign w:val="center"/>
                </w:tcPr>
                <w:p>
                  <w:pPr>
                    <w:jc w:val="center"/>
                    <w:rPr>
                      <w:color w:val="000000"/>
                      <w:szCs w:val="21"/>
                    </w:rPr>
                  </w:pPr>
                  <w:r>
                    <w:rPr>
                      <w:color w:val="000000"/>
                      <w:szCs w:val="21"/>
                    </w:rPr>
                    <w:t>2</w:t>
                  </w:r>
                </w:p>
              </w:tc>
              <w:tc>
                <w:tcPr>
                  <w:tcW w:w="422" w:type="pct"/>
                  <w:tcMar>
                    <w:left w:w="0" w:type="dxa"/>
                    <w:right w:w="0" w:type="dxa"/>
                  </w:tcMar>
                  <w:vAlign w:val="center"/>
                </w:tcPr>
                <w:p>
                  <w:pPr>
                    <w:jc w:val="center"/>
                  </w:pPr>
                  <w:r>
                    <w:t>渭南市</w:t>
                  </w:r>
                </w:p>
              </w:tc>
              <w:tc>
                <w:tcPr>
                  <w:tcW w:w="328" w:type="pct"/>
                  <w:tcMar>
                    <w:left w:w="0" w:type="dxa"/>
                    <w:right w:w="0" w:type="dxa"/>
                  </w:tcMar>
                  <w:vAlign w:val="center"/>
                </w:tcPr>
                <w:p>
                  <w:pPr>
                    <w:jc w:val="center"/>
                  </w:pPr>
                  <w:r>
                    <w:t>大</w:t>
                  </w:r>
                </w:p>
                <w:p>
                  <w:pPr>
                    <w:jc w:val="center"/>
                  </w:pPr>
                  <w:r>
                    <w:t>荔</w:t>
                  </w:r>
                </w:p>
                <w:p>
                  <w:pPr>
                    <w:jc w:val="center"/>
                  </w:pPr>
                  <w:r>
                    <w:t>县</w:t>
                  </w:r>
                </w:p>
              </w:tc>
              <w:tc>
                <w:tcPr>
                  <w:tcW w:w="268" w:type="pct"/>
                  <w:tcMar>
                    <w:left w:w="0" w:type="dxa"/>
                    <w:right w:w="0" w:type="dxa"/>
                  </w:tcMar>
                  <w:vAlign w:val="center"/>
                </w:tcPr>
                <w:p>
                  <w:pPr>
                    <w:jc w:val="center"/>
                  </w:pPr>
                  <w:r>
                    <w:rPr>
                      <w:color w:val="000000"/>
                    </w:rPr>
                    <w:t>重点管控单元</w:t>
                  </w:r>
                </w:p>
              </w:tc>
              <w:tc>
                <w:tcPr>
                  <w:tcW w:w="340" w:type="pct"/>
                  <w:vAlign w:val="center"/>
                </w:tcPr>
                <w:p>
                  <w:pPr>
                    <w:jc w:val="center"/>
                    <w:rPr>
                      <w:color w:val="000000"/>
                      <w:kern w:val="0"/>
                      <w:szCs w:val="21"/>
                      <w:lang w:bidi="ar"/>
                    </w:rPr>
                  </w:pPr>
                  <w:r>
                    <w:t>/</w:t>
                  </w:r>
                </w:p>
              </w:tc>
              <w:tc>
                <w:tcPr>
                  <w:tcW w:w="364" w:type="pct"/>
                  <w:vAlign w:val="center"/>
                </w:tcPr>
                <w:p>
                  <w:pPr>
                    <w:jc w:val="center"/>
                    <w:rPr>
                      <w:color w:val="000000"/>
                      <w:kern w:val="0"/>
                      <w:szCs w:val="21"/>
                      <w:lang w:bidi="ar"/>
                    </w:rPr>
                  </w:pPr>
                  <w:r>
                    <w:rPr>
                      <w:color w:val="000000"/>
                    </w:rPr>
                    <w:t>重点管控单元</w:t>
                  </w:r>
                </w:p>
              </w:tc>
              <w:tc>
                <w:tcPr>
                  <w:tcW w:w="291" w:type="pct"/>
                  <w:vMerge w:val="restart"/>
                  <w:tcMar>
                    <w:left w:w="0" w:type="dxa"/>
                    <w:right w:w="0" w:type="dxa"/>
                  </w:tcMar>
                  <w:vAlign w:val="center"/>
                </w:tcPr>
                <w:p>
                  <w:pPr>
                    <w:jc w:val="center"/>
                  </w:pPr>
                  <w:r>
                    <w:rPr>
                      <w:color w:val="000000"/>
                      <w:kern w:val="0"/>
                      <w:szCs w:val="21"/>
                      <w:lang w:bidi="ar"/>
                    </w:rPr>
                    <w:t>污染物排放管控</w:t>
                  </w:r>
                </w:p>
              </w:tc>
              <w:tc>
                <w:tcPr>
                  <w:tcW w:w="1426" w:type="pct"/>
                  <w:tcMar>
                    <w:left w:w="0" w:type="dxa"/>
                    <w:right w:w="0" w:type="dxa"/>
                  </w:tcMar>
                  <w:vAlign w:val="center"/>
                </w:tcPr>
                <w:p>
                  <w:pPr>
                    <w:pStyle w:val="a7"/>
                    <w:spacing w:before="24" w:after="24"/>
                    <w:rPr>
                      <w:rFonts w:ascii="Times New Roman"/>
                      <w:color w:val="000000"/>
                    </w:rPr>
                  </w:pPr>
                  <w:r>
                    <w:rPr>
                      <w:rFonts w:ascii="Times New Roman"/>
                      <w:color w:val="000000"/>
                    </w:rPr>
                    <w:t>工业集聚区内工业废水必须经预处理达到集中处理要求，方可进入污水集中处理设施。</w:t>
                  </w:r>
                </w:p>
              </w:tc>
              <w:tc>
                <w:tcPr>
                  <w:tcW w:w="977" w:type="pct"/>
                  <w:vMerge w:val="restart"/>
                  <w:tcMar>
                    <w:left w:w="0" w:type="dxa"/>
                    <w:right w:w="0" w:type="dxa"/>
                  </w:tcMar>
                  <w:vAlign w:val="center"/>
                </w:tcPr>
                <w:p>
                  <w:pPr>
                    <w:jc w:val="center"/>
                    <w:rPr>
                      <w:color w:val="000000"/>
                      <w:szCs w:val="21"/>
                    </w:rPr>
                  </w:pPr>
                  <w:r>
                    <w:rPr>
                      <w:color w:val="000000"/>
                      <w:szCs w:val="21"/>
                    </w:rPr>
                    <w:t>本项目生产废水进入废水复用罐循环使用；软化设备产生的浓水和蒸汽发生器排污水进入废水罐中；废水复用罐中不回用的水进入废水罐中，排入市政管网。生活污水依托园区化粪池处理后排入市政管网。</w:t>
                  </w: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r>
              <w:tblPrEx>
                <w:tblW w:w="5000" w:type="pct"/>
                <w:tblInd w:w="0" w:type="dxa"/>
                <w:tblLayout w:type="fixed"/>
                <w:tblCellMar>
                  <w:top w:w="0" w:type="dxa"/>
                  <w:left w:w="108" w:type="dxa"/>
                  <w:bottom w:w="0" w:type="dxa"/>
                  <w:right w:w="108" w:type="dxa"/>
                </w:tblCellMar>
              </w:tblPrEx>
              <w:trPr>
                <w:trHeight w:val="951"/>
              </w:trPr>
              <w:tc>
                <w:tcPr>
                  <w:tcW w:w="263" w:type="pct"/>
                  <w:tcMar>
                    <w:left w:w="0" w:type="dxa"/>
                    <w:right w:w="0" w:type="dxa"/>
                  </w:tcMar>
                  <w:vAlign w:val="center"/>
                </w:tcPr>
                <w:p>
                  <w:pPr>
                    <w:jc w:val="center"/>
                    <w:rPr>
                      <w:color w:val="000000"/>
                      <w:szCs w:val="21"/>
                    </w:rPr>
                  </w:pPr>
                  <w:r>
                    <w:rPr>
                      <w:color w:val="000000"/>
                      <w:szCs w:val="21"/>
                    </w:rPr>
                    <w:t>3</w:t>
                  </w:r>
                </w:p>
              </w:tc>
              <w:tc>
                <w:tcPr>
                  <w:tcW w:w="422" w:type="pct"/>
                  <w:tcMar>
                    <w:left w:w="0" w:type="dxa"/>
                    <w:right w:w="0" w:type="dxa"/>
                  </w:tcMar>
                  <w:vAlign w:val="center"/>
                </w:tcPr>
                <w:p>
                  <w:pPr>
                    <w:jc w:val="center"/>
                    <w:rPr>
                      <w:color w:val="000000"/>
                      <w:szCs w:val="21"/>
                    </w:rPr>
                  </w:pPr>
                  <w:r>
                    <w:t>渭南市</w:t>
                  </w:r>
                </w:p>
              </w:tc>
              <w:tc>
                <w:tcPr>
                  <w:tcW w:w="328" w:type="pct"/>
                  <w:tcMar>
                    <w:left w:w="0" w:type="dxa"/>
                    <w:right w:w="0" w:type="dxa"/>
                  </w:tcMar>
                  <w:vAlign w:val="center"/>
                </w:tcPr>
                <w:p>
                  <w:pPr>
                    <w:jc w:val="center"/>
                  </w:pPr>
                  <w:r>
                    <w:t>大</w:t>
                  </w:r>
                </w:p>
                <w:p>
                  <w:pPr>
                    <w:jc w:val="center"/>
                  </w:pPr>
                  <w:r>
                    <w:t>荔</w:t>
                  </w:r>
                </w:p>
                <w:p>
                  <w:pPr>
                    <w:jc w:val="center"/>
                    <w:rPr>
                      <w:color w:val="000000"/>
                      <w:szCs w:val="21"/>
                    </w:rPr>
                  </w:pPr>
                  <w:r>
                    <w:t>县</w:t>
                  </w:r>
                </w:p>
              </w:tc>
              <w:tc>
                <w:tcPr>
                  <w:tcW w:w="268" w:type="pct"/>
                  <w:tcMar>
                    <w:left w:w="0" w:type="dxa"/>
                    <w:right w:w="0" w:type="dxa"/>
                  </w:tcMar>
                  <w:vAlign w:val="center"/>
                </w:tcPr>
                <w:p>
                  <w:pPr>
                    <w:jc w:val="center"/>
                    <w:rPr>
                      <w:color w:val="000000"/>
                      <w:szCs w:val="21"/>
                    </w:rPr>
                  </w:pPr>
                  <w:r>
                    <w:rPr>
                      <w:color w:val="000000"/>
                    </w:rPr>
                    <w:t>重点管控单元</w:t>
                  </w:r>
                </w:p>
              </w:tc>
              <w:tc>
                <w:tcPr>
                  <w:tcW w:w="340" w:type="pct"/>
                  <w:vAlign w:val="center"/>
                </w:tcPr>
                <w:p>
                  <w:pPr>
                    <w:widowControl/>
                    <w:jc w:val="center"/>
                    <w:rPr>
                      <w:color w:val="000000"/>
                      <w:kern w:val="0"/>
                      <w:szCs w:val="21"/>
                      <w:lang w:bidi="ar"/>
                    </w:rPr>
                  </w:pPr>
                  <w:r>
                    <w:t>/</w:t>
                  </w:r>
                </w:p>
              </w:tc>
              <w:tc>
                <w:tcPr>
                  <w:tcW w:w="364" w:type="pct"/>
                  <w:vAlign w:val="center"/>
                </w:tcPr>
                <w:p>
                  <w:pPr>
                    <w:widowControl/>
                    <w:jc w:val="center"/>
                    <w:rPr>
                      <w:color w:val="000000"/>
                      <w:kern w:val="0"/>
                      <w:szCs w:val="21"/>
                      <w:lang w:bidi="ar"/>
                    </w:rPr>
                  </w:pPr>
                  <w:r>
                    <w:rPr>
                      <w:color w:val="000000"/>
                    </w:rPr>
                    <w:t>重点管控单元</w:t>
                  </w:r>
                </w:p>
              </w:tc>
              <w:tc>
                <w:tcPr>
                  <w:tcW w:w="291" w:type="pct"/>
                  <w:vMerge/>
                  <w:tcMar>
                    <w:left w:w="0" w:type="dxa"/>
                    <w:right w:w="0" w:type="dxa"/>
                  </w:tcMar>
                  <w:vAlign w:val="center"/>
                </w:tcPr>
                <w:p>
                  <w:pPr>
                    <w:widowControl/>
                    <w:jc w:val="center"/>
                    <w:rPr>
                      <w:color w:val="000000"/>
                      <w:szCs w:val="21"/>
                    </w:rPr>
                  </w:pPr>
                </w:p>
              </w:tc>
              <w:tc>
                <w:tcPr>
                  <w:tcW w:w="1426" w:type="pct"/>
                  <w:tcMar>
                    <w:left w:w="0" w:type="dxa"/>
                    <w:right w:w="0" w:type="dxa"/>
                  </w:tcMar>
                  <w:vAlign w:val="center"/>
                </w:tcPr>
                <w:p>
                  <w:pPr>
                    <w:jc w:val="center"/>
                  </w:pPr>
                  <w:r>
                    <w:t>严禁采用渗井、废坑、废矿井或净水稀释等手段排放有毒、有害废水。存放含有毒、有害物质的废水、废液的淋浸池、贮存池、沉淀池必须采取防腐、防渗漏、防流失等措施。</w:t>
                  </w:r>
                </w:p>
              </w:tc>
              <w:tc>
                <w:tcPr>
                  <w:tcW w:w="977" w:type="pct"/>
                  <w:vMerge/>
                  <w:tcMar>
                    <w:left w:w="0" w:type="dxa"/>
                    <w:right w:w="0" w:type="dxa"/>
                  </w:tcMar>
                  <w:vAlign w:val="center"/>
                </w:tcPr>
                <w:p>
                  <w:pPr>
                    <w:jc w:val="center"/>
                    <w:rPr>
                      <w:color w:val="000000"/>
                      <w:szCs w:val="21"/>
                    </w:rPr>
                  </w:pP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r>
              <w:tblPrEx>
                <w:tblW w:w="5000" w:type="pct"/>
                <w:tblInd w:w="0" w:type="dxa"/>
                <w:tblLayout w:type="fixed"/>
                <w:tblCellMar>
                  <w:top w:w="0" w:type="dxa"/>
                  <w:left w:w="108" w:type="dxa"/>
                  <w:bottom w:w="0" w:type="dxa"/>
                  <w:right w:w="108" w:type="dxa"/>
                </w:tblCellMar>
              </w:tblPrEx>
              <w:trPr>
                <w:trHeight w:val="951"/>
              </w:trPr>
              <w:tc>
                <w:tcPr>
                  <w:tcW w:w="263" w:type="pct"/>
                  <w:tcMar>
                    <w:left w:w="0" w:type="dxa"/>
                    <w:right w:w="0" w:type="dxa"/>
                  </w:tcMar>
                  <w:vAlign w:val="center"/>
                </w:tcPr>
                <w:p>
                  <w:pPr>
                    <w:jc w:val="center"/>
                    <w:rPr>
                      <w:color w:val="000000"/>
                      <w:szCs w:val="21"/>
                    </w:rPr>
                  </w:pPr>
                  <w:r>
                    <w:rPr>
                      <w:color w:val="000000"/>
                      <w:szCs w:val="21"/>
                    </w:rPr>
                    <w:t>4</w:t>
                  </w:r>
                </w:p>
              </w:tc>
              <w:tc>
                <w:tcPr>
                  <w:tcW w:w="422" w:type="pct"/>
                  <w:tcMar>
                    <w:left w:w="0" w:type="dxa"/>
                    <w:right w:w="0" w:type="dxa"/>
                  </w:tcMar>
                  <w:vAlign w:val="center"/>
                </w:tcPr>
                <w:p>
                  <w:pPr>
                    <w:jc w:val="center"/>
                  </w:pPr>
                  <w:r>
                    <w:t>渭南市</w:t>
                  </w:r>
                </w:p>
              </w:tc>
              <w:tc>
                <w:tcPr>
                  <w:tcW w:w="328" w:type="pct"/>
                  <w:tcMar>
                    <w:left w:w="0" w:type="dxa"/>
                    <w:right w:w="0" w:type="dxa"/>
                  </w:tcMar>
                  <w:vAlign w:val="center"/>
                </w:tcPr>
                <w:p>
                  <w:pPr>
                    <w:jc w:val="center"/>
                  </w:pPr>
                  <w:r>
                    <w:t>大</w:t>
                  </w:r>
                </w:p>
                <w:p>
                  <w:pPr>
                    <w:jc w:val="center"/>
                  </w:pPr>
                  <w:r>
                    <w:t>荔</w:t>
                  </w:r>
                </w:p>
                <w:p>
                  <w:pPr>
                    <w:jc w:val="center"/>
                  </w:pPr>
                  <w:r>
                    <w:t>县</w:t>
                  </w:r>
                </w:p>
              </w:tc>
              <w:tc>
                <w:tcPr>
                  <w:tcW w:w="268" w:type="pct"/>
                  <w:tcMar>
                    <w:left w:w="0" w:type="dxa"/>
                    <w:right w:w="0" w:type="dxa"/>
                  </w:tcMar>
                  <w:vAlign w:val="center"/>
                </w:tcPr>
                <w:p>
                  <w:pPr>
                    <w:jc w:val="center"/>
                    <w:rPr>
                      <w:color w:val="000000"/>
                    </w:rPr>
                  </w:pPr>
                  <w:r>
                    <w:rPr>
                      <w:color w:val="000000"/>
                    </w:rPr>
                    <w:t>重点管控单元</w:t>
                  </w:r>
                </w:p>
              </w:tc>
              <w:tc>
                <w:tcPr>
                  <w:tcW w:w="340" w:type="pct"/>
                  <w:vAlign w:val="center"/>
                </w:tcPr>
                <w:p>
                  <w:pPr>
                    <w:widowControl/>
                    <w:jc w:val="center"/>
                  </w:pPr>
                  <w:r>
                    <w:t>/</w:t>
                  </w:r>
                </w:p>
              </w:tc>
              <w:tc>
                <w:tcPr>
                  <w:tcW w:w="364" w:type="pct"/>
                  <w:vAlign w:val="center"/>
                </w:tcPr>
                <w:p>
                  <w:pPr>
                    <w:widowControl/>
                    <w:jc w:val="center"/>
                    <w:rPr>
                      <w:color w:val="000000"/>
                    </w:rPr>
                  </w:pPr>
                  <w:r>
                    <w:rPr>
                      <w:color w:val="000000"/>
                    </w:rPr>
                    <w:t>重点管控单元</w:t>
                  </w:r>
                </w:p>
              </w:tc>
              <w:tc>
                <w:tcPr>
                  <w:tcW w:w="291" w:type="pct"/>
                  <w:vMerge/>
                  <w:tcMar>
                    <w:left w:w="0" w:type="dxa"/>
                    <w:right w:w="0" w:type="dxa"/>
                  </w:tcMar>
                  <w:vAlign w:val="center"/>
                </w:tcPr>
                <w:p>
                  <w:pPr>
                    <w:widowControl/>
                    <w:jc w:val="center"/>
                    <w:rPr>
                      <w:color w:val="000000"/>
                      <w:szCs w:val="21"/>
                    </w:rPr>
                  </w:pPr>
                </w:p>
              </w:tc>
              <w:tc>
                <w:tcPr>
                  <w:tcW w:w="1426" w:type="pct"/>
                  <w:tcMar>
                    <w:left w:w="0" w:type="dxa"/>
                    <w:right w:w="0" w:type="dxa"/>
                  </w:tcMar>
                  <w:vAlign w:val="center"/>
                </w:tcPr>
                <w:p>
                  <w:pPr>
                    <w:spacing w:after="0"/>
                    <w:jc w:val="center"/>
                  </w:pPr>
                </w:p>
              </w:tc>
              <w:tc>
                <w:tcPr>
                  <w:tcW w:w="977" w:type="pct"/>
                  <w:tcMar>
                    <w:left w:w="0" w:type="dxa"/>
                    <w:right w:w="0" w:type="dxa"/>
                  </w:tcMar>
                  <w:vAlign w:val="center"/>
                </w:tcPr>
                <w:p>
                  <w:pPr>
                    <w:jc w:val="center"/>
                    <w:rPr>
                      <w:color w:val="000000"/>
                      <w:szCs w:val="21"/>
                    </w:rPr>
                  </w:pPr>
                  <w:r>
                    <w:rPr>
                      <w:color w:val="000000"/>
                      <w:szCs w:val="21"/>
                    </w:rPr>
                    <w:t>本项目是煤气化渣循环再利用中试项目，不属于造纸、化工、印染、果汁和淀粉加工等高耗水、高污染项目。</w:t>
                  </w: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bl>
          <w:p/>
        </w:tc>
      </w:tr>
    </w:tbl>
    <w:p>
      <w:pPr>
        <w:sectPr>
          <w:footerReference w:type="default" r:id="rId9"/>
          <w:type w:val="nextPage"/>
          <w:pgSz w:w="11906" w:h="16838"/>
          <w:pgMar w:top="1701" w:right="1531" w:bottom="1701" w:left="1531" w:header="851" w:footer="851" w:gutter="0"/>
          <w:pgNumType w:fmt="numberInDash" w:start="4"/>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28"/>
              <w:gridCol w:w="529"/>
              <w:gridCol w:w="411"/>
              <w:gridCol w:w="336"/>
              <w:gridCol w:w="426"/>
              <w:gridCol w:w="456"/>
              <w:gridCol w:w="364"/>
              <w:gridCol w:w="1786"/>
              <w:gridCol w:w="1224"/>
              <w:gridCol w:w="402"/>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51"/>
              </w:trPr>
              <w:tc>
                <w:tcPr>
                  <w:tcW w:w="263" w:type="pct"/>
                  <w:tcMar>
                    <w:left w:w="0" w:type="dxa"/>
                    <w:right w:w="0" w:type="dxa"/>
                  </w:tcMar>
                  <w:vAlign w:val="center"/>
                </w:tcPr>
                <w:p/>
              </w:tc>
              <w:tc>
                <w:tcPr>
                  <w:tcW w:w="422" w:type="pct"/>
                  <w:tcMar>
                    <w:left w:w="0" w:type="dxa"/>
                    <w:right w:w="0" w:type="dxa"/>
                  </w:tcMar>
                  <w:vAlign w:val="center"/>
                </w:tcPr>
                <w:p/>
              </w:tc>
              <w:tc>
                <w:tcPr>
                  <w:tcW w:w="328" w:type="pct"/>
                  <w:tcMar>
                    <w:left w:w="0" w:type="dxa"/>
                    <w:right w:w="0" w:type="dxa"/>
                  </w:tcMar>
                  <w:vAlign w:val="center"/>
                </w:tcPr>
                <w:p/>
              </w:tc>
              <w:tc>
                <w:tcPr>
                  <w:tcW w:w="268" w:type="pct"/>
                  <w:tcMar>
                    <w:left w:w="0" w:type="dxa"/>
                    <w:right w:w="0" w:type="dxa"/>
                  </w:tcMar>
                  <w:vAlign w:val="center"/>
                </w:tcPr>
                <w:p/>
              </w:tc>
              <w:tc>
                <w:tcPr>
                  <w:tcW w:w="340" w:type="pct"/>
                  <w:vAlign w:val="center"/>
                </w:tcPr>
                <w:p/>
              </w:tc>
              <w:tc>
                <w:tcPr>
                  <w:tcW w:w="364" w:type="pct"/>
                  <w:vAlign w:val="center"/>
                </w:tcPr>
                <w:p/>
              </w:tc>
              <w:tc>
                <w:tcPr>
                  <w:tcW w:w="291" w:type="pct"/>
                  <w:vMerge w:val="restart"/>
                  <w:tcMar>
                    <w:left w:w="0" w:type="dxa"/>
                    <w:right w:w="0" w:type="dxa"/>
                  </w:tcMar>
                  <w:vAlign w:val="center"/>
                </w:tcPr>
                <w:p/>
              </w:tc>
              <w:tc>
                <w:tcPr>
                  <w:tcW w:w="1426" w:type="pct"/>
                  <w:tcMar>
                    <w:left w:w="0" w:type="dxa"/>
                    <w:right w:w="0" w:type="dxa"/>
                  </w:tcMar>
                  <w:vAlign w:val="center"/>
                </w:tcPr>
                <w:p>
                  <w:pPr>
                    <w:spacing w:before="0"/>
                    <w:jc w:val="center"/>
                  </w:pPr>
                  <w:r>
                    <w:t>“渭南片区”包括韩城、合阳、大荔、潼关四个县（市），在该片区禁止新建扩建不符合产业政策、不能执行清洁生产的项目；禁止新建扩建造纸、化工、印染、果汁和淀粉加工等高耗水、高污染项目。</w:t>
                  </w:r>
                </w:p>
              </w:tc>
              <w:tc>
                <w:tcPr>
                  <w:tcW w:w="977" w:type="pct"/>
                  <w:tcMar>
                    <w:left w:w="0" w:type="dxa"/>
                    <w:right w:w="0" w:type="dxa"/>
                  </w:tcMar>
                  <w:vAlign w:val="center"/>
                </w:tcPr>
                <w:p/>
              </w:tc>
              <w:tc>
                <w:tcPr>
                  <w:tcW w:w="321" w:type="pct"/>
                  <w:tcMar>
                    <w:left w:w="0" w:type="dxa"/>
                    <w:right w:w="0" w:type="dxa"/>
                  </w:tcMar>
                  <w:vAlign w:val="center"/>
                </w:tcPr>
                <w:p/>
              </w:tc>
            </w:tr>
            <w:tr>
              <w:tblPrEx>
                <w:tblW w:w="5000" w:type="pct"/>
                <w:tblInd w:w="0" w:type="dxa"/>
                <w:tblLayout w:type="fixed"/>
                <w:tblCellMar>
                  <w:top w:w="0" w:type="dxa"/>
                  <w:left w:w="108" w:type="dxa"/>
                  <w:bottom w:w="0" w:type="dxa"/>
                  <w:right w:w="108" w:type="dxa"/>
                </w:tblCellMar>
              </w:tblPrEx>
              <w:trPr>
                <w:trHeight w:val="951"/>
              </w:trPr>
              <w:tc>
                <w:tcPr>
                  <w:tcW w:w="263" w:type="pct"/>
                  <w:tcMar>
                    <w:left w:w="0" w:type="dxa"/>
                    <w:right w:w="0" w:type="dxa"/>
                  </w:tcMar>
                  <w:vAlign w:val="center"/>
                </w:tcPr>
                <w:p>
                  <w:pPr>
                    <w:jc w:val="center"/>
                    <w:rPr>
                      <w:color w:val="000000"/>
                      <w:szCs w:val="21"/>
                    </w:rPr>
                  </w:pPr>
                  <w:r>
                    <w:t>5</w:t>
                  </w:r>
                </w:p>
              </w:tc>
              <w:tc>
                <w:tcPr>
                  <w:tcW w:w="422" w:type="pct"/>
                  <w:tcMar>
                    <w:left w:w="0" w:type="dxa"/>
                    <w:right w:w="0" w:type="dxa"/>
                  </w:tcMar>
                  <w:vAlign w:val="center"/>
                </w:tcPr>
                <w:p>
                  <w:pPr>
                    <w:jc w:val="center"/>
                    <w:rPr>
                      <w:color w:val="000000"/>
                      <w:szCs w:val="21"/>
                    </w:rPr>
                  </w:pPr>
                  <w:r>
                    <w:t>渭南市</w:t>
                  </w:r>
                </w:p>
              </w:tc>
              <w:tc>
                <w:tcPr>
                  <w:tcW w:w="328" w:type="pct"/>
                  <w:tcMar>
                    <w:left w:w="0" w:type="dxa"/>
                    <w:right w:w="0" w:type="dxa"/>
                  </w:tcMar>
                  <w:vAlign w:val="center"/>
                </w:tcPr>
                <w:p>
                  <w:pPr>
                    <w:jc w:val="center"/>
                  </w:pPr>
                  <w:r>
                    <w:t>大</w:t>
                  </w:r>
                </w:p>
                <w:p>
                  <w:pPr>
                    <w:jc w:val="center"/>
                  </w:pPr>
                  <w:r>
                    <w:t>荔</w:t>
                  </w:r>
                </w:p>
                <w:p>
                  <w:pPr>
                    <w:jc w:val="center"/>
                    <w:rPr>
                      <w:color w:val="000000"/>
                      <w:szCs w:val="21"/>
                    </w:rPr>
                  </w:pPr>
                  <w:r>
                    <w:t>县</w:t>
                  </w:r>
                </w:p>
              </w:tc>
              <w:tc>
                <w:tcPr>
                  <w:tcW w:w="268" w:type="pct"/>
                  <w:tcMar>
                    <w:left w:w="0" w:type="dxa"/>
                    <w:right w:w="0" w:type="dxa"/>
                  </w:tcMar>
                  <w:vAlign w:val="center"/>
                </w:tcPr>
                <w:p>
                  <w:pPr>
                    <w:jc w:val="center"/>
                    <w:rPr>
                      <w:color w:val="000000"/>
                      <w:szCs w:val="21"/>
                    </w:rPr>
                  </w:pPr>
                  <w:r>
                    <w:rPr>
                      <w:color w:val="000000"/>
                    </w:rPr>
                    <w:t>重点管控单元</w:t>
                  </w:r>
                </w:p>
              </w:tc>
              <w:tc>
                <w:tcPr>
                  <w:tcW w:w="340" w:type="pct"/>
                  <w:vAlign w:val="center"/>
                </w:tcPr>
                <w:p>
                  <w:pPr>
                    <w:widowControl/>
                    <w:jc w:val="center"/>
                  </w:pPr>
                  <w:r>
                    <w:t>/</w:t>
                  </w:r>
                </w:p>
              </w:tc>
              <w:tc>
                <w:tcPr>
                  <w:tcW w:w="364" w:type="pct"/>
                  <w:vAlign w:val="center"/>
                </w:tcPr>
                <w:p>
                  <w:pPr>
                    <w:widowControl/>
                    <w:jc w:val="center"/>
                  </w:pPr>
                  <w:r>
                    <w:rPr>
                      <w:color w:val="000000"/>
                    </w:rPr>
                    <w:t>重点管控单元</w:t>
                  </w:r>
                </w:p>
              </w:tc>
              <w:tc>
                <w:tcPr>
                  <w:tcW w:w="291" w:type="pct"/>
                  <w:vMerge w:val="restart"/>
                  <w:tcMar>
                    <w:left w:w="0" w:type="dxa"/>
                    <w:right w:w="0" w:type="dxa"/>
                  </w:tcMar>
                  <w:vAlign w:val="center"/>
                </w:tcPr>
                <w:p>
                  <w:pPr>
                    <w:widowControl/>
                    <w:jc w:val="center"/>
                    <w:rPr>
                      <w:color w:val="000000"/>
                      <w:kern w:val="0"/>
                      <w:szCs w:val="21"/>
                      <w:lang w:bidi="ar"/>
                    </w:rPr>
                  </w:pPr>
                  <w:r>
                    <w:t>环境风险防控</w:t>
                  </w:r>
                </w:p>
              </w:tc>
              <w:tc>
                <w:tcPr>
                  <w:tcW w:w="1426" w:type="pct"/>
                  <w:tcMar>
                    <w:left w:w="0" w:type="dxa"/>
                    <w:right w:w="0" w:type="dxa"/>
                  </w:tcMar>
                  <w:vAlign w:val="center"/>
                </w:tcPr>
                <w:p>
                  <w:pPr>
                    <w:jc w:val="center"/>
                    <w:rPr>
                      <w:color w:val="000000"/>
                      <w:szCs w:val="21"/>
                    </w:rPr>
                  </w:pPr>
                  <w:r>
                    <w:rPr>
                      <w:color w:val="000000"/>
                      <w:szCs w:val="21"/>
                    </w:rPr>
                    <w:t>重点加强饮用水源地、化工企业、工业园区……等领域的环境风险防控。</w:t>
                  </w:r>
                </w:p>
              </w:tc>
              <w:tc>
                <w:tcPr>
                  <w:tcW w:w="977" w:type="pct"/>
                  <w:vMerge w:val="restart"/>
                  <w:tcMar>
                    <w:left w:w="0" w:type="dxa"/>
                    <w:right w:w="0" w:type="dxa"/>
                  </w:tcMar>
                  <w:vAlign w:val="center"/>
                </w:tcPr>
                <w:p>
                  <w:pPr>
                    <w:jc w:val="center"/>
                    <w:rPr>
                      <w:color w:val="000000"/>
                      <w:szCs w:val="21"/>
                    </w:rPr>
                  </w:pPr>
                  <w:r>
                    <w:rPr>
                      <w:color w:val="000000"/>
                      <w:szCs w:val="21"/>
                    </w:rPr>
                    <w:t>本项目废气通过酸雾吸收塔处理后经15m高排气筒排放；生产废水进入废水复用罐循环使用；软化设备产生的浓水和蒸汽发生器排污水进入废水罐中；废水复用罐中不回用的水进入废水罐中，排入市政管网。生活污水依托园区化粪池处理后排入市政管网；固废均得到合理处置。本项目生产装置布局合理。</w:t>
                  </w: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r>
              <w:tblPrEx>
                <w:tblW w:w="5000" w:type="pct"/>
                <w:tblInd w:w="0" w:type="dxa"/>
                <w:tblLayout w:type="fixed"/>
                <w:tblCellMar>
                  <w:top w:w="0" w:type="dxa"/>
                  <w:left w:w="108" w:type="dxa"/>
                  <w:bottom w:w="0" w:type="dxa"/>
                  <w:right w:w="108" w:type="dxa"/>
                </w:tblCellMar>
              </w:tblPrEx>
              <w:trPr>
                <w:trHeight w:val="951"/>
              </w:trPr>
              <w:tc>
                <w:tcPr>
                  <w:tcW w:w="263" w:type="pct"/>
                  <w:tcMar>
                    <w:left w:w="0" w:type="dxa"/>
                    <w:right w:w="0" w:type="dxa"/>
                  </w:tcMar>
                  <w:vAlign w:val="center"/>
                </w:tcPr>
                <w:p>
                  <w:pPr>
                    <w:jc w:val="center"/>
                  </w:pPr>
                  <w:r>
                    <w:t>6</w:t>
                  </w:r>
                </w:p>
              </w:tc>
              <w:tc>
                <w:tcPr>
                  <w:tcW w:w="422" w:type="pct"/>
                  <w:tcMar>
                    <w:left w:w="0" w:type="dxa"/>
                    <w:right w:w="0" w:type="dxa"/>
                  </w:tcMar>
                  <w:vAlign w:val="center"/>
                </w:tcPr>
                <w:p>
                  <w:pPr>
                    <w:jc w:val="center"/>
                  </w:pPr>
                  <w:r>
                    <w:t>渭南市</w:t>
                  </w:r>
                </w:p>
              </w:tc>
              <w:tc>
                <w:tcPr>
                  <w:tcW w:w="328" w:type="pct"/>
                  <w:tcMar>
                    <w:left w:w="0" w:type="dxa"/>
                    <w:right w:w="0" w:type="dxa"/>
                  </w:tcMar>
                  <w:vAlign w:val="center"/>
                </w:tcPr>
                <w:p>
                  <w:pPr>
                    <w:jc w:val="center"/>
                  </w:pPr>
                  <w:r>
                    <w:t>大</w:t>
                  </w:r>
                </w:p>
                <w:p>
                  <w:pPr>
                    <w:jc w:val="center"/>
                  </w:pPr>
                  <w:r>
                    <w:t>荔</w:t>
                  </w:r>
                </w:p>
                <w:p>
                  <w:pPr>
                    <w:jc w:val="center"/>
                  </w:pPr>
                  <w:r>
                    <w:t>县</w:t>
                  </w:r>
                </w:p>
              </w:tc>
              <w:tc>
                <w:tcPr>
                  <w:tcW w:w="268" w:type="pct"/>
                  <w:tcMar>
                    <w:left w:w="0" w:type="dxa"/>
                    <w:right w:w="0" w:type="dxa"/>
                  </w:tcMar>
                  <w:vAlign w:val="center"/>
                </w:tcPr>
                <w:p>
                  <w:pPr>
                    <w:jc w:val="center"/>
                    <w:rPr>
                      <w:color w:val="000000"/>
                    </w:rPr>
                  </w:pPr>
                  <w:r>
                    <w:rPr>
                      <w:color w:val="000000"/>
                    </w:rPr>
                    <w:t>重点管控单元</w:t>
                  </w:r>
                </w:p>
              </w:tc>
              <w:tc>
                <w:tcPr>
                  <w:tcW w:w="340" w:type="pct"/>
                  <w:vAlign w:val="center"/>
                </w:tcPr>
                <w:p>
                  <w:pPr>
                    <w:widowControl/>
                    <w:jc w:val="center"/>
                  </w:pPr>
                  <w:r>
                    <w:t>/</w:t>
                  </w:r>
                </w:p>
              </w:tc>
              <w:tc>
                <w:tcPr>
                  <w:tcW w:w="364" w:type="pct"/>
                  <w:vAlign w:val="center"/>
                </w:tcPr>
                <w:p>
                  <w:pPr>
                    <w:widowControl/>
                    <w:jc w:val="center"/>
                    <w:rPr>
                      <w:color w:val="000000"/>
                    </w:rPr>
                  </w:pPr>
                  <w:r>
                    <w:rPr>
                      <w:color w:val="000000"/>
                    </w:rPr>
                    <w:t>重点管控单元</w:t>
                  </w:r>
                </w:p>
              </w:tc>
              <w:tc>
                <w:tcPr>
                  <w:tcW w:w="291" w:type="pct"/>
                  <w:vMerge/>
                  <w:tcMar>
                    <w:left w:w="0" w:type="dxa"/>
                    <w:right w:w="0" w:type="dxa"/>
                  </w:tcMar>
                  <w:vAlign w:val="center"/>
                </w:tcPr>
                <w:p>
                  <w:pPr>
                    <w:widowControl/>
                    <w:jc w:val="center"/>
                  </w:pPr>
                </w:p>
              </w:tc>
              <w:tc>
                <w:tcPr>
                  <w:tcW w:w="1426" w:type="pct"/>
                  <w:tcMar>
                    <w:left w:w="0" w:type="dxa"/>
                    <w:right w:w="0" w:type="dxa"/>
                  </w:tcMar>
                  <w:vAlign w:val="center"/>
                </w:tcPr>
                <w:p>
                  <w:pPr>
                    <w:jc w:val="center"/>
                    <w:rPr>
                      <w:color w:val="000000"/>
                      <w:szCs w:val="21"/>
                    </w:rPr>
                  </w:pPr>
                  <w:r>
                    <w:rPr>
                      <w:color w:val="000000"/>
                      <w:szCs w:val="21"/>
                    </w:rPr>
                    <w:t>渭河干流沿岸要严格控制石油加工、化学原料和化学制品制造、医药制造、化学纤维制造、有色金属冶炼、纺织印染等项目，合理布局生产装置及危险化学品仓储等设施。</w:t>
                  </w:r>
                </w:p>
              </w:tc>
              <w:tc>
                <w:tcPr>
                  <w:tcW w:w="977" w:type="pct"/>
                  <w:vMerge/>
                  <w:tcMar>
                    <w:left w:w="0" w:type="dxa"/>
                    <w:right w:w="0" w:type="dxa"/>
                  </w:tcMar>
                  <w:vAlign w:val="center"/>
                </w:tcPr>
                <w:p>
                  <w:pPr>
                    <w:jc w:val="center"/>
                    <w:rPr>
                      <w:color w:val="000000"/>
                      <w:szCs w:val="21"/>
                    </w:rPr>
                  </w:pP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r>
              <w:tblPrEx>
                <w:tblW w:w="5000" w:type="pct"/>
                <w:tblInd w:w="0" w:type="dxa"/>
                <w:tblLayout w:type="fixed"/>
                <w:tblCellMar>
                  <w:top w:w="0" w:type="dxa"/>
                  <w:left w:w="108" w:type="dxa"/>
                  <w:bottom w:w="0" w:type="dxa"/>
                  <w:right w:w="108" w:type="dxa"/>
                </w:tblCellMar>
              </w:tblPrEx>
              <w:trPr>
                <w:trHeight w:val="951"/>
              </w:trPr>
              <w:tc>
                <w:tcPr>
                  <w:tcW w:w="263" w:type="pct"/>
                  <w:tcMar>
                    <w:left w:w="0" w:type="dxa"/>
                    <w:right w:w="0" w:type="dxa"/>
                  </w:tcMar>
                  <w:vAlign w:val="center"/>
                </w:tcPr>
                <w:p>
                  <w:pPr>
                    <w:jc w:val="center"/>
                  </w:pPr>
                  <w:r>
                    <w:t>7</w:t>
                  </w:r>
                </w:p>
              </w:tc>
              <w:tc>
                <w:tcPr>
                  <w:tcW w:w="422" w:type="pct"/>
                  <w:tcMar>
                    <w:left w:w="0" w:type="dxa"/>
                    <w:right w:w="0" w:type="dxa"/>
                  </w:tcMar>
                  <w:vAlign w:val="center"/>
                </w:tcPr>
                <w:p>
                  <w:pPr>
                    <w:jc w:val="center"/>
                  </w:pPr>
                  <w:r>
                    <w:t>渭南市</w:t>
                  </w:r>
                </w:p>
              </w:tc>
              <w:tc>
                <w:tcPr>
                  <w:tcW w:w="328" w:type="pct"/>
                  <w:tcMar>
                    <w:left w:w="0" w:type="dxa"/>
                    <w:right w:w="0" w:type="dxa"/>
                  </w:tcMar>
                  <w:vAlign w:val="center"/>
                </w:tcPr>
                <w:p>
                  <w:pPr>
                    <w:jc w:val="center"/>
                  </w:pPr>
                  <w:r>
                    <w:t>大</w:t>
                  </w:r>
                </w:p>
                <w:p>
                  <w:pPr>
                    <w:jc w:val="center"/>
                  </w:pPr>
                  <w:r>
                    <w:t>荔</w:t>
                  </w:r>
                </w:p>
                <w:p>
                  <w:pPr>
                    <w:jc w:val="center"/>
                  </w:pPr>
                  <w:r>
                    <w:t>县</w:t>
                  </w:r>
                </w:p>
              </w:tc>
              <w:tc>
                <w:tcPr>
                  <w:tcW w:w="268" w:type="pct"/>
                  <w:tcMar>
                    <w:left w:w="0" w:type="dxa"/>
                    <w:right w:w="0" w:type="dxa"/>
                  </w:tcMar>
                  <w:vAlign w:val="center"/>
                </w:tcPr>
                <w:p>
                  <w:pPr>
                    <w:jc w:val="center"/>
                    <w:rPr>
                      <w:color w:val="000000"/>
                    </w:rPr>
                  </w:pPr>
                  <w:r>
                    <w:rPr>
                      <w:color w:val="000000"/>
                    </w:rPr>
                    <w:t>重点管控单元</w:t>
                  </w:r>
                </w:p>
              </w:tc>
              <w:tc>
                <w:tcPr>
                  <w:tcW w:w="340" w:type="pct"/>
                  <w:vAlign w:val="center"/>
                </w:tcPr>
                <w:p>
                  <w:pPr>
                    <w:widowControl/>
                    <w:jc w:val="center"/>
                  </w:pPr>
                  <w:r>
                    <w:t>/</w:t>
                  </w:r>
                </w:p>
              </w:tc>
              <w:tc>
                <w:tcPr>
                  <w:tcW w:w="364" w:type="pct"/>
                  <w:vAlign w:val="center"/>
                </w:tcPr>
                <w:p>
                  <w:pPr>
                    <w:widowControl/>
                    <w:jc w:val="center"/>
                    <w:rPr>
                      <w:color w:val="000000"/>
                    </w:rPr>
                  </w:pPr>
                  <w:r>
                    <w:rPr>
                      <w:color w:val="000000"/>
                    </w:rPr>
                    <w:t>重点管控单元</w:t>
                  </w:r>
                </w:p>
              </w:tc>
              <w:tc>
                <w:tcPr>
                  <w:tcW w:w="291" w:type="pct"/>
                  <w:tcMar>
                    <w:left w:w="0" w:type="dxa"/>
                    <w:right w:w="0" w:type="dxa"/>
                  </w:tcMar>
                  <w:vAlign w:val="center"/>
                </w:tcPr>
                <w:p>
                  <w:pPr>
                    <w:widowControl/>
                    <w:jc w:val="center"/>
                  </w:pPr>
                  <w:r>
                    <w:t>资源开发效率要求</w:t>
                  </w:r>
                </w:p>
              </w:tc>
              <w:tc>
                <w:tcPr>
                  <w:tcW w:w="1426" w:type="pct"/>
                  <w:tcMar>
                    <w:left w:w="0" w:type="dxa"/>
                    <w:right w:w="0" w:type="dxa"/>
                  </w:tcMar>
                  <w:vAlign w:val="center"/>
                </w:tcPr>
                <w:p>
                  <w:pPr>
                    <w:jc w:val="center"/>
                    <w:rPr>
                      <w:color w:val="000000"/>
                      <w:szCs w:val="21"/>
                    </w:rPr>
                  </w:pPr>
                  <w:r>
                    <w:rPr>
                      <w:color w:val="000000"/>
                      <w:szCs w:val="21"/>
                    </w:rPr>
                    <w:t>严格限制高耗水行业发展，提高水资源利用水平；严禁挤占生态用水。</w:t>
                  </w:r>
                </w:p>
              </w:tc>
              <w:tc>
                <w:tcPr>
                  <w:tcW w:w="977" w:type="pct"/>
                  <w:tcMar>
                    <w:left w:w="0" w:type="dxa"/>
                    <w:right w:w="0" w:type="dxa"/>
                  </w:tcMar>
                  <w:vAlign w:val="center"/>
                </w:tcPr>
                <w:p>
                  <w:pPr>
                    <w:jc w:val="center"/>
                    <w:rPr>
                      <w:color w:val="000000"/>
                      <w:szCs w:val="21"/>
                    </w:rPr>
                  </w:pPr>
                  <w:r>
                    <w:rPr>
                      <w:color w:val="000000"/>
                      <w:szCs w:val="21"/>
                    </w:rPr>
                    <w:t>本项目不属于高耗水行业。</w:t>
                  </w:r>
                </w:p>
              </w:tc>
              <w:tc>
                <w:tcPr>
                  <w:tcW w:w="321" w:type="pct"/>
                  <w:tcMar>
                    <w:left w:w="0" w:type="dxa"/>
                    <w:right w:w="0" w:type="dxa"/>
                  </w:tcMar>
                  <w:vAlign w:val="center"/>
                </w:tcPr>
                <w:p>
                  <w:pPr>
                    <w:jc w:val="center"/>
                    <w:rPr>
                      <w:color w:val="000000"/>
                      <w:szCs w:val="21"/>
                    </w:rPr>
                  </w:pPr>
                  <w:r>
                    <w:rPr>
                      <w:color w:val="000000"/>
                      <w:szCs w:val="21"/>
                    </w:rPr>
                    <w:t>面积2214m</w:t>
                  </w:r>
                  <w:r>
                    <w:rPr>
                      <w:color w:val="000000"/>
                      <w:szCs w:val="21"/>
                      <w:vertAlign w:val="superscript"/>
                    </w:rPr>
                    <w:t>2</w:t>
                  </w:r>
                </w:p>
              </w:tc>
            </w:tr>
          </w:tbl>
          <w:p>
            <w:pPr>
              <w:spacing w:before="120" w:beforeLines="50" w:after="0" w:line="360" w:lineRule="auto"/>
              <w:ind w:firstLine="482"/>
              <w:rPr>
                <w:sz w:val="24"/>
              </w:rPr>
            </w:pPr>
          </w:p>
        </w:tc>
      </w:tr>
    </w:tbl>
    <w:p>
      <w:pPr>
        <w:sectPr>
          <w:footerReference w:type="default" r:id="rId10"/>
          <w:type w:val="nextPage"/>
          <w:pgSz w:w="11906" w:h="16838"/>
          <w:pgMar w:top="1701" w:right="1531" w:bottom="1701" w:left="1531" w:header="851" w:footer="851" w:gutter="0"/>
          <w:pgNumType w:fmt="numberInDash" w:start="5"/>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p>
            <w:pPr>
              <w:spacing w:before="0" w:line="360" w:lineRule="auto"/>
              <w:ind w:firstLine="482"/>
              <w:rPr>
                <w:sz w:val="24"/>
              </w:rPr>
            </w:pPr>
            <w:r>
              <w:rPr>
                <w:sz w:val="24"/>
              </w:rPr>
              <w:t>本项目位于陕西省渭南市大荔县经济开发区晨光大道中段，不涉及自然保护区、饮用水源保护区等生态红线；不涉及新开采资源，满足《关于以改善环境质量为核心加强环境影响评价管理的通知》（环环评〔2016〕150号）中对资源上线的相关要求；根据项目区环境质量现状调查和本项目污染排放核算，本项目建成后各污染物可达标排放，对区域环境质量贡献率低；本项目不涉及《陕西省国家重点生态功能区产业准入负面清单（试行）》，符合“三线一单”相关管控要求。</w:t>
            </w:r>
          </w:p>
          <w:p>
            <w:pPr>
              <w:spacing w:line="360" w:lineRule="auto"/>
              <w:ind w:firstLine="482"/>
              <w:rPr>
                <w:b/>
                <w:kern w:val="0"/>
                <w:sz w:val="24"/>
              </w:rPr>
            </w:pPr>
            <w:r>
              <w:rPr>
                <w:b/>
                <w:kern w:val="0"/>
                <w:sz w:val="24"/>
              </w:rPr>
              <w:t>三、与相关政策符合性分析</w:t>
            </w:r>
          </w:p>
          <w:p>
            <w:pPr>
              <w:adjustRightInd w:val="0"/>
              <w:snapToGrid w:val="0"/>
              <w:spacing w:line="360" w:lineRule="auto"/>
              <w:ind w:firstLine="480" w:firstLineChars="200"/>
              <w:rPr>
                <w:sz w:val="24"/>
              </w:rPr>
            </w:pPr>
            <w:r>
              <w:rPr>
                <w:sz w:val="24"/>
              </w:rPr>
              <w:t>本项目与相关政策符合性分析情况见表1-3。</w:t>
            </w:r>
          </w:p>
          <w:p>
            <w:pPr>
              <w:adjustRightInd w:val="0"/>
              <w:snapToGrid w:val="0"/>
              <w:spacing w:line="360" w:lineRule="auto"/>
              <w:ind w:firstLine="480" w:firstLineChars="200"/>
              <w:jc w:val="center"/>
              <w:rPr>
                <w:b/>
                <w:bCs/>
                <w:kern w:val="0"/>
                <w:sz w:val="24"/>
              </w:rPr>
            </w:pPr>
            <w:r>
              <w:rPr>
                <w:b/>
                <w:bCs/>
                <w:kern w:val="0"/>
                <w:sz w:val="24"/>
              </w:rPr>
              <w:t>表1-3    项目与相关政策符合性分析</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0"/>
              <w:gridCol w:w="2829"/>
              <w:gridCol w:w="1712"/>
              <w:gridCol w:w="52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958" w:type="pct"/>
                  <w:tcBorders>
                    <w:tl2br w:val="nil"/>
                    <w:tr2bl w:val="nil"/>
                  </w:tcBorders>
                  <w:vAlign w:val="center"/>
                </w:tcPr>
                <w:p>
                  <w:pPr>
                    <w:adjustRightInd w:val="0"/>
                    <w:jc w:val="center"/>
                    <w:rPr>
                      <w:bCs/>
                      <w:kern w:val="0"/>
                      <w:szCs w:val="21"/>
                    </w:rPr>
                  </w:pPr>
                  <w:r>
                    <w:rPr>
                      <w:bCs/>
                      <w:kern w:val="0"/>
                      <w:szCs w:val="21"/>
                    </w:rPr>
                    <w:t>名称</w:t>
                  </w:r>
                </w:p>
              </w:tc>
              <w:tc>
                <w:tcPr>
                  <w:tcW w:w="2259" w:type="pct"/>
                  <w:tcBorders>
                    <w:tl2br w:val="nil"/>
                    <w:tr2bl w:val="nil"/>
                  </w:tcBorders>
                  <w:vAlign w:val="center"/>
                </w:tcPr>
                <w:p>
                  <w:pPr>
                    <w:adjustRightInd w:val="0"/>
                    <w:jc w:val="center"/>
                    <w:rPr>
                      <w:bCs/>
                      <w:kern w:val="0"/>
                      <w:szCs w:val="21"/>
                    </w:rPr>
                  </w:pPr>
                  <w:r>
                    <w:rPr>
                      <w:bCs/>
                      <w:kern w:val="0"/>
                      <w:szCs w:val="21"/>
                    </w:rPr>
                    <w:t>内容</w:t>
                  </w:r>
                </w:p>
              </w:tc>
              <w:tc>
                <w:tcPr>
                  <w:tcW w:w="1367" w:type="pct"/>
                  <w:tcBorders>
                    <w:tl2br w:val="nil"/>
                    <w:tr2bl w:val="nil"/>
                  </w:tcBorders>
                  <w:vAlign w:val="center"/>
                </w:tcPr>
                <w:p>
                  <w:pPr>
                    <w:adjustRightInd w:val="0"/>
                    <w:jc w:val="center"/>
                    <w:rPr>
                      <w:bCs/>
                      <w:kern w:val="0"/>
                      <w:szCs w:val="21"/>
                    </w:rPr>
                  </w:pPr>
                  <w:r>
                    <w:rPr>
                      <w:bCs/>
                      <w:kern w:val="0"/>
                      <w:szCs w:val="21"/>
                    </w:rPr>
                    <w:t>项目情况</w:t>
                  </w:r>
                </w:p>
              </w:tc>
              <w:tc>
                <w:tcPr>
                  <w:tcW w:w="416" w:type="pct"/>
                  <w:tcBorders>
                    <w:tl2br w:val="nil"/>
                    <w:tr2bl w:val="nil"/>
                  </w:tcBorders>
                  <w:vAlign w:val="center"/>
                </w:tcPr>
                <w:p>
                  <w:pPr>
                    <w:adjustRightInd w:val="0"/>
                    <w:jc w:val="center"/>
                    <w:rPr>
                      <w:bCs/>
                      <w:kern w:val="0"/>
                      <w:szCs w:val="21"/>
                    </w:rPr>
                  </w:pPr>
                  <w:r>
                    <w:rPr>
                      <w:bCs/>
                      <w:kern w:val="0"/>
                      <w:szCs w:val="21"/>
                    </w:rPr>
                    <w:t>符合性</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tcBorders>
                    <w:tl2br w:val="nil"/>
                    <w:tr2bl w:val="nil"/>
                  </w:tcBorders>
                  <w:vAlign w:val="center"/>
                </w:tcPr>
                <w:p>
                  <w:pPr>
                    <w:adjustRightInd w:val="0"/>
                    <w:jc w:val="center"/>
                    <w:rPr>
                      <w:bCs/>
                      <w:kern w:val="0"/>
                      <w:szCs w:val="21"/>
                    </w:rPr>
                  </w:pPr>
                  <w:r>
                    <w:rPr>
                      <w:bCs/>
                      <w:kern w:val="0"/>
                      <w:szCs w:val="21"/>
                    </w:rPr>
                    <w:t>《陕西省“十四五”生态环境保护规划》</w:t>
                  </w:r>
                </w:p>
              </w:tc>
              <w:tc>
                <w:tcPr>
                  <w:tcW w:w="2259" w:type="pct"/>
                  <w:tcBorders>
                    <w:tl2br w:val="nil"/>
                    <w:tr2bl w:val="nil"/>
                  </w:tcBorders>
                  <w:vAlign w:val="center"/>
                </w:tcPr>
                <w:p>
                  <w:pPr>
                    <w:adjustRightInd w:val="0"/>
                    <w:jc w:val="center"/>
                    <w:rPr>
                      <w:bCs/>
                      <w:kern w:val="0"/>
                      <w:szCs w:val="21"/>
                    </w:rPr>
                  </w:pPr>
                  <w:r>
                    <w:rPr>
                      <w:bCs/>
                      <w:kern w:val="0"/>
                      <w:szCs w:val="21"/>
                    </w:rPr>
                    <w:t>促进产业结构转型升级。严格耗能、环保、质量、安全、技术等综合标准，以钢铁、煤炭、水泥、电解铝、平板玻璃等行业和领域为重点，依法依规淘汰落后产能。</w:t>
                  </w:r>
                </w:p>
              </w:tc>
              <w:tc>
                <w:tcPr>
                  <w:tcW w:w="1367" w:type="pct"/>
                  <w:tcBorders>
                    <w:tl2br w:val="nil"/>
                    <w:tr2bl w:val="nil"/>
                  </w:tcBorders>
                  <w:vAlign w:val="center"/>
                </w:tcPr>
                <w:p>
                  <w:pPr>
                    <w:adjustRightInd w:val="0"/>
                    <w:jc w:val="center"/>
                    <w:rPr>
                      <w:bCs/>
                      <w:kern w:val="0"/>
                      <w:szCs w:val="21"/>
                    </w:rPr>
                  </w:pPr>
                  <w:r>
                    <w:rPr>
                      <w:bCs/>
                      <w:kern w:val="0"/>
                      <w:szCs w:val="21"/>
                    </w:rPr>
                    <w:t>本项目不属于钢铁、煤炭、水泥、电解铝、平板玻璃等重点行业。</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tcBorders>
                    <w:tl2br w:val="nil"/>
                    <w:tr2bl w:val="nil"/>
                  </w:tcBorders>
                  <w:vAlign w:val="center"/>
                </w:tcPr>
                <w:p>
                  <w:pPr>
                    <w:adjustRightInd w:val="0"/>
                    <w:jc w:val="center"/>
                    <w:rPr>
                      <w:bCs/>
                      <w:kern w:val="0"/>
                      <w:szCs w:val="21"/>
                    </w:rPr>
                  </w:pPr>
                  <w:r>
                    <w:rPr>
                      <w:bCs/>
                      <w:kern w:val="0"/>
                      <w:szCs w:val="21"/>
                    </w:rPr>
                    <w:t>陕西省蓝天保卫战2022年工作方案</w:t>
                  </w:r>
                </w:p>
              </w:tc>
              <w:tc>
                <w:tcPr>
                  <w:tcW w:w="2259" w:type="pct"/>
                  <w:tcBorders>
                    <w:tl2br w:val="nil"/>
                    <w:tr2bl w:val="nil"/>
                  </w:tcBorders>
                  <w:vAlign w:val="center"/>
                </w:tcPr>
                <w:p>
                  <w:pPr>
                    <w:autoSpaceDE w:val="0"/>
                    <w:autoSpaceDN w:val="0"/>
                    <w:adjustRightInd w:val="0"/>
                    <w:jc w:val="left"/>
                    <w:rPr>
                      <w:kern w:val="0"/>
                      <w:szCs w:val="21"/>
                    </w:rPr>
                  </w:pPr>
                  <w:r>
                    <w:rPr>
                      <w:rFonts w:eastAsia="TimesNewRomanPSMT"/>
                      <w:kern w:val="0"/>
                      <w:szCs w:val="21"/>
                    </w:rPr>
                    <w:t>（</w:t>
                  </w:r>
                  <w:r>
                    <w:rPr>
                      <w:rFonts w:eastAsia="微软雅黑"/>
                      <w:kern w:val="0"/>
                      <w:szCs w:val="21"/>
                    </w:rPr>
                    <w:t>二</w:t>
                  </w:r>
                  <w:r>
                    <w:rPr>
                      <w:rFonts w:eastAsia="Malgun Gothic"/>
                      <w:kern w:val="0"/>
                      <w:szCs w:val="21"/>
                    </w:rPr>
                    <w:t>）</w:t>
                  </w:r>
                  <w:r>
                    <w:rPr>
                      <w:kern w:val="0"/>
                      <w:szCs w:val="21"/>
                    </w:rPr>
                    <w:t>推进产业结构优化保障专项行动</w:t>
                  </w:r>
                </w:p>
                <w:p>
                  <w:pPr>
                    <w:autoSpaceDE w:val="0"/>
                    <w:autoSpaceDN w:val="0"/>
                    <w:adjustRightInd w:val="0"/>
                    <w:spacing w:after="0"/>
                    <w:rPr>
                      <w:kern w:val="0"/>
                      <w:szCs w:val="21"/>
                    </w:rPr>
                  </w:pPr>
                  <w:r>
                    <w:rPr>
                      <w:rFonts w:eastAsia="TimesNewRomanPSMT"/>
                      <w:kern w:val="0"/>
                      <w:szCs w:val="21"/>
                    </w:rPr>
                    <w:t>4.</w:t>
                  </w:r>
                  <w:r>
                    <w:rPr>
                      <w:kern w:val="0"/>
                      <w:szCs w:val="21"/>
                    </w:rPr>
                    <w:t>优化产业结构布局。严格执行《产业结构调整指导目录》。坚决遏制</w:t>
                  </w:r>
                  <w:r>
                    <w:rPr>
                      <w:rFonts w:eastAsia="TimesNewRomanPSMT"/>
                      <w:kern w:val="0"/>
                      <w:szCs w:val="21"/>
                    </w:rPr>
                    <w:t>“</w:t>
                  </w:r>
                  <w:r>
                    <w:rPr>
                      <w:kern w:val="0"/>
                      <w:szCs w:val="21"/>
                    </w:rPr>
                    <w:t>两高</w:t>
                  </w:r>
                  <w:r>
                    <w:rPr>
                      <w:rFonts w:eastAsia="TimesNewRomanPSMT"/>
                      <w:kern w:val="0"/>
                      <w:szCs w:val="21"/>
                    </w:rPr>
                    <w:t>”</w:t>
                  </w:r>
                  <w:r>
                    <w:rPr>
                      <w:kern w:val="0"/>
                      <w:szCs w:val="21"/>
                    </w:rPr>
                    <w:t>项目盲目发展，严格落实国家产业规划产业政策、</w:t>
                  </w:r>
                  <w:r>
                    <w:rPr>
                      <w:rFonts w:eastAsia="TimesNewRomanPSMT"/>
                      <w:kern w:val="0"/>
                      <w:szCs w:val="21"/>
                    </w:rPr>
                    <w:t>“</w:t>
                  </w:r>
                  <w:r>
                    <w:rPr>
                      <w:kern w:val="0"/>
                      <w:szCs w:val="21"/>
                    </w:rPr>
                    <w:t>三线一单</w:t>
                  </w:r>
                  <w:r>
                    <w:rPr>
                      <w:rFonts w:eastAsia="TimesNewRomanPSMT"/>
                      <w:kern w:val="0"/>
                      <w:szCs w:val="21"/>
                    </w:rPr>
                    <w:t>”</w:t>
                  </w:r>
                </w:p>
              </w:tc>
              <w:tc>
                <w:tcPr>
                  <w:tcW w:w="1367" w:type="pct"/>
                  <w:tcBorders>
                    <w:tl2br w:val="nil"/>
                    <w:tr2bl w:val="nil"/>
                  </w:tcBorders>
                  <w:vAlign w:val="center"/>
                </w:tcPr>
                <w:p>
                  <w:pPr>
                    <w:adjustRightInd w:val="0"/>
                    <w:spacing w:after="0"/>
                    <w:jc w:val="center"/>
                    <w:rPr>
                      <w:bCs/>
                      <w:kern w:val="0"/>
                      <w:szCs w:val="21"/>
                    </w:rPr>
                  </w:pPr>
                </w:p>
              </w:tc>
              <w:tc>
                <w:tcPr>
                  <w:tcW w:w="416" w:type="pct"/>
                  <w:tcBorders>
                    <w:tl2br w:val="nil"/>
                    <w:tr2bl w:val="nil"/>
                  </w:tcBorders>
                  <w:vAlign w:val="center"/>
                </w:tcPr>
                <w:p>
                  <w:pPr>
                    <w:adjustRightInd w:val="0"/>
                    <w:jc w:val="center"/>
                    <w:rPr>
                      <w:bCs/>
                      <w:kern w:val="0"/>
                      <w:szCs w:val="21"/>
                    </w:rPr>
                  </w:pPr>
                  <w:r>
                    <w:rPr>
                      <w:bCs/>
                      <w:kern w:val="0"/>
                      <w:szCs w:val="21"/>
                    </w:rPr>
                    <w:t>符合</w:t>
                  </w:r>
                </w:p>
              </w:tc>
            </w:tr>
          </w:tbl>
          <w:p/>
        </w:tc>
      </w:tr>
    </w:tbl>
    <w:p>
      <w:pPr>
        <w:sectPr>
          <w:footerReference w:type="default" r:id="rId11"/>
          <w:type w:val="nextPage"/>
          <w:pgSz w:w="11906" w:h="16838"/>
          <w:pgMar w:top="1701" w:right="1531" w:bottom="1701" w:left="1531" w:header="851" w:footer="851" w:gutter="0"/>
          <w:pgNumType w:fmt="numberInDash" w:start="6"/>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0"/>
              <w:gridCol w:w="2829"/>
              <w:gridCol w:w="1712"/>
              <w:gridCol w:w="52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958" w:type="pct"/>
                  <w:tcBorders>
                    <w:tl2br w:val="nil"/>
                    <w:tr2bl w:val="nil"/>
                  </w:tcBorders>
                  <w:vAlign w:val="center"/>
                </w:tcPr>
                <w:p/>
              </w:tc>
              <w:tc>
                <w:tcPr>
                  <w:tcW w:w="2259" w:type="pct"/>
                  <w:tcBorders>
                    <w:tl2br w:val="nil"/>
                    <w:tr2bl w:val="nil"/>
                  </w:tcBorders>
                  <w:vAlign w:val="center"/>
                </w:tcPr>
                <w:p>
                  <w:pPr>
                    <w:autoSpaceDE w:val="0"/>
                    <w:autoSpaceDN w:val="0"/>
                    <w:adjustRightInd w:val="0"/>
                    <w:spacing w:before="0"/>
                    <w:rPr>
                      <w:kern w:val="0"/>
                      <w:szCs w:val="21"/>
                    </w:rPr>
                  </w:pPr>
                  <w:r>
                    <w:rPr>
                      <w:kern w:val="0"/>
                      <w:szCs w:val="21"/>
                    </w:rPr>
                    <w:t>、规划环评，以及产能置换、煤炭消费减量替代、区域污染物削减等要求，对不符合规定的项目坚决停批停建。严格实施节能审查制度，加强节能审查事中事后监管。关中地区逐步淘汰步进式烧结机、球团坚炉等低效率、高能耗、高污染工艺和设备。重点区域严禁新增钢铁、焦化、水泥熟料、平板玻璃、电解铝、煤化工产能，合理控制煤制油气产能规模，严控新增炼油产能。重点区域严禁新增化工园区。</w:t>
                  </w:r>
                </w:p>
              </w:tc>
              <w:tc>
                <w:tcPr>
                  <w:tcW w:w="1367" w:type="pct"/>
                  <w:tcBorders>
                    <w:tl2br w:val="nil"/>
                    <w:tr2bl w:val="nil"/>
                  </w:tcBorders>
                  <w:vAlign w:val="center"/>
                </w:tcPr>
                <w:p>
                  <w:pPr>
                    <w:adjustRightInd w:val="0"/>
                    <w:spacing w:before="0"/>
                    <w:jc w:val="center"/>
                    <w:rPr>
                      <w:bCs/>
                      <w:kern w:val="0"/>
                      <w:szCs w:val="21"/>
                    </w:rPr>
                  </w:pPr>
                  <w:r>
                    <w:rPr>
                      <w:bCs/>
                      <w:kern w:val="0"/>
                      <w:szCs w:val="21"/>
                    </w:rPr>
                    <w:t>本项目不属于《产业结构调整指导目录（2019年本）》中的鼓励类、限制类及淘汰类，可视为允许类。本项目不属于“两高”项目，不属于钢铁、焦化、水泥熟料、平板玻璃、电解铝、煤化工，符合国家及地方相关产业政策，符合陕西省“三线一单”生态环境管控单元要求等。</w:t>
                  </w:r>
                </w:p>
              </w:tc>
              <w:tc>
                <w:tcPr>
                  <w:tcW w:w="416" w:type="pct"/>
                  <w:tcBorders>
                    <w:tl2br w:val="nil"/>
                    <w:tr2bl w:val="nil"/>
                  </w:tcBorders>
                  <w:vAlign w:val="center"/>
                </w:tcP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val="restart"/>
                  <w:tcBorders>
                    <w:tl2br w:val="nil"/>
                    <w:tr2bl w:val="nil"/>
                  </w:tcBorders>
                  <w:vAlign w:val="center"/>
                </w:tcPr>
                <w:p>
                  <w:pPr>
                    <w:adjustRightInd w:val="0"/>
                    <w:jc w:val="center"/>
                    <w:rPr>
                      <w:bCs/>
                      <w:kern w:val="0"/>
                      <w:szCs w:val="21"/>
                    </w:rPr>
                  </w:pPr>
                  <w:r>
                    <w:rPr>
                      <w:bCs/>
                      <w:kern w:val="0"/>
                      <w:szCs w:val="21"/>
                    </w:rPr>
                    <w:t>《陕西省大气污染治理专项行动方案（2023-2027年）》</w:t>
                  </w:r>
                </w:p>
              </w:tc>
              <w:tc>
                <w:tcPr>
                  <w:tcW w:w="2259" w:type="pct"/>
                  <w:tcBorders>
                    <w:tl2br w:val="nil"/>
                    <w:tr2bl w:val="nil"/>
                  </w:tcBorders>
                  <w:vAlign w:val="center"/>
                </w:tcPr>
                <w:p>
                  <w:pPr>
                    <w:adjustRightInd w:val="0"/>
                    <w:jc w:val="center"/>
                    <w:rPr>
                      <w:bCs/>
                      <w:kern w:val="0"/>
                      <w:szCs w:val="21"/>
                    </w:rPr>
                  </w:pPr>
                  <w:r>
                    <w:rPr>
                      <w:bCs/>
                      <w:kern w:val="0"/>
                      <w:szCs w:val="21"/>
                    </w:rPr>
                    <w:t>3.产业发展结构调整。关中地区严禁新增钢铁、焦化、水泥熟料、平板玻璃、电解铝、氧化铝、煤化工产能，合理控制煤制油气产能规模，严控新增炼油产能。关中地区市辖区及开发区范围内新、改、扩建涉气重点行业企业应达到环保绩效A级、绩效引领性水平，西安市、咸阳市、渭南市的其他区域应达到环保绩效B级及以上水平。</w:t>
                  </w:r>
                </w:p>
              </w:tc>
              <w:tc>
                <w:tcPr>
                  <w:tcW w:w="1367" w:type="pct"/>
                  <w:tcBorders>
                    <w:tl2br w:val="nil"/>
                    <w:tr2bl w:val="nil"/>
                  </w:tcBorders>
                  <w:vAlign w:val="center"/>
                </w:tcPr>
                <w:p>
                  <w:pPr>
                    <w:adjustRightInd w:val="0"/>
                    <w:jc w:val="center"/>
                    <w:rPr>
                      <w:bCs/>
                      <w:kern w:val="0"/>
                      <w:szCs w:val="21"/>
                    </w:rPr>
                  </w:pPr>
                  <w:r>
                    <w:rPr>
                      <w:bCs/>
                      <w:kern w:val="0"/>
                      <w:szCs w:val="21"/>
                    </w:rPr>
                    <w:t>本项目不属于钢铁、焦化、水泥熟料、平板玻璃、电解铝、氧化铝、煤化工等行业。本项目不属于涉气重点行业。项目厂房封闭，厂区及厂房内道路硬化，原料煤气化渣含水率40%-50%，球磨机选用湿式球磨机。</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tcBorders>
                    <w:tl2br w:val="nil"/>
                    <w:tr2bl w:val="nil"/>
                  </w:tcBorders>
                  <w:vAlign w:val="center"/>
                </w:tcPr>
                <w:p>
                  <w:pPr>
                    <w:adjustRightInd w:val="0"/>
                    <w:jc w:val="center"/>
                    <w:rPr>
                      <w:bCs/>
                      <w:kern w:val="0"/>
                      <w:szCs w:val="21"/>
                    </w:rPr>
                  </w:pPr>
                </w:p>
              </w:tc>
              <w:tc>
                <w:tcPr>
                  <w:tcW w:w="2259" w:type="pct"/>
                  <w:tcBorders>
                    <w:tl2br w:val="nil"/>
                    <w:tr2bl w:val="nil"/>
                  </w:tcBorders>
                  <w:vAlign w:val="center"/>
                </w:tcPr>
                <w:p>
                  <w:pPr>
                    <w:adjustRightInd w:val="0"/>
                    <w:jc w:val="center"/>
                    <w:rPr>
                      <w:bCs/>
                      <w:kern w:val="0"/>
                      <w:szCs w:val="21"/>
                    </w:rPr>
                  </w:pPr>
                  <w:r>
                    <w:rPr>
                      <w:bCs/>
                      <w:kern w:val="0"/>
                      <w:szCs w:val="21"/>
                    </w:rPr>
                    <w:t>10.工业企业深度治理行动。严把燃煤锅炉准入关口，各市（区）建成区禁止新建燃煤锅炉。推动燃气锅炉实施低氮燃烧深度改造，鼓励企业将氮氧化物浓度控制在30毫克/立方米。</w:t>
                  </w:r>
                </w:p>
              </w:tc>
              <w:tc>
                <w:tcPr>
                  <w:tcW w:w="1367" w:type="pct"/>
                  <w:tcBorders>
                    <w:tl2br w:val="nil"/>
                    <w:tr2bl w:val="nil"/>
                  </w:tcBorders>
                  <w:vAlign w:val="center"/>
                </w:tcPr>
                <w:p>
                  <w:pPr>
                    <w:adjustRightInd w:val="0"/>
                    <w:jc w:val="center"/>
                    <w:rPr>
                      <w:bCs/>
                      <w:kern w:val="0"/>
                      <w:szCs w:val="21"/>
                    </w:rPr>
                  </w:pPr>
                  <w:r>
                    <w:rPr>
                      <w:bCs/>
                      <w:kern w:val="0"/>
                      <w:szCs w:val="21"/>
                    </w:rPr>
                    <w:t>本项目蒸汽发生器使用天然气作为燃料，采用低氮燃烧技术，蒸汽发生器烟气通过15m高排气筒排放。</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tcBorders>
                    <w:tl2br w:val="nil"/>
                    <w:tr2bl w:val="nil"/>
                  </w:tcBorders>
                  <w:vAlign w:val="center"/>
                </w:tcPr>
                <w:p>
                  <w:pPr>
                    <w:adjustRightInd w:val="0"/>
                    <w:jc w:val="center"/>
                    <w:rPr>
                      <w:bCs/>
                      <w:kern w:val="0"/>
                      <w:szCs w:val="21"/>
                    </w:rPr>
                  </w:pPr>
                  <w:r>
                    <w:rPr>
                      <w:bCs/>
                      <w:kern w:val="0"/>
                      <w:szCs w:val="21"/>
                    </w:rPr>
                    <w:t>《陕西省生态环境厅关于进一步加强关中地区涉气重点行业项目环评管理的通知》（陕环环评函[2023]76号）</w:t>
                  </w:r>
                </w:p>
              </w:tc>
              <w:tc>
                <w:tcPr>
                  <w:tcW w:w="2259" w:type="pct"/>
                  <w:tcBorders>
                    <w:tl2br w:val="nil"/>
                    <w:tr2bl w:val="nil"/>
                  </w:tcBorders>
                  <w:vAlign w:val="center"/>
                </w:tcPr>
                <w:p>
                  <w:pPr>
                    <w:adjustRightInd w:val="0"/>
                    <w:jc w:val="center"/>
                    <w:rPr>
                      <w:bCs/>
                      <w:kern w:val="0"/>
                      <w:szCs w:val="21"/>
                    </w:rPr>
                  </w:pPr>
                  <w:r>
                    <w:rPr>
                      <w:bCs/>
                      <w:kern w:val="0"/>
                      <w:szCs w:val="21"/>
                    </w:rPr>
                    <w:t>一、关中地区涉气重点行业项目范围为生态环境部确定的39个重点行业的新改扩建项目，……西安市、咸阳市、渭南市的其他地区应达到环保绩效B级及以上要求。</w:t>
                  </w:r>
                </w:p>
              </w:tc>
              <w:tc>
                <w:tcPr>
                  <w:tcW w:w="1367" w:type="pct"/>
                  <w:tcBorders>
                    <w:tl2br w:val="nil"/>
                    <w:tr2bl w:val="nil"/>
                  </w:tcBorders>
                  <w:vAlign w:val="center"/>
                </w:tcPr>
                <w:p>
                  <w:pPr>
                    <w:adjustRightInd w:val="0"/>
                    <w:jc w:val="center"/>
                    <w:rPr>
                      <w:bCs/>
                      <w:kern w:val="0"/>
                      <w:szCs w:val="21"/>
                    </w:rPr>
                  </w:pPr>
                  <w:r>
                    <w:rPr>
                      <w:bCs/>
                      <w:kern w:val="0"/>
                      <w:szCs w:val="21"/>
                    </w:rPr>
                    <w:t>本项目是煤气化渣循环再利用项目，不属于生态环境部确定的39个重点行业清单。</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tcBorders>
                    <w:tl2br w:val="nil"/>
                    <w:tr2bl w:val="nil"/>
                  </w:tcBorders>
                  <w:vAlign w:val="center"/>
                </w:tcPr>
                <w:p>
                  <w:pPr>
                    <w:adjustRightInd w:val="0"/>
                    <w:spacing w:after="0"/>
                    <w:jc w:val="center"/>
                    <w:rPr>
                      <w:bCs/>
                      <w:kern w:val="0"/>
                      <w:szCs w:val="21"/>
                    </w:rPr>
                  </w:pPr>
                </w:p>
              </w:tc>
              <w:tc>
                <w:tcPr>
                  <w:tcW w:w="2259" w:type="pct"/>
                  <w:tcBorders>
                    <w:tl2br w:val="nil"/>
                    <w:tr2bl w:val="nil"/>
                  </w:tcBorders>
                  <w:vAlign w:val="center"/>
                </w:tcPr>
                <w:p>
                  <w:pPr>
                    <w:adjustRightInd w:val="0"/>
                    <w:spacing w:after="0"/>
                    <w:jc w:val="center"/>
                    <w:rPr>
                      <w:bCs/>
                      <w:kern w:val="0"/>
                      <w:szCs w:val="21"/>
                    </w:rPr>
                  </w:pPr>
                </w:p>
              </w:tc>
              <w:tc>
                <w:tcPr>
                  <w:tcW w:w="1367" w:type="pct"/>
                  <w:tcBorders>
                    <w:tl2br w:val="nil"/>
                    <w:tr2bl w:val="nil"/>
                  </w:tcBorders>
                  <w:vAlign w:val="center"/>
                </w:tcPr>
                <w:p>
                  <w:pPr>
                    <w:adjustRightInd w:val="0"/>
                    <w:spacing w:after="0"/>
                    <w:jc w:val="center"/>
                    <w:rPr>
                      <w:bCs/>
                      <w:kern w:val="0"/>
                      <w:szCs w:val="21"/>
                    </w:rPr>
                  </w:pPr>
                </w:p>
              </w:tc>
              <w:tc>
                <w:tcPr>
                  <w:tcW w:w="416" w:type="pct"/>
                  <w:tcBorders>
                    <w:tl2br w:val="nil"/>
                    <w:tr2bl w:val="nil"/>
                  </w:tcBorders>
                  <w:vAlign w:val="center"/>
                </w:tcPr>
                <w:p>
                  <w:pPr>
                    <w:adjustRightInd w:val="0"/>
                    <w:jc w:val="center"/>
                    <w:rPr>
                      <w:bCs/>
                      <w:kern w:val="0"/>
                      <w:szCs w:val="21"/>
                    </w:rPr>
                  </w:pPr>
                  <w:r>
                    <w:rPr>
                      <w:bCs/>
                      <w:kern w:val="0"/>
                      <w:szCs w:val="21"/>
                    </w:rPr>
                    <w:t>符合</w:t>
                  </w:r>
                </w:p>
              </w:tc>
            </w:tr>
          </w:tbl>
          <w:p/>
        </w:tc>
      </w:tr>
    </w:tbl>
    <w:p>
      <w:pPr>
        <w:sectPr>
          <w:footerReference w:type="default" r:id="rId12"/>
          <w:type w:val="nextPage"/>
          <w:pgSz w:w="11906" w:h="16838"/>
          <w:pgMar w:top="1701" w:right="1531" w:bottom="1701" w:left="1531" w:header="851" w:footer="851" w:gutter="0"/>
          <w:pgNumType w:fmt="numberInDash" w:start="7"/>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0"/>
              <w:gridCol w:w="2829"/>
              <w:gridCol w:w="1712"/>
              <w:gridCol w:w="521"/>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0"/>
                <w:jc w:val="center"/>
              </w:trPr>
              <w:tc>
                <w:tcPr>
                  <w:tcW w:w="958" w:type="pct"/>
                  <w:vMerge w:val="restart"/>
                  <w:tcBorders>
                    <w:tl2br w:val="nil"/>
                    <w:tr2bl w:val="nil"/>
                  </w:tcBorders>
                  <w:vAlign w:val="center"/>
                </w:tcPr>
                <w:p>
                  <w:pPr>
                    <w:adjustRightInd w:val="0"/>
                    <w:spacing w:before="0"/>
                    <w:jc w:val="center"/>
                    <w:rPr>
                      <w:bCs/>
                      <w:kern w:val="0"/>
                      <w:szCs w:val="21"/>
                    </w:rPr>
                  </w:pPr>
                  <w:r>
                    <w:rPr>
                      <w:bCs/>
                      <w:kern w:val="0"/>
                      <w:szCs w:val="21"/>
                    </w:rPr>
                    <w:t>《渭南市大气污染治理专项行动方案（2023-2027年）》</w:t>
                  </w:r>
                </w:p>
              </w:tc>
              <w:tc>
                <w:tcPr>
                  <w:tcW w:w="2259" w:type="pct"/>
                  <w:tcBorders>
                    <w:tl2br w:val="nil"/>
                    <w:tr2bl w:val="nil"/>
                  </w:tcBorders>
                  <w:vAlign w:val="center"/>
                </w:tcPr>
                <w:p>
                  <w:pPr>
                    <w:adjustRightInd w:val="0"/>
                    <w:spacing w:before="0"/>
                    <w:jc w:val="center"/>
                    <w:rPr>
                      <w:bCs/>
                      <w:kern w:val="0"/>
                      <w:szCs w:val="21"/>
                    </w:rPr>
                  </w:pPr>
                  <w:r>
                    <w:rPr>
                      <w:bCs/>
                      <w:kern w:val="0"/>
                      <w:szCs w:val="21"/>
                    </w:rPr>
                    <w:t>3.产业发展结构调整。严禁新增钢铁、焦化、水泥熟料、平板玻璃、电解铝、氧化铝、煤化工产能……</w:t>
                  </w:r>
                </w:p>
              </w:tc>
              <w:tc>
                <w:tcPr>
                  <w:tcW w:w="1367" w:type="pct"/>
                  <w:tcBorders>
                    <w:tl2br w:val="nil"/>
                    <w:tr2bl w:val="nil"/>
                  </w:tcBorders>
                  <w:vAlign w:val="center"/>
                </w:tcPr>
                <w:p>
                  <w:pPr>
                    <w:adjustRightInd w:val="0"/>
                    <w:spacing w:before="0"/>
                    <w:jc w:val="center"/>
                    <w:rPr>
                      <w:bCs/>
                      <w:kern w:val="0"/>
                      <w:szCs w:val="21"/>
                    </w:rPr>
                  </w:pPr>
                  <w:r>
                    <w:rPr>
                      <w:bCs/>
                      <w:kern w:val="0"/>
                      <w:szCs w:val="21"/>
                    </w:rPr>
                    <w:t>本项目不属于钢铁、焦化、水泥熟料、平板玻璃、电解铝、氧化铝、煤化工等行业。</w:t>
                  </w:r>
                </w:p>
              </w:tc>
              <w:tc>
                <w:tcPr>
                  <w:tcW w:w="416" w:type="pct"/>
                  <w:tcBorders>
                    <w:tl2br w:val="nil"/>
                    <w:tr2bl w:val="nil"/>
                  </w:tcBorders>
                  <w:vAlign w:val="center"/>
                </w:tcP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tcBorders>
                    <w:tl2br w:val="nil"/>
                    <w:tr2bl w:val="nil"/>
                  </w:tcBorders>
                  <w:vAlign w:val="center"/>
                </w:tcPr>
                <w:p>
                  <w:pPr>
                    <w:adjustRightInd w:val="0"/>
                    <w:jc w:val="center"/>
                    <w:rPr>
                      <w:bCs/>
                      <w:kern w:val="0"/>
                      <w:szCs w:val="21"/>
                    </w:rPr>
                  </w:pPr>
                </w:p>
              </w:tc>
              <w:tc>
                <w:tcPr>
                  <w:tcW w:w="2259" w:type="pct"/>
                  <w:tcBorders>
                    <w:tl2br w:val="nil"/>
                    <w:tr2bl w:val="nil"/>
                  </w:tcBorders>
                  <w:vAlign w:val="center"/>
                </w:tcPr>
                <w:p>
                  <w:pPr>
                    <w:adjustRightInd w:val="0"/>
                    <w:rPr>
                      <w:bCs/>
                      <w:kern w:val="0"/>
                      <w:szCs w:val="21"/>
                    </w:rPr>
                  </w:pPr>
                  <w:r>
                    <w:rPr>
                      <w:bCs/>
                      <w:kern w:val="0"/>
                      <w:szCs w:val="21"/>
                    </w:rPr>
                    <w:t>市辖区及开发区范围内新、改、扩建涉气重点行业企业应达到环保绩效A级、绩效引领性水平，其他区域应达到环保绩效B级及以上水平。</w:t>
                  </w:r>
                </w:p>
              </w:tc>
              <w:tc>
                <w:tcPr>
                  <w:tcW w:w="1367" w:type="pct"/>
                  <w:tcBorders>
                    <w:tl2br w:val="nil"/>
                    <w:tr2bl w:val="nil"/>
                  </w:tcBorders>
                  <w:vAlign w:val="center"/>
                </w:tcPr>
                <w:p>
                  <w:pPr>
                    <w:adjustRightInd w:val="0"/>
                    <w:jc w:val="center"/>
                    <w:rPr>
                      <w:bCs/>
                      <w:kern w:val="0"/>
                      <w:szCs w:val="21"/>
                    </w:rPr>
                  </w:pPr>
                  <w:r>
                    <w:rPr>
                      <w:bCs/>
                      <w:kern w:val="0"/>
                      <w:szCs w:val="21"/>
                    </w:rPr>
                    <w:t>本项目不属于涉气重点行业。</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tcBorders>
                    <w:tl2br w:val="nil"/>
                    <w:tr2bl w:val="nil"/>
                  </w:tcBorders>
                  <w:vAlign w:val="center"/>
                </w:tcPr>
                <w:p>
                  <w:pPr>
                    <w:adjustRightInd w:val="0"/>
                    <w:jc w:val="center"/>
                    <w:rPr>
                      <w:bCs/>
                      <w:kern w:val="0"/>
                      <w:szCs w:val="21"/>
                    </w:rPr>
                  </w:pPr>
                </w:p>
              </w:tc>
              <w:tc>
                <w:tcPr>
                  <w:tcW w:w="2259" w:type="pct"/>
                  <w:tcBorders>
                    <w:tl2br w:val="nil"/>
                    <w:tr2bl w:val="nil"/>
                  </w:tcBorders>
                  <w:vAlign w:val="center"/>
                </w:tcPr>
                <w:p>
                  <w:pPr>
                    <w:adjustRightInd w:val="0"/>
                    <w:rPr>
                      <w:bCs/>
                      <w:kern w:val="0"/>
                      <w:szCs w:val="21"/>
                    </w:rPr>
                  </w:pPr>
                  <w:r>
                    <w:rPr>
                      <w:bCs/>
                      <w:kern w:val="0"/>
                      <w:szCs w:val="21"/>
                    </w:rPr>
                    <w:t>10.工业企业深度治理行动。严把燃煤锅炉准入关口，全市平原地区禁止新建燃煤锅炉。2023年底前市辖区内燃气锅炉实施低氮燃烧深度改造，鼓励企业将氮氧化物浓度控制在30毫克/立方米以下。</w:t>
                  </w:r>
                </w:p>
              </w:tc>
              <w:tc>
                <w:tcPr>
                  <w:tcW w:w="1367" w:type="pct"/>
                  <w:tcBorders>
                    <w:tl2br w:val="nil"/>
                    <w:tr2bl w:val="nil"/>
                  </w:tcBorders>
                  <w:vAlign w:val="center"/>
                </w:tcPr>
                <w:p>
                  <w:pPr>
                    <w:adjustRightInd w:val="0"/>
                    <w:jc w:val="center"/>
                    <w:rPr>
                      <w:bCs/>
                      <w:kern w:val="0"/>
                      <w:szCs w:val="21"/>
                    </w:rPr>
                  </w:pPr>
                  <w:r>
                    <w:rPr>
                      <w:bCs/>
                      <w:kern w:val="0"/>
                      <w:szCs w:val="21"/>
                    </w:rPr>
                    <w:t>本项目蒸汽发生器使用天然气作为燃料，采用低氮燃烧技术，蒸汽发生器烟气通过15m高排气筒排放。</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val="restart"/>
                  <w:tcBorders>
                    <w:tl2br w:val="nil"/>
                    <w:tr2bl w:val="nil"/>
                  </w:tcBorders>
                  <w:vAlign w:val="center"/>
                </w:tcPr>
                <w:p>
                  <w:pPr>
                    <w:adjustRightInd w:val="0"/>
                    <w:jc w:val="center"/>
                    <w:rPr>
                      <w:bCs/>
                      <w:kern w:val="0"/>
                      <w:szCs w:val="21"/>
                    </w:rPr>
                  </w:pPr>
                  <w:r>
                    <w:rPr>
                      <w:bCs/>
                      <w:kern w:val="0"/>
                      <w:szCs w:val="21"/>
                    </w:rPr>
                    <w:t>《大荔县大气污染治理专项行动方案（2023-2027年）》</w:t>
                  </w:r>
                </w:p>
              </w:tc>
              <w:tc>
                <w:tcPr>
                  <w:tcW w:w="2259" w:type="pct"/>
                  <w:tcBorders>
                    <w:tl2br w:val="nil"/>
                    <w:tr2bl w:val="nil"/>
                  </w:tcBorders>
                  <w:vAlign w:val="center"/>
                </w:tcPr>
                <w:p>
                  <w:pPr>
                    <w:adjustRightInd w:val="0"/>
                    <w:rPr>
                      <w:bCs/>
                      <w:kern w:val="0"/>
                      <w:szCs w:val="21"/>
                    </w:rPr>
                  </w:pPr>
                  <w:r>
                    <w:rPr>
                      <w:bCs/>
                      <w:kern w:val="0"/>
                      <w:szCs w:val="21"/>
                    </w:rPr>
                    <w:t>3.产业发展结构调整。严禁新增钢铁、焦化、冶炼、水泥熟</w:t>
                  </w:r>
                </w:p>
                <w:p>
                  <w:pPr>
                    <w:adjustRightInd w:val="0"/>
                    <w:rPr>
                      <w:bCs/>
                      <w:kern w:val="0"/>
                      <w:szCs w:val="21"/>
                    </w:rPr>
                  </w:pPr>
                  <w:r>
                    <w:rPr>
                      <w:bCs/>
                      <w:kern w:val="0"/>
                      <w:szCs w:val="21"/>
                    </w:rPr>
                    <w:t>料、平板玻璃、电解铝、氧化铝、煤化工产能……</w:t>
                  </w:r>
                </w:p>
              </w:tc>
              <w:tc>
                <w:tcPr>
                  <w:tcW w:w="1367" w:type="pct"/>
                  <w:tcBorders>
                    <w:tl2br w:val="nil"/>
                    <w:tr2bl w:val="nil"/>
                  </w:tcBorders>
                  <w:vAlign w:val="center"/>
                </w:tcPr>
                <w:p>
                  <w:pPr>
                    <w:adjustRightInd w:val="0"/>
                    <w:jc w:val="center"/>
                    <w:rPr>
                      <w:bCs/>
                      <w:kern w:val="0"/>
                      <w:szCs w:val="21"/>
                    </w:rPr>
                  </w:pPr>
                  <w:r>
                    <w:rPr>
                      <w:bCs/>
                      <w:kern w:val="0"/>
                      <w:szCs w:val="21"/>
                    </w:rPr>
                    <w:t>本项目不属于钢铁、焦化、冶炼、水泥熟料、平板玻璃、电解铝、氧化铝、煤化工项目。</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tcBorders>
                    <w:tl2br w:val="nil"/>
                    <w:tr2bl w:val="nil"/>
                  </w:tcBorders>
                  <w:vAlign w:val="center"/>
                </w:tcPr>
                <w:p>
                  <w:pPr>
                    <w:adjustRightInd w:val="0"/>
                    <w:jc w:val="center"/>
                    <w:rPr>
                      <w:bCs/>
                      <w:kern w:val="0"/>
                      <w:szCs w:val="21"/>
                    </w:rPr>
                  </w:pPr>
                </w:p>
              </w:tc>
              <w:tc>
                <w:tcPr>
                  <w:tcW w:w="2259" w:type="pct"/>
                  <w:tcBorders>
                    <w:tl2br w:val="nil"/>
                    <w:tr2bl w:val="nil"/>
                  </w:tcBorders>
                  <w:vAlign w:val="center"/>
                </w:tcPr>
                <w:p>
                  <w:pPr>
                    <w:adjustRightInd w:val="0"/>
                    <w:rPr>
                      <w:bCs/>
                      <w:kern w:val="0"/>
                      <w:szCs w:val="21"/>
                    </w:rPr>
                  </w:pPr>
                  <w:r>
                    <w:rPr>
                      <w:bCs/>
                      <w:kern w:val="0"/>
                      <w:szCs w:val="21"/>
                    </w:rPr>
                    <w:t>县域范围内新、改、扩建涉气重点行业企业应达到B级及以上水平。</w:t>
                  </w:r>
                </w:p>
              </w:tc>
              <w:tc>
                <w:tcPr>
                  <w:tcW w:w="1367" w:type="pct"/>
                  <w:tcBorders>
                    <w:tl2br w:val="nil"/>
                    <w:tr2bl w:val="nil"/>
                  </w:tcBorders>
                  <w:vAlign w:val="center"/>
                </w:tcPr>
                <w:p>
                  <w:pPr>
                    <w:adjustRightInd w:val="0"/>
                    <w:jc w:val="center"/>
                    <w:rPr>
                      <w:bCs/>
                      <w:kern w:val="0"/>
                      <w:szCs w:val="21"/>
                    </w:rPr>
                  </w:pPr>
                  <w:r>
                    <w:rPr>
                      <w:bCs/>
                      <w:kern w:val="0"/>
                      <w:szCs w:val="21"/>
                    </w:rPr>
                    <w:t>本项目不属于涉气重点行业。</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r>
              <w:tblPrEx>
                <w:tblW w:w="5000" w:type="pct"/>
                <w:jc w:val="center"/>
                <w:tblLayout w:type="fixed"/>
                <w:tblCellMar>
                  <w:top w:w="0" w:type="dxa"/>
                  <w:left w:w="108" w:type="dxa"/>
                  <w:bottom w:w="0" w:type="dxa"/>
                  <w:right w:w="108" w:type="dxa"/>
                </w:tblCellMar>
              </w:tblPrEx>
              <w:trPr>
                <w:trHeight w:val="340"/>
                <w:jc w:val="center"/>
              </w:trPr>
              <w:tc>
                <w:tcPr>
                  <w:tcW w:w="958" w:type="pct"/>
                  <w:vMerge/>
                  <w:tcBorders>
                    <w:tl2br w:val="nil"/>
                    <w:tr2bl w:val="nil"/>
                  </w:tcBorders>
                  <w:vAlign w:val="center"/>
                </w:tcPr>
                <w:p>
                  <w:pPr>
                    <w:adjustRightInd w:val="0"/>
                    <w:jc w:val="center"/>
                    <w:rPr>
                      <w:bCs/>
                      <w:kern w:val="0"/>
                      <w:szCs w:val="21"/>
                    </w:rPr>
                  </w:pPr>
                </w:p>
              </w:tc>
              <w:tc>
                <w:tcPr>
                  <w:tcW w:w="2259" w:type="pct"/>
                  <w:tcBorders>
                    <w:tl2br w:val="nil"/>
                    <w:tr2bl w:val="nil"/>
                  </w:tcBorders>
                  <w:vAlign w:val="center"/>
                </w:tcPr>
                <w:p>
                  <w:pPr>
                    <w:adjustRightInd w:val="0"/>
                    <w:rPr>
                      <w:bCs/>
                      <w:kern w:val="0"/>
                      <w:szCs w:val="21"/>
                    </w:rPr>
                  </w:pPr>
                  <w:r>
                    <w:rPr>
                      <w:bCs/>
                      <w:kern w:val="0"/>
                      <w:szCs w:val="21"/>
                    </w:rPr>
                    <w:t>10.工业企业深度治理行动。严把燃煤锅炉准入关口，城市建成区禁止新建燃煤锅炉。2023年底前全县域内燃气锅炉实施低氮燃烧深度改造，鼓励企业将氮氧化物浓度控制在30毫克/立方米以下。</w:t>
                  </w:r>
                </w:p>
              </w:tc>
              <w:tc>
                <w:tcPr>
                  <w:tcW w:w="1367" w:type="pct"/>
                  <w:tcBorders>
                    <w:tl2br w:val="nil"/>
                    <w:tr2bl w:val="nil"/>
                  </w:tcBorders>
                  <w:vAlign w:val="center"/>
                </w:tcPr>
                <w:p>
                  <w:pPr>
                    <w:adjustRightInd w:val="0"/>
                    <w:jc w:val="center"/>
                    <w:rPr>
                      <w:bCs/>
                      <w:kern w:val="0"/>
                      <w:szCs w:val="21"/>
                    </w:rPr>
                  </w:pPr>
                  <w:r>
                    <w:rPr>
                      <w:bCs/>
                      <w:kern w:val="0"/>
                      <w:szCs w:val="21"/>
                    </w:rPr>
                    <w:t>本项目蒸汽发生器使用天然气作为燃料，采用低氮燃烧技术，蒸汽发生器烟气通过15m高排气筒排放。</w:t>
                  </w:r>
                </w:p>
              </w:tc>
              <w:tc>
                <w:tcPr>
                  <w:tcW w:w="416" w:type="pct"/>
                  <w:tcBorders>
                    <w:tl2br w:val="nil"/>
                    <w:tr2bl w:val="nil"/>
                  </w:tcBorders>
                  <w:vAlign w:val="center"/>
                </w:tcPr>
                <w:p>
                  <w:pPr>
                    <w:adjustRightInd w:val="0"/>
                    <w:jc w:val="center"/>
                    <w:rPr>
                      <w:bCs/>
                      <w:kern w:val="0"/>
                      <w:szCs w:val="21"/>
                    </w:rPr>
                  </w:pPr>
                  <w:r>
                    <w:rPr>
                      <w:bCs/>
                      <w:kern w:val="0"/>
                      <w:szCs w:val="21"/>
                    </w:rPr>
                    <w:t>符合</w:t>
                  </w:r>
                </w:p>
              </w:tc>
            </w:tr>
          </w:tbl>
          <w:p>
            <w:pPr>
              <w:spacing w:before="120" w:beforeLines="50" w:line="360" w:lineRule="auto"/>
              <w:ind w:firstLine="482"/>
              <w:rPr>
                <w:b/>
                <w:kern w:val="0"/>
                <w:sz w:val="24"/>
              </w:rPr>
            </w:pPr>
            <w:r>
              <w:rPr>
                <w:b/>
                <w:kern w:val="0"/>
                <w:sz w:val="24"/>
              </w:rPr>
              <w:t>四、选址合理性分析</w:t>
            </w:r>
          </w:p>
          <w:p>
            <w:pPr>
              <w:adjustRightInd w:val="0"/>
              <w:snapToGrid w:val="0"/>
              <w:spacing w:after="0" w:line="360" w:lineRule="auto"/>
              <w:ind w:firstLine="480" w:firstLineChars="200"/>
              <w:rPr>
                <w:kern w:val="0"/>
                <w:sz w:val="24"/>
              </w:rPr>
            </w:pPr>
          </w:p>
        </w:tc>
      </w:tr>
    </w:tbl>
    <w:p>
      <w:pPr>
        <w:sectPr>
          <w:footerReference w:type="default" r:id="rId13"/>
          <w:type w:val="nextPage"/>
          <w:pgSz w:w="11906" w:h="16838"/>
          <w:pgMar w:top="1701" w:right="1531" w:bottom="1701" w:left="1531" w:header="851" w:footer="851" w:gutter="0"/>
          <w:pgNumType w:fmt="numberInDash" w:start="8"/>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p>
            <w:pPr>
              <w:adjustRightInd w:val="0"/>
              <w:snapToGrid w:val="0"/>
              <w:spacing w:before="0" w:line="360" w:lineRule="auto"/>
              <w:ind w:firstLine="480" w:firstLineChars="200"/>
              <w:rPr>
                <w:kern w:val="0"/>
                <w:sz w:val="24"/>
              </w:rPr>
            </w:pPr>
            <w:r>
              <w:rPr>
                <w:kern w:val="0"/>
                <w:sz w:val="24"/>
              </w:rPr>
              <w:t>1、本项目为新建项目，选址位于陕西省渭南市大荔县经济开发区晨光大道中段陕西新森源木业有限公司园区（下称园区）内，租赁陕西厚必得厂房租赁有限公司现有厂房，租赁合同见附件2，用地性质为工业用地。项目东侧为其他公司废渣堆放区域，南侧为空地，西侧为闲置区域，北侧为园区内马路，项目建成后周边500m范围内无敏感点。</w:t>
            </w:r>
          </w:p>
          <w:p>
            <w:pPr>
              <w:adjustRightInd w:val="0"/>
              <w:snapToGrid w:val="0"/>
              <w:spacing w:line="360" w:lineRule="auto"/>
              <w:ind w:firstLine="480" w:firstLineChars="200"/>
              <w:rPr>
                <w:kern w:val="0"/>
                <w:sz w:val="24"/>
              </w:rPr>
            </w:pPr>
            <w:r>
              <w:rPr>
                <w:kern w:val="0"/>
                <w:sz w:val="24"/>
              </w:rPr>
              <w:t>2、项目评价范围内无《建设项目环境影响评价分类管理名录》中第五条规定的（一）、（二）类环境保护区，如自然保护区、风景名胜区、世界文化和自然遗产地、饮用水水源保护区等，不在国家、地方规划的重点生态功能区的敏感区域内。</w:t>
            </w:r>
          </w:p>
          <w:p>
            <w:pPr>
              <w:adjustRightInd w:val="0"/>
              <w:snapToGrid w:val="0"/>
              <w:spacing w:line="360" w:lineRule="auto"/>
              <w:ind w:firstLine="480" w:firstLineChars="200"/>
              <w:rPr>
                <w:kern w:val="0"/>
                <w:sz w:val="24"/>
              </w:rPr>
            </w:pPr>
            <w:r>
              <w:rPr>
                <w:kern w:val="0"/>
                <w:sz w:val="24"/>
              </w:rPr>
              <w:t>3、项目在严格执行本环评提出的各项防治措施的前提下，废气经处理后达标排放，对周围环境产生的影响较小；生产废水进入废水复用罐循环使用；软化设备产生的浓水和蒸汽发生器排污水进入废水罐中；废水复用罐中不回用的废水进入废水罐中，排入市政管网。生活污水依托园区化粪池处理后排入市政管网；噪声经厂房隔声、减振、消声等措施后，对周围环境产生的影响较小；固体废物均得到妥善处置，对周围环境产生的影响较小；各项目污染物经处理后，不会改变评价区现有环境功能，对周围环境保护目标的环境影响较小。综上所述，本项目建设符合陕西省“三线一单”生态环境分区管控要求，符合相关规划要求，项目运营过程中产生的污染物对周围环境影响较小，从环保角度分析，项目选址较为合理。</w:t>
            </w:r>
          </w:p>
          <w:p>
            <w:pPr>
              <w:adjustRightInd w:val="0"/>
              <w:snapToGrid w:val="0"/>
              <w:spacing w:line="360" w:lineRule="auto"/>
              <w:ind w:firstLine="480" w:firstLineChars="200"/>
              <w:rPr>
                <w:kern w:val="0"/>
                <w:sz w:val="24"/>
              </w:rPr>
            </w:pPr>
            <w:r>
              <w:rPr>
                <w:kern w:val="0"/>
                <w:sz w:val="24"/>
              </w:rPr>
              <w:t>4、项目区交通便捷，供水、供电等公用基础设施较为完善，具有良好的建设条件。</w:t>
            </w:r>
          </w:p>
          <w:p>
            <w:pPr>
              <w:adjustRightInd w:val="0"/>
              <w:snapToGrid w:val="0"/>
              <w:spacing w:line="360" w:lineRule="auto"/>
              <w:ind w:firstLine="480" w:firstLineChars="200"/>
              <w:rPr>
                <w:kern w:val="0"/>
                <w:sz w:val="24"/>
              </w:rPr>
            </w:pPr>
            <w:r>
              <w:rPr>
                <w:kern w:val="0"/>
                <w:sz w:val="24"/>
              </w:rPr>
              <w:t>综上，项目选址合理。</w:t>
            </w:r>
          </w:p>
          <w:p>
            <w:pPr>
              <w:adjustRightInd w:val="0"/>
              <w:snapToGrid w:val="0"/>
              <w:spacing w:line="360" w:lineRule="auto"/>
              <w:ind w:firstLine="480" w:firstLineChars="200"/>
              <w:rPr>
                <w:kern w:val="0"/>
                <w:sz w:val="24"/>
              </w:rPr>
            </w:pPr>
          </w:p>
          <w:p>
            <w:pPr>
              <w:adjustRightInd w:val="0"/>
              <w:snapToGrid w:val="0"/>
              <w:spacing w:line="360" w:lineRule="auto"/>
              <w:ind w:firstLine="480" w:firstLineChars="200"/>
              <w:rPr>
                <w:kern w:val="0"/>
                <w:sz w:val="24"/>
              </w:rPr>
            </w:pPr>
          </w:p>
          <w:p>
            <w:pPr>
              <w:adjustRightInd w:val="0"/>
              <w:snapToGrid w:val="0"/>
              <w:spacing w:line="360" w:lineRule="auto"/>
              <w:ind w:firstLine="480" w:firstLineChars="200"/>
              <w:rPr>
                <w:kern w:val="0"/>
                <w:sz w:val="24"/>
              </w:rPr>
            </w:pPr>
          </w:p>
          <w:p>
            <w:pPr>
              <w:adjustRightInd w:val="0"/>
              <w:snapToGrid w:val="0"/>
              <w:spacing w:line="360" w:lineRule="auto"/>
              <w:ind w:firstLine="480" w:firstLineChars="200"/>
              <w:rPr>
                <w:kern w:val="0"/>
                <w:sz w:val="24"/>
              </w:rPr>
            </w:pPr>
          </w:p>
        </w:tc>
      </w:tr>
    </w:tbl>
    <w:p>
      <w:pPr>
        <w:sectPr>
          <w:footerReference w:type="default" r:id="rId14"/>
          <w:type w:val="nextPage"/>
          <w:pgSz w:w="11906" w:h="16838"/>
          <w:pgMar w:top="1701" w:right="1531" w:bottom="1701" w:left="1531" w:header="851" w:footer="851" w:gutter="0"/>
          <w:pgNumType w:fmt="numberInDash" w:start="9"/>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238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021"/>
          <w:jc w:val="center"/>
        </w:trPr>
        <w:tc>
          <w:tcPr>
            <w:tcW w:w="2382" w:type="dxa"/>
            <w:vAlign w:val="center"/>
          </w:tcPr>
          <w:p/>
        </w:tc>
        <w:tc>
          <w:tcPr>
            <w:tcW w:w="6488" w:type="dxa"/>
            <w:vAlign w:val="center"/>
          </w:tcPr>
          <w:p>
            <w:pPr>
              <w:adjustRightInd w:val="0"/>
              <w:snapToGrid w:val="0"/>
              <w:spacing w:line="360" w:lineRule="auto"/>
              <w:ind w:firstLine="480" w:firstLineChars="200"/>
              <w:rPr>
                <w:kern w:val="0"/>
                <w:sz w:val="24"/>
              </w:rPr>
            </w:pPr>
          </w:p>
          <w:p>
            <w:pPr>
              <w:adjustRightInd w:val="0"/>
              <w:snapToGrid w:val="0"/>
              <w:spacing w:line="360" w:lineRule="auto"/>
              <w:ind w:firstLine="480" w:firstLineChars="200"/>
              <w:rPr>
                <w:kern w:val="0"/>
                <w:sz w:val="24"/>
              </w:rPr>
            </w:pPr>
          </w:p>
          <w:p>
            <w:pPr>
              <w:adjustRightInd w:val="0"/>
              <w:snapToGrid w:val="0"/>
              <w:spacing w:line="360" w:lineRule="auto"/>
              <w:ind w:firstLine="480" w:firstLineChars="200"/>
              <w:rPr>
                <w:kern w:val="0"/>
                <w:sz w:val="24"/>
              </w:rPr>
            </w:pPr>
          </w:p>
        </w:tc>
      </w:tr>
    </w:tbl>
    <w:p>
      <w:pPr>
        <w:pStyle w:val="NormalWeb"/>
        <w:jc w:val="center"/>
        <w:outlineLvl w:val="0"/>
        <w:rPr>
          <w:rFonts w:ascii="Times New Roman" w:eastAsia="黑体" w:hAnsi="Times New Roman"/>
          <w:snapToGrid w:val="0"/>
          <w:sz w:val="30"/>
          <w:szCs w:val="30"/>
        </w:rPr>
        <w:sectPr>
          <w:footerReference w:type="default" r:id="rId15"/>
          <w:type w:val="nextPage"/>
          <w:pgSz w:w="11906" w:h="16838"/>
          <w:pgMar w:top="1701" w:right="1531" w:bottom="1701" w:left="1531" w:header="851" w:footer="851" w:gutter="0"/>
          <w:pgNumType w:fmt="numberInDash" w:start="10"/>
          <w:cols w:num="1" w:space="720"/>
          <w:titlePg w:val="0"/>
          <w:docGrid w:linePitch="312" w:charSpace="0"/>
        </w:sectPr>
      </w:pPr>
    </w:p>
    <w:p>
      <w:pPr>
        <w:pStyle w:val="NormalWeb"/>
        <w:jc w:val="center"/>
        <w:outlineLvl w:val="0"/>
        <w:rPr>
          <w:rFonts w:ascii="Times New Roman" w:eastAsia="黑体" w:hAnsi="Times New Roman"/>
          <w:snapToGrid w:val="0"/>
          <w:sz w:val="30"/>
          <w:szCs w:val="30"/>
        </w:rPr>
      </w:pPr>
      <w:r>
        <w:rPr>
          <w:rFonts w:ascii="Times New Roman" w:eastAsia="黑体" w:hAnsi="Times New Roman"/>
          <w:snapToGrid w:val="0"/>
          <w:sz w:val="30"/>
          <w:szCs w:val="30"/>
        </w:rPr>
        <w:t>二、建设项目工程分析</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773"/>
        <w:gridCol w:w="805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4"/>
          <w:jc w:val="center"/>
        </w:trPr>
        <w:tc>
          <w:tcPr>
            <w:tcW w:w="773" w:type="dxa"/>
            <w:vAlign w:val="center"/>
          </w:tcPr>
          <w:p>
            <w:pPr>
              <w:pStyle w:val="NormalWeb"/>
              <w:adjustRightInd w:val="0"/>
              <w:snapToGrid w:val="0"/>
              <w:spacing w:before="0" w:beforeAutospacing="0" w:after="0" w:afterAutospacing="0"/>
              <w:jc w:val="center"/>
              <w:rPr>
                <w:rFonts w:ascii="Times New Roman" w:hAnsi="Times New Roman"/>
                <w:sz w:val="21"/>
                <w:szCs w:val="21"/>
              </w:rPr>
            </w:pPr>
            <w:r>
              <w:rPr>
                <w:rFonts w:ascii="Times New Roman" w:hAnsi="Times New Roman"/>
                <w:szCs w:val="24"/>
              </w:rPr>
              <w:t>建设内容</w:t>
            </w:r>
          </w:p>
        </w:tc>
        <w:tc>
          <w:tcPr>
            <w:tcW w:w="8051" w:type="dxa"/>
          </w:tcPr>
          <w:p>
            <w:pPr>
              <w:adjustRightInd w:val="0"/>
              <w:snapToGrid w:val="0"/>
              <w:spacing w:line="360" w:lineRule="auto"/>
              <w:ind w:firstLine="480" w:firstLineChars="200"/>
              <w:rPr>
                <w:b/>
                <w:bCs/>
                <w:sz w:val="24"/>
              </w:rPr>
            </w:pPr>
            <w:r>
              <w:rPr>
                <w:b/>
                <w:bCs/>
                <w:sz w:val="24"/>
              </w:rPr>
              <w:t>一、项目概况</w:t>
            </w:r>
          </w:p>
          <w:p>
            <w:pPr>
              <w:pStyle w:val="13"/>
              <w:widowControl/>
              <w:adjustRightInd/>
              <w:spacing w:line="360" w:lineRule="auto"/>
              <w:ind w:firstLine="480" w:firstLineChars="200"/>
              <w:rPr>
                <w:rFonts w:ascii="Times New Roman" w:hint="default"/>
                <w:bCs/>
                <w:kern w:val="2"/>
                <w:szCs w:val="24"/>
              </w:rPr>
            </w:pPr>
            <w:r>
              <w:rPr>
                <w:rFonts w:ascii="Times New Roman" w:hint="default"/>
                <w:bCs/>
                <w:kern w:val="2"/>
                <w:szCs w:val="24"/>
              </w:rPr>
              <w:t>项目名称：</w:t>
            </w:r>
            <w:r>
              <w:rPr>
                <w:rFonts w:ascii="Times New Roman" w:hint="default"/>
                <w:szCs w:val="24"/>
              </w:rPr>
              <w:t>煤气化渣循环再利用项目</w:t>
            </w:r>
          </w:p>
          <w:p>
            <w:pPr>
              <w:pStyle w:val="13"/>
              <w:widowControl/>
              <w:adjustRightInd/>
              <w:spacing w:line="360" w:lineRule="auto"/>
              <w:ind w:firstLine="480" w:firstLineChars="200"/>
              <w:rPr>
                <w:rFonts w:ascii="Times New Roman" w:hint="default"/>
                <w:bCs/>
                <w:kern w:val="2"/>
                <w:szCs w:val="24"/>
              </w:rPr>
            </w:pPr>
            <w:r>
              <w:rPr>
                <w:rFonts w:ascii="Times New Roman" w:hint="default"/>
                <w:bCs/>
                <w:kern w:val="2"/>
                <w:szCs w:val="24"/>
              </w:rPr>
              <w:t>建设单位：</w:t>
            </w:r>
            <w:bookmarkStart w:id="1" w:name="_Hlk137476262"/>
            <w:r>
              <w:rPr>
                <w:rFonts w:ascii="Times New Roman" w:hint="default"/>
                <w:bCs/>
                <w:kern w:val="2"/>
                <w:szCs w:val="24"/>
              </w:rPr>
              <w:t>陕西新能中泰节能环保有限公司</w:t>
            </w:r>
            <w:bookmarkEnd w:id="1"/>
          </w:p>
          <w:p>
            <w:pPr>
              <w:pStyle w:val="13"/>
              <w:widowControl/>
              <w:adjustRightInd/>
              <w:spacing w:line="360" w:lineRule="auto"/>
              <w:ind w:firstLine="480" w:firstLineChars="200"/>
              <w:rPr>
                <w:rFonts w:ascii="Times New Roman" w:hint="default"/>
                <w:bCs/>
                <w:kern w:val="2"/>
                <w:szCs w:val="24"/>
              </w:rPr>
            </w:pPr>
            <w:r>
              <w:rPr>
                <w:rFonts w:ascii="Times New Roman" w:hint="default"/>
                <w:bCs/>
                <w:kern w:val="2"/>
                <w:szCs w:val="24"/>
              </w:rPr>
              <w:t>建设性质：新建</w:t>
            </w:r>
          </w:p>
          <w:p>
            <w:pPr>
              <w:pStyle w:val="13"/>
              <w:widowControl/>
              <w:adjustRightInd/>
              <w:spacing w:line="360" w:lineRule="auto"/>
              <w:ind w:firstLine="480" w:firstLineChars="200"/>
              <w:rPr>
                <w:rFonts w:ascii="Times New Roman" w:hint="default"/>
                <w:bCs/>
                <w:kern w:val="2"/>
                <w:szCs w:val="24"/>
              </w:rPr>
            </w:pPr>
            <w:r>
              <w:rPr>
                <w:rFonts w:ascii="Times New Roman" w:hint="default"/>
                <w:bCs/>
                <w:kern w:val="2"/>
                <w:szCs w:val="24"/>
              </w:rPr>
              <w:t>投资额：1095.03万元</w:t>
            </w:r>
          </w:p>
          <w:p>
            <w:pPr>
              <w:pStyle w:val="13"/>
              <w:widowControl/>
              <w:adjustRightInd/>
              <w:spacing w:line="360" w:lineRule="auto"/>
              <w:ind w:firstLine="480" w:firstLineChars="200"/>
              <w:rPr>
                <w:rFonts w:ascii="Times New Roman" w:hint="default"/>
                <w:bCs/>
                <w:kern w:val="2"/>
                <w:szCs w:val="24"/>
              </w:rPr>
            </w:pPr>
            <w:r>
              <w:rPr>
                <w:rFonts w:ascii="Times New Roman" w:hint="default"/>
                <w:bCs/>
                <w:kern w:val="2"/>
                <w:szCs w:val="24"/>
              </w:rPr>
              <w:t>建设地点：陕西省渭南市大荔县经济开发区晨光大道中段陕西新森源木业有限公司园区内，项目地理位置图见附图2。</w:t>
            </w:r>
          </w:p>
          <w:p>
            <w:pPr>
              <w:pStyle w:val="13"/>
              <w:widowControl/>
              <w:adjustRightInd/>
              <w:spacing w:line="360" w:lineRule="auto"/>
              <w:ind w:firstLine="480" w:firstLineChars="200"/>
              <w:rPr>
                <w:rFonts w:ascii="Times New Roman" w:hint="default"/>
                <w:bCs/>
                <w:kern w:val="2"/>
                <w:szCs w:val="24"/>
              </w:rPr>
            </w:pPr>
            <w:r>
              <w:rPr>
                <w:rFonts w:ascii="Times New Roman" w:hint="default"/>
                <w:bCs/>
                <w:kern w:val="2"/>
                <w:szCs w:val="24"/>
              </w:rPr>
              <w:t>四邻关系：项目东侧为其他公司废渣堆放区域，南侧为空地，西侧为闲置区域，北侧为园区内马路。项目四邻关系图见附图3。</w:t>
            </w:r>
          </w:p>
          <w:p>
            <w:pPr>
              <w:pStyle w:val="13"/>
              <w:widowControl/>
              <w:adjustRightInd/>
              <w:spacing w:line="360" w:lineRule="auto"/>
              <w:ind w:firstLine="480" w:firstLineChars="200"/>
              <w:rPr>
                <w:rFonts w:ascii="Times New Roman" w:hint="default"/>
                <w:b/>
                <w:kern w:val="2"/>
                <w:szCs w:val="24"/>
              </w:rPr>
            </w:pPr>
            <w:r>
              <w:rPr>
                <w:rFonts w:ascii="Times New Roman" w:hint="default"/>
                <w:b/>
                <w:kern w:val="2"/>
                <w:szCs w:val="24"/>
              </w:rPr>
              <w:t>二、建设内容及规模</w:t>
            </w:r>
          </w:p>
          <w:p>
            <w:pPr>
              <w:pStyle w:val="13"/>
              <w:widowControl/>
              <w:spacing w:line="360" w:lineRule="auto"/>
              <w:ind w:firstLine="480" w:firstLineChars="200"/>
              <w:rPr>
                <w:rFonts w:ascii="Times New Roman" w:hint="default"/>
                <w:bCs/>
                <w:kern w:val="2"/>
                <w:szCs w:val="24"/>
              </w:rPr>
            </w:pPr>
            <w:r>
              <w:rPr>
                <w:rFonts w:ascii="Times New Roman" w:hint="default"/>
                <w:bCs/>
                <w:kern w:val="2"/>
                <w:szCs w:val="24"/>
              </w:rPr>
              <w:t>新建煤气化渣循环再利用中试装置，形成铁渣、聚合氯化铝、人造石中试研究系统。中试时间为1年，中试天数为150天，中试目的是为了获取实验数据，为以后的生产奠定基础。待中试结束，所有中试装置拆除，不以中试为名代替后续的生产。项目工程组成见表2-1。</w:t>
            </w:r>
          </w:p>
          <w:p>
            <w:pPr>
              <w:tabs>
                <w:tab w:val="left" w:pos="7620"/>
              </w:tabs>
              <w:jc w:val="center"/>
              <w:rPr>
                <w:b/>
                <w:bCs/>
                <w:sz w:val="24"/>
              </w:rPr>
            </w:pPr>
            <w:r>
              <w:rPr>
                <w:b/>
                <w:bCs/>
                <w:sz w:val="24"/>
              </w:rPr>
              <w:t>表2-1    项目组成一览表</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9"/>
              <w:gridCol w:w="727"/>
              <w:gridCol w:w="5769"/>
              <w:gridCol w:w="87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61" w:type="dxa"/>
                  <w:vAlign w:val="center"/>
                </w:tcPr>
                <w:p>
                  <w:pPr>
                    <w:jc w:val="center"/>
                    <w:rPr>
                      <w:szCs w:val="21"/>
                    </w:rPr>
                  </w:pPr>
                  <w:r>
                    <w:rPr>
                      <w:szCs w:val="21"/>
                    </w:rPr>
                    <w:t>项目</w:t>
                  </w:r>
                </w:p>
              </w:tc>
              <w:tc>
                <w:tcPr>
                  <w:tcW w:w="6783" w:type="dxa"/>
                  <w:gridSpan w:val="2"/>
                  <w:vAlign w:val="center"/>
                </w:tcPr>
                <w:p>
                  <w:pPr>
                    <w:jc w:val="center"/>
                    <w:rPr>
                      <w:szCs w:val="21"/>
                    </w:rPr>
                  </w:pPr>
                  <w:r>
                    <w:rPr>
                      <w:szCs w:val="21"/>
                    </w:rPr>
                    <w:t>主要建设内容</w:t>
                  </w:r>
                </w:p>
              </w:tc>
              <w:tc>
                <w:tcPr>
                  <w:tcW w:w="898" w:type="dxa"/>
                  <w:vAlign w:val="center"/>
                </w:tcPr>
                <w:p>
                  <w:pPr>
                    <w:jc w:val="center"/>
                    <w:rPr>
                      <w:szCs w:val="21"/>
                    </w:rPr>
                  </w:pPr>
                  <w:r>
                    <w:rPr>
                      <w:szCs w:val="21"/>
                    </w:rPr>
                    <w:t>备注</w:t>
                  </w:r>
                </w:p>
              </w:tc>
            </w:tr>
            <w:tr>
              <w:tblPrEx>
                <w:tblW w:w="5000" w:type="pct"/>
                <w:jc w:val="center"/>
                <w:tblCellMar>
                  <w:top w:w="0" w:type="dxa"/>
                  <w:left w:w="108" w:type="dxa"/>
                  <w:bottom w:w="0" w:type="dxa"/>
                  <w:right w:w="108" w:type="dxa"/>
                </w:tblCellMar>
              </w:tblPrEx>
              <w:trPr>
                <w:trHeight w:val="1089"/>
                <w:jc w:val="center"/>
              </w:trPr>
              <w:tc>
                <w:tcPr>
                  <w:tcW w:w="461" w:type="dxa"/>
                  <w:vAlign w:val="center"/>
                </w:tcPr>
                <w:p>
                  <w:pPr>
                    <w:jc w:val="center"/>
                    <w:rPr>
                      <w:szCs w:val="21"/>
                    </w:rPr>
                  </w:pPr>
                  <w:r>
                    <w:rPr>
                      <w:szCs w:val="21"/>
                    </w:rPr>
                    <w:t>主体工程</w:t>
                  </w:r>
                </w:p>
              </w:tc>
              <w:tc>
                <w:tcPr>
                  <w:tcW w:w="746" w:type="dxa"/>
                  <w:vAlign w:val="center"/>
                </w:tcPr>
                <w:p>
                  <w:pPr>
                    <w:adjustRightInd w:val="0"/>
                    <w:snapToGrid w:val="0"/>
                    <w:jc w:val="center"/>
                    <w:rPr>
                      <w:bCs/>
                      <w:szCs w:val="21"/>
                    </w:rPr>
                  </w:pPr>
                  <w:r>
                    <w:rPr>
                      <w:bCs/>
                      <w:szCs w:val="21"/>
                    </w:rPr>
                    <w:t>中试区</w:t>
                  </w:r>
                </w:p>
              </w:tc>
              <w:tc>
                <w:tcPr>
                  <w:tcW w:w="6037" w:type="dxa"/>
                  <w:vAlign w:val="center"/>
                </w:tcPr>
                <w:p>
                  <w:pPr>
                    <w:rPr>
                      <w:szCs w:val="21"/>
                    </w:rPr>
                  </w:pPr>
                  <w:r>
                    <w:rPr>
                      <w:szCs w:val="21"/>
                    </w:rPr>
                    <w:t>租赁厂房面积为2214m</w:t>
                  </w:r>
                  <w:r>
                    <w:rPr>
                      <w:szCs w:val="21"/>
                      <w:vertAlign w:val="superscript"/>
                    </w:rPr>
                    <w:t>2</w:t>
                  </w:r>
                  <w:r>
                    <w:rPr>
                      <w:szCs w:val="21"/>
                    </w:rPr>
                    <w:t>（长108m×宽20.5m×高11m），新建煤气化渣循环再利用中试装置，形成铁渣、聚合氯化铝、人造石中试研究系统。主要设备有湿式球磨机、板框压滤机、一次反应罐、二次反应罐等。</w:t>
                  </w:r>
                </w:p>
              </w:tc>
              <w:tc>
                <w:tcPr>
                  <w:tcW w:w="898" w:type="dxa"/>
                  <w:vAlign w:val="center"/>
                </w:tcPr>
                <w:p>
                  <w:pPr>
                    <w:widowControl/>
                    <w:jc w:val="center"/>
                    <w:rPr>
                      <w:szCs w:val="21"/>
                    </w:rPr>
                  </w:pPr>
                  <w:r>
                    <w:rPr>
                      <w:szCs w:val="21"/>
                    </w:rPr>
                    <w:t>新建</w:t>
                  </w:r>
                </w:p>
              </w:tc>
            </w:tr>
            <w:tr>
              <w:tblPrEx>
                <w:tblW w:w="5000" w:type="pct"/>
                <w:jc w:val="center"/>
                <w:tblCellMar>
                  <w:top w:w="0" w:type="dxa"/>
                  <w:left w:w="108" w:type="dxa"/>
                  <w:bottom w:w="0" w:type="dxa"/>
                  <w:right w:w="108" w:type="dxa"/>
                </w:tblCellMar>
              </w:tblPrEx>
              <w:trPr>
                <w:jc w:val="center"/>
              </w:trPr>
              <w:tc>
                <w:tcPr>
                  <w:tcW w:w="461" w:type="dxa"/>
                  <w:vAlign w:val="center"/>
                </w:tcPr>
                <w:p>
                  <w:pPr>
                    <w:jc w:val="center"/>
                    <w:rPr>
                      <w:szCs w:val="21"/>
                    </w:rPr>
                  </w:pPr>
                  <w:r>
                    <w:rPr>
                      <w:szCs w:val="21"/>
                    </w:rPr>
                    <w:t>辅助工程</w:t>
                  </w:r>
                </w:p>
              </w:tc>
              <w:tc>
                <w:tcPr>
                  <w:tcW w:w="746" w:type="dxa"/>
                  <w:vAlign w:val="center"/>
                </w:tcPr>
                <w:p>
                  <w:pPr>
                    <w:adjustRightInd w:val="0"/>
                    <w:snapToGrid w:val="0"/>
                    <w:jc w:val="center"/>
                    <w:rPr>
                      <w:szCs w:val="21"/>
                    </w:rPr>
                  </w:pPr>
                  <w:r>
                    <w:rPr>
                      <w:szCs w:val="21"/>
                    </w:rPr>
                    <w:t>办公室</w:t>
                  </w:r>
                </w:p>
              </w:tc>
              <w:tc>
                <w:tcPr>
                  <w:tcW w:w="6037" w:type="dxa"/>
                  <w:vAlign w:val="center"/>
                </w:tcPr>
                <w:p>
                  <w:pPr>
                    <w:rPr>
                      <w:szCs w:val="21"/>
                    </w:rPr>
                  </w:pPr>
                  <w:r>
                    <w:rPr>
                      <w:szCs w:val="21"/>
                    </w:rPr>
                    <w:t>依托园区办公室进行办公，位于厂房北侧。</w:t>
                  </w:r>
                </w:p>
              </w:tc>
              <w:tc>
                <w:tcPr>
                  <w:tcW w:w="898" w:type="dxa"/>
                  <w:vAlign w:val="center"/>
                </w:tcPr>
                <w:p>
                  <w:pPr>
                    <w:widowControl/>
                    <w:jc w:val="center"/>
                    <w:rPr>
                      <w:b/>
                      <w:bCs/>
                      <w:szCs w:val="21"/>
                    </w:rPr>
                  </w:pPr>
                  <w:r>
                    <w:rPr>
                      <w:szCs w:val="21"/>
                    </w:rPr>
                    <w:t>依托</w:t>
                  </w:r>
                </w:p>
              </w:tc>
            </w:tr>
            <w:tr>
              <w:tblPrEx>
                <w:tblW w:w="5000" w:type="pct"/>
                <w:jc w:val="center"/>
                <w:tblCellMar>
                  <w:top w:w="0" w:type="dxa"/>
                  <w:left w:w="108" w:type="dxa"/>
                  <w:bottom w:w="0" w:type="dxa"/>
                  <w:right w:w="108" w:type="dxa"/>
                </w:tblCellMar>
              </w:tblPrEx>
              <w:trPr>
                <w:jc w:val="center"/>
              </w:trPr>
              <w:tc>
                <w:tcPr>
                  <w:tcW w:w="461" w:type="dxa"/>
                  <w:vAlign w:val="center"/>
                </w:tcPr>
                <w:p>
                  <w:pPr>
                    <w:spacing w:after="0"/>
                    <w:jc w:val="center"/>
                    <w:rPr>
                      <w:szCs w:val="21"/>
                    </w:rPr>
                  </w:pPr>
                </w:p>
              </w:tc>
              <w:tc>
                <w:tcPr>
                  <w:tcW w:w="746" w:type="dxa"/>
                  <w:vAlign w:val="center"/>
                </w:tcPr>
                <w:p>
                  <w:pPr>
                    <w:adjustRightInd w:val="0"/>
                    <w:snapToGrid w:val="0"/>
                    <w:spacing w:after="0"/>
                    <w:jc w:val="center"/>
                    <w:rPr>
                      <w:szCs w:val="21"/>
                    </w:rPr>
                  </w:pPr>
                </w:p>
              </w:tc>
              <w:tc>
                <w:tcPr>
                  <w:tcW w:w="6037" w:type="dxa"/>
                  <w:vAlign w:val="center"/>
                </w:tcPr>
                <w:p>
                  <w:pPr>
                    <w:spacing w:after="0"/>
                    <w:rPr>
                      <w:bCs/>
                      <w:szCs w:val="21"/>
                    </w:rPr>
                  </w:pPr>
                </w:p>
              </w:tc>
              <w:tc>
                <w:tcPr>
                  <w:tcW w:w="898" w:type="dxa"/>
                  <w:vAlign w:val="center"/>
                </w:tcPr>
                <w:p>
                  <w:pPr>
                    <w:jc w:val="center"/>
                    <w:rPr>
                      <w:b/>
                      <w:bCs/>
                      <w:szCs w:val="21"/>
                    </w:rPr>
                  </w:pPr>
                  <w:r>
                    <w:rPr>
                      <w:szCs w:val="21"/>
                    </w:rPr>
                    <w:t>新建</w:t>
                  </w:r>
                </w:p>
              </w:tc>
            </w:tr>
          </w:tbl>
          <w:p/>
        </w:tc>
      </w:tr>
    </w:tbl>
    <w:p>
      <w:pPr>
        <w:sectPr>
          <w:footerReference w:type="default" r:id="rId16"/>
          <w:pgSz w:w="11906" w:h="16838"/>
          <w:pgMar w:top="1701" w:right="1531" w:bottom="1701" w:left="1531" w:header="851" w:footer="851" w:gutter="0"/>
          <w:pgNumType w:fmt="numberInDash" w:start="11"/>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773"/>
        <w:gridCol w:w="805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4"/>
          <w:jc w:val="center"/>
        </w:trPr>
        <w:tc>
          <w:tcPr>
            <w:tcW w:w="773" w:type="dxa"/>
            <w:vAlign w:val="center"/>
          </w:tcPr>
          <w:p/>
        </w:tc>
        <w:tc>
          <w:tcPr>
            <w:tcW w:w="8051" w:type="dxa"/>
          </w:tcPr>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9"/>
              <w:gridCol w:w="727"/>
              <w:gridCol w:w="5769"/>
              <w:gridCol w:w="87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61" w:type="dxa"/>
                  <w:vMerge w:val="restart"/>
                  <w:vAlign w:val="center"/>
                </w:tcPr>
                <w:p>
                  <w:pPr>
                    <w:spacing w:before="0"/>
                    <w:jc w:val="center"/>
                    <w:rPr>
                      <w:szCs w:val="21"/>
                    </w:rPr>
                  </w:pPr>
                  <w:r>
                    <w:rPr>
                      <w:szCs w:val="21"/>
                    </w:rPr>
                    <w:t>储运工程</w:t>
                  </w:r>
                </w:p>
              </w:tc>
              <w:tc>
                <w:tcPr>
                  <w:tcW w:w="746" w:type="dxa"/>
                  <w:vMerge w:val="restart"/>
                  <w:vAlign w:val="center"/>
                </w:tcPr>
                <w:p>
                  <w:pPr>
                    <w:adjustRightInd w:val="0"/>
                    <w:snapToGrid w:val="0"/>
                    <w:spacing w:before="0"/>
                    <w:jc w:val="center"/>
                    <w:rPr>
                      <w:szCs w:val="21"/>
                    </w:rPr>
                  </w:pPr>
                  <w:r>
                    <w:rPr>
                      <w:szCs w:val="21"/>
                    </w:rPr>
                    <w:t>原料区</w:t>
                  </w:r>
                </w:p>
              </w:tc>
              <w:tc>
                <w:tcPr>
                  <w:tcW w:w="6037" w:type="dxa"/>
                  <w:vAlign w:val="center"/>
                </w:tcPr>
                <w:p>
                  <w:pPr>
                    <w:spacing w:before="0"/>
                    <w:rPr>
                      <w:bCs/>
                      <w:szCs w:val="21"/>
                    </w:rPr>
                  </w:pPr>
                  <w:r>
                    <w:rPr>
                      <w:bCs/>
                      <w:szCs w:val="21"/>
                    </w:rPr>
                    <w:t>煤气化渣堆放在其堆放区内，该堆放区位于厂房的西北侧；煤气化渣料仓位于煤气化渣堆放区的南侧，该堆放区及料仓均设置三面封闭式围挡，并做防渗处理。</w:t>
                  </w:r>
                </w:p>
              </w:tc>
              <w:tc>
                <w:tcPr>
                  <w:tcW w:w="898" w:type="dxa"/>
                  <w:vAlign w:val="center"/>
                </w:tcPr>
                <w:p/>
              </w:tc>
            </w:tr>
            <w:tr>
              <w:tblPrEx>
                <w:tblW w:w="5000" w:type="pct"/>
                <w:jc w:val="center"/>
                <w:tblCellMar>
                  <w:top w:w="0" w:type="dxa"/>
                  <w:left w:w="108" w:type="dxa"/>
                  <w:bottom w:w="0" w:type="dxa"/>
                  <w:right w:w="108" w:type="dxa"/>
                </w:tblCellMar>
              </w:tblPrEx>
              <w:trPr>
                <w:trHeight w:val="90"/>
                <w:jc w:val="center"/>
              </w:trPr>
              <w:tc>
                <w:tcPr>
                  <w:tcW w:w="461" w:type="dxa"/>
                  <w:vMerge/>
                  <w:vAlign w:val="center"/>
                </w:tcPr>
                <w:p>
                  <w:pPr>
                    <w:jc w:val="center"/>
                    <w:rPr>
                      <w:szCs w:val="21"/>
                    </w:rPr>
                  </w:pPr>
                </w:p>
              </w:tc>
              <w:tc>
                <w:tcPr>
                  <w:tcW w:w="746" w:type="dxa"/>
                  <w:vMerge/>
                  <w:vAlign w:val="center"/>
                </w:tcPr>
                <w:p>
                  <w:pPr>
                    <w:adjustRightInd w:val="0"/>
                    <w:snapToGrid w:val="0"/>
                    <w:jc w:val="center"/>
                    <w:rPr>
                      <w:szCs w:val="21"/>
                    </w:rPr>
                  </w:pPr>
                </w:p>
              </w:tc>
              <w:tc>
                <w:tcPr>
                  <w:tcW w:w="6037" w:type="dxa"/>
                  <w:vAlign w:val="center"/>
                </w:tcPr>
                <w:p>
                  <w:pPr>
                    <w:rPr>
                      <w:bCs/>
                      <w:szCs w:val="21"/>
                    </w:rPr>
                  </w:pPr>
                  <w:r>
                    <w:rPr>
                      <w:bCs/>
                      <w:szCs w:val="21"/>
                    </w:rPr>
                    <w:t>铝酸钙袋装堆放在盐酸储罐的北侧。</w:t>
                  </w:r>
                </w:p>
              </w:tc>
              <w:tc>
                <w:tcPr>
                  <w:tcW w:w="898" w:type="dxa"/>
                  <w:vAlign w:val="center"/>
                </w:tcPr>
                <w:p>
                  <w:pPr>
                    <w:jc w:val="center"/>
                    <w:rPr>
                      <w:szCs w:val="21"/>
                    </w:rPr>
                  </w:pPr>
                  <w:r>
                    <w:rPr>
                      <w:szCs w:val="21"/>
                    </w:rPr>
                    <w:t>新建</w:t>
                  </w:r>
                </w:p>
              </w:tc>
            </w:tr>
            <w:tr>
              <w:tblPrEx>
                <w:tblW w:w="5000" w:type="pct"/>
                <w:jc w:val="center"/>
                <w:tblCellMar>
                  <w:top w:w="0" w:type="dxa"/>
                  <w:left w:w="108" w:type="dxa"/>
                  <w:bottom w:w="0" w:type="dxa"/>
                  <w:right w:w="108" w:type="dxa"/>
                </w:tblCellMar>
              </w:tblPrEx>
              <w:trPr>
                <w:jc w:val="center"/>
              </w:trPr>
              <w:tc>
                <w:tcPr>
                  <w:tcW w:w="461" w:type="dxa"/>
                  <w:vMerge/>
                  <w:vAlign w:val="center"/>
                </w:tcPr>
                <w:p>
                  <w:pPr>
                    <w:jc w:val="center"/>
                    <w:rPr>
                      <w:szCs w:val="21"/>
                    </w:rPr>
                  </w:pPr>
                </w:p>
              </w:tc>
              <w:tc>
                <w:tcPr>
                  <w:tcW w:w="746" w:type="dxa"/>
                  <w:vAlign w:val="center"/>
                </w:tcPr>
                <w:p>
                  <w:pPr>
                    <w:adjustRightInd w:val="0"/>
                    <w:snapToGrid w:val="0"/>
                    <w:jc w:val="center"/>
                    <w:rPr>
                      <w:szCs w:val="21"/>
                    </w:rPr>
                  </w:pPr>
                  <w:r>
                    <w:rPr>
                      <w:szCs w:val="21"/>
                    </w:rPr>
                    <w:t>储罐区</w:t>
                  </w:r>
                </w:p>
              </w:tc>
              <w:tc>
                <w:tcPr>
                  <w:tcW w:w="6037" w:type="dxa"/>
                  <w:vAlign w:val="center"/>
                </w:tcPr>
                <w:p>
                  <w:pPr>
                    <w:rPr>
                      <w:bCs/>
                      <w:szCs w:val="21"/>
                    </w:rPr>
                  </w:pPr>
                  <w:r>
                    <w:rPr>
                      <w:bCs/>
                      <w:szCs w:val="21"/>
                    </w:rPr>
                    <w:t>设置1个盐酸储罐，位于厂房东侧。储罐高5m，内径3.6m，容积60m</w:t>
                  </w:r>
                  <w:r>
                    <w:rPr>
                      <w:bCs/>
                      <w:szCs w:val="21"/>
                      <w:vertAlign w:val="superscript"/>
                    </w:rPr>
                    <w:t>3</w:t>
                  </w:r>
                  <w:r>
                    <w:rPr>
                      <w:bCs/>
                      <w:szCs w:val="21"/>
                    </w:rPr>
                    <w:t>。</w:t>
                  </w:r>
                </w:p>
              </w:tc>
              <w:tc>
                <w:tcPr>
                  <w:tcW w:w="898" w:type="dxa"/>
                  <w:vAlign w:val="center"/>
                </w:tcPr>
                <w:p>
                  <w:pPr>
                    <w:jc w:val="center"/>
                    <w:rPr>
                      <w:szCs w:val="21"/>
                    </w:rPr>
                  </w:pPr>
                  <w:r>
                    <w:rPr>
                      <w:szCs w:val="21"/>
                    </w:rPr>
                    <w:t>新建</w:t>
                  </w:r>
                </w:p>
              </w:tc>
            </w:tr>
            <w:tr>
              <w:tblPrEx>
                <w:tblW w:w="5000" w:type="pct"/>
                <w:jc w:val="center"/>
                <w:tblCellMar>
                  <w:top w:w="0" w:type="dxa"/>
                  <w:left w:w="108" w:type="dxa"/>
                  <w:bottom w:w="0" w:type="dxa"/>
                  <w:right w:w="108" w:type="dxa"/>
                </w:tblCellMar>
              </w:tblPrEx>
              <w:trPr>
                <w:jc w:val="center"/>
              </w:trPr>
              <w:tc>
                <w:tcPr>
                  <w:tcW w:w="461" w:type="dxa"/>
                  <w:vMerge/>
                  <w:vAlign w:val="center"/>
                </w:tcPr>
                <w:p>
                  <w:pPr>
                    <w:jc w:val="center"/>
                    <w:rPr>
                      <w:szCs w:val="21"/>
                    </w:rPr>
                  </w:pPr>
                </w:p>
              </w:tc>
              <w:tc>
                <w:tcPr>
                  <w:tcW w:w="746" w:type="dxa"/>
                  <w:vMerge w:val="restart"/>
                  <w:vAlign w:val="center"/>
                </w:tcPr>
                <w:p>
                  <w:pPr>
                    <w:adjustRightInd w:val="0"/>
                    <w:snapToGrid w:val="0"/>
                    <w:jc w:val="center"/>
                    <w:rPr>
                      <w:szCs w:val="21"/>
                    </w:rPr>
                  </w:pPr>
                  <w:r>
                    <w:rPr>
                      <w:szCs w:val="21"/>
                    </w:rPr>
                    <w:t>产品区</w:t>
                  </w:r>
                </w:p>
              </w:tc>
              <w:tc>
                <w:tcPr>
                  <w:tcW w:w="6037" w:type="dxa"/>
                  <w:vAlign w:val="center"/>
                </w:tcPr>
                <w:p>
                  <w:pPr>
                    <w:rPr>
                      <w:szCs w:val="21"/>
                    </w:rPr>
                  </w:pPr>
                  <w:r>
                    <w:rPr>
                      <w:szCs w:val="21"/>
                    </w:rPr>
                    <w:t>聚合氯化铝装袋后存放在其堆放区，该堆放区位于厂房的东北侧。</w:t>
                  </w:r>
                </w:p>
              </w:tc>
              <w:tc>
                <w:tcPr>
                  <w:tcW w:w="898" w:type="dxa"/>
                  <w:vMerge w:val="restart"/>
                  <w:vAlign w:val="center"/>
                </w:tcPr>
                <w:p>
                  <w:pPr>
                    <w:jc w:val="center"/>
                    <w:rPr>
                      <w:szCs w:val="21"/>
                    </w:rPr>
                  </w:pPr>
                  <w:r>
                    <w:rPr>
                      <w:szCs w:val="21"/>
                    </w:rPr>
                    <w:t>新建</w:t>
                  </w:r>
                </w:p>
              </w:tc>
            </w:tr>
            <w:tr>
              <w:tblPrEx>
                <w:tblW w:w="5000" w:type="pct"/>
                <w:jc w:val="center"/>
                <w:tblCellMar>
                  <w:top w:w="0" w:type="dxa"/>
                  <w:left w:w="108" w:type="dxa"/>
                  <w:bottom w:w="0" w:type="dxa"/>
                  <w:right w:w="108" w:type="dxa"/>
                </w:tblCellMar>
              </w:tblPrEx>
              <w:trPr>
                <w:trHeight w:val="50"/>
                <w:jc w:val="center"/>
              </w:trPr>
              <w:tc>
                <w:tcPr>
                  <w:tcW w:w="461" w:type="dxa"/>
                  <w:vMerge/>
                  <w:vAlign w:val="center"/>
                </w:tcPr>
                <w:p>
                  <w:pPr>
                    <w:jc w:val="center"/>
                    <w:rPr>
                      <w:szCs w:val="21"/>
                    </w:rPr>
                  </w:pPr>
                </w:p>
              </w:tc>
              <w:tc>
                <w:tcPr>
                  <w:tcW w:w="746" w:type="dxa"/>
                  <w:vMerge/>
                  <w:vAlign w:val="center"/>
                </w:tcPr>
                <w:p>
                  <w:pPr>
                    <w:adjustRightInd w:val="0"/>
                    <w:snapToGrid w:val="0"/>
                    <w:jc w:val="center"/>
                    <w:rPr>
                      <w:szCs w:val="21"/>
                    </w:rPr>
                  </w:pPr>
                </w:p>
              </w:tc>
              <w:tc>
                <w:tcPr>
                  <w:tcW w:w="6037" w:type="dxa"/>
                  <w:vAlign w:val="center"/>
                </w:tcPr>
                <w:p>
                  <w:pPr>
                    <w:rPr>
                      <w:szCs w:val="21"/>
                    </w:rPr>
                  </w:pPr>
                  <w:r>
                    <w:rPr>
                      <w:szCs w:val="21"/>
                    </w:rPr>
                    <w:t>人造石堆放在其堆放区，该堆放区位于聚合氯化铝堆放区的南侧。</w:t>
                  </w:r>
                </w:p>
              </w:tc>
              <w:tc>
                <w:tcPr>
                  <w:tcW w:w="898" w:type="dxa"/>
                  <w:vMerge/>
                  <w:vAlign w:val="center"/>
                </w:tcPr>
                <w:p>
                  <w:pPr>
                    <w:jc w:val="center"/>
                    <w:rPr>
                      <w:szCs w:val="21"/>
                    </w:rPr>
                  </w:pPr>
                </w:p>
              </w:tc>
            </w:tr>
            <w:tr>
              <w:tblPrEx>
                <w:tblW w:w="5000" w:type="pct"/>
                <w:jc w:val="center"/>
                <w:tblCellMar>
                  <w:top w:w="0" w:type="dxa"/>
                  <w:left w:w="108" w:type="dxa"/>
                  <w:bottom w:w="0" w:type="dxa"/>
                  <w:right w:w="108" w:type="dxa"/>
                </w:tblCellMar>
              </w:tblPrEx>
              <w:trPr>
                <w:trHeight w:val="108"/>
                <w:jc w:val="center"/>
              </w:trPr>
              <w:tc>
                <w:tcPr>
                  <w:tcW w:w="461" w:type="dxa"/>
                  <w:vMerge/>
                  <w:vAlign w:val="center"/>
                </w:tcPr>
                <w:p>
                  <w:pPr>
                    <w:jc w:val="center"/>
                    <w:rPr>
                      <w:szCs w:val="21"/>
                    </w:rPr>
                  </w:pPr>
                </w:p>
              </w:tc>
              <w:tc>
                <w:tcPr>
                  <w:tcW w:w="746" w:type="dxa"/>
                  <w:vMerge w:val="restart"/>
                  <w:vAlign w:val="center"/>
                </w:tcPr>
                <w:p>
                  <w:pPr>
                    <w:tabs>
                      <w:tab w:val="left" w:pos="0"/>
                    </w:tabs>
                    <w:adjustRightInd w:val="0"/>
                    <w:snapToGrid w:val="0"/>
                    <w:jc w:val="center"/>
                    <w:rPr>
                      <w:szCs w:val="21"/>
                    </w:rPr>
                  </w:pPr>
                  <w:r>
                    <w:rPr>
                      <w:szCs w:val="21"/>
                    </w:rPr>
                    <w:t>运输系统</w:t>
                  </w:r>
                </w:p>
              </w:tc>
              <w:tc>
                <w:tcPr>
                  <w:tcW w:w="6037" w:type="dxa"/>
                  <w:vAlign w:val="center"/>
                </w:tcPr>
                <w:p>
                  <w:pPr>
                    <w:tabs>
                      <w:tab w:val="left" w:pos="0"/>
                    </w:tabs>
                    <w:adjustRightInd w:val="0"/>
                    <w:snapToGrid w:val="0"/>
                    <w:jc w:val="left"/>
                    <w:rPr>
                      <w:bCs/>
                      <w:szCs w:val="21"/>
                    </w:rPr>
                  </w:pPr>
                  <w:r>
                    <w:rPr>
                      <w:bCs/>
                      <w:szCs w:val="21"/>
                    </w:rPr>
                    <w:t>盐酸采用罐车运输，由盐酸卸车泵输送至储罐内备用。</w:t>
                  </w:r>
                </w:p>
              </w:tc>
              <w:tc>
                <w:tcPr>
                  <w:tcW w:w="898" w:type="dxa"/>
                  <w:vMerge w:val="restart"/>
                  <w:vAlign w:val="center"/>
                </w:tcPr>
                <w:p>
                  <w:pPr>
                    <w:jc w:val="center"/>
                    <w:rPr>
                      <w:bCs/>
                      <w:szCs w:val="21"/>
                    </w:rPr>
                  </w:pPr>
                  <w:r>
                    <w:rPr>
                      <w:bCs/>
                      <w:szCs w:val="21"/>
                    </w:rPr>
                    <w:t>新建</w:t>
                  </w:r>
                </w:p>
              </w:tc>
            </w:tr>
            <w:tr>
              <w:tblPrEx>
                <w:tblW w:w="5000" w:type="pct"/>
                <w:jc w:val="center"/>
                <w:tblCellMar>
                  <w:top w:w="0" w:type="dxa"/>
                  <w:left w:w="108" w:type="dxa"/>
                  <w:bottom w:w="0" w:type="dxa"/>
                  <w:right w:w="108" w:type="dxa"/>
                </w:tblCellMar>
              </w:tblPrEx>
              <w:trPr>
                <w:trHeight w:val="107"/>
                <w:jc w:val="center"/>
              </w:trPr>
              <w:tc>
                <w:tcPr>
                  <w:tcW w:w="461" w:type="dxa"/>
                  <w:vMerge/>
                  <w:vAlign w:val="center"/>
                </w:tcPr>
                <w:p>
                  <w:pPr>
                    <w:jc w:val="center"/>
                    <w:rPr>
                      <w:szCs w:val="21"/>
                    </w:rPr>
                  </w:pPr>
                </w:p>
              </w:tc>
              <w:tc>
                <w:tcPr>
                  <w:tcW w:w="746" w:type="dxa"/>
                  <w:vMerge/>
                  <w:vAlign w:val="center"/>
                </w:tcPr>
                <w:p>
                  <w:pPr>
                    <w:tabs>
                      <w:tab w:val="left" w:pos="0"/>
                    </w:tabs>
                    <w:adjustRightInd w:val="0"/>
                    <w:snapToGrid w:val="0"/>
                    <w:jc w:val="center"/>
                    <w:rPr>
                      <w:szCs w:val="21"/>
                    </w:rPr>
                  </w:pPr>
                </w:p>
              </w:tc>
              <w:tc>
                <w:tcPr>
                  <w:tcW w:w="6037" w:type="dxa"/>
                  <w:vAlign w:val="center"/>
                </w:tcPr>
                <w:p>
                  <w:pPr>
                    <w:tabs>
                      <w:tab w:val="left" w:pos="0"/>
                    </w:tabs>
                    <w:adjustRightInd w:val="0"/>
                    <w:snapToGrid w:val="0"/>
                    <w:jc w:val="left"/>
                    <w:rPr>
                      <w:bCs/>
                      <w:szCs w:val="21"/>
                    </w:rPr>
                  </w:pPr>
                  <w:r>
                    <w:rPr>
                      <w:bCs/>
                      <w:szCs w:val="21"/>
                    </w:rPr>
                    <w:t>外购的铝酸钙采用货车运输至其堆放区。</w:t>
                  </w:r>
                </w:p>
              </w:tc>
              <w:tc>
                <w:tcPr>
                  <w:tcW w:w="898" w:type="dxa"/>
                  <w:vMerge/>
                  <w:vAlign w:val="center"/>
                </w:tcPr>
                <w:p>
                  <w:pPr>
                    <w:jc w:val="center"/>
                    <w:rPr>
                      <w:bCs/>
                      <w:szCs w:val="21"/>
                    </w:rPr>
                  </w:pPr>
                </w:p>
              </w:tc>
            </w:tr>
            <w:tr>
              <w:tblPrEx>
                <w:tblW w:w="5000" w:type="pct"/>
                <w:jc w:val="center"/>
                <w:tblCellMar>
                  <w:top w:w="0" w:type="dxa"/>
                  <w:left w:w="108" w:type="dxa"/>
                  <w:bottom w:w="0" w:type="dxa"/>
                  <w:right w:w="108" w:type="dxa"/>
                </w:tblCellMar>
              </w:tblPrEx>
              <w:trPr>
                <w:trHeight w:val="107"/>
                <w:jc w:val="center"/>
              </w:trPr>
              <w:tc>
                <w:tcPr>
                  <w:tcW w:w="461" w:type="dxa"/>
                  <w:vMerge/>
                  <w:vAlign w:val="center"/>
                </w:tcPr>
                <w:p>
                  <w:pPr>
                    <w:jc w:val="center"/>
                    <w:rPr>
                      <w:szCs w:val="21"/>
                    </w:rPr>
                  </w:pPr>
                </w:p>
              </w:tc>
              <w:tc>
                <w:tcPr>
                  <w:tcW w:w="746" w:type="dxa"/>
                  <w:vMerge/>
                  <w:vAlign w:val="center"/>
                </w:tcPr>
                <w:p>
                  <w:pPr>
                    <w:tabs>
                      <w:tab w:val="left" w:pos="0"/>
                    </w:tabs>
                    <w:adjustRightInd w:val="0"/>
                    <w:snapToGrid w:val="0"/>
                    <w:jc w:val="center"/>
                    <w:rPr>
                      <w:szCs w:val="21"/>
                    </w:rPr>
                  </w:pPr>
                </w:p>
              </w:tc>
              <w:tc>
                <w:tcPr>
                  <w:tcW w:w="6037" w:type="dxa"/>
                  <w:vAlign w:val="center"/>
                </w:tcPr>
                <w:p>
                  <w:pPr>
                    <w:tabs>
                      <w:tab w:val="left" w:pos="0"/>
                    </w:tabs>
                    <w:adjustRightInd w:val="0"/>
                    <w:snapToGrid w:val="0"/>
                    <w:jc w:val="left"/>
                    <w:rPr>
                      <w:bCs/>
                      <w:szCs w:val="21"/>
                    </w:rPr>
                  </w:pPr>
                  <w:r>
                    <w:rPr>
                      <w:bCs/>
                      <w:szCs w:val="21"/>
                    </w:rPr>
                    <w:t>煤气化渣采用皮带输送机由料仓输送至湿式球磨机，皮带输送机两侧设置挡板。</w:t>
                  </w:r>
                </w:p>
              </w:tc>
              <w:tc>
                <w:tcPr>
                  <w:tcW w:w="898" w:type="dxa"/>
                  <w:vMerge/>
                  <w:vAlign w:val="center"/>
                </w:tcPr>
                <w:p>
                  <w:pPr>
                    <w:jc w:val="center"/>
                    <w:rPr>
                      <w:bCs/>
                      <w:szCs w:val="21"/>
                    </w:rPr>
                  </w:pPr>
                </w:p>
              </w:tc>
            </w:tr>
            <w:tr>
              <w:tblPrEx>
                <w:tblW w:w="5000" w:type="pct"/>
                <w:jc w:val="center"/>
                <w:tblCellMar>
                  <w:top w:w="0" w:type="dxa"/>
                  <w:left w:w="108" w:type="dxa"/>
                  <w:bottom w:w="0" w:type="dxa"/>
                  <w:right w:w="108" w:type="dxa"/>
                </w:tblCellMar>
              </w:tblPrEx>
              <w:trPr>
                <w:jc w:val="center"/>
              </w:trPr>
              <w:tc>
                <w:tcPr>
                  <w:tcW w:w="461" w:type="dxa"/>
                  <w:vMerge w:val="restart"/>
                  <w:vAlign w:val="center"/>
                </w:tcPr>
                <w:p>
                  <w:pPr>
                    <w:snapToGrid w:val="0"/>
                    <w:jc w:val="center"/>
                    <w:rPr>
                      <w:szCs w:val="21"/>
                    </w:rPr>
                  </w:pPr>
                  <w:r>
                    <w:rPr>
                      <w:szCs w:val="21"/>
                    </w:rPr>
                    <w:t>公用</w:t>
                  </w:r>
                </w:p>
                <w:p>
                  <w:pPr>
                    <w:snapToGrid w:val="0"/>
                    <w:jc w:val="center"/>
                    <w:rPr>
                      <w:szCs w:val="21"/>
                    </w:rPr>
                  </w:pPr>
                  <w:r>
                    <w:rPr>
                      <w:szCs w:val="21"/>
                    </w:rPr>
                    <w:t>工程</w:t>
                  </w:r>
                </w:p>
              </w:tc>
              <w:tc>
                <w:tcPr>
                  <w:tcW w:w="746" w:type="dxa"/>
                  <w:vAlign w:val="center"/>
                </w:tcPr>
                <w:p>
                  <w:pPr>
                    <w:snapToGrid w:val="0"/>
                    <w:jc w:val="center"/>
                    <w:rPr>
                      <w:szCs w:val="21"/>
                    </w:rPr>
                  </w:pPr>
                  <w:r>
                    <w:rPr>
                      <w:szCs w:val="21"/>
                    </w:rPr>
                    <w:t>给水</w:t>
                  </w:r>
                </w:p>
              </w:tc>
              <w:tc>
                <w:tcPr>
                  <w:tcW w:w="6037" w:type="dxa"/>
                  <w:vAlign w:val="center"/>
                </w:tcPr>
                <w:p>
                  <w:pPr>
                    <w:snapToGrid w:val="0"/>
                    <w:rPr>
                      <w:szCs w:val="21"/>
                    </w:rPr>
                  </w:pPr>
                  <w:r>
                    <w:rPr>
                      <w:szCs w:val="21"/>
                    </w:rPr>
                    <w:t>项目用水依托园区地下水井提供，园区无自来水。</w:t>
                  </w:r>
                </w:p>
              </w:tc>
              <w:tc>
                <w:tcPr>
                  <w:tcW w:w="898" w:type="dxa"/>
                  <w:vAlign w:val="center"/>
                </w:tcPr>
                <w:p>
                  <w:pPr>
                    <w:snapToGrid w:val="0"/>
                    <w:jc w:val="center"/>
                    <w:rPr>
                      <w:szCs w:val="21"/>
                    </w:rPr>
                  </w:pPr>
                  <w:r>
                    <w:rPr>
                      <w:szCs w:val="21"/>
                    </w:rPr>
                    <w:t>依托</w:t>
                  </w:r>
                </w:p>
              </w:tc>
            </w:tr>
            <w:tr>
              <w:tblPrEx>
                <w:tblW w:w="5000" w:type="pct"/>
                <w:jc w:val="center"/>
                <w:tblCellMar>
                  <w:top w:w="0" w:type="dxa"/>
                  <w:left w:w="108" w:type="dxa"/>
                  <w:bottom w:w="0" w:type="dxa"/>
                  <w:right w:w="108" w:type="dxa"/>
                </w:tblCellMar>
              </w:tblPrEx>
              <w:trPr>
                <w:trHeight w:val="259"/>
                <w:jc w:val="center"/>
              </w:trPr>
              <w:tc>
                <w:tcPr>
                  <w:tcW w:w="461" w:type="dxa"/>
                  <w:vMerge/>
                  <w:vAlign w:val="center"/>
                </w:tcPr>
                <w:p>
                  <w:pPr>
                    <w:snapToGrid w:val="0"/>
                    <w:jc w:val="center"/>
                    <w:rPr>
                      <w:szCs w:val="21"/>
                    </w:rPr>
                  </w:pPr>
                </w:p>
              </w:tc>
              <w:tc>
                <w:tcPr>
                  <w:tcW w:w="746" w:type="dxa"/>
                  <w:vMerge w:val="restart"/>
                  <w:vAlign w:val="center"/>
                </w:tcPr>
                <w:p>
                  <w:pPr>
                    <w:snapToGrid w:val="0"/>
                    <w:jc w:val="center"/>
                    <w:rPr>
                      <w:szCs w:val="21"/>
                    </w:rPr>
                  </w:pPr>
                  <w:r>
                    <w:rPr>
                      <w:szCs w:val="21"/>
                    </w:rPr>
                    <w:t>排水</w:t>
                  </w:r>
                </w:p>
              </w:tc>
              <w:tc>
                <w:tcPr>
                  <w:tcW w:w="6037" w:type="dxa"/>
                  <w:vAlign w:val="center"/>
                </w:tcPr>
                <w:p>
                  <w:pPr>
                    <w:snapToGrid w:val="0"/>
                    <w:rPr>
                      <w:szCs w:val="21"/>
                    </w:rPr>
                  </w:pPr>
                  <w:r>
                    <w:rPr>
                      <w:szCs w:val="21"/>
                    </w:rPr>
                    <w:t>雨污分流，雨水收集至园区雨水管网。</w:t>
                  </w:r>
                </w:p>
              </w:tc>
              <w:tc>
                <w:tcPr>
                  <w:tcW w:w="898" w:type="dxa"/>
                  <w:vAlign w:val="center"/>
                </w:tcPr>
                <w:p>
                  <w:pPr>
                    <w:snapToGrid w:val="0"/>
                    <w:jc w:val="center"/>
                    <w:rPr>
                      <w:szCs w:val="21"/>
                    </w:rPr>
                  </w:pPr>
                  <w:r>
                    <w:rPr>
                      <w:szCs w:val="21"/>
                    </w:rPr>
                    <w:t>依托</w:t>
                  </w:r>
                </w:p>
              </w:tc>
            </w:tr>
            <w:tr>
              <w:tblPrEx>
                <w:tblW w:w="5000" w:type="pct"/>
                <w:jc w:val="center"/>
                <w:tblCellMar>
                  <w:top w:w="0" w:type="dxa"/>
                  <w:left w:w="108" w:type="dxa"/>
                  <w:bottom w:w="0" w:type="dxa"/>
                  <w:right w:w="108" w:type="dxa"/>
                </w:tblCellMar>
              </w:tblPrEx>
              <w:trPr>
                <w:trHeight w:val="678"/>
                <w:jc w:val="center"/>
              </w:trPr>
              <w:tc>
                <w:tcPr>
                  <w:tcW w:w="461" w:type="dxa"/>
                  <w:vMerge/>
                  <w:vAlign w:val="center"/>
                </w:tcPr>
                <w:p>
                  <w:pPr>
                    <w:snapToGrid w:val="0"/>
                    <w:jc w:val="center"/>
                    <w:rPr>
                      <w:szCs w:val="21"/>
                    </w:rPr>
                  </w:pPr>
                </w:p>
              </w:tc>
              <w:tc>
                <w:tcPr>
                  <w:tcW w:w="746" w:type="dxa"/>
                  <w:vMerge/>
                  <w:vAlign w:val="center"/>
                </w:tcPr>
                <w:p>
                  <w:pPr>
                    <w:snapToGrid w:val="0"/>
                    <w:jc w:val="center"/>
                    <w:rPr>
                      <w:szCs w:val="21"/>
                    </w:rPr>
                  </w:pPr>
                </w:p>
              </w:tc>
              <w:tc>
                <w:tcPr>
                  <w:tcW w:w="6037" w:type="dxa"/>
                  <w:vAlign w:val="center"/>
                </w:tcPr>
                <w:p>
                  <w:pPr>
                    <w:snapToGrid w:val="0"/>
                    <w:rPr>
                      <w:szCs w:val="21"/>
                    </w:rPr>
                  </w:pPr>
                  <w:r>
                    <w:rPr>
                      <w:szCs w:val="21"/>
                    </w:rPr>
                    <w:t>湿式球磨机废水、设备清洗废水、1#板框压滤机产生的废水进入废水复用罐，循环使用，用于湿式球磨机。</w:t>
                  </w:r>
                </w:p>
                <w:p>
                  <w:pPr>
                    <w:snapToGrid w:val="0"/>
                    <w:rPr>
                      <w:szCs w:val="21"/>
                    </w:rPr>
                  </w:pPr>
                  <w:r>
                    <w:rPr>
                      <w:szCs w:val="21"/>
                    </w:rPr>
                    <w:t>3#板框压滤机产生的废水进入一级洗渣废水储罐，补充到一次反应罐中；4#板框压滤机产生的废水进入二级洗渣废水储罐，补充到一级洗渣罐中。</w:t>
                  </w:r>
                </w:p>
                <w:p>
                  <w:pPr>
                    <w:snapToGrid w:val="0"/>
                    <w:rPr>
                      <w:szCs w:val="21"/>
                    </w:rPr>
                  </w:pPr>
                  <w:r>
                    <w:rPr>
                      <w:szCs w:val="21"/>
                    </w:rPr>
                    <w:t>软化设备产生的浓水和蒸汽发生器排污水进入废水罐中。</w:t>
                  </w:r>
                </w:p>
                <w:p>
                  <w:pPr>
                    <w:snapToGrid w:val="0"/>
                    <w:rPr>
                      <w:szCs w:val="21"/>
                    </w:rPr>
                  </w:pPr>
                  <w:r>
                    <w:rPr>
                      <w:szCs w:val="21"/>
                    </w:rPr>
                    <w:t>废水复用罐中9m</w:t>
                  </w:r>
                  <w:r>
                    <w:rPr>
                      <w:szCs w:val="21"/>
                      <w:vertAlign w:val="superscript"/>
                    </w:rPr>
                    <w:t>3</w:t>
                  </w:r>
                  <w:r>
                    <w:rPr>
                      <w:szCs w:val="21"/>
                    </w:rPr>
                    <w:t>/d生产废水进入废水罐中，废水罐中24.2m</w:t>
                  </w:r>
                  <w:r>
                    <w:rPr>
                      <w:szCs w:val="21"/>
                      <w:vertAlign w:val="superscript"/>
                    </w:rPr>
                    <w:t>3</w:t>
                  </w:r>
                  <w:r>
                    <w:rPr>
                      <w:szCs w:val="21"/>
                    </w:rPr>
                    <w:t>/d废水排入市政管网。</w:t>
                  </w:r>
                </w:p>
              </w:tc>
              <w:tc>
                <w:tcPr>
                  <w:tcW w:w="898" w:type="dxa"/>
                  <w:vAlign w:val="center"/>
                </w:tcPr>
                <w:p>
                  <w:pPr>
                    <w:snapToGrid w:val="0"/>
                    <w:jc w:val="center"/>
                    <w:rPr>
                      <w:szCs w:val="21"/>
                    </w:rPr>
                  </w:pPr>
                  <w:r>
                    <w:rPr>
                      <w:rFonts w:hint="eastAsia"/>
                      <w:szCs w:val="21"/>
                    </w:rPr>
                    <w:t>依托</w:t>
                  </w:r>
                </w:p>
              </w:tc>
            </w:tr>
            <w:tr>
              <w:tblPrEx>
                <w:tblW w:w="5000" w:type="pct"/>
                <w:jc w:val="center"/>
                <w:tblCellMar>
                  <w:top w:w="0" w:type="dxa"/>
                  <w:left w:w="108" w:type="dxa"/>
                  <w:bottom w:w="0" w:type="dxa"/>
                  <w:right w:w="108" w:type="dxa"/>
                </w:tblCellMar>
              </w:tblPrEx>
              <w:trPr>
                <w:trHeight w:val="678"/>
                <w:jc w:val="center"/>
              </w:trPr>
              <w:tc>
                <w:tcPr>
                  <w:tcW w:w="461" w:type="dxa"/>
                  <w:vMerge/>
                  <w:vAlign w:val="center"/>
                </w:tcPr>
                <w:p>
                  <w:pPr>
                    <w:snapToGrid w:val="0"/>
                    <w:jc w:val="center"/>
                    <w:rPr>
                      <w:szCs w:val="21"/>
                    </w:rPr>
                  </w:pPr>
                </w:p>
              </w:tc>
              <w:tc>
                <w:tcPr>
                  <w:tcW w:w="746" w:type="dxa"/>
                  <w:vMerge/>
                  <w:vAlign w:val="center"/>
                </w:tcPr>
                <w:p>
                  <w:pPr>
                    <w:snapToGrid w:val="0"/>
                    <w:jc w:val="center"/>
                    <w:rPr>
                      <w:szCs w:val="21"/>
                    </w:rPr>
                  </w:pPr>
                </w:p>
              </w:tc>
              <w:tc>
                <w:tcPr>
                  <w:tcW w:w="6037" w:type="dxa"/>
                  <w:vAlign w:val="center"/>
                </w:tcPr>
                <w:p>
                  <w:pPr>
                    <w:snapToGrid w:val="0"/>
                    <w:rPr>
                      <w:szCs w:val="21"/>
                    </w:rPr>
                  </w:pPr>
                  <w:r>
                    <w:rPr>
                      <w:szCs w:val="21"/>
                    </w:rPr>
                    <w:t>生活污水经园区化粪池处理后排入市政管网。</w:t>
                  </w:r>
                </w:p>
              </w:tc>
              <w:tc>
                <w:tcPr>
                  <w:tcW w:w="898" w:type="dxa"/>
                  <w:vAlign w:val="center"/>
                </w:tcPr>
                <w:p>
                  <w:pPr>
                    <w:snapToGrid w:val="0"/>
                    <w:jc w:val="center"/>
                    <w:rPr>
                      <w:szCs w:val="21"/>
                    </w:rPr>
                  </w:pPr>
                  <w:r>
                    <w:rPr>
                      <w:szCs w:val="21"/>
                    </w:rPr>
                    <w:t>依托</w:t>
                  </w:r>
                </w:p>
              </w:tc>
            </w:tr>
            <w:tr>
              <w:tblPrEx>
                <w:tblW w:w="5000" w:type="pct"/>
                <w:jc w:val="center"/>
                <w:tblCellMar>
                  <w:top w:w="0" w:type="dxa"/>
                  <w:left w:w="108" w:type="dxa"/>
                  <w:bottom w:w="0" w:type="dxa"/>
                  <w:right w:w="108" w:type="dxa"/>
                </w:tblCellMar>
              </w:tblPrEx>
              <w:trPr>
                <w:jc w:val="center"/>
              </w:trPr>
              <w:tc>
                <w:tcPr>
                  <w:tcW w:w="461" w:type="dxa"/>
                  <w:vMerge/>
                  <w:vAlign w:val="center"/>
                </w:tcPr>
                <w:p>
                  <w:pPr>
                    <w:snapToGrid w:val="0"/>
                    <w:jc w:val="center"/>
                    <w:rPr>
                      <w:szCs w:val="21"/>
                    </w:rPr>
                  </w:pPr>
                </w:p>
              </w:tc>
              <w:tc>
                <w:tcPr>
                  <w:tcW w:w="746" w:type="dxa"/>
                  <w:vAlign w:val="center"/>
                </w:tcPr>
                <w:p>
                  <w:pPr>
                    <w:snapToGrid w:val="0"/>
                    <w:jc w:val="center"/>
                    <w:rPr>
                      <w:szCs w:val="21"/>
                    </w:rPr>
                  </w:pPr>
                  <w:r>
                    <w:rPr>
                      <w:szCs w:val="21"/>
                    </w:rPr>
                    <w:t>供电</w:t>
                  </w:r>
                </w:p>
              </w:tc>
              <w:tc>
                <w:tcPr>
                  <w:tcW w:w="6037" w:type="dxa"/>
                  <w:vAlign w:val="center"/>
                </w:tcPr>
                <w:p>
                  <w:pPr>
                    <w:pStyle w:val="PlainText"/>
                    <w:rPr>
                      <w:rFonts w:ascii="Times New Roman"/>
                    </w:rPr>
                  </w:pPr>
                  <w:r>
                    <w:rPr>
                      <w:rFonts w:ascii="Times New Roman"/>
                      <w:szCs w:val="21"/>
                    </w:rPr>
                    <w:t>项目供电依托现园区，园区供电由当地供电电网供给。</w:t>
                  </w:r>
                </w:p>
              </w:tc>
              <w:tc>
                <w:tcPr>
                  <w:tcW w:w="898" w:type="dxa"/>
                  <w:vAlign w:val="center"/>
                </w:tcPr>
                <w:p>
                  <w:pPr>
                    <w:snapToGrid w:val="0"/>
                    <w:jc w:val="center"/>
                    <w:rPr>
                      <w:szCs w:val="21"/>
                    </w:rPr>
                  </w:pPr>
                  <w:r>
                    <w:rPr>
                      <w:szCs w:val="21"/>
                    </w:rPr>
                    <w:t>依托</w:t>
                  </w:r>
                </w:p>
              </w:tc>
            </w:tr>
            <w:tr>
              <w:tblPrEx>
                <w:tblW w:w="5000" w:type="pct"/>
                <w:jc w:val="center"/>
                <w:tblCellMar>
                  <w:top w:w="0" w:type="dxa"/>
                  <w:left w:w="108" w:type="dxa"/>
                  <w:bottom w:w="0" w:type="dxa"/>
                  <w:right w:w="108" w:type="dxa"/>
                </w:tblCellMar>
              </w:tblPrEx>
              <w:trPr>
                <w:jc w:val="center"/>
              </w:trPr>
              <w:tc>
                <w:tcPr>
                  <w:tcW w:w="461" w:type="dxa"/>
                  <w:vMerge/>
                  <w:vAlign w:val="center"/>
                </w:tcPr>
                <w:p>
                  <w:pPr>
                    <w:snapToGrid w:val="0"/>
                    <w:jc w:val="center"/>
                    <w:rPr>
                      <w:szCs w:val="21"/>
                    </w:rPr>
                  </w:pPr>
                </w:p>
              </w:tc>
              <w:tc>
                <w:tcPr>
                  <w:tcW w:w="746" w:type="dxa"/>
                  <w:vAlign w:val="center"/>
                </w:tcPr>
                <w:p>
                  <w:pPr>
                    <w:snapToGrid w:val="0"/>
                    <w:jc w:val="center"/>
                    <w:rPr>
                      <w:szCs w:val="21"/>
                    </w:rPr>
                  </w:pPr>
                  <w:r>
                    <w:rPr>
                      <w:szCs w:val="21"/>
                    </w:rPr>
                    <w:t>供暖制冷</w:t>
                  </w:r>
                </w:p>
              </w:tc>
              <w:tc>
                <w:tcPr>
                  <w:tcW w:w="6037" w:type="dxa"/>
                  <w:vAlign w:val="center"/>
                </w:tcPr>
                <w:p>
                  <w:pPr>
                    <w:rPr>
                      <w:szCs w:val="21"/>
                    </w:rPr>
                  </w:pPr>
                  <w:r>
                    <w:rPr>
                      <w:szCs w:val="21"/>
                      <w:lang w:val="zh-CN"/>
                    </w:rPr>
                    <w:t>/</w:t>
                  </w:r>
                </w:p>
              </w:tc>
              <w:tc>
                <w:tcPr>
                  <w:tcW w:w="898" w:type="dxa"/>
                  <w:vAlign w:val="center"/>
                </w:tcPr>
                <w:p>
                  <w:pPr>
                    <w:jc w:val="center"/>
                    <w:rPr>
                      <w:szCs w:val="21"/>
                    </w:rPr>
                  </w:pPr>
                  <w:r>
                    <w:rPr>
                      <w:szCs w:val="21"/>
                    </w:rPr>
                    <w:t>/</w:t>
                  </w:r>
                </w:p>
              </w:tc>
            </w:tr>
            <w:tr>
              <w:tblPrEx>
                <w:tblW w:w="5000" w:type="pct"/>
                <w:jc w:val="center"/>
                <w:tblCellMar>
                  <w:top w:w="0" w:type="dxa"/>
                  <w:left w:w="108" w:type="dxa"/>
                  <w:bottom w:w="0" w:type="dxa"/>
                  <w:right w:w="108" w:type="dxa"/>
                </w:tblCellMar>
              </w:tblPrEx>
              <w:trPr>
                <w:jc w:val="center"/>
              </w:trPr>
              <w:tc>
                <w:tcPr>
                  <w:tcW w:w="461" w:type="dxa"/>
                  <w:vMerge w:val="restart"/>
                  <w:vAlign w:val="center"/>
                </w:tcPr>
                <w:p>
                  <w:pPr>
                    <w:snapToGrid w:val="0"/>
                    <w:jc w:val="center"/>
                    <w:rPr>
                      <w:szCs w:val="21"/>
                    </w:rPr>
                  </w:pPr>
                  <w:r>
                    <w:rPr>
                      <w:szCs w:val="21"/>
                    </w:rPr>
                    <w:t>环保工程</w:t>
                  </w:r>
                </w:p>
              </w:tc>
              <w:tc>
                <w:tcPr>
                  <w:tcW w:w="746" w:type="dxa"/>
                  <w:vMerge w:val="restart"/>
                  <w:vAlign w:val="center"/>
                </w:tcPr>
                <w:p>
                  <w:pPr>
                    <w:jc w:val="center"/>
                    <w:rPr>
                      <w:szCs w:val="21"/>
                    </w:rPr>
                  </w:pPr>
                  <w:r>
                    <w:rPr>
                      <w:szCs w:val="21"/>
                    </w:rPr>
                    <w:t>废气</w:t>
                  </w:r>
                </w:p>
              </w:tc>
              <w:tc>
                <w:tcPr>
                  <w:tcW w:w="6037" w:type="dxa"/>
                  <w:vAlign w:val="center"/>
                </w:tcPr>
                <w:p>
                  <w:pPr>
                    <w:rPr>
                      <w:szCs w:val="21"/>
                    </w:rPr>
                  </w:pPr>
                  <w:r>
                    <w:rPr>
                      <w:szCs w:val="21"/>
                    </w:rPr>
                    <w:t>一次反应、二次反应、烘干、一级洗渣产生的氯化氢气体通过酸雾集气罩（5个，集气效率为95%）+管道连接+酸雾吸收塔（2台，处理效率96%，风机风量8000m</w:t>
                  </w:r>
                  <w:r>
                    <w:rPr>
                      <w:szCs w:val="21"/>
                      <w:vertAlign w:val="superscript"/>
                    </w:rPr>
                    <w:t>3</w:t>
                  </w:r>
                  <w:r>
                    <w:rPr>
                      <w:szCs w:val="21"/>
                    </w:rPr>
                    <w:t>/h）+15m高排气筒（DA001）。</w:t>
                  </w:r>
                </w:p>
              </w:tc>
              <w:tc>
                <w:tcPr>
                  <w:tcW w:w="898" w:type="dxa"/>
                  <w:vMerge w:val="restart"/>
                  <w:vAlign w:val="center"/>
                </w:tcPr>
                <w:p>
                  <w:pPr>
                    <w:jc w:val="center"/>
                    <w:rPr>
                      <w:szCs w:val="21"/>
                    </w:rPr>
                  </w:pPr>
                  <w:r>
                    <w:rPr>
                      <w:szCs w:val="21"/>
                    </w:rPr>
                    <w:t>新建</w:t>
                  </w:r>
                </w:p>
              </w:tc>
            </w:tr>
            <w:tr>
              <w:tblPrEx>
                <w:tblW w:w="5000" w:type="pct"/>
                <w:jc w:val="center"/>
                <w:tblCellMar>
                  <w:top w:w="0" w:type="dxa"/>
                  <w:left w:w="108" w:type="dxa"/>
                  <w:bottom w:w="0" w:type="dxa"/>
                  <w:right w:w="108" w:type="dxa"/>
                </w:tblCellMar>
              </w:tblPrEx>
              <w:trPr>
                <w:jc w:val="center"/>
              </w:trPr>
              <w:tc>
                <w:tcPr>
                  <w:tcW w:w="461" w:type="dxa"/>
                  <w:vMerge/>
                  <w:vAlign w:val="center"/>
                </w:tcPr>
                <w:p>
                  <w:pPr>
                    <w:snapToGrid w:val="0"/>
                    <w:jc w:val="center"/>
                    <w:rPr>
                      <w:szCs w:val="21"/>
                    </w:rPr>
                  </w:pPr>
                </w:p>
              </w:tc>
              <w:tc>
                <w:tcPr>
                  <w:tcW w:w="746" w:type="dxa"/>
                  <w:vMerge/>
                  <w:vAlign w:val="center"/>
                </w:tcPr>
                <w:p>
                  <w:pPr>
                    <w:jc w:val="center"/>
                    <w:rPr>
                      <w:szCs w:val="21"/>
                    </w:rPr>
                  </w:pPr>
                </w:p>
              </w:tc>
              <w:tc>
                <w:tcPr>
                  <w:tcW w:w="6037" w:type="dxa"/>
                  <w:vAlign w:val="center"/>
                </w:tcPr>
                <w:p>
                  <w:pPr>
                    <w:rPr>
                      <w:szCs w:val="21"/>
                    </w:rPr>
                  </w:pPr>
                  <w:r>
                    <w:rPr>
                      <w:szCs w:val="21"/>
                    </w:rPr>
                    <w:t>盐酸储罐大、小呼吸产生的氯化氢气体</w:t>
                  </w:r>
                  <w:r>
                    <w:rPr>
                      <w:rFonts w:hint="eastAsia"/>
                      <w:szCs w:val="21"/>
                    </w:rPr>
                    <w:t>无组织排放。</w:t>
                  </w:r>
                </w:p>
              </w:tc>
              <w:tc>
                <w:tcPr>
                  <w:tcW w:w="898" w:type="dxa"/>
                  <w:vMerge/>
                  <w:vAlign w:val="center"/>
                </w:tcPr>
                <w:p>
                  <w:pPr>
                    <w:jc w:val="center"/>
                    <w:rPr>
                      <w:szCs w:val="21"/>
                    </w:rPr>
                  </w:pPr>
                </w:p>
              </w:tc>
            </w:tr>
            <w:tr>
              <w:tblPrEx>
                <w:tblW w:w="5000" w:type="pct"/>
                <w:jc w:val="center"/>
                <w:tblCellMar>
                  <w:top w:w="0" w:type="dxa"/>
                  <w:left w:w="108" w:type="dxa"/>
                  <w:bottom w:w="0" w:type="dxa"/>
                  <w:right w:w="108" w:type="dxa"/>
                </w:tblCellMar>
              </w:tblPrEx>
              <w:trPr>
                <w:jc w:val="center"/>
              </w:trPr>
              <w:tc>
                <w:tcPr>
                  <w:tcW w:w="461" w:type="dxa"/>
                  <w:vMerge/>
                  <w:vAlign w:val="center"/>
                </w:tcPr>
                <w:p>
                  <w:pPr>
                    <w:snapToGrid w:val="0"/>
                    <w:jc w:val="center"/>
                    <w:rPr>
                      <w:szCs w:val="21"/>
                    </w:rPr>
                  </w:pPr>
                </w:p>
              </w:tc>
              <w:tc>
                <w:tcPr>
                  <w:tcW w:w="746" w:type="dxa"/>
                  <w:vMerge/>
                  <w:vAlign w:val="center"/>
                </w:tcPr>
                <w:p>
                  <w:pPr>
                    <w:jc w:val="center"/>
                    <w:rPr>
                      <w:szCs w:val="21"/>
                    </w:rPr>
                  </w:pPr>
                </w:p>
              </w:tc>
              <w:tc>
                <w:tcPr>
                  <w:tcW w:w="6037" w:type="dxa"/>
                  <w:vAlign w:val="center"/>
                </w:tcPr>
                <w:p>
                  <w:pPr>
                    <w:rPr>
                      <w:szCs w:val="21"/>
                    </w:rPr>
                  </w:pPr>
                  <w:r>
                    <w:rPr>
                      <w:szCs w:val="21"/>
                    </w:rPr>
                    <w:t>蒸汽发生器烟气中的NO</w:t>
                  </w:r>
                  <w:r>
                    <w:rPr>
                      <w:szCs w:val="21"/>
                      <w:vertAlign w:val="subscript"/>
                    </w:rPr>
                    <w:t>X</w:t>
                  </w:r>
                  <w:r>
                    <w:rPr>
                      <w:szCs w:val="21"/>
                    </w:rPr>
                    <w:t>、SO</w:t>
                  </w:r>
                  <w:r>
                    <w:rPr>
                      <w:szCs w:val="21"/>
                      <w:vertAlign w:val="subscript"/>
                    </w:rPr>
                    <w:t>2</w:t>
                  </w:r>
                  <w:r>
                    <w:rPr>
                      <w:szCs w:val="21"/>
                    </w:rPr>
                    <w:t>及颗粒物经15m高排气筒（DA002）有组织排放。</w:t>
                  </w:r>
                </w:p>
              </w:tc>
              <w:tc>
                <w:tcPr>
                  <w:tcW w:w="898" w:type="dxa"/>
                  <w:vAlign w:val="center"/>
                </w:tcPr>
                <w:p>
                  <w:pPr>
                    <w:jc w:val="center"/>
                    <w:rPr>
                      <w:szCs w:val="21"/>
                    </w:rPr>
                  </w:pPr>
                  <w:r>
                    <w:rPr>
                      <w:szCs w:val="21"/>
                    </w:rPr>
                    <w:t>新建</w:t>
                  </w:r>
                </w:p>
              </w:tc>
            </w:tr>
          </w:tbl>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https://d.book118.com/387043015201006054</w:t>
        </w:r>
      </w:hyperlink>
    </w:p>
    <w:p/>
    <w:sectPr>
      <w:footerReference w:type="default" r:id="rId18"/>
      <w:type w:val="nextPage"/>
      <w:pgSz w:w="11906" w:h="16838"/>
      <w:pgMar w:top="1701" w:right="1531" w:bottom="1701" w:left="1531" w:header="851" w:footer="851" w:gutter="0"/>
      <w:pgNumType w:fmt="numberInDash" w:start="12"/>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roman"/>
    <w:pitch w:val="default"/>
    <w:sig w:usb0="00000000" w:usb1="00000000" w:usb2="00000000" w:usb3="00000000" w:csb0="80000000" w:csb1="00000000"/>
  </w:font>
  <w:font w:name="TimesNewRomanPSMT">
    <w:altName w:val="Malgun Gothic"/>
    <w:panose1 w:val="00000000000000000000"/>
    <w:charset w:val="81"/>
    <w:family w:val="auto"/>
    <w:pitch w:val="default"/>
    <w:sig w:usb0="00000000" w:usb1="00000000" w:usb2="00000010" w:usb3="00000000" w:csb0="000C0000" w:csb1="00000000"/>
  </w:font>
  <w:font w:name="微软雅黑">
    <w:panose1 w:val="020B0503020204020204"/>
    <w:charset w:val="86"/>
    <w:family w:val="swiss"/>
    <w:pitch w:val="default"/>
    <w:sig w:usb0="80000287" w:usb1="2ACF3C50" w:usb2="00000016" w:usb3="00000000" w:csb0="0004001F" w:csb1="00000000"/>
  </w:font>
  <w:font w:name="Malgun Gothic">
    <w:panose1 w:val="020B0503020000020004"/>
    <w:charset w:val="81"/>
    <w:family w:val="swiss"/>
    <w:pitch w:val="default"/>
    <w:sig w:usb0="9000002F" w:usb1="29D77CFB" w:usb2="00000012" w:usb3="00000000" w:csb0="00080001" w:csb1="00000000"/>
  </w:font>
  <w:font w:name="Cambria Math">
    <w:panose1 w:val="02040503050406030204"/>
    <w:charset w:val="00"/>
    <w:family w:val="roman"/>
    <w:pitch w:val="default"/>
    <w:sig w:usb0="E00006FF" w:usb1="420024FF" w:usb2="02000000"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2"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49" type="#_x0000_t202" style="width:15pt;height:10.35pt;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1514638627"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- 2 -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0" type="#_x0000_t202" style="width:15pt;height:10.35pt;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- 2 -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90500" cy="131445"/>
              <wp:effectExtent l="0" t="0" r="0" b="0"/>
              <wp:wrapNone/>
              <wp:docPr id="500351032"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- 4 -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1" type="#_x0000_t202" style="width:15pt;height:10.35pt;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- 4 -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90500" cy="131445"/>
              <wp:effectExtent l="0" t="0" r="0" b="0"/>
              <wp:wrapNone/>
              <wp:docPr id="980611291"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- 4 -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2" type="#_x0000_t202" style="width:15pt;height:10.35pt;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- 4 -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90500" cy="131445"/>
              <wp:effectExtent l="0" t="0" r="0" b="0"/>
              <wp:wrapNone/>
              <wp:docPr id="143585473"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- 6 -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3" type="#_x0000_t202" style="width:15pt;height:10.35pt;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- 6 -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90500" cy="131445"/>
              <wp:effectExtent l="0" t="0" r="0" b="0"/>
              <wp:wrapNone/>
              <wp:docPr id="1689722688"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- 6 -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4" type="#_x0000_t202" style="width:15pt;height:10.35pt;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- 6 -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90500" cy="131445"/>
              <wp:effectExtent l="0" t="0" r="0" b="0"/>
              <wp:wrapNone/>
              <wp:docPr id="1744849107"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- 8 -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5" type="#_x0000_t202" style="width:15pt;height:10.35pt;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- 8 -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90500" cy="131445"/>
              <wp:effectExtent l="0" t="0" r="0" b="0"/>
              <wp:wrapNone/>
              <wp:docPr id="1046996247"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- 8 -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6" type="#_x0000_t202" style="width:15pt;height:10.35pt;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- 8 -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90500" cy="131445"/>
              <wp:effectExtent l="0" t="0" r="0" b="0"/>
              <wp:wrapNone/>
              <wp:docPr id="891381129"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- 10 -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7" type="#_x0000_t202" style="width:15pt;height:10.35pt;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- 10 -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90500" cy="131445"/>
              <wp:effectExtent l="0" t="0" r="0" b="0"/>
              <wp:wrapNone/>
              <wp:docPr id="2144648313"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- 10 -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8" type="#_x0000_t202" style="width:15pt;height:10.35pt;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- 10 -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90500" cy="131445"/>
              <wp:effectExtent l="0" t="0" r="0" b="0"/>
              <wp:wrapNone/>
              <wp:docPr id="1815334072"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- 11 -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59" type="#_x0000_t202" style="width:15pt;height:10.35pt;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- 11 -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90500" cy="131445"/>
              <wp:effectExtent l="0" t="0" r="0" b="0"/>
              <wp:wrapNone/>
              <wp:docPr id="649640454" name="文本框 204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90500" cy="131445"/>
                      </a:xfrm>
                      <a:prstGeom prst="rect">
                        <a:avLst/>
                      </a:prstGeom>
                      <a:noFill/>
                      <a:ln>
                        <a:noFill/>
                      </a:ln>
                      <a:effectLst/>
                    </wps:spPr>
                    <wps:txbx>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- 13 -</w:t>
                          </w:r>
                          <w:r>
                            <w:rPr>
                              <w:rStyle w:val="PageNumber"/>
                              <w:szCs w:val="18"/>
                            </w:rPr>
                            <w:fldChar w:fldCharType="end"/>
                          </w:r>
                          <w:r>
                            <w:rPr>
                              <w:rStyle w:val="PageNumber"/>
                              <w:rFonts w:ascii="宋体" w:hAnsi="宋体" w:hint="eastAsia"/>
                              <w:sz w:val="20"/>
                            </w:rPr>
                            <w:t xml:space="preserve">  </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049" o:spid="_x0000_s2060" type="#_x0000_t202" style="width:15pt;height:10.35pt;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Style w:val="PageNumber"/>
                        <w:rFonts w:ascii="宋体" w:hAnsi="宋体"/>
                        <w:sz w:val="28"/>
                        <w:szCs w:val="28"/>
                      </w:rPr>
                    </w:pPr>
                    <w:r>
                      <w:rPr>
                        <w:rStyle w:val="PageNumber"/>
                        <w:szCs w:val="18"/>
                      </w:rPr>
                      <w:fldChar w:fldCharType="begin"/>
                    </w:r>
                    <w:r>
                      <w:rPr>
                        <w:rStyle w:val="PageNumber"/>
                        <w:szCs w:val="18"/>
                      </w:rPr>
                      <w:instrText xml:space="preserve">PAGE  </w:instrText>
                    </w:r>
                    <w:r>
                      <w:rPr>
                        <w:rStyle w:val="PageNumber"/>
                        <w:szCs w:val="18"/>
                      </w:rPr>
                      <w:fldChar w:fldCharType="separate"/>
                    </w:r>
                    <w:r>
                      <w:rPr>
                        <w:rStyle w:val="PageNumber"/>
                        <w:szCs w:val="18"/>
                      </w:rPr>
                      <w:t>- 13 -</w:t>
                    </w:r>
                    <w:r>
                      <w:rPr>
                        <w:rStyle w:val="PageNumber"/>
                        <w:szCs w:val="18"/>
                      </w:rPr>
                      <w:fldChar w:fldCharType="end"/>
                    </w:r>
                    <w:r>
                      <w:rPr>
                        <w:rStyle w:val="PageNumber"/>
                        <w:rFonts w:ascii="宋体" w:hAnsi="宋体" w:hint="eastAsia"/>
                        <w:sz w:val="20"/>
                      </w:rPr>
                      <w:t xml:space="preserve">  </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C6F13BE"/>
    <w:multiLevelType w:val="singleLevel"/>
    <w:tmpl w:val="EC6F13BE"/>
    <w:lvl w:ilvl="0">
      <w:start w:val="1"/>
      <w:numFmt w:val="bullet"/>
      <w:pStyle w:val="ListBullet5"/>
      <w:lvlText w:val=""/>
      <w:lvlJc w:val="left"/>
      <w:pPr>
        <w:tabs>
          <w:tab w:val="left" w:pos="2127"/>
        </w:tabs>
        <w:ind w:left="212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VerticalSpacing w:val="156"/>
  <w:noPunctuationKerning/>
  <w:characterSpacingControl w:val="compressPunctuation"/>
  <w:doNotEmbedSmartTag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E24"/>
    <w:rsid w:val="00002456"/>
    <w:rsid w:val="000025FC"/>
    <w:rsid w:val="000026EE"/>
    <w:rsid w:val="000027CC"/>
    <w:rsid w:val="00002D0B"/>
    <w:rsid w:val="000040E1"/>
    <w:rsid w:val="000056F6"/>
    <w:rsid w:val="0000606D"/>
    <w:rsid w:val="000060B3"/>
    <w:rsid w:val="0000655C"/>
    <w:rsid w:val="00006650"/>
    <w:rsid w:val="00006807"/>
    <w:rsid w:val="00006C69"/>
    <w:rsid w:val="00007017"/>
    <w:rsid w:val="00007A96"/>
    <w:rsid w:val="00011BB6"/>
    <w:rsid w:val="0001254F"/>
    <w:rsid w:val="0001271E"/>
    <w:rsid w:val="0001279D"/>
    <w:rsid w:val="00012B66"/>
    <w:rsid w:val="00013E85"/>
    <w:rsid w:val="00014B72"/>
    <w:rsid w:val="00014F06"/>
    <w:rsid w:val="00015477"/>
    <w:rsid w:val="0001625E"/>
    <w:rsid w:val="00016E45"/>
    <w:rsid w:val="000179F7"/>
    <w:rsid w:val="00017BB0"/>
    <w:rsid w:val="00020287"/>
    <w:rsid w:val="000202B6"/>
    <w:rsid w:val="000202ED"/>
    <w:rsid w:val="00020456"/>
    <w:rsid w:val="000208E0"/>
    <w:rsid w:val="000210E4"/>
    <w:rsid w:val="00021241"/>
    <w:rsid w:val="00022DB6"/>
    <w:rsid w:val="0002414A"/>
    <w:rsid w:val="000244D6"/>
    <w:rsid w:val="00024747"/>
    <w:rsid w:val="00025BC4"/>
    <w:rsid w:val="00026B72"/>
    <w:rsid w:val="00027D03"/>
    <w:rsid w:val="000313E9"/>
    <w:rsid w:val="0003180E"/>
    <w:rsid w:val="00031892"/>
    <w:rsid w:val="0003246F"/>
    <w:rsid w:val="0003251E"/>
    <w:rsid w:val="000327F3"/>
    <w:rsid w:val="000327F5"/>
    <w:rsid w:val="000333C5"/>
    <w:rsid w:val="0003413A"/>
    <w:rsid w:val="000344EF"/>
    <w:rsid w:val="00035323"/>
    <w:rsid w:val="000357FB"/>
    <w:rsid w:val="000364DB"/>
    <w:rsid w:val="0003688F"/>
    <w:rsid w:val="0003692E"/>
    <w:rsid w:val="000376A3"/>
    <w:rsid w:val="00037A6C"/>
    <w:rsid w:val="0004106F"/>
    <w:rsid w:val="000423AC"/>
    <w:rsid w:val="0004364B"/>
    <w:rsid w:val="00043764"/>
    <w:rsid w:val="000444DF"/>
    <w:rsid w:val="0004581E"/>
    <w:rsid w:val="00045A68"/>
    <w:rsid w:val="00045F50"/>
    <w:rsid w:val="00046210"/>
    <w:rsid w:val="000466FE"/>
    <w:rsid w:val="0004696E"/>
    <w:rsid w:val="00047E80"/>
    <w:rsid w:val="00050EC3"/>
    <w:rsid w:val="00051095"/>
    <w:rsid w:val="000514E2"/>
    <w:rsid w:val="00051934"/>
    <w:rsid w:val="00052234"/>
    <w:rsid w:val="00052F57"/>
    <w:rsid w:val="00054997"/>
    <w:rsid w:val="00055419"/>
    <w:rsid w:val="00055CFB"/>
    <w:rsid w:val="00055E24"/>
    <w:rsid w:val="0005782F"/>
    <w:rsid w:val="00060D80"/>
    <w:rsid w:val="00061123"/>
    <w:rsid w:val="00061B1F"/>
    <w:rsid w:val="000626F6"/>
    <w:rsid w:val="0006371A"/>
    <w:rsid w:val="00063E9A"/>
    <w:rsid w:val="00063F8C"/>
    <w:rsid w:val="00064012"/>
    <w:rsid w:val="00064A3D"/>
    <w:rsid w:val="00065113"/>
    <w:rsid w:val="00066A81"/>
    <w:rsid w:val="00066BB6"/>
    <w:rsid w:val="00066CE2"/>
    <w:rsid w:val="00070211"/>
    <w:rsid w:val="00071AC3"/>
    <w:rsid w:val="000721D8"/>
    <w:rsid w:val="00072453"/>
    <w:rsid w:val="000727B6"/>
    <w:rsid w:val="00072A05"/>
    <w:rsid w:val="00073094"/>
    <w:rsid w:val="000732D4"/>
    <w:rsid w:val="0007334C"/>
    <w:rsid w:val="000733C4"/>
    <w:rsid w:val="000737BE"/>
    <w:rsid w:val="00073AE2"/>
    <w:rsid w:val="00074783"/>
    <w:rsid w:val="00074A21"/>
    <w:rsid w:val="00074EB0"/>
    <w:rsid w:val="0007534E"/>
    <w:rsid w:val="00075FE6"/>
    <w:rsid w:val="00076091"/>
    <w:rsid w:val="0007624E"/>
    <w:rsid w:val="0007686F"/>
    <w:rsid w:val="00077883"/>
    <w:rsid w:val="0008070B"/>
    <w:rsid w:val="0008084E"/>
    <w:rsid w:val="00081078"/>
    <w:rsid w:val="000810AC"/>
    <w:rsid w:val="00081388"/>
    <w:rsid w:val="00081423"/>
    <w:rsid w:val="00081858"/>
    <w:rsid w:val="00081A02"/>
    <w:rsid w:val="00081AC9"/>
    <w:rsid w:val="00082231"/>
    <w:rsid w:val="000833B6"/>
    <w:rsid w:val="00083A5F"/>
    <w:rsid w:val="00083CC8"/>
    <w:rsid w:val="00083E97"/>
    <w:rsid w:val="00085BD2"/>
    <w:rsid w:val="00085EF0"/>
    <w:rsid w:val="000877B4"/>
    <w:rsid w:val="0008788E"/>
    <w:rsid w:val="00087C43"/>
    <w:rsid w:val="00090EB8"/>
    <w:rsid w:val="00091559"/>
    <w:rsid w:val="0009190C"/>
    <w:rsid w:val="00091B57"/>
    <w:rsid w:val="00092B57"/>
    <w:rsid w:val="00092CD1"/>
    <w:rsid w:val="00092D35"/>
    <w:rsid w:val="00092D38"/>
    <w:rsid w:val="0009318F"/>
    <w:rsid w:val="0009377B"/>
    <w:rsid w:val="00093822"/>
    <w:rsid w:val="00093B26"/>
    <w:rsid w:val="00093C87"/>
    <w:rsid w:val="000940E0"/>
    <w:rsid w:val="0009417B"/>
    <w:rsid w:val="00094629"/>
    <w:rsid w:val="00094E81"/>
    <w:rsid w:val="00094FEF"/>
    <w:rsid w:val="00095030"/>
    <w:rsid w:val="00095631"/>
    <w:rsid w:val="00095CBA"/>
    <w:rsid w:val="00095D57"/>
    <w:rsid w:val="00096133"/>
    <w:rsid w:val="000968A0"/>
    <w:rsid w:val="000A0AD5"/>
    <w:rsid w:val="000A1484"/>
    <w:rsid w:val="000A18E7"/>
    <w:rsid w:val="000A1CD5"/>
    <w:rsid w:val="000A1DF0"/>
    <w:rsid w:val="000A1EC9"/>
    <w:rsid w:val="000A20C9"/>
    <w:rsid w:val="000A21D3"/>
    <w:rsid w:val="000A224B"/>
    <w:rsid w:val="000A2321"/>
    <w:rsid w:val="000A2C2B"/>
    <w:rsid w:val="000A3CE1"/>
    <w:rsid w:val="000A44E2"/>
    <w:rsid w:val="000A4573"/>
    <w:rsid w:val="000A53EE"/>
    <w:rsid w:val="000A55A7"/>
    <w:rsid w:val="000A5A73"/>
    <w:rsid w:val="000A6A91"/>
    <w:rsid w:val="000A6B43"/>
    <w:rsid w:val="000A6BAF"/>
    <w:rsid w:val="000B0169"/>
    <w:rsid w:val="000B058F"/>
    <w:rsid w:val="000B1117"/>
    <w:rsid w:val="000B12B5"/>
    <w:rsid w:val="000B23EC"/>
    <w:rsid w:val="000B29C4"/>
    <w:rsid w:val="000B2A89"/>
    <w:rsid w:val="000B2CBB"/>
    <w:rsid w:val="000B3B21"/>
    <w:rsid w:val="000B3FAE"/>
    <w:rsid w:val="000B4467"/>
    <w:rsid w:val="000B4DB9"/>
    <w:rsid w:val="000B5243"/>
    <w:rsid w:val="000B557B"/>
    <w:rsid w:val="000B559E"/>
    <w:rsid w:val="000B5DAB"/>
    <w:rsid w:val="000B61BA"/>
    <w:rsid w:val="000B6F0D"/>
    <w:rsid w:val="000C016F"/>
    <w:rsid w:val="000C03D7"/>
    <w:rsid w:val="000C07EE"/>
    <w:rsid w:val="000C09AC"/>
    <w:rsid w:val="000C1CF0"/>
    <w:rsid w:val="000C1DF2"/>
    <w:rsid w:val="000C2AD2"/>
    <w:rsid w:val="000C431B"/>
    <w:rsid w:val="000C55B4"/>
    <w:rsid w:val="000C661B"/>
    <w:rsid w:val="000C6ED6"/>
    <w:rsid w:val="000C767F"/>
    <w:rsid w:val="000D035B"/>
    <w:rsid w:val="000D0A7F"/>
    <w:rsid w:val="000D11EE"/>
    <w:rsid w:val="000D12E3"/>
    <w:rsid w:val="000D1713"/>
    <w:rsid w:val="000D2B5C"/>
    <w:rsid w:val="000D2EB8"/>
    <w:rsid w:val="000D381D"/>
    <w:rsid w:val="000D388D"/>
    <w:rsid w:val="000D45F3"/>
    <w:rsid w:val="000D4CA2"/>
    <w:rsid w:val="000D5A44"/>
    <w:rsid w:val="000D6F73"/>
    <w:rsid w:val="000E073F"/>
    <w:rsid w:val="000E1043"/>
    <w:rsid w:val="000E147A"/>
    <w:rsid w:val="000E2345"/>
    <w:rsid w:val="000E2491"/>
    <w:rsid w:val="000E3081"/>
    <w:rsid w:val="000E30B6"/>
    <w:rsid w:val="000E3886"/>
    <w:rsid w:val="000E3AEC"/>
    <w:rsid w:val="000E3C0B"/>
    <w:rsid w:val="000E3C57"/>
    <w:rsid w:val="000E3ED2"/>
    <w:rsid w:val="000E42A8"/>
    <w:rsid w:val="000E49E4"/>
    <w:rsid w:val="000E4E7C"/>
    <w:rsid w:val="000E57DA"/>
    <w:rsid w:val="000E675B"/>
    <w:rsid w:val="000E7421"/>
    <w:rsid w:val="000F0025"/>
    <w:rsid w:val="000F132F"/>
    <w:rsid w:val="000F2124"/>
    <w:rsid w:val="000F3880"/>
    <w:rsid w:val="000F3BE7"/>
    <w:rsid w:val="000F3C56"/>
    <w:rsid w:val="000F403B"/>
    <w:rsid w:val="000F43CD"/>
    <w:rsid w:val="000F52FE"/>
    <w:rsid w:val="000F613A"/>
    <w:rsid w:val="000F6364"/>
    <w:rsid w:val="000F6461"/>
    <w:rsid w:val="000F6468"/>
    <w:rsid w:val="000F6A98"/>
    <w:rsid w:val="000F7268"/>
    <w:rsid w:val="000F729D"/>
    <w:rsid w:val="000F7771"/>
    <w:rsid w:val="00100290"/>
    <w:rsid w:val="00101497"/>
    <w:rsid w:val="00101AB7"/>
    <w:rsid w:val="00102A7C"/>
    <w:rsid w:val="00103252"/>
    <w:rsid w:val="0010330E"/>
    <w:rsid w:val="00103B57"/>
    <w:rsid w:val="00103CBA"/>
    <w:rsid w:val="00103EDA"/>
    <w:rsid w:val="00104105"/>
    <w:rsid w:val="00104BEB"/>
    <w:rsid w:val="00104F71"/>
    <w:rsid w:val="00104FA6"/>
    <w:rsid w:val="00106088"/>
    <w:rsid w:val="00107959"/>
    <w:rsid w:val="00110771"/>
    <w:rsid w:val="00110C45"/>
    <w:rsid w:val="00112263"/>
    <w:rsid w:val="001123FC"/>
    <w:rsid w:val="00113531"/>
    <w:rsid w:val="0011373D"/>
    <w:rsid w:val="0011385C"/>
    <w:rsid w:val="0011489C"/>
    <w:rsid w:val="00114F60"/>
    <w:rsid w:val="001158E5"/>
    <w:rsid w:val="0011785D"/>
    <w:rsid w:val="001178C4"/>
    <w:rsid w:val="00117D96"/>
    <w:rsid w:val="001200C6"/>
    <w:rsid w:val="001200CA"/>
    <w:rsid w:val="00120685"/>
    <w:rsid w:val="001206B6"/>
    <w:rsid w:val="00121B19"/>
    <w:rsid w:val="001229CC"/>
    <w:rsid w:val="00122A65"/>
    <w:rsid w:val="0012318D"/>
    <w:rsid w:val="001237ED"/>
    <w:rsid w:val="00123D2B"/>
    <w:rsid w:val="00124115"/>
    <w:rsid w:val="00124612"/>
    <w:rsid w:val="00124ED5"/>
    <w:rsid w:val="00125242"/>
    <w:rsid w:val="00125E5F"/>
    <w:rsid w:val="0012607A"/>
    <w:rsid w:val="00126722"/>
    <w:rsid w:val="001275EC"/>
    <w:rsid w:val="0013009D"/>
    <w:rsid w:val="00131F42"/>
    <w:rsid w:val="00132D97"/>
    <w:rsid w:val="0013496B"/>
    <w:rsid w:val="00134F3F"/>
    <w:rsid w:val="001355E5"/>
    <w:rsid w:val="001357F1"/>
    <w:rsid w:val="0013592B"/>
    <w:rsid w:val="00135A20"/>
    <w:rsid w:val="001363C1"/>
    <w:rsid w:val="001364A4"/>
    <w:rsid w:val="00136797"/>
    <w:rsid w:val="0013690E"/>
    <w:rsid w:val="00137144"/>
    <w:rsid w:val="0013750C"/>
    <w:rsid w:val="00137F96"/>
    <w:rsid w:val="00140928"/>
    <w:rsid w:val="00140CA0"/>
    <w:rsid w:val="00140F6B"/>
    <w:rsid w:val="00140FA8"/>
    <w:rsid w:val="00141F19"/>
    <w:rsid w:val="00142556"/>
    <w:rsid w:val="00142FEB"/>
    <w:rsid w:val="00143A2D"/>
    <w:rsid w:val="00143C16"/>
    <w:rsid w:val="00145A41"/>
    <w:rsid w:val="00145E9E"/>
    <w:rsid w:val="0014651D"/>
    <w:rsid w:val="00146F96"/>
    <w:rsid w:val="001503C2"/>
    <w:rsid w:val="0015047B"/>
    <w:rsid w:val="0015063A"/>
    <w:rsid w:val="001506A3"/>
    <w:rsid w:val="001506F7"/>
    <w:rsid w:val="00150BDF"/>
    <w:rsid w:val="00151675"/>
    <w:rsid w:val="001525FC"/>
    <w:rsid w:val="0015264B"/>
    <w:rsid w:val="00153053"/>
    <w:rsid w:val="00153300"/>
    <w:rsid w:val="0015407E"/>
    <w:rsid w:val="00154117"/>
    <w:rsid w:val="00154AB3"/>
    <w:rsid w:val="00154CA1"/>
    <w:rsid w:val="001557F1"/>
    <w:rsid w:val="00156363"/>
    <w:rsid w:val="00156518"/>
    <w:rsid w:val="0015653F"/>
    <w:rsid w:val="00157435"/>
    <w:rsid w:val="00157606"/>
    <w:rsid w:val="00160269"/>
    <w:rsid w:val="00160F53"/>
    <w:rsid w:val="00161DC2"/>
    <w:rsid w:val="001622A1"/>
    <w:rsid w:val="00163F5F"/>
    <w:rsid w:val="00163FE4"/>
    <w:rsid w:val="00164028"/>
    <w:rsid w:val="0016481D"/>
    <w:rsid w:val="0016485E"/>
    <w:rsid w:val="00164B84"/>
    <w:rsid w:val="00164BF8"/>
    <w:rsid w:val="00165737"/>
    <w:rsid w:val="00165AD8"/>
    <w:rsid w:val="00166608"/>
    <w:rsid w:val="00166724"/>
    <w:rsid w:val="00166A54"/>
    <w:rsid w:val="001708F5"/>
    <w:rsid w:val="00170DE1"/>
    <w:rsid w:val="00171939"/>
    <w:rsid w:val="0017224C"/>
    <w:rsid w:val="00172A27"/>
    <w:rsid w:val="00173A6A"/>
    <w:rsid w:val="00174FD1"/>
    <w:rsid w:val="0017504D"/>
    <w:rsid w:val="0017671A"/>
    <w:rsid w:val="00176906"/>
    <w:rsid w:val="00176B6E"/>
    <w:rsid w:val="00177422"/>
    <w:rsid w:val="001777F4"/>
    <w:rsid w:val="001779C0"/>
    <w:rsid w:val="00177ABE"/>
    <w:rsid w:val="00180646"/>
    <w:rsid w:val="00180B3B"/>
    <w:rsid w:val="00180F77"/>
    <w:rsid w:val="001823AF"/>
    <w:rsid w:val="00183D83"/>
    <w:rsid w:val="00183F32"/>
    <w:rsid w:val="0018437A"/>
    <w:rsid w:val="00184590"/>
    <w:rsid w:val="001854B8"/>
    <w:rsid w:val="0018563D"/>
    <w:rsid w:val="001856FF"/>
    <w:rsid w:val="00185788"/>
    <w:rsid w:val="00185B70"/>
    <w:rsid w:val="00186014"/>
    <w:rsid w:val="00186324"/>
    <w:rsid w:val="00186517"/>
    <w:rsid w:val="00186578"/>
    <w:rsid w:val="001870D1"/>
    <w:rsid w:val="0018780F"/>
    <w:rsid w:val="0018781E"/>
    <w:rsid w:val="00190533"/>
    <w:rsid w:val="00190570"/>
    <w:rsid w:val="0019084C"/>
    <w:rsid w:val="00190EA1"/>
    <w:rsid w:val="0019130C"/>
    <w:rsid w:val="001915CE"/>
    <w:rsid w:val="00191646"/>
    <w:rsid w:val="00192558"/>
    <w:rsid w:val="0019262D"/>
    <w:rsid w:val="001931EE"/>
    <w:rsid w:val="001937B8"/>
    <w:rsid w:val="001945D3"/>
    <w:rsid w:val="00194BEA"/>
    <w:rsid w:val="00195CE6"/>
    <w:rsid w:val="0019672B"/>
    <w:rsid w:val="00196FD2"/>
    <w:rsid w:val="00197409"/>
    <w:rsid w:val="001A0081"/>
    <w:rsid w:val="001A0281"/>
    <w:rsid w:val="001A08F4"/>
    <w:rsid w:val="001A0B30"/>
    <w:rsid w:val="001A1B35"/>
    <w:rsid w:val="001A290B"/>
    <w:rsid w:val="001A2BE4"/>
    <w:rsid w:val="001A3440"/>
    <w:rsid w:val="001A352E"/>
    <w:rsid w:val="001A36C0"/>
    <w:rsid w:val="001A4103"/>
    <w:rsid w:val="001A48A2"/>
    <w:rsid w:val="001A4A76"/>
    <w:rsid w:val="001A4BD5"/>
    <w:rsid w:val="001A4D4E"/>
    <w:rsid w:val="001A524B"/>
    <w:rsid w:val="001A5853"/>
    <w:rsid w:val="001A6485"/>
    <w:rsid w:val="001A6E83"/>
    <w:rsid w:val="001A6F61"/>
    <w:rsid w:val="001A70E3"/>
    <w:rsid w:val="001A7292"/>
    <w:rsid w:val="001A7DA4"/>
    <w:rsid w:val="001B2754"/>
    <w:rsid w:val="001B29D6"/>
    <w:rsid w:val="001B2ADA"/>
    <w:rsid w:val="001B2B52"/>
    <w:rsid w:val="001B3546"/>
    <w:rsid w:val="001B3562"/>
    <w:rsid w:val="001B3D77"/>
    <w:rsid w:val="001B4015"/>
    <w:rsid w:val="001B4047"/>
    <w:rsid w:val="001B44DC"/>
    <w:rsid w:val="001B4A58"/>
    <w:rsid w:val="001B4E2B"/>
    <w:rsid w:val="001B62C7"/>
    <w:rsid w:val="001B690D"/>
    <w:rsid w:val="001B72B8"/>
    <w:rsid w:val="001B7494"/>
    <w:rsid w:val="001C1559"/>
    <w:rsid w:val="001C1B1B"/>
    <w:rsid w:val="001C1EFA"/>
    <w:rsid w:val="001C222C"/>
    <w:rsid w:val="001C2484"/>
    <w:rsid w:val="001C2619"/>
    <w:rsid w:val="001C2749"/>
    <w:rsid w:val="001C30E5"/>
    <w:rsid w:val="001C318A"/>
    <w:rsid w:val="001C5A8D"/>
    <w:rsid w:val="001C654B"/>
    <w:rsid w:val="001C6587"/>
    <w:rsid w:val="001C69B3"/>
    <w:rsid w:val="001C6AE2"/>
    <w:rsid w:val="001C7F83"/>
    <w:rsid w:val="001D005F"/>
    <w:rsid w:val="001D00F6"/>
    <w:rsid w:val="001D03EF"/>
    <w:rsid w:val="001D08D2"/>
    <w:rsid w:val="001D0F01"/>
    <w:rsid w:val="001D1084"/>
    <w:rsid w:val="001D195E"/>
    <w:rsid w:val="001D1F9F"/>
    <w:rsid w:val="001D2A57"/>
    <w:rsid w:val="001D387C"/>
    <w:rsid w:val="001D38AD"/>
    <w:rsid w:val="001D3CAD"/>
    <w:rsid w:val="001D3D1D"/>
    <w:rsid w:val="001D3D30"/>
    <w:rsid w:val="001D4122"/>
    <w:rsid w:val="001D4472"/>
    <w:rsid w:val="001D44AF"/>
    <w:rsid w:val="001D46B1"/>
    <w:rsid w:val="001D5595"/>
    <w:rsid w:val="001D59DD"/>
    <w:rsid w:val="001D5E11"/>
    <w:rsid w:val="001D66C2"/>
    <w:rsid w:val="001D67F0"/>
    <w:rsid w:val="001D6E2F"/>
    <w:rsid w:val="001D7529"/>
    <w:rsid w:val="001D7616"/>
    <w:rsid w:val="001D7874"/>
    <w:rsid w:val="001D7AB1"/>
    <w:rsid w:val="001D7F22"/>
    <w:rsid w:val="001E11DF"/>
    <w:rsid w:val="001E181D"/>
    <w:rsid w:val="001E19B5"/>
    <w:rsid w:val="001E2809"/>
    <w:rsid w:val="001E2ABB"/>
    <w:rsid w:val="001E33AD"/>
    <w:rsid w:val="001E35BF"/>
    <w:rsid w:val="001E391D"/>
    <w:rsid w:val="001E3B92"/>
    <w:rsid w:val="001E3C81"/>
    <w:rsid w:val="001E416C"/>
    <w:rsid w:val="001E4774"/>
    <w:rsid w:val="001E58A0"/>
    <w:rsid w:val="001E5D2D"/>
    <w:rsid w:val="001E6E25"/>
    <w:rsid w:val="001E76A9"/>
    <w:rsid w:val="001E7874"/>
    <w:rsid w:val="001F07D9"/>
    <w:rsid w:val="001F0D88"/>
    <w:rsid w:val="001F0F17"/>
    <w:rsid w:val="001F1109"/>
    <w:rsid w:val="001F3347"/>
    <w:rsid w:val="001F3516"/>
    <w:rsid w:val="001F39A1"/>
    <w:rsid w:val="001F3A5A"/>
    <w:rsid w:val="001F3CC2"/>
    <w:rsid w:val="001F40BE"/>
    <w:rsid w:val="001F44E5"/>
    <w:rsid w:val="001F49B6"/>
    <w:rsid w:val="001F5159"/>
    <w:rsid w:val="001F56A8"/>
    <w:rsid w:val="001F599E"/>
    <w:rsid w:val="001F5E8A"/>
    <w:rsid w:val="001F6785"/>
    <w:rsid w:val="001F69E4"/>
    <w:rsid w:val="001F70D8"/>
    <w:rsid w:val="001F79B9"/>
    <w:rsid w:val="001F7BE9"/>
    <w:rsid w:val="001F7BFA"/>
    <w:rsid w:val="001F7C97"/>
    <w:rsid w:val="002019EF"/>
    <w:rsid w:val="00201F42"/>
    <w:rsid w:val="002021A7"/>
    <w:rsid w:val="002025FD"/>
    <w:rsid w:val="00202A31"/>
    <w:rsid w:val="00202C7A"/>
    <w:rsid w:val="00202C97"/>
    <w:rsid w:val="00202CEC"/>
    <w:rsid w:val="00202DA3"/>
    <w:rsid w:val="00203343"/>
    <w:rsid w:val="00203AB7"/>
    <w:rsid w:val="00203E24"/>
    <w:rsid w:val="00204A71"/>
    <w:rsid w:val="002057F6"/>
    <w:rsid w:val="00205ECC"/>
    <w:rsid w:val="00207A70"/>
    <w:rsid w:val="00207F17"/>
    <w:rsid w:val="00210A13"/>
    <w:rsid w:val="00211B1B"/>
    <w:rsid w:val="002120F6"/>
    <w:rsid w:val="00212402"/>
    <w:rsid w:val="002125B4"/>
    <w:rsid w:val="00212EDE"/>
    <w:rsid w:val="0021439C"/>
    <w:rsid w:val="002155B8"/>
    <w:rsid w:val="0021614E"/>
    <w:rsid w:val="00216866"/>
    <w:rsid w:val="00217AFE"/>
    <w:rsid w:val="002200E8"/>
    <w:rsid w:val="00220615"/>
    <w:rsid w:val="002218C5"/>
    <w:rsid w:val="00221ECC"/>
    <w:rsid w:val="00222843"/>
    <w:rsid w:val="00222AF2"/>
    <w:rsid w:val="00223693"/>
    <w:rsid w:val="00223BFA"/>
    <w:rsid w:val="00223DFC"/>
    <w:rsid w:val="00224564"/>
    <w:rsid w:val="002246EE"/>
    <w:rsid w:val="00224839"/>
    <w:rsid w:val="002249B2"/>
    <w:rsid w:val="00224B91"/>
    <w:rsid w:val="00224DA0"/>
    <w:rsid w:val="0022517B"/>
    <w:rsid w:val="00225A23"/>
    <w:rsid w:val="00226574"/>
    <w:rsid w:val="00227016"/>
    <w:rsid w:val="002276CE"/>
    <w:rsid w:val="002278EC"/>
    <w:rsid w:val="00227DE2"/>
    <w:rsid w:val="0023018E"/>
    <w:rsid w:val="002303EA"/>
    <w:rsid w:val="002318BD"/>
    <w:rsid w:val="00231901"/>
    <w:rsid w:val="0023223D"/>
    <w:rsid w:val="0023280E"/>
    <w:rsid w:val="00232A7E"/>
    <w:rsid w:val="00232C93"/>
    <w:rsid w:val="002336D3"/>
    <w:rsid w:val="00234B9F"/>
    <w:rsid w:val="00234BD6"/>
    <w:rsid w:val="00235911"/>
    <w:rsid w:val="00235DFE"/>
    <w:rsid w:val="002363F4"/>
    <w:rsid w:val="00236464"/>
    <w:rsid w:val="002377D1"/>
    <w:rsid w:val="00237F23"/>
    <w:rsid w:val="0024075F"/>
    <w:rsid w:val="00241230"/>
    <w:rsid w:val="002419EC"/>
    <w:rsid w:val="00241BAB"/>
    <w:rsid w:val="00241FAB"/>
    <w:rsid w:val="00242349"/>
    <w:rsid w:val="00242F6D"/>
    <w:rsid w:val="00243074"/>
    <w:rsid w:val="002437B0"/>
    <w:rsid w:val="00244135"/>
    <w:rsid w:val="0024433B"/>
    <w:rsid w:val="0024462F"/>
    <w:rsid w:val="00244E17"/>
    <w:rsid w:val="002452CD"/>
    <w:rsid w:val="0024619F"/>
    <w:rsid w:val="002465AA"/>
    <w:rsid w:val="002466DF"/>
    <w:rsid w:val="00247050"/>
    <w:rsid w:val="00247A80"/>
    <w:rsid w:val="00247ABF"/>
    <w:rsid w:val="0025000C"/>
    <w:rsid w:val="002506BC"/>
    <w:rsid w:val="00250E0B"/>
    <w:rsid w:val="00251009"/>
    <w:rsid w:val="0025134B"/>
    <w:rsid w:val="00252525"/>
    <w:rsid w:val="00252CCE"/>
    <w:rsid w:val="00252E3B"/>
    <w:rsid w:val="00254345"/>
    <w:rsid w:val="00254799"/>
    <w:rsid w:val="00254BA5"/>
    <w:rsid w:val="00254C47"/>
    <w:rsid w:val="00254CE3"/>
    <w:rsid w:val="002550DC"/>
    <w:rsid w:val="00255114"/>
    <w:rsid w:val="00255C2F"/>
    <w:rsid w:val="00255EA6"/>
    <w:rsid w:val="00256128"/>
    <w:rsid w:val="002575CC"/>
    <w:rsid w:val="00257FB6"/>
    <w:rsid w:val="0026018C"/>
    <w:rsid w:val="00260449"/>
    <w:rsid w:val="002611AD"/>
    <w:rsid w:val="0026169C"/>
    <w:rsid w:val="00261ECA"/>
    <w:rsid w:val="00262A69"/>
    <w:rsid w:val="00262A98"/>
    <w:rsid w:val="0026303E"/>
    <w:rsid w:val="00263916"/>
    <w:rsid w:val="0026421F"/>
    <w:rsid w:val="002642E3"/>
    <w:rsid w:val="00264557"/>
    <w:rsid w:val="00264A2B"/>
    <w:rsid w:val="002672F0"/>
    <w:rsid w:val="00270989"/>
    <w:rsid w:val="002725CE"/>
    <w:rsid w:val="00272BB6"/>
    <w:rsid w:val="00273A4B"/>
    <w:rsid w:val="00273E04"/>
    <w:rsid w:val="0027434C"/>
    <w:rsid w:val="00274560"/>
    <w:rsid w:val="00274ACE"/>
    <w:rsid w:val="002754C7"/>
    <w:rsid w:val="002764B1"/>
    <w:rsid w:val="00276542"/>
    <w:rsid w:val="00276799"/>
    <w:rsid w:val="00276BD0"/>
    <w:rsid w:val="00276C93"/>
    <w:rsid w:val="00276FD7"/>
    <w:rsid w:val="00277DE8"/>
    <w:rsid w:val="00280311"/>
    <w:rsid w:val="0028057F"/>
    <w:rsid w:val="002805AB"/>
    <w:rsid w:val="0028129F"/>
    <w:rsid w:val="00281A8E"/>
    <w:rsid w:val="00282EDD"/>
    <w:rsid w:val="00283683"/>
    <w:rsid w:val="00283B7C"/>
    <w:rsid w:val="00284204"/>
    <w:rsid w:val="00284FC1"/>
    <w:rsid w:val="00284FC4"/>
    <w:rsid w:val="00285917"/>
    <w:rsid w:val="00285F1C"/>
    <w:rsid w:val="00286C31"/>
    <w:rsid w:val="0028740D"/>
    <w:rsid w:val="00287BEB"/>
    <w:rsid w:val="00287DA0"/>
    <w:rsid w:val="002906B3"/>
    <w:rsid w:val="00290C75"/>
    <w:rsid w:val="0029152F"/>
    <w:rsid w:val="00291773"/>
    <w:rsid w:val="00291A8D"/>
    <w:rsid w:val="00293A8D"/>
    <w:rsid w:val="00294EF1"/>
    <w:rsid w:val="0029590C"/>
    <w:rsid w:val="00295923"/>
    <w:rsid w:val="002962AA"/>
    <w:rsid w:val="00296525"/>
    <w:rsid w:val="00297037"/>
    <w:rsid w:val="002976C8"/>
    <w:rsid w:val="002A0FB1"/>
    <w:rsid w:val="002A168C"/>
    <w:rsid w:val="002A197F"/>
    <w:rsid w:val="002A1D3F"/>
    <w:rsid w:val="002A2379"/>
    <w:rsid w:val="002A3054"/>
    <w:rsid w:val="002A313A"/>
    <w:rsid w:val="002A3DC7"/>
    <w:rsid w:val="002A3E1D"/>
    <w:rsid w:val="002A458E"/>
    <w:rsid w:val="002A5036"/>
    <w:rsid w:val="002A529E"/>
    <w:rsid w:val="002A5C1F"/>
    <w:rsid w:val="002A689B"/>
    <w:rsid w:val="002B10DF"/>
    <w:rsid w:val="002B1FE1"/>
    <w:rsid w:val="002B224F"/>
    <w:rsid w:val="002B26B8"/>
    <w:rsid w:val="002B2D8F"/>
    <w:rsid w:val="002B2ECB"/>
    <w:rsid w:val="002B49E2"/>
    <w:rsid w:val="002B4C53"/>
    <w:rsid w:val="002B5C5E"/>
    <w:rsid w:val="002B5DA6"/>
    <w:rsid w:val="002B66F6"/>
    <w:rsid w:val="002B675E"/>
    <w:rsid w:val="002B6B79"/>
    <w:rsid w:val="002B6CD8"/>
    <w:rsid w:val="002B720A"/>
    <w:rsid w:val="002B770B"/>
    <w:rsid w:val="002B7B00"/>
    <w:rsid w:val="002B7C44"/>
    <w:rsid w:val="002B7DF3"/>
    <w:rsid w:val="002C03AC"/>
    <w:rsid w:val="002C0428"/>
    <w:rsid w:val="002C04BC"/>
    <w:rsid w:val="002C199D"/>
    <w:rsid w:val="002C2B17"/>
    <w:rsid w:val="002C3265"/>
    <w:rsid w:val="002C3521"/>
    <w:rsid w:val="002C395E"/>
    <w:rsid w:val="002C3CE6"/>
    <w:rsid w:val="002C3D74"/>
    <w:rsid w:val="002C4581"/>
    <w:rsid w:val="002C4E39"/>
    <w:rsid w:val="002C5195"/>
    <w:rsid w:val="002C552E"/>
    <w:rsid w:val="002C56E1"/>
    <w:rsid w:val="002C6154"/>
    <w:rsid w:val="002C6A6B"/>
    <w:rsid w:val="002C6E2D"/>
    <w:rsid w:val="002C7256"/>
    <w:rsid w:val="002C784E"/>
    <w:rsid w:val="002C7A52"/>
    <w:rsid w:val="002C7E35"/>
    <w:rsid w:val="002C7F2B"/>
    <w:rsid w:val="002D01AA"/>
    <w:rsid w:val="002D0CEB"/>
    <w:rsid w:val="002D31C4"/>
    <w:rsid w:val="002D3DD0"/>
    <w:rsid w:val="002D42F6"/>
    <w:rsid w:val="002D4F3F"/>
    <w:rsid w:val="002D5250"/>
    <w:rsid w:val="002D55AC"/>
    <w:rsid w:val="002D6283"/>
    <w:rsid w:val="002D6679"/>
    <w:rsid w:val="002E04AF"/>
    <w:rsid w:val="002E0BCE"/>
    <w:rsid w:val="002E0C3E"/>
    <w:rsid w:val="002E103F"/>
    <w:rsid w:val="002E10DA"/>
    <w:rsid w:val="002E1F3A"/>
    <w:rsid w:val="002E204E"/>
    <w:rsid w:val="002E298A"/>
    <w:rsid w:val="002E3948"/>
    <w:rsid w:val="002E3981"/>
    <w:rsid w:val="002E6262"/>
    <w:rsid w:val="002E65AF"/>
    <w:rsid w:val="002E6CF7"/>
    <w:rsid w:val="002E70F0"/>
    <w:rsid w:val="002E78C5"/>
    <w:rsid w:val="002E7AFB"/>
    <w:rsid w:val="002E7F95"/>
    <w:rsid w:val="002F165B"/>
    <w:rsid w:val="002F1999"/>
    <w:rsid w:val="002F1EB8"/>
    <w:rsid w:val="002F20E8"/>
    <w:rsid w:val="002F2464"/>
    <w:rsid w:val="002F29DB"/>
    <w:rsid w:val="002F2CA2"/>
    <w:rsid w:val="002F418C"/>
    <w:rsid w:val="002F4597"/>
    <w:rsid w:val="002F501E"/>
    <w:rsid w:val="002F5BED"/>
    <w:rsid w:val="002F7179"/>
    <w:rsid w:val="003001BA"/>
    <w:rsid w:val="0030029F"/>
    <w:rsid w:val="00300771"/>
    <w:rsid w:val="00300802"/>
    <w:rsid w:val="00300C23"/>
    <w:rsid w:val="003011D1"/>
    <w:rsid w:val="003016A3"/>
    <w:rsid w:val="00301978"/>
    <w:rsid w:val="003021D1"/>
    <w:rsid w:val="00302425"/>
    <w:rsid w:val="003025AF"/>
    <w:rsid w:val="0030287C"/>
    <w:rsid w:val="0030327E"/>
    <w:rsid w:val="0030332C"/>
    <w:rsid w:val="0030474E"/>
    <w:rsid w:val="00304C67"/>
    <w:rsid w:val="003051C2"/>
    <w:rsid w:val="00305652"/>
    <w:rsid w:val="00305917"/>
    <w:rsid w:val="00305E00"/>
    <w:rsid w:val="003071C8"/>
    <w:rsid w:val="00307C95"/>
    <w:rsid w:val="0031029C"/>
    <w:rsid w:val="00310311"/>
    <w:rsid w:val="00310548"/>
    <w:rsid w:val="0031096D"/>
    <w:rsid w:val="003115D5"/>
    <w:rsid w:val="00312296"/>
    <w:rsid w:val="003126AC"/>
    <w:rsid w:val="00313638"/>
    <w:rsid w:val="003144B0"/>
    <w:rsid w:val="00314649"/>
    <w:rsid w:val="00314759"/>
    <w:rsid w:val="00314C04"/>
    <w:rsid w:val="00314F0E"/>
    <w:rsid w:val="00315401"/>
    <w:rsid w:val="00315872"/>
    <w:rsid w:val="0031588B"/>
    <w:rsid w:val="003158FA"/>
    <w:rsid w:val="00315DE7"/>
    <w:rsid w:val="00315F95"/>
    <w:rsid w:val="00316131"/>
    <w:rsid w:val="00316EB0"/>
    <w:rsid w:val="00317D48"/>
    <w:rsid w:val="0032172F"/>
    <w:rsid w:val="0032192C"/>
    <w:rsid w:val="00321D8E"/>
    <w:rsid w:val="00322148"/>
    <w:rsid w:val="0032268D"/>
    <w:rsid w:val="003228F8"/>
    <w:rsid w:val="00322D2B"/>
    <w:rsid w:val="003247DB"/>
    <w:rsid w:val="00324EE7"/>
    <w:rsid w:val="00325429"/>
    <w:rsid w:val="00325928"/>
    <w:rsid w:val="003262BE"/>
    <w:rsid w:val="00326B10"/>
    <w:rsid w:val="003270C1"/>
    <w:rsid w:val="00327697"/>
    <w:rsid w:val="00327BFF"/>
    <w:rsid w:val="00330CD1"/>
    <w:rsid w:val="00330E87"/>
    <w:rsid w:val="003315EB"/>
    <w:rsid w:val="00331DDB"/>
    <w:rsid w:val="00332863"/>
    <w:rsid w:val="00333251"/>
    <w:rsid w:val="00333A59"/>
    <w:rsid w:val="00333BC7"/>
    <w:rsid w:val="00333EB5"/>
    <w:rsid w:val="00334199"/>
    <w:rsid w:val="003344BA"/>
    <w:rsid w:val="003347D4"/>
    <w:rsid w:val="00334B9B"/>
    <w:rsid w:val="00334F55"/>
    <w:rsid w:val="003353A8"/>
    <w:rsid w:val="00335D80"/>
    <w:rsid w:val="00335FFD"/>
    <w:rsid w:val="00336191"/>
    <w:rsid w:val="00336749"/>
    <w:rsid w:val="0033684D"/>
    <w:rsid w:val="0033743E"/>
    <w:rsid w:val="0033765F"/>
    <w:rsid w:val="00337AA6"/>
    <w:rsid w:val="00337B42"/>
    <w:rsid w:val="00337C66"/>
    <w:rsid w:val="003407A3"/>
    <w:rsid w:val="00341B42"/>
    <w:rsid w:val="0034287B"/>
    <w:rsid w:val="0034308B"/>
    <w:rsid w:val="0034348F"/>
    <w:rsid w:val="00343A8F"/>
    <w:rsid w:val="003463F3"/>
    <w:rsid w:val="003464A7"/>
    <w:rsid w:val="00346B9A"/>
    <w:rsid w:val="00350111"/>
    <w:rsid w:val="00350214"/>
    <w:rsid w:val="0035050D"/>
    <w:rsid w:val="00350644"/>
    <w:rsid w:val="00351CBB"/>
    <w:rsid w:val="003526BE"/>
    <w:rsid w:val="003529A9"/>
    <w:rsid w:val="00352ACA"/>
    <w:rsid w:val="003530B9"/>
    <w:rsid w:val="00353E53"/>
    <w:rsid w:val="003546CF"/>
    <w:rsid w:val="00356653"/>
    <w:rsid w:val="0035683A"/>
    <w:rsid w:val="0035743F"/>
    <w:rsid w:val="00357BE2"/>
    <w:rsid w:val="00357E3E"/>
    <w:rsid w:val="0036064A"/>
    <w:rsid w:val="00360B1F"/>
    <w:rsid w:val="00360BED"/>
    <w:rsid w:val="00361442"/>
    <w:rsid w:val="0036170C"/>
    <w:rsid w:val="00361FD8"/>
    <w:rsid w:val="0036215A"/>
    <w:rsid w:val="00362D9F"/>
    <w:rsid w:val="00363A79"/>
    <w:rsid w:val="00363B18"/>
    <w:rsid w:val="00364A96"/>
    <w:rsid w:val="00364EB4"/>
    <w:rsid w:val="003657E8"/>
    <w:rsid w:val="00365FC8"/>
    <w:rsid w:val="0036639F"/>
    <w:rsid w:val="00366547"/>
    <w:rsid w:val="00366792"/>
    <w:rsid w:val="00366E0F"/>
    <w:rsid w:val="00367065"/>
    <w:rsid w:val="0036734F"/>
    <w:rsid w:val="003704D9"/>
    <w:rsid w:val="00371113"/>
    <w:rsid w:val="00371BB2"/>
    <w:rsid w:val="00371BC0"/>
    <w:rsid w:val="0037233C"/>
    <w:rsid w:val="003725CE"/>
    <w:rsid w:val="003728DC"/>
    <w:rsid w:val="00372CF5"/>
    <w:rsid w:val="00372DD2"/>
    <w:rsid w:val="0037305B"/>
    <w:rsid w:val="0037392B"/>
    <w:rsid w:val="003746FC"/>
    <w:rsid w:val="00374A18"/>
    <w:rsid w:val="00374C23"/>
    <w:rsid w:val="00375F6B"/>
    <w:rsid w:val="00377074"/>
    <w:rsid w:val="00377DDD"/>
    <w:rsid w:val="00377EDB"/>
    <w:rsid w:val="0038037A"/>
    <w:rsid w:val="00380958"/>
    <w:rsid w:val="00380B31"/>
    <w:rsid w:val="0038132C"/>
    <w:rsid w:val="00381A72"/>
    <w:rsid w:val="00384676"/>
    <w:rsid w:val="003848B0"/>
    <w:rsid w:val="0038517D"/>
    <w:rsid w:val="0038531E"/>
    <w:rsid w:val="00385955"/>
    <w:rsid w:val="00385BD1"/>
    <w:rsid w:val="0038603C"/>
    <w:rsid w:val="003861AB"/>
    <w:rsid w:val="00386317"/>
    <w:rsid w:val="00386D49"/>
    <w:rsid w:val="0038719F"/>
    <w:rsid w:val="003875B7"/>
    <w:rsid w:val="00387A79"/>
    <w:rsid w:val="003906B8"/>
    <w:rsid w:val="003907F8"/>
    <w:rsid w:val="00390857"/>
    <w:rsid w:val="00390A57"/>
    <w:rsid w:val="00391201"/>
    <w:rsid w:val="003916EE"/>
    <w:rsid w:val="00392B2B"/>
    <w:rsid w:val="003934C0"/>
    <w:rsid w:val="00393539"/>
    <w:rsid w:val="00393960"/>
    <w:rsid w:val="00394365"/>
    <w:rsid w:val="0039462B"/>
    <w:rsid w:val="00394AE9"/>
    <w:rsid w:val="0039500A"/>
    <w:rsid w:val="003950B5"/>
    <w:rsid w:val="003951D9"/>
    <w:rsid w:val="0039670D"/>
    <w:rsid w:val="00396B83"/>
    <w:rsid w:val="0039705F"/>
    <w:rsid w:val="0039761B"/>
    <w:rsid w:val="00397A7F"/>
    <w:rsid w:val="003A0067"/>
    <w:rsid w:val="003A140A"/>
    <w:rsid w:val="003A14FE"/>
    <w:rsid w:val="003A2E7E"/>
    <w:rsid w:val="003A4A53"/>
    <w:rsid w:val="003A4BD9"/>
    <w:rsid w:val="003A4BF3"/>
    <w:rsid w:val="003A59CD"/>
    <w:rsid w:val="003A5BC1"/>
    <w:rsid w:val="003A5C38"/>
    <w:rsid w:val="003A68B1"/>
    <w:rsid w:val="003A7A0A"/>
    <w:rsid w:val="003B2236"/>
    <w:rsid w:val="003B2B02"/>
    <w:rsid w:val="003B33B7"/>
    <w:rsid w:val="003B3A82"/>
    <w:rsid w:val="003B420D"/>
    <w:rsid w:val="003B43BD"/>
    <w:rsid w:val="003B4476"/>
    <w:rsid w:val="003B487A"/>
    <w:rsid w:val="003B6F5D"/>
    <w:rsid w:val="003B6FE3"/>
    <w:rsid w:val="003B74F2"/>
    <w:rsid w:val="003B74FC"/>
    <w:rsid w:val="003B7E46"/>
    <w:rsid w:val="003B7E51"/>
    <w:rsid w:val="003C076D"/>
    <w:rsid w:val="003C0A13"/>
    <w:rsid w:val="003C20A1"/>
    <w:rsid w:val="003C2A35"/>
    <w:rsid w:val="003C396B"/>
    <w:rsid w:val="003C408C"/>
    <w:rsid w:val="003C4231"/>
    <w:rsid w:val="003C46AA"/>
    <w:rsid w:val="003C4C32"/>
    <w:rsid w:val="003C4D94"/>
    <w:rsid w:val="003C55DA"/>
    <w:rsid w:val="003C5D49"/>
    <w:rsid w:val="003C6C16"/>
    <w:rsid w:val="003C719B"/>
    <w:rsid w:val="003D1012"/>
    <w:rsid w:val="003D133B"/>
    <w:rsid w:val="003D1638"/>
    <w:rsid w:val="003D1C04"/>
    <w:rsid w:val="003D1E9F"/>
    <w:rsid w:val="003D2264"/>
    <w:rsid w:val="003D2A0E"/>
    <w:rsid w:val="003D2C4C"/>
    <w:rsid w:val="003D2C6C"/>
    <w:rsid w:val="003D3654"/>
    <w:rsid w:val="003D3A52"/>
    <w:rsid w:val="003D54DB"/>
    <w:rsid w:val="003D6DC5"/>
    <w:rsid w:val="003D757D"/>
    <w:rsid w:val="003D7714"/>
    <w:rsid w:val="003D794D"/>
    <w:rsid w:val="003D7C22"/>
    <w:rsid w:val="003E0010"/>
    <w:rsid w:val="003E1F12"/>
    <w:rsid w:val="003E2114"/>
    <w:rsid w:val="003E215B"/>
    <w:rsid w:val="003E2957"/>
    <w:rsid w:val="003E3058"/>
    <w:rsid w:val="003E383E"/>
    <w:rsid w:val="003E45ED"/>
    <w:rsid w:val="003E50C2"/>
    <w:rsid w:val="003E5A11"/>
    <w:rsid w:val="003E5DCF"/>
    <w:rsid w:val="003E76A9"/>
    <w:rsid w:val="003E7F05"/>
    <w:rsid w:val="003F013B"/>
    <w:rsid w:val="003F0809"/>
    <w:rsid w:val="003F1915"/>
    <w:rsid w:val="003F1C3F"/>
    <w:rsid w:val="003F1DCD"/>
    <w:rsid w:val="003F1DF2"/>
    <w:rsid w:val="003F2262"/>
    <w:rsid w:val="003F32E3"/>
    <w:rsid w:val="003F4EFA"/>
    <w:rsid w:val="003F52E0"/>
    <w:rsid w:val="003F5540"/>
    <w:rsid w:val="003F55A9"/>
    <w:rsid w:val="003F5C4E"/>
    <w:rsid w:val="003F6A8C"/>
    <w:rsid w:val="003F755C"/>
    <w:rsid w:val="003F7BB1"/>
    <w:rsid w:val="003F7DEA"/>
    <w:rsid w:val="00400F5B"/>
    <w:rsid w:val="00401E6A"/>
    <w:rsid w:val="0040282D"/>
    <w:rsid w:val="00402D2C"/>
    <w:rsid w:val="004038C3"/>
    <w:rsid w:val="0040468D"/>
    <w:rsid w:val="0040487B"/>
    <w:rsid w:val="00404D84"/>
    <w:rsid w:val="00404F33"/>
    <w:rsid w:val="0040583F"/>
    <w:rsid w:val="0040598E"/>
    <w:rsid w:val="004063F0"/>
    <w:rsid w:val="00406F01"/>
    <w:rsid w:val="00407181"/>
    <w:rsid w:val="004075C1"/>
    <w:rsid w:val="0041079D"/>
    <w:rsid w:val="00411090"/>
    <w:rsid w:val="00413089"/>
    <w:rsid w:val="004137D3"/>
    <w:rsid w:val="00413B3A"/>
    <w:rsid w:val="00413C43"/>
    <w:rsid w:val="00414034"/>
    <w:rsid w:val="0041432A"/>
    <w:rsid w:val="004145E7"/>
    <w:rsid w:val="00415C2B"/>
    <w:rsid w:val="00416914"/>
    <w:rsid w:val="00416D50"/>
    <w:rsid w:val="00416FD5"/>
    <w:rsid w:val="004173A8"/>
    <w:rsid w:val="00417772"/>
    <w:rsid w:val="00417D42"/>
    <w:rsid w:val="00420B89"/>
    <w:rsid w:val="00420E6A"/>
    <w:rsid w:val="00421D5C"/>
    <w:rsid w:val="00422423"/>
    <w:rsid w:val="00422C63"/>
    <w:rsid w:val="00422CEA"/>
    <w:rsid w:val="00422F54"/>
    <w:rsid w:val="00423322"/>
    <w:rsid w:val="00423D2A"/>
    <w:rsid w:val="00424460"/>
    <w:rsid w:val="00424994"/>
    <w:rsid w:val="00425A9E"/>
    <w:rsid w:val="00426387"/>
    <w:rsid w:val="00426D6B"/>
    <w:rsid w:val="00430488"/>
    <w:rsid w:val="00430FF8"/>
    <w:rsid w:val="00431459"/>
    <w:rsid w:val="00431606"/>
    <w:rsid w:val="00431901"/>
    <w:rsid w:val="00431E6C"/>
    <w:rsid w:val="0043237F"/>
    <w:rsid w:val="004328BA"/>
    <w:rsid w:val="00433108"/>
    <w:rsid w:val="00433113"/>
    <w:rsid w:val="00433B18"/>
    <w:rsid w:val="00433C83"/>
    <w:rsid w:val="00433CE7"/>
    <w:rsid w:val="00434501"/>
    <w:rsid w:val="004347F1"/>
    <w:rsid w:val="00434934"/>
    <w:rsid w:val="00434AA1"/>
    <w:rsid w:val="00435A34"/>
    <w:rsid w:val="00435D8A"/>
    <w:rsid w:val="0043659E"/>
    <w:rsid w:val="00437596"/>
    <w:rsid w:val="004378C4"/>
    <w:rsid w:val="00440AED"/>
    <w:rsid w:val="00441072"/>
    <w:rsid w:val="0044127E"/>
    <w:rsid w:val="004415BA"/>
    <w:rsid w:val="004420D1"/>
    <w:rsid w:val="004423B5"/>
    <w:rsid w:val="00442DDA"/>
    <w:rsid w:val="00442F05"/>
    <w:rsid w:val="00444B1A"/>
    <w:rsid w:val="004453E6"/>
    <w:rsid w:val="00446411"/>
    <w:rsid w:val="00446A52"/>
    <w:rsid w:val="00450027"/>
    <w:rsid w:val="00450FF4"/>
    <w:rsid w:val="00451023"/>
    <w:rsid w:val="00451512"/>
    <w:rsid w:val="00452215"/>
    <w:rsid w:val="00452738"/>
    <w:rsid w:val="00452E3A"/>
    <w:rsid w:val="00453886"/>
    <w:rsid w:val="00453A0B"/>
    <w:rsid w:val="00453BDA"/>
    <w:rsid w:val="00453F74"/>
    <w:rsid w:val="00454163"/>
    <w:rsid w:val="00456091"/>
    <w:rsid w:val="004567CD"/>
    <w:rsid w:val="00456AD6"/>
    <w:rsid w:val="00457E66"/>
    <w:rsid w:val="00460195"/>
    <w:rsid w:val="00460301"/>
    <w:rsid w:val="004608B2"/>
    <w:rsid w:val="00460995"/>
    <w:rsid w:val="00461989"/>
    <w:rsid w:val="00462620"/>
    <w:rsid w:val="0046332F"/>
    <w:rsid w:val="0046357B"/>
    <w:rsid w:val="0046366A"/>
    <w:rsid w:val="0046396F"/>
    <w:rsid w:val="00463D8C"/>
    <w:rsid w:val="00464C3E"/>
    <w:rsid w:val="00464CD2"/>
    <w:rsid w:val="00464D73"/>
    <w:rsid w:val="00464E08"/>
    <w:rsid w:val="00464FB2"/>
    <w:rsid w:val="0046513E"/>
    <w:rsid w:val="004651E5"/>
    <w:rsid w:val="00465761"/>
    <w:rsid w:val="00466321"/>
    <w:rsid w:val="0046731D"/>
    <w:rsid w:val="004679EC"/>
    <w:rsid w:val="00467F6B"/>
    <w:rsid w:val="0047026A"/>
    <w:rsid w:val="0047101D"/>
    <w:rsid w:val="004720F7"/>
    <w:rsid w:val="004729DB"/>
    <w:rsid w:val="00472C60"/>
    <w:rsid w:val="00473E72"/>
    <w:rsid w:val="004740DC"/>
    <w:rsid w:val="00474376"/>
    <w:rsid w:val="0047447A"/>
    <w:rsid w:val="00474A64"/>
    <w:rsid w:val="00475B9A"/>
    <w:rsid w:val="00475DED"/>
    <w:rsid w:val="00476915"/>
    <w:rsid w:val="00477273"/>
    <w:rsid w:val="00477CAA"/>
    <w:rsid w:val="00480D14"/>
    <w:rsid w:val="00481765"/>
    <w:rsid w:val="00481D1F"/>
    <w:rsid w:val="004830F1"/>
    <w:rsid w:val="0048318E"/>
    <w:rsid w:val="00483801"/>
    <w:rsid w:val="00484B9B"/>
    <w:rsid w:val="00485187"/>
    <w:rsid w:val="004853C9"/>
    <w:rsid w:val="004855F6"/>
    <w:rsid w:val="00485CF0"/>
    <w:rsid w:val="0048661E"/>
    <w:rsid w:val="00486705"/>
    <w:rsid w:val="0048674A"/>
    <w:rsid w:val="00486897"/>
    <w:rsid w:val="0048733A"/>
    <w:rsid w:val="00487D0F"/>
    <w:rsid w:val="00487DFB"/>
    <w:rsid w:val="00490478"/>
    <w:rsid w:val="00490771"/>
    <w:rsid w:val="00490FD4"/>
    <w:rsid w:val="00491171"/>
    <w:rsid w:val="00491D89"/>
    <w:rsid w:val="0049237D"/>
    <w:rsid w:val="004924BD"/>
    <w:rsid w:val="00492652"/>
    <w:rsid w:val="00492A02"/>
    <w:rsid w:val="004933DF"/>
    <w:rsid w:val="00494670"/>
    <w:rsid w:val="0049468A"/>
    <w:rsid w:val="0049489E"/>
    <w:rsid w:val="004950C8"/>
    <w:rsid w:val="00495331"/>
    <w:rsid w:val="00495AA8"/>
    <w:rsid w:val="0049647C"/>
    <w:rsid w:val="004965EC"/>
    <w:rsid w:val="004968F3"/>
    <w:rsid w:val="00497821"/>
    <w:rsid w:val="004A03C6"/>
    <w:rsid w:val="004A123D"/>
    <w:rsid w:val="004A15BD"/>
    <w:rsid w:val="004A164A"/>
    <w:rsid w:val="004A1878"/>
    <w:rsid w:val="004A2326"/>
    <w:rsid w:val="004A3823"/>
    <w:rsid w:val="004A3CC2"/>
    <w:rsid w:val="004A45F1"/>
    <w:rsid w:val="004A4ECA"/>
    <w:rsid w:val="004A6570"/>
    <w:rsid w:val="004A747F"/>
    <w:rsid w:val="004A75C6"/>
    <w:rsid w:val="004A7AA7"/>
    <w:rsid w:val="004A7ED9"/>
    <w:rsid w:val="004B00A6"/>
    <w:rsid w:val="004B0A7A"/>
    <w:rsid w:val="004B0C08"/>
    <w:rsid w:val="004B18F1"/>
    <w:rsid w:val="004B28F2"/>
    <w:rsid w:val="004B2B09"/>
    <w:rsid w:val="004B2F34"/>
    <w:rsid w:val="004B373A"/>
    <w:rsid w:val="004B439E"/>
    <w:rsid w:val="004B4ADB"/>
    <w:rsid w:val="004B6FD7"/>
    <w:rsid w:val="004B74F0"/>
    <w:rsid w:val="004C0880"/>
    <w:rsid w:val="004C10CB"/>
    <w:rsid w:val="004C1227"/>
    <w:rsid w:val="004C1573"/>
    <w:rsid w:val="004C29D2"/>
    <w:rsid w:val="004C2F76"/>
    <w:rsid w:val="004C2FDC"/>
    <w:rsid w:val="004C30DE"/>
    <w:rsid w:val="004C359D"/>
    <w:rsid w:val="004C3739"/>
    <w:rsid w:val="004C38B8"/>
    <w:rsid w:val="004C44A4"/>
    <w:rsid w:val="004C4E38"/>
    <w:rsid w:val="004C4E76"/>
    <w:rsid w:val="004C52D2"/>
    <w:rsid w:val="004C5D37"/>
    <w:rsid w:val="004C5EF3"/>
    <w:rsid w:val="004C729A"/>
    <w:rsid w:val="004C72A5"/>
    <w:rsid w:val="004C750B"/>
    <w:rsid w:val="004D0803"/>
    <w:rsid w:val="004D0848"/>
    <w:rsid w:val="004D145B"/>
    <w:rsid w:val="004D19C1"/>
    <w:rsid w:val="004D1BC5"/>
    <w:rsid w:val="004D1D21"/>
    <w:rsid w:val="004D2111"/>
    <w:rsid w:val="004D2A46"/>
    <w:rsid w:val="004D31D7"/>
    <w:rsid w:val="004D3576"/>
    <w:rsid w:val="004D35F7"/>
    <w:rsid w:val="004D367E"/>
    <w:rsid w:val="004D49A5"/>
    <w:rsid w:val="004D5D5E"/>
    <w:rsid w:val="004D6467"/>
    <w:rsid w:val="004D6BCF"/>
    <w:rsid w:val="004E10CC"/>
    <w:rsid w:val="004E12E4"/>
    <w:rsid w:val="004E1A33"/>
    <w:rsid w:val="004E2C23"/>
    <w:rsid w:val="004E3A85"/>
    <w:rsid w:val="004E3D38"/>
    <w:rsid w:val="004E55A7"/>
    <w:rsid w:val="004E5ECA"/>
    <w:rsid w:val="004E6946"/>
    <w:rsid w:val="004E77D8"/>
    <w:rsid w:val="004F0513"/>
    <w:rsid w:val="004F0707"/>
    <w:rsid w:val="004F1451"/>
    <w:rsid w:val="004F16C8"/>
    <w:rsid w:val="004F1AD8"/>
    <w:rsid w:val="004F1C1A"/>
    <w:rsid w:val="004F1EDB"/>
    <w:rsid w:val="004F38EB"/>
    <w:rsid w:val="004F47A1"/>
    <w:rsid w:val="004F4F5E"/>
    <w:rsid w:val="004F512C"/>
    <w:rsid w:val="004F5390"/>
    <w:rsid w:val="004F6049"/>
    <w:rsid w:val="004F61E7"/>
    <w:rsid w:val="004F69A7"/>
    <w:rsid w:val="004F6A7A"/>
    <w:rsid w:val="004F6BBF"/>
    <w:rsid w:val="004F7766"/>
    <w:rsid w:val="005001DD"/>
    <w:rsid w:val="005005A3"/>
    <w:rsid w:val="00500D4F"/>
    <w:rsid w:val="00501E52"/>
    <w:rsid w:val="0050255B"/>
    <w:rsid w:val="005029EF"/>
    <w:rsid w:val="005038EF"/>
    <w:rsid w:val="005039CB"/>
    <w:rsid w:val="00503A0E"/>
    <w:rsid w:val="00503F22"/>
    <w:rsid w:val="00504B99"/>
    <w:rsid w:val="00505111"/>
    <w:rsid w:val="0050558F"/>
    <w:rsid w:val="0050560C"/>
    <w:rsid w:val="00506286"/>
    <w:rsid w:val="005065D8"/>
    <w:rsid w:val="005067FA"/>
    <w:rsid w:val="00506C2B"/>
    <w:rsid w:val="005076DF"/>
    <w:rsid w:val="00510813"/>
    <w:rsid w:val="0051101D"/>
    <w:rsid w:val="0051104E"/>
    <w:rsid w:val="00511189"/>
    <w:rsid w:val="005116E9"/>
    <w:rsid w:val="00511990"/>
    <w:rsid w:val="00511A3A"/>
    <w:rsid w:val="00511A8D"/>
    <w:rsid w:val="00511DE0"/>
    <w:rsid w:val="005120BE"/>
    <w:rsid w:val="0051306B"/>
    <w:rsid w:val="00513C59"/>
    <w:rsid w:val="00514870"/>
    <w:rsid w:val="00514B9B"/>
    <w:rsid w:val="00515560"/>
    <w:rsid w:val="005163FF"/>
    <w:rsid w:val="00516CE3"/>
    <w:rsid w:val="0051760B"/>
    <w:rsid w:val="00517906"/>
    <w:rsid w:val="00517CE6"/>
    <w:rsid w:val="00517F02"/>
    <w:rsid w:val="005201DB"/>
    <w:rsid w:val="00522489"/>
    <w:rsid w:val="00522492"/>
    <w:rsid w:val="005241AF"/>
    <w:rsid w:val="00524303"/>
    <w:rsid w:val="00524847"/>
    <w:rsid w:val="00524F99"/>
    <w:rsid w:val="005257E6"/>
    <w:rsid w:val="005258A2"/>
    <w:rsid w:val="00526204"/>
    <w:rsid w:val="00526241"/>
    <w:rsid w:val="00526881"/>
    <w:rsid w:val="005270B6"/>
    <w:rsid w:val="00527225"/>
    <w:rsid w:val="00527402"/>
    <w:rsid w:val="005278E3"/>
    <w:rsid w:val="00527AAD"/>
    <w:rsid w:val="00530AA0"/>
    <w:rsid w:val="00530E76"/>
    <w:rsid w:val="005332A8"/>
    <w:rsid w:val="00533300"/>
    <w:rsid w:val="00533C9B"/>
    <w:rsid w:val="0053465F"/>
    <w:rsid w:val="005348A7"/>
    <w:rsid w:val="00534B93"/>
    <w:rsid w:val="00535D91"/>
    <w:rsid w:val="00536766"/>
    <w:rsid w:val="00536B90"/>
    <w:rsid w:val="00536C09"/>
    <w:rsid w:val="00540021"/>
    <w:rsid w:val="005401AE"/>
    <w:rsid w:val="0054081B"/>
    <w:rsid w:val="00540AA2"/>
    <w:rsid w:val="00540E85"/>
    <w:rsid w:val="0054168F"/>
    <w:rsid w:val="00541EFD"/>
    <w:rsid w:val="005422D9"/>
    <w:rsid w:val="0054264B"/>
    <w:rsid w:val="00542E07"/>
    <w:rsid w:val="00543035"/>
    <w:rsid w:val="005430F4"/>
    <w:rsid w:val="00545424"/>
    <w:rsid w:val="00545CA0"/>
    <w:rsid w:val="00547B50"/>
    <w:rsid w:val="00550486"/>
    <w:rsid w:val="00550611"/>
    <w:rsid w:val="00550E20"/>
    <w:rsid w:val="00552062"/>
    <w:rsid w:val="0055309C"/>
    <w:rsid w:val="005533E4"/>
    <w:rsid w:val="00554A7B"/>
    <w:rsid w:val="00554F43"/>
    <w:rsid w:val="0055572C"/>
    <w:rsid w:val="005558B3"/>
    <w:rsid w:val="00557803"/>
    <w:rsid w:val="005578D7"/>
    <w:rsid w:val="00557EC2"/>
    <w:rsid w:val="0056041E"/>
    <w:rsid w:val="00560613"/>
    <w:rsid w:val="00560647"/>
    <w:rsid w:val="00560756"/>
    <w:rsid w:val="00560790"/>
    <w:rsid w:val="00560810"/>
    <w:rsid w:val="00560E5E"/>
    <w:rsid w:val="00560FCF"/>
    <w:rsid w:val="0056106A"/>
    <w:rsid w:val="005613BF"/>
    <w:rsid w:val="005628C6"/>
    <w:rsid w:val="00562953"/>
    <w:rsid w:val="00563D21"/>
    <w:rsid w:val="00564157"/>
    <w:rsid w:val="00564240"/>
    <w:rsid w:val="00564F09"/>
    <w:rsid w:val="00565570"/>
    <w:rsid w:val="0056558F"/>
    <w:rsid w:val="00565678"/>
    <w:rsid w:val="00565DD2"/>
    <w:rsid w:val="005665B8"/>
    <w:rsid w:val="00566BDC"/>
    <w:rsid w:val="00567E50"/>
    <w:rsid w:val="0057081C"/>
    <w:rsid w:val="005714D5"/>
    <w:rsid w:val="005718D5"/>
    <w:rsid w:val="005720AE"/>
    <w:rsid w:val="005722F3"/>
    <w:rsid w:val="0057238D"/>
    <w:rsid w:val="005730EF"/>
    <w:rsid w:val="00573B1D"/>
    <w:rsid w:val="005750AD"/>
    <w:rsid w:val="0057569E"/>
    <w:rsid w:val="00575C4F"/>
    <w:rsid w:val="00577C32"/>
    <w:rsid w:val="00577E2C"/>
    <w:rsid w:val="00582B25"/>
    <w:rsid w:val="005830FA"/>
    <w:rsid w:val="005831B7"/>
    <w:rsid w:val="00583264"/>
    <w:rsid w:val="00585A21"/>
    <w:rsid w:val="005865EC"/>
    <w:rsid w:val="00586D64"/>
    <w:rsid w:val="00586F9F"/>
    <w:rsid w:val="00587A35"/>
    <w:rsid w:val="00587F1A"/>
    <w:rsid w:val="005901D7"/>
    <w:rsid w:val="00590A72"/>
    <w:rsid w:val="00592C9C"/>
    <w:rsid w:val="00592CF7"/>
    <w:rsid w:val="00592FDD"/>
    <w:rsid w:val="005937C5"/>
    <w:rsid w:val="0059467F"/>
    <w:rsid w:val="00594BA0"/>
    <w:rsid w:val="00594D77"/>
    <w:rsid w:val="0059606A"/>
    <w:rsid w:val="00596917"/>
    <w:rsid w:val="005969E4"/>
    <w:rsid w:val="00596AB2"/>
    <w:rsid w:val="005A0215"/>
    <w:rsid w:val="005A06B7"/>
    <w:rsid w:val="005A0A3D"/>
    <w:rsid w:val="005A0A65"/>
    <w:rsid w:val="005A0D64"/>
    <w:rsid w:val="005A13C1"/>
    <w:rsid w:val="005A1759"/>
    <w:rsid w:val="005A1AD0"/>
    <w:rsid w:val="005A1B3A"/>
    <w:rsid w:val="005A2666"/>
    <w:rsid w:val="005A3243"/>
    <w:rsid w:val="005A32EB"/>
    <w:rsid w:val="005A3A02"/>
    <w:rsid w:val="005A4F0E"/>
    <w:rsid w:val="005A53BA"/>
    <w:rsid w:val="005A5769"/>
    <w:rsid w:val="005A5A0D"/>
    <w:rsid w:val="005A673A"/>
    <w:rsid w:val="005A68A7"/>
    <w:rsid w:val="005A6F34"/>
    <w:rsid w:val="005A7E3A"/>
    <w:rsid w:val="005B01A4"/>
    <w:rsid w:val="005B0CE0"/>
    <w:rsid w:val="005B222D"/>
    <w:rsid w:val="005B2D2F"/>
    <w:rsid w:val="005B44D4"/>
    <w:rsid w:val="005B46F7"/>
    <w:rsid w:val="005B5C41"/>
    <w:rsid w:val="005B5F1B"/>
    <w:rsid w:val="005B6209"/>
    <w:rsid w:val="005B6DD6"/>
    <w:rsid w:val="005B6EFA"/>
    <w:rsid w:val="005B6F08"/>
    <w:rsid w:val="005B7634"/>
    <w:rsid w:val="005C03B7"/>
    <w:rsid w:val="005C0CC9"/>
    <w:rsid w:val="005C20DC"/>
    <w:rsid w:val="005C3113"/>
    <w:rsid w:val="005C41CB"/>
    <w:rsid w:val="005C42DA"/>
    <w:rsid w:val="005C53E4"/>
    <w:rsid w:val="005C6BE2"/>
    <w:rsid w:val="005C7670"/>
    <w:rsid w:val="005D0BD3"/>
    <w:rsid w:val="005D125A"/>
    <w:rsid w:val="005D24AF"/>
    <w:rsid w:val="005D2924"/>
    <w:rsid w:val="005D36AB"/>
    <w:rsid w:val="005D38B4"/>
    <w:rsid w:val="005D602C"/>
    <w:rsid w:val="005D613F"/>
    <w:rsid w:val="005D63DE"/>
    <w:rsid w:val="005D6983"/>
    <w:rsid w:val="005D6BFE"/>
    <w:rsid w:val="005D7122"/>
    <w:rsid w:val="005D71DC"/>
    <w:rsid w:val="005D7A9D"/>
    <w:rsid w:val="005E08BC"/>
    <w:rsid w:val="005E0BB0"/>
    <w:rsid w:val="005E1EF6"/>
    <w:rsid w:val="005E207C"/>
    <w:rsid w:val="005E2B65"/>
    <w:rsid w:val="005E340C"/>
    <w:rsid w:val="005E35D7"/>
    <w:rsid w:val="005E36F0"/>
    <w:rsid w:val="005E3D00"/>
    <w:rsid w:val="005E3FF1"/>
    <w:rsid w:val="005E4255"/>
    <w:rsid w:val="005E4EC6"/>
    <w:rsid w:val="005E665A"/>
    <w:rsid w:val="005E677B"/>
    <w:rsid w:val="005E680F"/>
    <w:rsid w:val="005E71FC"/>
    <w:rsid w:val="005E733B"/>
    <w:rsid w:val="005E780E"/>
    <w:rsid w:val="005F0E75"/>
    <w:rsid w:val="005F198A"/>
    <w:rsid w:val="005F20C1"/>
    <w:rsid w:val="005F464B"/>
    <w:rsid w:val="005F5437"/>
    <w:rsid w:val="005F5D68"/>
    <w:rsid w:val="005F642F"/>
    <w:rsid w:val="005F76DF"/>
    <w:rsid w:val="005F779F"/>
    <w:rsid w:val="005F7D29"/>
    <w:rsid w:val="005F7F50"/>
    <w:rsid w:val="00600563"/>
    <w:rsid w:val="00601C64"/>
    <w:rsid w:val="00603D25"/>
    <w:rsid w:val="0060401C"/>
    <w:rsid w:val="00604C9A"/>
    <w:rsid w:val="00605147"/>
    <w:rsid w:val="00605824"/>
    <w:rsid w:val="006072AB"/>
    <w:rsid w:val="00607F55"/>
    <w:rsid w:val="00611194"/>
    <w:rsid w:val="00611427"/>
    <w:rsid w:val="0061239F"/>
    <w:rsid w:val="00612C6F"/>
    <w:rsid w:val="00612E62"/>
    <w:rsid w:val="006133BC"/>
    <w:rsid w:val="006136E1"/>
    <w:rsid w:val="00613B9E"/>
    <w:rsid w:val="00614C52"/>
    <w:rsid w:val="0061518A"/>
    <w:rsid w:val="006151D3"/>
    <w:rsid w:val="00615273"/>
    <w:rsid w:val="0061553E"/>
    <w:rsid w:val="00615E4D"/>
    <w:rsid w:val="00615EDB"/>
    <w:rsid w:val="0061615D"/>
    <w:rsid w:val="00616269"/>
    <w:rsid w:val="0061649D"/>
    <w:rsid w:val="00617435"/>
    <w:rsid w:val="00617B9C"/>
    <w:rsid w:val="00617CC3"/>
    <w:rsid w:val="00622038"/>
    <w:rsid w:val="00622AE8"/>
    <w:rsid w:val="00622C52"/>
    <w:rsid w:val="00625069"/>
    <w:rsid w:val="00625969"/>
    <w:rsid w:val="00626404"/>
    <w:rsid w:val="00626610"/>
    <w:rsid w:val="00626E22"/>
    <w:rsid w:val="00627F7B"/>
    <w:rsid w:val="00630269"/>
    <w:rsid w:val="00630618"/>
    <w:rsid w:val="00631139"/>
    <w:rsid w:val="00631B81"/>
    <w:rsid w:val="00631F37"/>
    <w:rsid w:val="00633F7B"/>
    <w:rsid w:val="006346BF"/>
    <w:rsid w:val="00634E6F"/>
    <w:rsid w:val="00635C03"/>
    <w:rsid w:val="00635D92"/>
    <w:rsid w:val="00636064"/>
    <w:rsid w:val="0063645E"/>
    <w:rsid w:val="006367B4"/>
    <w:rsid w:val="006368E2"/>
    <w:rsid w:val="00636A52"/>
    <w:rsid w:val="00636F6C"/>
    <w:rsid w:val="006371CC"/>
    <w:rsid w:val="00637225"/>
    <w:rsid w:val="006377A6"/>
    <w:rsid w:val="006377C6"/>
    <w:rsid w:val="00637A3D"/>
    <w:rsid w:val="00637E6D"/>
    <w:rsid w:val="0064112F"/>
    <w:rsid w:val="006411E0"/>
    <w:rsid w:val="006411EF"/>
    <w:rsid w:val="0064130B"/>
    <w:rsid w:val="006413FE"/>
    <w:rsid w:val="006414AA"/>
    <w:rsid w:val="00641D01"/>
    <w:rsid w:val="00641ECC"/>
    <w:rsid w:val="0064221F"/>
    <w:rsid w:val="00642AA1"/>
    <w:rsid w:val="00642EC4"/>
    <w:rsid w:val="006437FE"/>
    <w:rsid w:val="006439D7"/>
    <w:rsid w:val="00643B9C"/>
    <w:rsid w:val="00644321"/>
    <w:rsid w:val="00644405"/>
    <w:rsid w:val="0064491C"/>
    <w:rsid w:val="0064649A"/>
    <w:rsid w:val="006466E3"/>
    <w:rsid w:val="00650187"/>
    <w:rsid w:val="00652EF2"/>
    <w:rsid w:val="0065386F"/>
    <w:rsid w:val="00653A2A"/>
    <w:rsid w:val="00653ABA"/>
    <w:rsid w:val="006540DF"/>
    <w:rsid w:val="00654711"/>
    <w:rsid w:val="00654B30"/>
    <w:rsid w:val="00654C23"/>
    <w:rsid w:val="00654FF9"/>
    <w:rsid w:val="0065560F"/>
    <w:rsid w:val="006558CB"/>
    <w:rsid w:val="00655C20"/>
    <w:rsid w:val="00655DBA"/>
    <w:rsid w:val="0065747B"/>
    <w:rsid w:val="0065799B"/>
    <w:rsid w:val="006607CE"/>
    <w:rsid w:val="00660B94"/>
    <w:rsid w:val="006613D9"/>
    <w:rsid w:val="00661846"/>
    <w:rsid w:val="00661947"/>
    <w:rsid w:val="00661AF5"/>
    <w:rsid w:val="00661F60"/>
    <w:rsid w:val="00662E67"/>
    <w:rsid w:val="0066322C"/>
    <w:rsid w:val="00663BFA"/>
    <w:rsid w:val="00663C1C"/>
    <w:rsid w:val="00663E03"/>
    <w:rsid w:val="00664359"/>
    <w:rsid w:val="0066450B"/>
    <w:rsid w:val="00664655"/>
    <w:rsid w:val="006648BE"/>
    <w:rsid w:val="006648D7"/>
    <w:rsid w:val="00664A60"/>
    <w:rsid w:val="00665698"/>
    <w:rsid w:val="00666675"/>
    <w:rsid w:val="0067186D"/>
    <w:rsid w:val="00671ECC"/>
    <w:rsid w:val="0067415E"/>
    <w:rsid w:val="00674899"/>
    <w:rsid w:val="006748B8"/>
    <w:rsid w:val="00674E50"/>
    <w:rsid w:val="0067502B"/>
    <w:rsid w:val="00676140"/>
    <w:rsid w:val="00676873"/>
    <w:rsid w:val="0067732B"/>
    <w:rsid w:val="006775C3"/>
    <w:rsid w:val="00680B0A"/>
    <w:rsid w:val="006817CE"/>
    <w:rsid w:val="006818AA"/>
    <w:rsid w:val="006818AC"/>
    <w:rsid w:val="00681B01"/>
    <w:rsid w:val="00681F24"/>
    <w:rsid w:val="006820EF"/>
    <w:rsid w:val="00682377"/>
    <w:rsid w:val="006827B2"/>
    <w:rsid w:val="00682915"/>
    <w:rsid w:val="00682951"/>
    <w:rsid w:val="00683BC6"/>
    <w:rsid w:val="00683C17"/>
    <w:rsid w:val="00684186"/>
    <w:rsid w:val="006841AE"/>
    <w:rsid w:val="00684CCE"/>
    <w:rsid w:val="0068504D"/>
    <w:rsid w:val="00685242"/>
    <w:rsid w:val="00686227"/>
    <w:rsid w:val="00686E25"/>
    <w:rsid w:val="006877D7"/>
    <w:rsid w:val="00690A0A"/>
    <w:rsid w:val="00691869"/>
    <w:rsid w:val="00691EC3"/>
    <w:rsid w:val="00692236"/>
    <w:rsid w:val="00692430"/>
    <w:rsid w:val="00692722"/>
    <w:rsid w:val="0069290A"/>
    <w:rsid w:val="00692CAD"/>
    <w:rsid w:val="00692E82"/>
    <w:rsid w:val="006935D6"/>
    <w:rsid w:val="00694313"/>
    <w:rsid w:val="006945DC"/>
    <w:rsid w:val="006951B3"/>
    <w:rsid w:val="00695763"/>
    <w:rsid w:val="006960F1"/>
    <w:rsid w:val="006962E9"/>
    <w:rsid w:val="006964E1"/>
    <w:rsid w:val="0069662D"/>
    <w:rsid w:val="006966BF"/>
    <w:rsid w:val="00696E5F"/>
    <w:rsid w:val="00696F68"/>
    <w:rsid w:val="00696FAB"/>
    <w:rsid w:val="00697006"/>
    <w:rsid w:val="00697146"/>
    <w:rsid w:val="0069775A"/>
    <w:rsid w:val="00697813"/>
    <w:rsid w:val="006A0152"/>
    <w:rsid w:val="006A0909"/>
    <w:rsid w:val="006A10FA"/>
    <w:rsid w:val="006A1531"/>
    <w:rsid w:val="006A1869"/>
    <w:rsid w:val="006A2E5D"/>
    <w:rsid w:val="006A3A1B"/>
    <w:rsid w:val="006A3A7F"/>
    <w:rsid w:val="006A3A9C"/>
    <w:rsid w:val="006A3DB4"/>
    <w:rsid w:val="006A3DD8"/>
    <w:rsid w:val="006A3EE8"/>
    <w:rsid w:val="006A4C6E"/>
    <w:rsid w:val="006A4C70"/>
    <w:rsid w:val="006A4D95"/>
    <w:rsid w:val="006A4DFB"/>
    <w:rsid w:val="006A5094"/>
    <w:rsid w:val="006A567A"/>
    <w:rsid w:val="006A6DEE"/>
    <w:rsid w:val="006A72BF"/>
    <w:rsid w:val="006A7362"/>
    <w:rsid w:val="006A7455"/>
    <w:rsid w:val="006A7488"/>
    <w:rsid w:val="006A77B5"/>
    <w:rsid w:val="006A7FAC"/>
    <w:rsid w:val="006B03F2"/>
    <w:rsid w:val="006B09F5"/>
    <w:rsid w:val="006B0B20"/>
    <w:rsid w:val="006B0BBE"/>
    <w:rsid w:val="006B1A48"/>
    <w:rsid w:val="006B1E40"/>
    <w:rsid w:val="006B200B"/>
    <w:rsid w:val="006B3151"/>
    <w:rsid w:val="006B358C"/>
    <w:rsid w:val="006B37DC"/>
    <w:rsid w:val="006B3AF6"/>
    <w:rsid w:val="006B4743"/>
    <w:rsid w:val="006B4F68"/>
    <w:rsid w:val="006B5B70"/>
    <w:rsid w:val="006B67D9"/>
    <w:rsid w:val="006B77FF"/>
    <w:rsid w:val="006B7E23"/>
    <w:rsid w:val="006C0592"/>
    <w:rsid w:val="006C05B7"/>
    <w:rsid w:val="006C1009"/>
    <w:rsid w:val="006C23A0"/>
    <w:rsid w:val="006C23C0"/>
    <w:rsid w:val="006C26D3"/>
    <w:rsid w:val="006C272E"/>
    <w:rsid w:val="006C2964"/>
    <w:rsid w:val="006C31B6"/>
    <w:rsid w:val="006C4C85"/>
    <w:rsid w:val="006C534D"/>
    <w:rsid w:val="006C5479"/>
    <w:rsid w:val="006C62EC"/>
    <w:rsid w:val="006C6FC7"/>
    <w:rsid w:val="006D13A5"/>
    <w:rsid w:val="006D13B5"/>
    <w:rsid w:val="006D1A84"/>
    <w:rsid w:val="006D2923"/>
    <w:rsid w:val="006D2B80"/>
    <w:rsid w:val="006D3031"/>
    <w:rsid w:val="006D3297"/>
    <w:rsid w:val="006D329E"/>
    <w:rsid w:val="006D345E"/>
    <w:rsid w:val="006D3E46"/>
    <w:rsid w:val="006D3EBA"/>
    <w:rsid w:val="006D401F"/>
    <w:rsid w:val="006D40AD"/>
    <w:rsid w:val="006D4345"/>
    <w:rsid w:val="006D4E66"/>
    <w:rsid w:val="006D546D"/>
    <w:rsid w:val="006D699A"/>
    <w:rsid w:val="006D6F57"/>
    <w:rsid w:val="006D7614"/>
    <w:rsid w:val="006E00C4"/>
    <w:rsid w:val="006E0CD6"/>
    <w:rsid w:val="006E0DE9"/>
    <w:rsid w:val="006E12FF"/>
    <w:rsid w:val="006E13D7"/>
    <w:rsid w:val="006E2834"/>
    <w:rsid w:val="006E31DF"/>
    <w:rsid w:val="006E3F31"/>
    <w:rsid w:val="006E402D"/>
    <w:rsid w:val="006E44DB"/>
    <w:rsid w:val="006E4770"/>
    <w:rsid w:val="006E4829"/>
    <w:rsid w:val="006E4E80"/>
    <w:rsid w:val="006E512F"/>
    <w:rsid w:val="006E513D"/>
    <w:rsid w:val="006E524D"/>
    <w:rsid w:val="006E607E"/>
    <w:rsid w:val="006E6AA0"/>
    <w:rsid w:val="006E6F5D"/>
    <w:rsid w:val="006E73BD"/>
    <w:rsid w:val="006E7639"/>
    <w:rsid w:val="006E7B18"/>
    <w:rsid w:val="006E7ECA"/>
    <w:rsid w:val="006F035F"/>
    <w:rsid w:val="006F133E"/>
    <w:rsid w:val="006F1DD6"/>
    <w:rsid w:val="006F285D"/>
    <w:rsid w:val="006F2889"/>
    <w:rsid w:val="006F28C7"/>
    <w:rsid w:val="006F2F6E"/>
    <w:rsid w:val="006F3028"/>
    <w:rsid w:val="006F34F4"/>
    <w:rsid w:val="006F36EC"/>
    <w:rsid w:val="006F5283"/>
    <w:rsid w:val="006F5467"/>
    <w:rsid w:val="006F6577"/>
    <w:rsid w:val="006F6F9D"/>
    <w:rsid w:val="006F70BF"/>
    <w:rsid w:val="006F78F6"/>
    <w:rsid w:val="006F7DF3"/>
    <w:rsid w:val="0070021E"/>
    <w:rsid w:val="007009F2"/>
    <w:rsid w:val="00700FC2"/>
    <w:rsid w:val="0070153C"/>
    <w:rsid w:val="007015B1"/>
    <w:rsid w:val="0070178E"/>
    <w:rsid w:val="007019AD"/>
    <w:rsid w:val="00701A0D"/>
    <w:rsid w:val="00701B15"/>
    <w:rsid w:val="007043E8"/>
    <w:rsid w:val="007043FA"/>
    <w:rsid w:val="007049A9"/>
    <w:rsid w:val="00704C40"/>
    <w:rsid w:val="00705135"/>
    <w:rsid w:val="0070610D"/>
    <w:rsid w:val="0070632D"/>
    <w:rsid w:val="007066B2"/>
    <w:rsid w:val="00706C5D"/>
    <w:rsid w:val="007071BA"/>
    <w:rsid w:val="00707592"/>
    <w:rsid w:val="0070777A"/>
    <w:rsid w:val="00707D5C"/>
    <w:rsid w:val="00707DA3"/>
    <w:rsid w:val="007107A5"/>
    <w:rsid w:val="00710B24"/>
    <w:rsid w:val="007116F3"/>
    <w:rsid w:val="00712340"/>
    <w:rsid w:val="007123AB"/>
    <w:rsid w:val="007140A7"/>
    <w:rsid w:val="007140FF"/>
    <w:rsid w:val="007150E1"/>
    <w:rsid w:val="00715443"/>
    <w:rsid w:val="007165B7"/>
    <w:rsid w:val="007173F2"/>
    <w:rsid w:val="00717A36"/>
    <w:rsid w:val="00717C19"/>
    <w:rsid w:val="00717F6B"/>
    <w:rsid w:val="0072006C"/>
    <w:rsid w:val="00721175"/>
    <w:rsid w:val="00721420"/>
    <w:rsid w:val="0072241D"/>
    <w:rsid w:val="00722546"/>
    <w:rsid w:val="00722B7B"/>
    <w:rsid w:val="00723625"/>
    <w:rsid w:val="00723A6F"/>
    <w:rsid w:val="007256BE"/>
    <w:rsid w:val="007259C2"/>
    <w:rsid w:val="00727E24"/>
    <w:rsid w:val="00731FC7"/>
    <w:rsid w:val="0073213D"/>
    <w:rsid w:val="00732922"/>
    <w:rsid w:val="007329B7"/>
    <w:rsid w:val="00732ACA"/>
    <w:rsid w:val="007330B9"/>
    <w:rsid w:val="007337E4"/>
    <w:rsid w:val="007339D7"/>
    <w:rsid w:val="00733C38"/>
    <w:rsid w:val="00734AE0"/>
    <w:rsid w:val="007352E0"/>
    <w:rsid w:val="007352E4"/>
    <w:rsid w:val="00735921"/>
    <w:rsid w:val="00735C52"/>
    <w:rsid w:val="0073662C"/>
    <w:rsid w:val="00736BB1"/>
    <w:rsid w:val="00736FA4"/>
    <w:rsid w:val="007373A0"/>
    <w:rsid w:val="00737CCB"/>
    <w:rsid w:val="0074190B"/>
    <w:rsid w:val="00741A1C"/>
    <w:rsid w:val="00741C00"/>
    <w:rsid w:val="00741DCC"/>
    <w:rsid w:val="007429EB"/>
    <w:rsid w:val="007435A3"/>
    <w:rsid w:val="00744A7A"/>
    <w:rsid w:val="00745370"/>
    <w:rsid w:val="007462E1"/>
    <w:rsid w:val="007466C3"/>
    <w:rsid w:val="00747112"/>
    <w:rsid w:val="0074739C"/>
    <w:rsid w:val="007506C9"/>
    <w:rsid w:val="0075162E"/>
    <w:rsid w:val="007516AA"/>
    <w:rsid w:val="0075259E"/>
    <w:rsid w:val="0075356B"/>
    <w:rsid w:val="00754034"/>
    <w:rsid w:val="00754B04"/>
    <w:rsid w:val="00755946"/>
    <w:rsid w:val="00756067"/>
    <w:rsid w:val="0075648D"/>
    <w:rsid w:val="00756556"/>
    <w:rsid w:val="00756A40"/>
    <w:rsid w:val="0075747D"/>
    <w:rsid w:val="00757718"/>
    <w:rsid w:val="00757D6E"/>
    <w:rsid w:val="00757E6E"/>
    <w:rsid w:val="00760844"/>
    <w:rsid w:val="00760F43"/>
    <w:rsid w:val="007617F9"/>
    <w:rsid w:val="007618C4"/>
    <w:rsid w:val="00762006"/>
    <w:rsid w:val="00762C60"/>
    <w:rsid w:val="00762CCB"/>
    <w:rsid w:val="00762D12"/>
    <w:rsid w:val="0076356B"/>
    <w:rsid w:val="007641C3"/>
    <w:rsid w:val="007653E7"/>
    <w:rsid w:val="00765875"/>
    <w:rsid w:val="00765D59"/>
    <w:rsid w:val="00765E26"/>
    <w:rsid w:val="00766595"/>
    <w:rsid w:val="00766F4C"/>
    <w:rsid w:val="00767938"/>
    <w:rsid w:val="00767980"/>
    <w:rsid w:val="00767A52"/>
    <w:rsid w:val="007704A8"/>
    <w:rsid w:val="00770B19"/>
    <w:rsid w:val="007710AC"/>
    <w:rsid w:val="00771CB5"/>
    <w:rsid w:val="007724C2"/>
    <w:rsid w:val="007727B8"/>
    <w:rsid w:val="00772B25"/>
    <w:rsid w:val="007735A8"/>
    <w:rsid w:val="0077463F"/>
    <w:rsid w:val="007747E2"/>
    <w:rsid w:val="00774D3A"/>
    <w:rsid w:val="0077500C"/>
    <w:rsid w:val="00775117"/>
    <w:rsid w:val="0077563A"/>
    <w:rsid w:val="00775E6E"/>
    <w:rsid w:val="007777CF"/>
    <w:rsid w:val="00780966"/>
    <w:rsid w:val="00781BD5"/>
    <w:rsid w:val="00782196"/>
    <w:rsid w:val="00782504"/>
    <w:rsid w:val="0078268B"/>
    <w:rsid w:val="00783063"/>
    <w:rsid w:val="00783087"/>
    <w:rsid w:val="0078329C"/>
    <w:rsid w:val="007836CB"/>
    <w:rsid w:val="007836EA"/>
    <w:rsid w:val="0078391A"/>
    <w:rsid w:val="00784CDA"/>
    <w:rsid w:val="00784EF7"/>
    <w:rsid w:val="00785A40"/>
    <w:rsid w:val="00786044"/>
    <w:rsid w:val="007860B3"/>
    <w:rsid w:val="00786CBC"/>
    <w:rsid w:val="0078744B"/>
    <w:rsid w:val="00787578"/>
    <w:rsid w:val="0078763D"/>
    <w:rsid w:val="007906C4"/>
    <w:rsid w:val="00791249"/>
    <w:rsid w:val="007914F5"/>
    <w:rsid w:val="00792C14"/>
    <w:rsid w:val="00793423"/>
    <w:rsid w:val="0079396C"/>
    <w:rsid w:val="00793E26"/>
    <w:rsid w:val="00793F79"/>
    <w:rsid w:val="007940EA"/>
    <w:rsid w:val="007943B3"/>
    <w:rsid w:val="0079492E"/>
    <w:rsid w:val="00794A30"/>
    <w:rsid w:val="00795980"/>
    <w:rsid w:val="00796568"/>
    <w:rsid w:val="007967E8"/>
    <w:rsid w:val="007973F5"/>
    <w:rsid w:val="00797EDD"/>
    <w:rsid w:val="00797F4C"/>
    <w:rsid w:val="007A03B1"/>
    <w:rsid w:val="007A0653"/>
    <w:rsid w:val="007A0DFF"/>
    <w:rsid w:val="007A19F3"/>
    <w:rsid w:val="007A2170"/>
    <w:rsid w:val="007A22BF"/>
    <w:rsid w:val="007A252A"/>
    <w:rsid w:val="007A25F4"/>
    <w:rsid w:val="007A29A8"/>
    <w:rsid w:val="007A2B2C"/>
    <w:rsid w:val="007A3323"/>
    <w:rsid w:val="007A3F78"/>
    <w:rsid w:val="007A424D"/>
    <w:rsid w:val="007A4A31"/>
    <w:rsid w:val="007A547A"/>
    <w:rsid w:val="007A5877"/>
    <w:rsid w:val="007A66E0"/>
    <w:rsid w:val="007A6889"/>
    <w:rsid w:val="007A745F"/>
    <w:rsid w:val="007B10A5"/>
    <w:rsid w:val="007B44D3"/>
    <w:rsid w:val="007B488F"/>
    <w:rsid w:val="007B5A1F"/>
    <w:rsid w:val="007B6221"/>
    <w:rsid w:val="007B63FF"/>
    <w:rsid w:val="007B644F"/>
    <w:rsid w:val="007B6BEE"/>
    <w:rsid w:val="007B6E8F"/>
    <w:rsid w:val="007B72B8"/>
    <w:rsid w:val="007B72D2"/>
    <w:rsid w:val="007B7A58"/>
    <w:rsid w:val="007B7E27"/>
    <w:rsid w:val="007C01E3"/>
    <w:rsid w:val="007C04B2"/>
    <w:rsid w:val="007C0970"/>
    <w:rsid w:val="007C0CD6"/>
    <w:rsid w:val="007C0D9A"/>
    <w:rsid w:val="007C1708"/>
    <w:rsid w:val="007C21B5"/>
    <w:rsid w:val="007C33C9"/>
    <w:rsid w:val="007C3A19"/>
    <w:rsid w:val="007C43C5"/>
    <w:rsid w:val="007C44BC"/>
    <w:rsid w:val="007C4922"/>
    <w:rsid w:val="007C59A9"/>
    <w:rsid w:val="007C6616"/>
    <w:rsid w:val="007C74DD"/>
    <w:rsid w:val="007D0A35"/>
    <w:rsid w:val="007D182A"/>
    <w:rsid w:val="007D343D"/>
    <w:rsid w:val="007D421F"/>
    <w:rsid w:val="007D530E"/>
    <w:rsid w:val="007D5EB4"/>
    <w:rsid w:val="007D719E"/>
    <w:rsid w:val="007D721E"/>
    <w:rsid w:val="007D7354"/>
    <w:rsid w:val="007D7D19"/>
    <w:rsid w:val="007E0925"/>
    <w:rsid w:val="007E13C2"/>
    <w:rsid w:val="007E16F8"/>
    <w:rsid w:val="007E279C"/>
    <w:rsid w:val="007E2E03"/>
    <w:rsid w:val="007E426F"/>
    <w:rsid w:val="007E4575"/>
    <w:rsid w:val="007E4967"/>
    <w:rsid w:val="007E4BD2"/>
    <w:rsid w:val="007E4C48"/>
    <w:rsid w:val="007E57AD"/>
    <w:rsid w:val="007E6BEE"/>
    <w:rsid w:val="007E75F6"/>
    <w:rsid w:val="007E7A67"/>
    <w:rsid w:val="007F04CF"/>
    <w:rsid w:val="007F0CE8"/>
    <w:rsid w:val="007F21C3"/>
    <w:rsid w:val="007F25D7"/>
    <w:rsid w:val="007F470F"/>
    <w:rsid w:val="007F53A2"/>
    <w:rsid w:val="007F579D"/>
    <w:rsid w:val="007F5881"/>
    <w:rsid w:val="007F59D6"/>
    <w:rsid w:val="007F5C2F"/>
    <w:rsid w:val="007F601C"/>
    <w:rsid w:val="007F683B"/>
    <w:rsid w:val="007F79C6"/>
    <w:rsid w:val="007F79E7"/>
    <w:rsid w:val="008010D0"/>
    <w:rsid w:val="00801189"/>
    <w:rsid w:val="00801393"/>
    <w:rsid w:val="00802BAB"/>
    <w:rsid w:val="00802F88"/>
    <w:rsid w:val="00803111"/>
    <w:rsid w:val="00803CD4"/>
    <w:rsid w:val="00803D8D"/>
    <w:rsid w:val="008059A2"/>
    <w:rsid w:val="008061E2"/>
    <w:rsid w:val="008062AE"/>
    <w:rsid w:val="00806941"/>
    <w:rsid w:val="008069D9"/>
    <w:rsid w:val="0080786F"/>
    <w:rsid w:val="00807884"/>
    <w:rsid w:val="00807AE3"/>
    <w:rsid w:val="0081026F"/>
    <w:rsid w:val="00810DF5"/>
    <w:rsid w:val="00810F3B"/>
    <w:rsid w:val="00811073"/>
    <w:rsid w:val="00811977"/>
    <w:rsid w:val="008123DA"/>
    <w:rsid w:val="0081293E"/>
    <w:rsid w:val="00812E45"/>
    <w:rsid w:val="00812F27"/>
    <w:rsid w:val="00812F3C"/>
    <w:rsid w:val="00815465"/>
    <w:rsid w:val="0081659E"/>
    <w:rsid w:val="00816BAF"/>
    <w:rsid w:val="00817709"/>
    <w:rsid w:val="0081781D"/>
    <w:rsid w:val="00817E9A"/>
    <w:rsid w:val="0082002B"/>
    <w:rsid w:val="00820704"/>
    <w:rsid w:val="00820847"/>
    <w:rsid w:val="00821AD2"/>
    <w:rsid w:val="00821CE6"/>
    <w:rsid w:val="00821E54"/>
    <w:rsid w:val="0082363A"/>
    <w:rsid w:val="00823752"/>
    <w:rsid w:val="00823BDD"/>
    <w:rsid w:val="00823E88"/>
    <w:rsid w:val="00825FC3"/>
    <w:rsid w:val="00826B72"/>
    <w:rsid w:val="00826BCF"/>
    <w:rsid w:val="00827728"/>
    <w:rsid w:val="00827A66"/>
    <w:rsid w:val="00827CBA"/>
    <w:rsid w:val="00830610"/>
    <w:rsid w:val="008306BD"/>
    <w:rsid w:val="00831470"/>
    <w:rsid w:val="00831485"/>
    <w:rsid w:val="00831A80"/>
    <w:rsid w:val="00831B8E"/>
    <w:rsid w:val="0083219C"/>
    <w:rsid w:val="00832D9C"/>
    <w:rsid w:val="00833163"/>
    <w:rsid w:val="0083361C"/>
    <w:rsid w:val="00833743"/>
    <w:rsid w:val="008340A4"/>
    <w:rsid w:val="008346FC"/>
    <w:rsid w:val="00834B3F"/>
    <w:rsid w:val="00834B51"/>
    <w:rsid w:val="0083548A"/>
    <w:rsid w:val="008368B4"/>
    <w:rsid w:val="008409A2"/>
    <w:rsid w:val="00842CF3"/>
    <w:rsid w:val="00843F2B"/>
    <w:rsid w:val="00844DD3"/>
    <w:rsid w:val="00844E3D"/>
    <w:rsid w:val="00845ACB"/>
    <w:rsid w:val="00846323"/>
    <w:rsid w:val="008466E3"/>
    <w:rsid w:val="0084763F"/>
    <w:rsid w:val="0084776C"/>
    <w:rsid w:val="008502EE"/>
    <w:rsid w:val="00850E1F"/>
    <w:rsid w:val="00850E2A"/>
    <w:rsid w:val="00851BB3"/>
    <w:rsid w:val="00851DCD"/>
    <w:rsid w:val="00851E35"/>
    <w:rsid w:val="0085281D"/>
    <w:rsid w:val="00852FCD"/>
    <w:rsid w:val="0085314D"/>
    <w:rsid w:val="00853174"/>
    <w:rsid w:val="0085361F"/>
    <w:rsid w:val="00854338"/>
    <w:rsid w:val="00854EE1"/>
    <w:rsid w:val="00855562"/>
    <w:rsid w:val="00855A12"/>
    <w:rsid w:val="008564F2"/>
    <w:rsid w:val="00856A89"/>
    <w:rsid w:val="00860277"/>
    <w:rsid w:val="00860364"/>
    <w:rsid w:val="008603E0"/>
    <w:rsid w:val="00860408"/>
    <w:rsid w:val="00861D05"/>
    <w:rsid w:val="00861FF1"/>
    <w:rsid w:val="0086300F"/>
    <w:rsid w:val="00863505"/>
    <w:rsid w:val="00863FA1"/>
    <w:rsid w:val="008645E0"/>
    <w:rsid w:val="00864F98"/>
    <w:rsid w:val="008656A5"/>
    <w:rsid w:val="008661CC"/>
    <w:rsid w:val="008666D5"/>
    <w:rsid w:val="00866A61"/>
    <w:rsid w:val="00866D8A"/>
    <w:rsid w:val="008670AD"/>
    <w:rsid w:val="00870ABA"/>
    <w:rsid w:val="0087135F"/>
    <w:rsid w:val="00872B8E"/>
    <w:rsid w:val="00872D94"/>
    <w:rsid w:val="00873751"/>
    <w:rsid w:val="0087506A"/>
    <w:rsid w:val="008755ED"/>
    <w:rsid w:val="00875FE9"/>
    <w:rsid w:val="008760E4"/>
    <w:rsid w:val="0087666C"/>
    <w:rsid w:val="00877B8A"/>
    <w:rsid w:val="00880364"/>
    <w:rsid w:val="008804B3"/>
    <w:rsid w:val="008806C1"/>
    <w:rsid w:val="00880FDA"/>
    <w:rsid w:val="0088191A"/>
    <w:rsid w:val="008830A9"/>
    <w:rsid w:val="00883700"/>
    <w:rsid w:val="00883BCD"/>
    <w:rsid w:val="00884D2E"/>
    <w:rsid w:val="00885B59"/>
    <w:rsid w:val="00886805"/>
    <w:rsid w:val="008870EE"/>
    <w:rsid w:val="0089000C"/>
    <w:rsid w:val="00890B17"/>
    <w:rsid w:val="008911E4"/>
    <w:rsid w:val="00891592"/>
    <w:rsid w:val="00891E9E"/>
    <w:rsid w:val="00892D52"/>
    <w:rsid w:val="00892DC9"/>
    <w:rsid w:val="008942C9"/>
    <w:rsid w:val="00894BC0"/>
    <w:rsid w:val="0089509F"/>
    <w:rsid w:val="008953F6"/>
    <w:rsid w:val="00895797"/>
    <w:rsid w:val="00895A01"/>
    <w:rsid w:val="00896459"/>
    <w:rsid w:val="00897B57"/>
    <w:rsid w:val="008A01E1"/>
    <w:rsid w:val="008A048A"/>
    <w:rsid w:val="008A0BA0"/>
    <w:rsid w:val="008A0EF4"/>
    <w:rsid w:val="008A13DC"/>
    <w:rsid w:val="008A1409"/>
    <w:rsid w:val="008A2F68"/>
    <w:rsid w:val="008A3730"/>
    <w:rsid w:val="008A4B1A"/>
    <w:rsid w:val="008A5AE1"/>
    <w:rsid w:val="008A5CFD"/>
    <w:rsid w:val="008A61C1"/>
    <w:rsid w:val="008A633F"/>
    <w:rsid w:val="008A6B35"/>
    <w:rsid w:val="008A6ECA"/>
    <w:rsid w:val="008B0734"/>
    <w:rsid w:val="008B0C8D"/>
    <w:rsid w:val="008B17ED"/>
    <w:rsid w:val="008B2648"/>
    <w:rsid w:val="008B2A65"/>
    <w:rsid w:val="008B3D9F"/>
    <w:rsid w:val="008B4F51"/>
    <w:rsid w:val="008B4FA6"/>
    <w:rsid w:val="008B5282"/>
    <w:rsid w:val="008B52B4"/>
    <w:rsid w:val="008B5986"/>
    <w:rsid w:val="008B6782"/>
    <w:rsid w:val="008B6AC0"/>
    <w:rsid w:val="008B6F48"/>
    <w:rsid w:val="008B7303"/>
    <w:rsid w:val="008B7C17"/>
    <w:rsid w:val="008C0011"/>
    <w:rsid w:val="008C0BDA"/>
    <w:rsid w:val="008C1F84"/>
    <w:rsid w:val="008C254A"/>
    <w:rsid w:val="008C2A4A"/>
    <w:rsid w:val="008C2D01"/>
    <w:rsid w:val="008C3900"/>
    <w:rsid w:val="008C40E6"/>
    <w:rsid w:val="008C5157"/>
    <w:rsid w:val="008C5C3B"/>
    <w:rsid w:val="008C5D38"/>
    <w:rsid w:val="008C60D9"/>
    <w:rsid w:val="008C67E7"/>
    <w:rsid w:val="008C7255"/>
    <w:rsid w:val="008C7B38"/>
    <w:rsid w:val="008C7BF3"/>
    <w:rsid w:val="008C7EEB"/>
    <w:rsid w:val="008D0CCA"/>
    <w:rsid w:val="008D0F7A"/>
    <w:rsid w:val="008D101C"/>
    <w:rsid w:val="008D11B7"/>
    <w:rsid w:val="008D1215"/>
    <w:rsid w:val="008D131E"/>
    <w:rsid w:val="008D145B"/>
    <w:rsid w:val="008D2321"/>
    <w:rsid w:val="008D2BCD"/>
    <w:rsid w:val="008D35B9"/>
    <w:rsid w:val="008D5879"/>
    <w:rsid w:val="008D5CCB"/>
    <w:rsid w:val="008D62E2"/>
    <w:rsid w:val="008D66C9"/>
    <w:rsid w:val="008D67B9"/>
    <w:rsid w:val="008D68E4"/>
    <w:rsid w:val="008D740E"/>
    <w:rsid w:val="008D7D3C"/>
    <w:rsid w:val="008E0506"/>
    <w:rsid w:val="008E09DE"/>
    <w:rsid w:val="008E0CFF"/>
    <w:rsid w:val="008E16E2"/>
    <w:rsid w:val="008E1A46"/>
    <w:rsid w:val="008E1B99"/>
    <w:rsid w:val="008E234D"/>
    <w:rsid w:val="008E2705"/>
    <w:rsid w:val="008E2E2C"/>
    <w:rsid w:val="008E30B6"/>
    <w:rsid w:val="008E354D"/>
    <w:rsid w:val="008E5871"/>
    <w:rsid w:val="008E58B2"/>
    <w:rsid w:val="008E5D6B"/>
    <w:rsid w:val="008E7471"/>
    <w:rsid w:val="008E74EA"/>
    <w:rsid w:val="008E76F0"/>
    <w:rsid w:val="008F0984"/>
    <w:rsid w:val="008F1304"/>
    <w:rsid w:val="008F15FE"/>
    <w:rsid w:val="008F1E80"/>
    <w:rsid w:val="008F23B7"/>
    <w:rsid w:val="008F2D29"/>
    <w:rsid w:val="008F32B0"/>
    <w:rsid w:val="008F37B9"/>
    <w:rsid w:val="008F3935"/>
    <w:rsid w:val="008F5187"/>
    <w:rsid w:val="008F5A92"/>
    <w:rsid w:val="008F60D8"/>
    <w:rsid w:val="008F6A32"/>
    <w:rsid w:val="008F7AE0"/>
    <w:rsid w:val="00901B3E"/>
    <w:rsid w:val="00901DB8"/>
    <w:rsid w:val="00902102"/>
    <w:rsid w:val="009022B4"/>
    <w:rsid w:val="0090239D"/>
    <w:rsid w:val="00902727"/>
    <w:rsid w:val="009027CC"/>
    <w:rsid w:val="0090291B"/>
    <w:rsid w:val="0090312B"/>
    <w:rsid w:val="0090316D"/>
    <w:rsid w:val="009032E8"/>
    <w:rsid w:val="00904319"/>
    <w:rsid w:val="00904B5A"/>
    <w:rsid w:val="00905043"/>
    <w:rsid w:val="00905329"/>
    <w:rsid w:val="00905B33"/>
    <w:rsid w:val="0090613D"/>
    <w:rsid w:val="0090667F"/>
    <w:rsid w:val="0091072F"/>
    <w:rsid w:val="00910AE6"/>
    <w:rsid w:val="00910C66"/>
    <w:rsid w:val="00910E18"/>
    <w:rsid w:val="00911896"/>
    <w:rsid w:val="009119BF"/>
    <w:rsid w:val="00912073"/>
    <w:rsid w:val="00912EAE"/>
    <w:rsid w:val="00912F91"/>
    <w:rsid w:val="009135D7"/>
    <w:rsid w:val="00913B97"/>
    <w:rsid w:val="00915043"/>
    <w:rsid w:val="00915BE0"/>
    <w:rsid w:val="0091618C"/>
    <w:rsid w:val="0091736D"/>
    <w:rsid w:val="00920BA1"/>
    <w:rsid w:val="00921975"/>
    <w:rsid w:val="00921F73"/>
    <w:rsid w:val="00922AA4"/>
    <w:rsid w:val="00922DC4"/>
    <w:rsid w:val="00923181"/>
    <w:rsid w:val="009235C3"/>
    <w:rsid w:val="009236FA"/>
    <w:rsid w:val="00923E55"/>
    <w:rsid w:val="009245D8"/>
    <w:rsid w:val="00925275"/>
    <w:rsid w:val="00925626"/>
    <w:rsid w:val="00925797"/>
    <w:rsid w:val="009276A3"/>
    <w:rsid w:val="009277D2"/>
    <w:rsid w:val="00927E0A"/>
    <w:rsid w:val="00927F91"/>
    <w:rsid w:val="00930093"/>
    <w:rsid w:val="0093037A"/>
    <w:rsid w:val="00930CAD"/>
    <w:rsid w:val="00931467"/>
    <w:rsid w:val="00931C87"/>
    <w:rsid w:val="00932138"/>
    <w:rsid w:val="00932461"/>
    <w:rsid w:val="009328CC"/>
    <w:rsid w:val="00932CE3"/>
    <w:rsid w:val="00932D38"/>
    <w:rsid w:val="00933538"/>
    <w:rsid w:val="0093402E"/>
    <w:rsid w:val="00934307"/>
    <w:rsid w:val="009344D6"/>
    <w:rsid w:val="00934A55"/>
    <w:rsid w:val="00934AB8"/>
    <w:rsid w:val="009353FA"/>
    <w:rsid w:val="00935880"/>
    <w:rsid w:val="00935A0B"/>
    <w:rsid w:val="00935EC9"/>
    <w:rsid w:val="00935F8F"/>
    <w:rsid w:val="009366C7"/>
    <w:rsid w:val="00936941"/>
    <w:rsid w:val="00936C3F"/>
    <w:rsid w:val="00937C23"/>
    <w:rsid w:val="00940361"/>
    <w:rsid w:val="0094080A"/>
    <w:rsid w:val="0094098E"/>
    <w:rsid w:val="00940D06"/>
    <w:rsid w:val="0094126F"/>
    <w:rsid w:val="0094135E"/>
    <w:rsid w:val="0094154D"/>
    <w:rsid w:val="009419EB"/>
    <w:rsid w:val="009430C7"/>
    <w:rsid w:val="009434DA"/>
    <w:rsid w:val="0094582D"/>
    <w:rsid w:val="00945D7F"/>
    <w:rsid w:val="00945E54"/>
    <w:rsid w:val="00945F24"/>
    <w:rsid w:val="00946F28"/>
    <w:rsid w:val="009473B1"/>
    <w:rsid w:val="0094774A"/>
    <w:rsid w:val="00947F8F"/>
    <w:rsid w:val="0095020B"/>
    <w:rsid w:val="0095155F"/>
    <w:rsid w:val="00951DB6"/>
    <w:rsid w:val="009520A3"/>
    <w:rsid w:val="009525F9"/>
    <w:rsid w:val="00952C45"/>
    <w:rsid w:val="00953798"/>
    <w:rsid w:val="009543F4"/>
    <w:rsid w:val="00954429"/>
    <w:rsid w:val="00954C84"/>
    <w:rsid w:val="009551B0"/>
    <w:rsid w:val="009551D2"/>
    <w:rsid w:val="009557C1"/>
    <w:rsid w:val="00955FA7"/>
    <w:rsid w:val="009563CE"/>
    <w:rsid w:val="009575CF"/>
    <w:rsid w:val="00957A7E"/>
    <w:rsid w:val="009600AE"/>
    <w:rsid w:val="00961C6D"/>
    <w:rsid w:val="00962641"/>
    <w:rsid w:val="0096454E"/>
    <w:rsid w:val="00964731"/>
    <w:rsid w:val="009649BF"/>
    <w:rsid w:val="00965308"/>
    <w:rsid w:val="0096616D"/>
    <w:rsid w:val="0096716E"/>
    <w:rsid w:val="009705E5"/>
    <w:rsid w:val="009709B0"/>
    <w:rsid w:val="009712B9"/>
    <w:rsid w:val="009712FF"/>
    <w:rsid w:val="00971940"/>
    <w:rsid w:val="00971D53"/>
    <w:rsid w:val="00972ECC"/>
    <w:rsid w:val="009749C7"/>
    <w:rsid w:val="00974FF4"/>
    <w:rsid w:val="0097504B"/>
    <w:rsid w:val="009750B4"/>
    <w:rsid w:val="0097613D"/>
    <w:rsid w:val="00976328"/>
    <w:rsid w:val="00976794"/>
    <w:rsid w:val="0097680D"/>
    <w:rsid w:val="009769C1"/>
    <w:rsid w:val="00977312"/>
    <w:rsid w:val="00977717"/>
    <w:rsid w:val="00980428"/>
    <w:rsid w:val="00980748"/>
    <w:rsid w:val="009808FC"/>
    <w:rsid w:val="00982326"/>
    <w:rsid w:val="009823B4"/>
    <w:rsid w:val="00982438"/>
    <w:rsid w:val="00982ABF"/>
    <w:rsid w:val="00983992"/>
    <w:rsid w:val="00983A2C"/>
    <w:rsid w:val="0098404C"/>
    <w:rsid w:val="00984639"/>
    <w:rsid w:val="00984A8E"/>
    <w:rsid w:val="00985283"/>
    <w:rsid w:val="00986937"/>
    <w:rsid w:val="009900D2"/>
    <w:rsid w:val="009901FA"/>
    <w:rsid w:val="009905D5"/>
    <w:rsid w:val="00991458"/>
    <w:rsid w:val="00991BBF"/>
    <w:rsid w:val="00993EB8"/>
    <w:rsid w:val="009940F8"/>
    <w:rsid w:val="009941FD"/>
    <w:rsid w:val="0099454F"/>
    <w:rsid w:val="00994EAC"/>
    <w:rsid w:val="00995992"/>
    <w:rsid w:val="009969BA"/>
    <w:rsid w:val="00997B0D"/>
    <w:rsid w:val="009A00BE"/>
    <w:rsid w:val="009A03E5"/>
    <w:rsid w:val="009A09D2"/>
    <w:rsid w:val="009A0C60"/>
    <w:rsid w:val="009A0DFD"/>
    <w:rsid w:val="009A0E1B"/>
    <w:rsid w:val="009A0EA2"/>
    <w:rsid w:val="009A0F3B"/>
    <w:rsid w:val="009A1BB4"/>
    <w:rsid w:val="009A2628"/>
    <w:rsid w:val="009A2EB0"/>
    <w:rsid w:val="009A3200"/>
    <w:rsid w:val="009A348E"/>
    <w:rsid w:val="009A4245"/>
    <w:rsid w:val="009A463D"/>
    <w:rsid w:val="009A5428"/>
    <w:rsid w:val="009A5508"/>
    <w:rsid w:val="009A6C0C"/>
    <w:rsid w:val="009A7281"/>
    <w:rsid w:val="009B0897"/>
    <w:rsid w:val="009B0DC8"/>
    <w:rsid w:val="009B17A0"/>
    <w:rsid w:val="009B1E4D"/>
    <w:rsid w:val="009B3675"/>
    <w:rsid w:val="009B47B3"/>
    <w:rsid w:val="009B4ABA"/>
    <w:rsid w:val="009B693A"/>
    <w:rsid w:val="009B7BD9"/>
    <w:rsid w:val="009C005C"/>
    <w:rsid w:val="009C0093"/>
    <w:rsid w:val="009C0183"/>
    <w:rsid w:val="009C05D4"/>
    <w:rsid w:val="009C0E71"/>
    <w:rsid w:val="009C1087"/>
    <w:rsid w:val="009C122F"/>
    <w:rsid w:val="009C12A1"/>
    <w:rsid w:val="009C19F3"/>
    <w:rsid w:val="009C1CF1"/>
    <w:rsid w:val="009C204B"/>
    <w:rsid w:val="009C21B3"/>
    <w:rsid w:val="009C2956"/>
    <w:rsid w:val="009C2CA9"/>
    <w:rsid w:val="009C2F66"/>
    <w:rsid w:val="009C3639"/>
    <w:rsid w:val="009C4295"/>
    <w:rsid w:val="009C49D0"/>
    <w:rsid w:val="009C4E4A"/>
    <w:rsid w:val="009C6077"/>
    <w:rsid w:val="009C66ED"/>
    <w:rsid w:val="009C70AE"/>
    <w:rsid w:val="009C7328"/>
    <w:rsid w:val="009C7DD5"/>
    <w:rsid w:val="009D0CA1"/>
    <w:rsid w:val="009D0EBA"/>
    <w:rsid w:val="009D1751"/>
    <w:rsid w:val="009D23C2"/>
    <w:rsid w:val="009D387D"/>
    <w:rsid w:val="009D4205"/>
    <w:rsid w:val="009D4D7B"/>
    <w:rsid w:val="009D5216"/>
    <w:rsid w:val="009D5582"/>
    <w:rsid w:val="009D5C55"/>
    <w:rsid w:val="009D61D2"/>
    <w:rsid w:val="009D6362"/>
    <w:rsid w:val="009D7247"/>
    <w:rsid w:val="009D731D"/>
    <w:rsid w:val="009D766B"/>
    <w:rsid w:val="009E0327"/>
    <w:rsid w:val="009E0922"/>
    <w:rsid w:val="009E1591"/>
    <w:rsid w:val="009E1BC2"/>
    <w:rsid w:val="009E227D"/>
    <w:rsid w:val="009E32B7"/>
    <w:rsid w:val="009E362E"/>
    <w:rsid w:val="009E3723"/>
    <w:rsid w:val="009E3FB7"/>
    <w:rsid w:val="009E47C1"/>
    <w:rsid w:val="009E4845"/>
    <w:rsid w:val="009E5019"/>
    <w:rsid w:val="009E54FD"/>
    <w:rsid w:val="009E5812"/>
    <w:rsid w:val="009E5F12"/>
    <w:rsid w:val="009E608B"/>
    <w:rsid w:val="009E66B3"/>
    <w:rsid w:val="009E6DD2"/>
    <w:rsid w:val="009F042C"/>
    <w:rsid w:val="009F177A"/>
    <w:rsid w:val="009F1E48"/>
    <w:rsid w:val="009F36E6"/>
    <w:rsid w:val="009F450E"/>
    <w:rsid w:val="009F4FCF"/>
    <w:rsid w:val="009F54C8"/>
    <w:rsid w:val="009F5B64"/>
    <w:rsid w:val="009F5EA8"/>
    <w:rsid w:val="009F6B9F"/>
    <w:rsid w:val="009F6D76"/>
    <w:rsid w:val="009F6EC5"/>
    <w:rsid w:val="009F75DF"/>
    <w:rsid w:val="009F76D6"/>
    <w:rsid w:val="009F79B0"/>
    <w:rsid w:val="00A002EA"/>
    <w:rsid w:val="00A00577"/>
    <w:rsid w:val="00A01035"/>
    <w:rsid w:val="00A01412"/>
    <w:rsid w:val="00A014A6"/>
    <w:rsid w:val="00A01990"/>
    <w:rsid w:val="00A01BAB"/>
    <w:rsid w:val="00A03A3D"/>
    <w:rsid w:val="00A048AC"/>
    <w:rsid w:val="00A04F1B"/>
    <w:rsid w:val="00A0501B"/>
    <w:rsid w:val="00A0517E"/>
    <w:rsid w:val="00A052C5"/>
    <w:rsid w:val="00A0556D"/>
    <w:rsid w:val="00A05724"/>
    <w:rsid w:val="00A05AD7"/>
    <w:rsid w:val="00A05ADF"/>
    <w:rsid w:val="00A05C54"/>
    <w:rsid w:val="00A05E14"/>
    <w:rsid w:val="00A061C3"/>
    <w:rsid w:val="00A063F5"/>
    <w:rsid w:val="00A06B96"/>
    <w:rsid w:val="00A06BBA"/>
    <w:rsid w:val="00A102F0"/>
    <w:rsid w:val="00A1120B"/>
    <w:rsid w:val="00A13F75"/>
    <w:rsid w:val="00A14390"/>
    <w:rsid w:val="00A146B6"/>
    <w:rsid w:val="00A14947"/>
    <w:rsid w:val="00A159CA"/>
    <w:rsid w:val="00A15D22"/>
    <w:rsid w:val="00A16C7F"/>
    <w:rsid w:val="00A16D92"/>
    <w:rsid w:val="00A1700C"/>
    <w:rsid w:val="00A17B3A"/>
    <w:rsid w:val="00A20185"/>
    <w:rsid w:val="00A20F8C"/>
    <w:rsid w:val="00A2210A"/>
    <w:rsid w:val="00A22B25"/>
    <w:rsid w:val="00A244AB"/>
    <w:rsid w:val="00A24FD9"/>
    <w:rsid w:val="00A25AC4"/>
    <w:rsid w:val="00A25B9B"/>
    <w:rsid w:val="00A25E16"/>
    <w:rsid w:val="00A2625E"/>
    <w:rsid w:val="00A3202F"/>
    <w:rsid w:val="00A32A83"/>
    <w:rsid w:val="00A32AEF"/>
    <w:rsid w:val="00A32D6C"/>
    <w:rsid w:val="00A32F26"/>
    <w:rsid w:val="00A33276"/>
    <w:rsid w:val="00A33D03"/>
    <w:rsid w:val="00A34481"/>
    <w:rsid w:val="00A34924"/>
    <w:rsid w:val="00A34DB9"/>
    <w:rsid w:val="00A34DD5"/>
    <w:rsid w:val="00A35A12"/>
    <w:rsid w:val="00A36442"/>
    <w:rsid w:val="00A368DB"/>
    <w:rsid w:val="00A36BD7"/>
    <w:rsid w:val="00A377F5"/>
    <w:rsid w:val="00A40531"/>
    <w:rsid w:val="00A414B0"/>
    <w:rsid w:val="00A41F65"/>
    <w:rsid w:val="00A423AA"/>
    <w:rsid w:val="00A42CCE"/>
    <w:rsid w:val="00A430B5"/>
    <w:rsid w:val="00A43708"/>
    <w:rsid w:val="00A43B10"/>
    <w:rsid w:val="00A43DE9"/>
    <w:rsid w:val="00A43FDF"/>
    <w:rsid w:val="00A44458"/>
    <w:rsid w:val="00A45014"/>
    <w:rsid w:val="00A45286"/>
    <w:rsid w:val="00A45883"/>
    <w:rsid w:val="00A45953"/>
    <w:rsid w:val="00A46125"/>
    <w:rsid w:val="00A46634"/>
    <w:rsid w:val="00A47EC6"/>
    <w:rsid w:val="00A500DF"/>
    <w:rsid w:val="00A50759"/>
    <w:rsid w:val="00A509AB"/>
    <w:rsid w:val="00A51BC7"/>
    <w:rsid w:val="00A51D58"/>
    <w:rsid w:val="00A51F1D"/>
    <w:rsid w:val="00A53C1F"/>
    <w:rsid w:val="00A53EC6"/>
    <w:rsid w:val="00A54022"/>
    <w:rsid w:val="00A543C0"/>
    <w:rsid w:val="00A54A4A"/>
    <w:rsid w:val="00A55151"/>
    <w:rsid w:val="00A5553D"/>
    <w:rsid w:val="00A55554"/>
    <w:rsid w:val="00A556AC"/>
    <w:rsid w:val="00A55C0F"/>
    <w:rsid w:val="00A5692F"/>
    <w:rsid w:val="00A56ECA"/>
    <w:rsid w:val="00A57386"/>
    <w:rsid w:val="00A577E4"/>
    <w:rsid w:val="00A57E59"/>
    <w:rsid w:val="00A6080F"/>
    <w:rsid w:val="00A608B0"/>
    <w:rsid w:val="00A60C48"/>
    <w:rsid w:val="00A60EB6"/>
    <w:rsid w:val="00A610AE"/>
    <w:rsid w:val="00A6128D"/>
    <w:rsid w:val="00A62E4B"/>
    <w:rsid w:val="00A6367F"/>
    <w:rsid w:val="00A64E8E"/>
    <w:rsid w:val="00A65174"/>
    <w:rsid w:val="00A6535A"/>
    <w:rsid w:val="00A660BC"/>
    <w:rsid w:val="00A66CAF"/>
    <w:rsid w:val="00A67AAC"/>
    <w:rsid w:val="00A704E1"/>
    <w:rsid w:val="00A719C6"/>
    <w:rsid w:val="00A719D7"/>
    <w:rsid w:val="00A71BF7"/>
    <w:rsid w:val="00A7207F"/>
    <w:rsid w:val="00A72098"/>
    <w:rsid w:val="00A72537"/>
    <w:rsid w:val="00A73504"/>
    <w:rsid w:val="00A744D5"/>
    <w:rsid w:val="00A74F00"/>
    <w:rsid w:val="00A75676"/>
    <w:rsid w:val="00A756BD"/>
    <w:rsid w:val="00A76218"/>
    <w:rsid w:val="00A76606"/>
    <w:rsid w:val="00A76F04"/>
    <w:rsid w:val="00A7728B"/>
    <w:rsid w:val="00A77366"/>
    <w:rsid w:val="00A77438"/>
    <w:rsid w:val="00A7794F"/>
    <w:rsid w:val="00A80089"/>
    <w:rsid w:val="00A80237"/>
    <w:rsid w:val="00A80303"/>
    <w:rsid w:val="00A80726"/>
    <w:rsid w:val="00A81064"/>
    <w:rsid w:val="00A81109"/>
    <w:rsid w:val="00A81179"/>
    <w:rsid w:val="00A81672"/>
    <w:rsid w:val="00A81C62"/>
    <w:rsid w:val="00A81CBF"/>
    <w:rsid w:val="00A824A5"/>
    <w:rsid w:val="00A8294E"/>
    <w:rsid w:val="00A82E44"/>
    <w:rsid w:val="00A85C55"/>
    <w:rsid w:val="00A85D58"/>
    <w:rsid w:val="00A8660E"/>
    <w:rsid w:val="00A86677"/>
    <w:rsid w:val="00A870CA"/>
    <w:rsid w:val="00A8713F"/>
    <w:rsid w:val="00A87C3C"/>
    <w:rsid w:val="00A90BA1"/>
    <w:rsid w:val="00A934B5"/>
    <w:rsid w:val="00A93F0F"/>
    <w:rsid w:val="00A94781"/>
    <w:rsid w:val="00A94950"/>
    <w:rsid w:val="00A94E1D"/>
    <w:rsid w:val="00A94FA8"/>
    <w:rsid w:val="00A962DA"/>
    <w:rsid w:val="00A97826"/>
    <w:rsid w:val="00A97A9A"/>
    <w:rsid w:val="00A97C3F"/>
    <w:rsid w:val="00AA062A"/>
    <w:rsid w:val="00AA0671"/>
    <w:rsid w:val="00AA0A01"/>
    <w:rsid w:val="00AA1018"/>
    <w:rsid w:val="00AA10FA"/>
    <w:rsid w:val="00AA2531"/>
    <w:rsid w:val="00AA2AB1"/>
    <w:rsid w:val="00AA2B4F"/>
    <w:rsid w:val="00AA3D92"/>
    <w:rsid w:val="00AA3EFF"/>
    <w:rsid w:val="00AA5CDC"/>
    <w:rsid w:val="00AA69F2"/>
    <w:rsid w:val="00AA78D5"/>
    <w:rsid w:val="00AB033D"/>
    <w:rsid w:val="00AB0AFB"/>
    <w:rsid w:val="00AB0C37"/>
    <w:rsid w:val="00AB0D39"/>
    <w:rsid w:val="00AB0D79"/>
    <w:rsid w:val="00AB158E"/>
    <w:rsid w:val="00AB1B3C"/>
    <w:rsid w:val="00AB1E09"/>
    <w:rsid w:val="00AB2197"/>
    <w:rsid w:val="00AB21B3"/>
    <w:rsid w:val="00AB2808"/>
    <w:rsid w:val="00AB3621"/>
    <w:rsid w:val="00AB376D"/>
    <w:rsid w:val="00AB3799"/>
    <w:rsid w:val="00AB3BBC"/>
    <w:rsid w:val="00AB425B"/>
    <w:rsid w:val="00AB446D"/>
    <w:rsid w:val="00AB460F"/>
    <w:rsid w:val="00AB489F"/>
    <w:rsid w:val="00AB50A9"/>
    <w:rsid w:val="00AB5330"/>
    <w:rsid w:val="00AB5432"/>
    <w:rsid w:val="00AB55CF"/>
    <w:rsid w:val="00AB5779"/>
    <w:rsid w:val="00AB5BCD"/>
    <w:rsid w:val="00AB6181"/>
    <w:rsid w:val="00AB62B7"/>
    <w:rsid w:val="00AB6914"/>
    <w:rsid w:val="00AB74E0"/>
    <w:rsid w:val="00AB7747"/>
    <w:rsid w:val="00AB785C"/>
    <w:rsid w:val="00AB7A7B"/>
    <w:rsid w:val="00AC01A9"/>
    <w:rsid w:val="00AC042F"/>
    <w:rsid w:val="00AC13EC"/>
    <w:rsid w:val="00AC14CE"/>
    <w:rsid w:val="00AC17A1"/>
    <w:rsid w:val="00AC190F"/>
    <w:rsid w:val="00AC1D05"/>
    <w:rsid w:val="00AC2765"/>
    <w:rsid w:val="00AC2A56"/>
    <w:rsid w:val="00AC2AB6"/>
    <w:rsid w:val="00AC2EE1"/>
    <w:rsid w:val="00AC31C2"/>
    <w:rsid w:val="00AC3663"/>
    <w:rsid w:val="00AC3EB3"/>
    <w:rsid w:val="00AC4B04"/>
    <w:rsid w:val="00AC4F7C"/>
    <w:rsid w:val="00AC5645"/>
    <w:rsid w:val="00AC607B"/>
    <w:rsid w:val="00AC7C00"/>
    <w:rsid w:val="00AC7DA9"/>
    <w:rsid w:val="00AC7FEA"/>
    <w:rsid w:val="00AD0209"/>
    <w:rsid w:val="00AD055E"/>
    <w:rsid w:val="00AD0C68"/>
    <w:rsid w:val="00AD1519"/>
    <w:rsid w:val="00AD1E27"/>
    <w:rsid w:val="00AD29EC"/>
    <w:rsid w:val="00AD348E"/>
    <w:rsid w:val="00AD3821"/>
    <w:rsid w:val="00AD387C"/>
    <w:rsid w:val="00AD3F03"/>
    <w:rsid w:val="00AD47A7"/>
    <w:rsid w:val="00AD4CFD"/>
    <w:rsid w:val="00AD50DC"/>
    <w:rsid w:val="00AD59A9"/>
    <w:rsid w:val="00AD5C76"/>
    <w:rsid w:val="00AD6C53"/>
    <w:rsid w:val="00AD7711"/>
    <w:rsid w:val="00AE1514"/>
    <w:rsid w:val="00AE2AE4"/>
    <w:rsid w:val="00AE3AF3"/>
    <w:rsid w:val="00AE3B22"/>
    <w:rsid w:val="00AE47F3"/>
    <w:rsid w:val="00AE4A4A"/>
    <w:rsid w:val="00AE4C73"/>
    <w:rsid w:val="00AE7236"/>
    <w:rsid w:val="00AF01D7"/>
    <w:rsid w:val="00AF0CBF"/>
    <w:rsid w:val="00AF0FE3"/>
    <w:rsid w:val="00AF1488"/>
    <w:rsid w:val="00AF21F6"/>
    <w:rsid w:val="00AF257F"/>
    <w:rsid w:val="00AF26EC"/>
    <w:rsid w:val="00AF2B57"/>
    <w:rsid w:val="00AF2C15"/>
    <w:rsid w:val="00AF2CB8"/>
    <w:rsid w:val="00AF33CF"/>
    <w:rsid w:val="00AF4D50"/>
    <w:rsid w:val="00AF5B15"/>
    <w:rsid w:val="00AF6179"/>
    <w:rsid w:val="00AF7743"/>
    <w:rsid w:val="00B00326"/>
    <w:rsid w:val="00B007A4"/>
    <w:rsid w:val="00B00804"/>
    <w:rsid w:val="00B00DD6"/>
    <w:rsid w:val="00B01771"/>
    <w:rsid w:val="00B02F25"/>
    <w:rsid w:val="00B04565"/>
    <w:rsid w:val="00B050EC"/>
    <w:rsid w:val="00B05710"/>
    <w:rsid w:val="00B058BE"/>
    <w:rsid w:val="00B05ABC"/>
    <w:rsid w:val="00B068B0"/>
    <w:rsid w:val="00B0742B"/>
    <w:rsid w:val="00B076E4"/>
    <w:rsid w:val="00B07A4B"/>
    <w:rsid w:val="00B07D33"/>
    <w:rsid w:val="00B10308"/>
    <w:rsid w:val="00B10FC2"/>
    <w:rsid w:val="00B1129D"/>
    <w:rsid w:val="00B1145B"/>
    <w:rsid w:val="00B11666"/>
    <w:rsid w:val="00B11E3F"/>
    <w:rsid w:val="00B11EFF"/>
    <w:rsid w:val="00B1224E"/>
    <w:rsid w:val="00B1295A"/>
    <w:rsid w:val="00B13ABA"/>
    <w:rsid w:val="00B13C48"/>
    <w:rsid w:val="00B13F50"/>
    <w:rsid w:val="00B1498A"/>
    <w:rsid w:val="00B156FC"/>
    <w:rsid w:val="00B165CE"/>
    <w:rsid w:val="00B167FD"/>
    <w:rsid w:val="00B16C4A"/>
    <w:rsid w:val="00B16EEF"/>
    <w:rsid w:val="00B201F4"/>
    <w:rsid w:val="00B20215"/>
    <w:rsid w:val="00B20A45"/>
    <w:rsid w:val="00B212A1"/>
    <w:rsid w:val="00B225C9"/>
    <w:rsid w:val="00B22832"/>
    <w:rsid w:val="00B229BC"/>
    <w:rsid w:val="00B22C5C"/>
    <w:rsid w:val="00B2343B"/>
    <w:rsid w:val="00B242E7"/>
    <w:rsid w:val="00B24D7E"/>
    <w:rsid w:val="00B24F30"/>
    <w:rsid w:val="00B25735"/>
    <w:rsid w:val="00B25BD9"/>
    <w:rsid w:val="00B26528"/>
    <w:rsid w:val="00B26ACB"/>
    <w:rsid w:val="00B26F78"/>
    <w:rsid w:val="00B27706"/>
    <w:rsid w:val="00B27E21"/>
    <w:rsid w:val="00B3064F"/>
    <w:rsid w:val="00B308A6"/>
    <w:rsid w:val="00B30D98"/>
    <w:rsid w:val="00B31ABF"/>
    <w:rsid w:val="00B31FD3"/>
    <w:rsid w:val="00B32933"/>
    <w:rsid w:val="00B329CB"/>
    <w:rsid w:val="00B32E75"/>
    <w:rsid w:val="00B33692"/>
    <w:rsid w:val="00B3372A"/>
    <w:rsid w:val="00B33AFF"/>
    <w:rsid w:val="00B33BB8"/>
    <w:rsid w:val="00B33BE3"/>
    <w:rsid w:val="00B34052"/>
    <w:rsid w:val="00B34774"/>
    <w:rsid w:val="00B35311"/>
    <w:rsid w:val="00B360A1"/>
    <w:rsid w:val="00B36943"/>
    <w:rsid w:val="00B37C00"/>
    <w:rsid w:val="00B42A77"/>
    <w:rsid w:val="00B42B5F"/>
    <w:rsid w:val="00B42E71"/>
    <w:rsid w:val="00B430E5"/>
    <w:rsid w:val="00B445B5"/>
    <w:rsid w:val="00B450DA"/>
    <w:rsid w:val="00B45287"/>
    <w:rsid w:val="00B4548F"/>
    <w:rsid w:val="00B456DB"/>
    <w:rsid w:val="00B45A9E"/>
    <w:rsid w:val="00B45AFD"/>
    <w:rsid w:val="00B45C91"/>
    <w:rsid w:val="00B45DFF"/>
    <w:rsid w:val="00B46475"/>
    <w:rsid w:val="00B473F0"/>
    <w:rsid w:val="00B47AD5"/>
    <w:rsid w:val="00B47E3E"/>
    <w:rsid w:val="00B502AD"/>
    <w:rsid w:val="00B50430"/>
    <w:rsid w:val="00B506C7"/>
    <w:rsid w:val="00B507A1"/>
    <w:rsid w:val="00B50C19"/>
    <w:rsid w:val="00B52473"/>
    <w:rsid w:val="00B52490"/>
    <w:rsid w:val="00B524FD"/>
    <w:rsid w:val="00B53B52"/>
    <w:rsid w:val="00B53B5D"/>
    <w:rsid w:val="00B53D42"/>
    <w:rsid w:val="00B53FA6"/>
    <w:rsid w:val="00B5421B"/>
    <w:rsid w:val="00B54BEE"/>
    <w:rsid w:val="00B556E5"/>
    <w:rsid w:val="00B571B7"/>
    <w:rsid w:val="00B5744D"/>
    <w:rsid w:val="00B603F4"/>
    <w:rsid w:val="00B6055E"/>
    <w:rsid w:val="00B61BD5"/>
    <w:rsid w:val="00B6282E"/>
    <w:rsid w:val="00B62DFA"/>
    <w:rsid w:val="00B6317D"/>
    <w:rsid w:val="00B639BA"/>
    <w:rsid w:val="00B646C8"/>
    <w:rsid w:val="00B64E51"/>
    <w:rsid w:val="00B652D5"/>
    <w:rsid w:val="00B6584A"/>
    <w:rsid w:val="00B65D9B"/>
    <w:rsid w:val="00B65F24"/>
    <w:rsid w:val="00B67361"/>
    <w:rsid w:val="00B678CA"/>
    <w:rsid w:val="00B67A36"/>
    <w:rsid w:val="00B67BCA"/>
    <w:rsid w:val="00B71595"/>
    <w:rsid w:val="00B71A77"/>
    <w:rsid w:val="00B73698"/>
    <w:rsid w:val="00B7449F"/>
    <w:rsid w:val="00B747B7"/>
    <w:rsid w:val="00B74A55"/>
    <w:rsid w:val="00B75093"/>
    <w:rsid w:val="00B754F8"/>
    <w:rsid w:val="00B75F09"/>
    <w:rsid w:val="00B75F24"/>
    <w:rsid w:val="00B763E3"/>
    <w:rsid w:val="00B764DE"/>
    <w:rsid w:val="00B7723F"/>
    <w:rsid w:val="00B7770F"/>
    <w:rsid w:val="00B77BC8"/>
    <w:rsid w:val="00B80534"/>
    <w:rsid w:val="00B809C5"/>
    <w:rsid w:val="00B80C4D"/>
    <w:rsid w:val="00B81206"/>
    <w:rsid w:val="00B813B7"/>
    <w:rsid w:val="00B8193B"/>
    <w:rsid w:val="00B8239B"/>
    <w:rsid w:val="00B82790"/>
    <w:rsid w:val="00B82EAD"/>
    <w:rsid w:val="00B8309C"/>
    <w:rsid w:val="00B830A3"/>
    <w:rsid w:val="00B833F0"/>
    <w:rsid w:val="00B83591"/>
    <w:rsid w:val="00B8366E"/>
    <w:rsid w:val="00B83A77"/>
    <w:rsid w:val="00B83AAB"/>
    <w:rsid w:val="00B84058"/>
    <w:rsid w:val="00B8433C"/>
    <w:rsid w:val="00B8474C"/>
    <w:rsid w:val="00B84DD1"/>
    <w:rsid w:val="00B8552C"/>
    <w:rsid w:val="00B85EC6"/>
    <w:rsid w:val="00B8693A"/>
    <w:rsid w:val="00B86E23"/>
    <w:rsid w:val="00B87339"/>
    <w:rsid w:val="00B87491"/>
    <w:rsid w:val="00B90067"/>
    <w:rsid w:val="00B90AB2"/>
    <w:rsid w:val="00B91FE1"/>
    <w:rsid w:val="00B92092"/>
    <w:rsid w:val="00B92B2B"/>
    <w:rsid w:val="00B930E9"/>
    <w:rsid w:val="00B93B5C"/>
    <w:rsid w:val="00B940FE"/>
    <w:rsid w:val="00B9534D"/>
    <w:rsid w:val="00B95414"/>
    <w:rsid w:val="00B9560F"/>
    <w:rsid w:val="00B95E6A"/>
    <w:rsid w:val="00B964F4"/>
    <w:rsid w:val="00B966E4"/>
    <w:rsid w:val="00BA1855"/>
    <w:rsid w:val="00BA1C55"/>
    <w:rsid w:val="00BA1D4C"/>
    <w:rsid w:val="00BA27A7"/>
    <w:rsid w:val="00BA27C3"/>
    <w:rsid w:val="00BA29E9"/>
    <w:rsid w:val="00BA2F4C"/>
    <w:rsid w:val="00BA312C"/>
    <w:rsid w:val="00BA3350"/>
    <w:rsid w:val="00BA3959"/>
    <w:rsid w:val="00BA4E23"/>
    <w:rsid w:val="00BA5C45"/>
    <w:rsid w:val="00BA6578"/>
    <w:rsid w:val="00BA6BD9"/>
    <w:rsid w:val="00BA7142"/>
    <w:rsid w:val="00BA79D3"/>
    <w:rsid w:val="00BA7AF3"/>
    <w:rsid w:val="00BA7C63"/>
    <w:rsid w:val="00BA7F33"/>
    <w:rsid w:val="00BB0AEC"/>
    <w:rsid w:val="00BB1593"/>
    <w:rsid w:val="00BB1630"/>
    <w:rsid w:val="00BB19F3"/>
    <w:rsid w:val="00BB2252"/>
    <w:rsid w:val="00BB237C"/>
    <w:rsid w:val="00BB24CC"/>
    <w:rsid w:val="00BB3080"/>
    <w:rsid w:val="00BB310A"/>
    <w:rsid w:val="00BB31B8"/>
    <w:rsid w:val="00BB344F"/>
    <w:rsid w:val="00BB41A3"/>
    <w:rsid w:val="00BB43F9"/>
    <w:rsid w:val="00BB529B"/>
    <w:rsid w:val="00BB5487"/>
    <w:rsid w:val="00BB61C0"/>
    <w:rsid w:val="00BB67E0"/>
    <w:rsid w:val="00BB6C77"/>
    <w:rsid w:val="00BB6CF3"/>
    <w:rsid w:val="00BB6E0B"/>
    <w:rsid w:val="00BB6F5C"/>
    <w:rsid w:val="00BB6FC0"/>
    <w:rsid w:val="00BC0906"/>
    <w:rsid w:val="00BC0DC1"/>
    <w:rsid w:val="00BC2427"/>
    <w:rsid w:val="00BC29BD"/>
    <w:rsid w:val="00BC29F1"/>
    <w:rsid w:val="00BC2F6A"/>
    <w:rsid w:val="00BC32DC"/>
    <w:rsid w:val="00BC35B6"/>
    <w:rsid w:val="00BC3704"/>
    <w:rsid w:val="00BC442B"/>
    <w:rsid w:val="00BC4541"/>
    <w:rsid w:val="00BC4633"/>
    <w:rsid w:val="00BC5492"/>
    <w:rsid w:val="00BC54C5"/>
    <w:rsid w:val="00BC5CEC"/>
    <w:rsid w:val="00BC6EF1"/>
    <w:rsid w:val="00BC74A4"/>
    <w:rsid w:val="00BD11B7"/>
    <w:rsid w:val="00BD1B51"/>
    <w:rsid w:val="00BD2432"/>
    <w:rsid w:val="00BD2ED7"/>
    <w:rsid w:val="00BD3248"/>
    <w:rsid w:val="00BD40A2"/>
    <w:rsid w:val="00BD4596"/>
    <w:rsid w:val="00BD6506"/>
    <w:rsid w:val="00BD764C"/>
    <w:rsid w:val="00BD7671"/>
    <w:rsid w:val="00BD7A14"/>
    <w:rsid w:val="00BE0305"/>
    <w:rsid w:val="00BE0A03"/>
    <w:rsid w:val="00BE0CF6"/>
    <w:rsid w:val="00BE1405"/>
    <w:rsid w:val="00BE1771"/>
    <w:rsid w:val="00BE312D"/>
    <w:rsid w:val="00BE39EB"/>
    <w:rsid w:val="00BE3C9A"/>
    <w:rsid w:val="00BE4BA6"/>
    <w:rsid w:val="00BE51DD"/>
    <w:rsid w:val="00BE7409"/>
    <w:rsid w:val="00BE77DB"/>
    <w:rsid w:val="00BE7FB7"/>
    <w:rsid w:val="00BF03ED"/>
    <w:rsid w:val="00BF0EA9"/>
    <w:rsid w:val="00BF0EEE"/>
    <w:rsid w:val="00BF1C20"/>
    <w:rsid w:val="00BF2B18"/>
    <w:rsid w:val="00BF3165"/>
    <w:rsid w:val="00BF3BE1"/>
    <w:rsid w:val="00BF4070"/>
    <w:rsid w:val="00BF55C8"/>
    <w:rsid w:val="00BF5B84"/>
    <w:rsid w:val="00BF5EDB"/>
    <w:rsid w:val="00BF659D"/>
    <w:rsid w:val="00BF6ABC"/>
    <w:rsid w:val="00BF7121"/>
    <w:rsid w:val="00BF7A05"/>
    <w:rsid w:val="00BF7CE6"/>
    <w:rsid w:val="00C00AEE"/>
    <w:rsid w:val="00C011A6"/>
    <w:rsid w:val="00C01D2E"/>
    <w:rsid w:val="00C02098"/>
    <w:rsid w:val="00C0279D"/>
    <w:rsid w:val="00C02BB9"/>
    <w:rsid w:val="00C02F62"/>
    <w:rsid w:val="00C04E30"/>
    <w:rsid w:val="00C0576A"/>
    <w:rsid w:val="00C05AA6"/>
    <w:rsid w:val="00C05E89"/>
    <w:rsid w:val="00C06FCF"/>
    <w:rsid w:val="00C077BB"/>
    <w:rsid w:val="00C07884"/>
    <w:rsid w:val="00C1036A"/>
    <w:rsid w:val="00C1043F"/>
    <w:rsid w:val="00C10578"/>
    <w:rsid w:val="00C12B06"/>
    <w:rsid w:val="00C135BC"/>
    <w:rsid w:val="00C13C01"/>
    <w:rsid w:val="00C13D4C"/>
    <w:rsid w:val="00C13E75"/>
    <w:rsid w:val="00C147FE"/>
    <w:rsid w:val="00C14E6A"/>
    <w:rsid w:val="00C151D1"/>
    <w:rsid w:val="00C15419"/>
    <w:rsid w:val="00C15C95"/>
    <w:rsid w:val="00C1662B"/>
    <w:rsid w:val="00C17121"/>
    <w:rsid w:val="00C1749E"/>
    <w:rsid w:val="00C17B74"/>
    <w:rsid w:val="00C200FD"/>
    <w:rsid w:val="00C205D7"/>
    <w:rsid w:val="00C20DFB"/>
    <w:rsid w:val="00C20FBB"/>
    <w:rsid w:val="00C21651"/>
    <w:rsid w:val="00C22001"/>
    <w:rsid w:val="00C22E97"/>
    <w:rsid w:val="00C235B3"/>
    <w:rsid w:val="00C237B9"/>
    <w:rsid w:val="00C23D70"/>
    <w:rsid w:val="00C2421E"/>
    <w:rsid w:val="00C24A9F"/>
    <w:rsid w:val="00C253FD"/>
    <w:rsid w:val="00C254C5"/>
    <w:rsid w:val="00C2596A"/>
    <w:rsid w:val="00C25F48"/>
    <w:rsid w:val="00C267B4"/>
    <w:rsid w:val="00C27008"/>
    <w:rsid w:val="00C27537"/>
    <w:rsid w:val="00C27691"/>
    <w:rsid w:val="00C31078"/>
    <w:rsid w:val="00C328FE"/>
    <w:rsid w:val="00C32BA7"/>
    <w:rsid w:val="00C32C8E"/>
    <w:rsid w:val="00C33449"/>
    <w:rsid w:val="00C33507"/>
    <w:rsid w:val="00C33DB6"/>
    <w:rsid w:val="00C341D5"/>
    <w:rsid w:val="00C344FB"/>
    <w:rsid w:val="00C345D5"/>
    <w:rsid w:val="00C35554"/>
    <w:rsid w:val="00C356CF"/>
    <w:rsid w:val="00C35A40"/>
    <w:rsid w:val="00C3657C"/>
    <w:rsid w:val="00C36B96"/>
    <w:rsid w:val="00C374D0"/>
    <w:rsid w:val="00C37CB1"/>
    <w:rsid w:val="00C42C58"/>
    <w:rsid w:val="00C42EDE"/>
    <w:rsid w:val="00C4380D"/>
    <w:rsid w:val="00C43CF3"/>
    <w:rsid w:val="00C4409D"/>
    <w:rsid w:val="00C444CB"/>
    <w:rsid w:val="00C44E72"/>
    <w:rsid w:val="00C45360"/>
    <w:rsid w:val="00C45A06"/>
    <w:rsid w:val="00C463C0"/>
    <w:rsid w:val="00C465D6"/>
    <w:rsid w:val="00C4692E"/>
    <w:rsid w:val="00C46A79"/>
    <w:rsid w:val="00C47592"/>
    <w:rsid w:val="00C47BF2"/>
    <w:rsid w:val="00C47E5B"/>
    <w:rsid w:val="00C501D9"/>
    <w:rsid w:val="00C5027D"/>
    <w:rsid w:val="00C50347"/>
    <w:rsid w:val="00C50552"/>
    <w:rsid w:val="00C50B00"/>
    <w:rsid w:val="00C50E22"/>
    <w:rsid w:val="00C50F6E"/>
    <w:rsid w:val="00C51D64"/>
    <w:rsid w:val="00C51F01"/>
    <w:rsid w:val="00C521EB"/>
    <w:rsid w:val="00C53076"/>
    <w:rsid w:val="00C535C9"/>
    <w:rsid w:val="00C53EEC"/>
    <w:rsid w:val="00C55802"/>
    <w:rsid w:val="00C55B74"/>
    <w:rsid w:val="00C55EF0"/>
    <w:rsid w:val="00C60FAA"/>
    <w:rsid w:val="00C61106"/>
    <w:rsid w:val="00C615C8"/>
    <w:rsid w:val="00C61C68"/>
    <w:rsid w:val="00C61E4B"/>
    <w:rsid w:val="00C62540"/>
    <w:rsid w:val="00C631B5"/>
    <w:rsid w:val="00C63218"/>
    <w:rsid w:val="00C6381E"/>
    <w:rsid w:val="00C642A7"/>
    <w:rsid w:val="00C64673"/>
    <w:rsid w:val="00C64BFF"/>
    <w:rsid w:val="00C65BA2"/>
    <w:rsid w:val="00C667DF"/>
    <w:rsid w:val="00C701C8"/>
    <w:rsid w:val="00C704E9"/>
    <w:rsid w:val="00C70F8E"/>
    <w:rsid w:val="00C71710"/>
    <w:rsid w:val="00C71ED0"/>
    <w:rsid w:val="00C725FA"/>
    <w:rsid w:val="00C72641"/>
    <w:rsid w:val="00C72751"/>
    <w:rsid w:val="00C7275A"/>
    <w:rsid w:val="00C73293"/>
    <w:rsid w:val="00C73D47"/>
    <w:rsid w:val="00C7421B"/>
    <w:rsid w:val="00C74F59"/>
    <w:rsid w:val="00C74F67"/>
    <w:rsid w:val="00C74F87"/>
    <w:rsid w:val="00C75CCD"/>
    <w:rsid w:val="00C761C5"/>
    <w:rsid w:val="00C763C9"/>
    <w:rsid w:val="00C7738E"/>
    <w:rsid w:val="00C77AD6"/>
    <w:rsid w:val="00C77FD0"/>
    <w:rsid w:val="00C77FEF"/>
    <w:rsid w:val="00C80057"/>
    <w:rsid w:val="00C808ED"/>
    <w:rsid w:val="00C810F3"/>
    <w:rsid w:val="00C82232"/>
    <w:rsid w:val="00C82901"/>
    <w:rsid w:val="00C82913"/>
    <w:rsid w:val="00C84F75"/>
    <w:rsid w:val="00C859CA"/>
    <w:rsid w:val="00C86D33"/>
    <w:rsid w:val="00C86DDD"/>
    <w:rsid w:val="00C872C7"/>
    <w:rsid w:val="00C87391"/>
    <w:rsid w:val="00C87E10"/>
    <w:rsid w:val="00C9060D"/>
    <w:rsid w:val="00C9251F"/>
    <w:rsid w:val="00C932FE"/>
    <w:rsid w:val="00C935B2"/>
    <w:rsid w:val="00C93D2E"/>
    <w:rsid w:val="00C94085"/>
    <w:rsid w:val="00C943DA"/>
    <w:rsid w:val="00C946AC"/>
    <w:rsid w:val="00C94CFC"/>
    <w:rsid w:val="00C95217"/>
    <w:rsid w:val="00C960FC"/>
    <w:rsid w:val="00C96470"/>
    <w:rsid w:val="00C972B1"/>
    <w:rsid w:val="00C976CF"/>
    <w:rsid w:val="00C979D7"/>
    <w:rsid w:val="00CA08D2"/>
    <w:rsid w:val="00CA1802"/>
    <w:rsid w:val="00CA2675"/>
    <w:rsid w:val="00CA2CCE"/>
    <w:rsid w:val="00CA2F50"/>
    <w:rsid w:val="00CA343D"/>
    <w:rsid w:val="00CA35DD"/>
    <w:rsid w:val="00CA43FD"/>
    <w:rsid w:val="00CA4632"/>
    <w:rsid w:val="00CA49DC"/>
    <w:rsid w:val="00CA58DA"/>
    <w:rsid w:val="00CA5A9D"/>
    <w:rsid w:val="00CA5C58"/>
    <w:rsid w:val="00CA5D41"/>
    <w:rsid w:val="00CA6521"/>
    <w:rsid w:val="00CA6A90"/>
    <w:rsid w:val="00CA6E86"/>
    <w:rsid w:val="00CA6F69"/>
    <w:rsid w:val="00CA7685"/>
    <w:rsid w:val="00CA7C7C"/>
    <w:rsid w:val="00CA7E6E"/>
    <w:rsid w:val="00CA7EF8"/>
    <w:rsid w:val="00CB011B"/>
    <w:rsid w:val="00CB0719"/>
    <w:rsid w:val="00CB09B2"/>
    <w:rsid w:val="00CB100E"/>
    <w:rsid w:val="00CB1354"/>
    <w:rsid w:val="00CB22BA"/>
    <w:rsid w:val="00CB331F"/>
    <w:rsid w:val="00CB5457"/>
    <w:rsid w:val="00CB63B4"/>
    <w:rsid w:val="00CB66B7"/>
    <w:rsid w:val="00CB74B6"/>
    <w:rsid w:val="00CB75A8"/>
    <w:rsid w:val="00CB75B4"/>
    <w:rsid w:val="00CB7970"/>
    <w:rsid w:val="00CC04AC"/>
    <w:rsid w:val="00CC05FE"/>
    <w:rsid w:val="00CC0BB0"/>
    <w:rsid w:val="00CC2BDA"/>
    <w:rsid w:val="00CC412A"/>
    <w:rsid w:val="00CC4412"/>
    <w:rsid w:val="00CC47EA"/>
    <w:rsid w:val="00CC489B"/>
    <w:rsid w:val="00CC4CDA"/>
    <w:rsid w:val="00CC547E"/>
    <w:rsid w:val="00CC56CF"/>
    <w:rsid w:val="00CC5734"/>
    <w:rsid w:val="00CC5E11"/>
    <w:rsid w:val="00CC6DE9"/>
    <w:rsid w:val="00CC730F"/>
    <w:rsid w:val="00CC7E5C"/>
    <w:rsid w:val="00CD015D"/>
    <w:rsid w:val="00CD0212"/>
    <w:rsid w:val="00CD1883"/>
    <w:rsid w:val="00CD1B58"/>
    <w:rsid w:val="00CD2BCD"/>
    <w:rsid w:val="00CD3A4C"/>
    <w:rsid w:val="00CD423F"/>
    <w:rsid w:val="00CD4367"/>
    <w:rsid w:val="00CD44D0"/>
    <w:rsid w:val="00CD4589"/>
    <w:rsid w:val="00CD4F03"/>
    <w:rsid w:val="00CD5F91"/>
    <w:rsid w:val="00CD63B8"/>
    <w:rsid w:val="00CD68D6"/>
    <w:rsid w:val="00CE10E9"/>
    <w:rsid w:val="00CE1F27"/>
    <w:rsid w:val="00CE235D"/>
    <w:rsid w:val="00CE2445"/>
    <w:rsid w:val="00CE2910"/>
    <w:rsid w:val="00CE2C5F"/>
    <w:rsid w:val="00CE2D7A"/>
    <w:rsid w:val="00CE30BE"/>
    <w:rsid w:val="00CE3BA7"/>
    <w:rsid w:val="00CE47C8"/>
    <w:rsid w:val="00CE5393"/>
    <w:rsid w:val="00CE5DBE"/>
    <w:rsid w:val="00CE5ED9"/>
    <w:rsid w:val="00CE5F9B"/>
    <w:rsid w:val="00CE63FA"/>
    <w:rsid w:val="00CE73C0"/>
    <w:rsid w:val="00CE7912"/>
    <w:rsid w:val="00CE7CF6"/>
    <w:rsid w:val="00CF0B5A"/>
    <w:rsid w:val="00CF1E1A"/>
    <w:rsid w:val="00CF2A77"/>
    <w:rsid w:val="00CF3220"/>
    <w:rsid w:val="00CF36BE"/>
    <w:rsid w:val="00CF57EB"/>
    <w:rsid w:val="00CF5DD5"/>
    <w:rsid w:val="00CF6000"/>
    <w:rsid w:val="00CF62B3"/>
    <w:rsid w:val="00CF6453"/>
    <w:rsid w:val="00CF7155"/>
    <w:rsid w:val="00CF7773"/>
    <w:rsid w:val="00CF7B7B"/>
    <w:rsid w:val="00CF7D01"/>
    <w:rsid w:val="00D00398"/>
    <w:rsid w:val="00D003F3"/>
    <w:rsid w:val="00D00593"/>
    <w:rsid w:val="00D00B95"/>
    <w:rsid w:val="00D01903"/>
    <w:rsid w:val="00D023DA"/>
    <w:rsid w:val="00D02718"/>
    <w:rsid w:val="00D029C7"/>
    <w:rsid w:val="00D030ED"/>
    <w:rsid w:val="00D0364F"/>
    <w:rsid w:val="00D03AD6"/>
    <w:rsid w:val="00D04075"/>
    <w:rsid w:val="00D04306"/>
    <w:rsid w:val="00D04517"/>
    <w:rsid w:val="00D0533C"/>
    <w:rsid w:val="00D054AB"/>
    <w:rsid w:val="00D055CD"/>
    <w:rsid w:val="00D057FB"/>
    <w:rsid w:val="00D060E0"/>
    <w:rsid w:val="00D06834"/>
    <w:rsid w:val="00D06ACB"/>
    <w:rsid w:val="00D07BED"/>
    <w:rsid w:val="00D07FFB"/>
    <w:rsid w:val="00D10EC0"/>
    <w:rsid w:val="00D10ED2"/>
    <w:rsid w:val="00D11F1B"/>
    <w:rsid w:val="00D12366"/>
    <w:rsid w:val="00D12E34"/>
    <w:rsid w:val="00D13609"/>
    <w:rsid w:val="00D13939"/>
    <w:rsid w:val="00D13BFA"/>
    <w:rsid w:val="00D145F1"/>
    <w:rsid w:val="00D15807"/>
    <w:rsid w:val="00D158DA"/>
    <w:rsid w:val="00D16BDC"/>
    <w:rsid w:val="00D16D83"/>
    <w:rsid w:val="00D1722B"/>
    <w:rsid w:val="00D172D0"/>
    <w:rsid w:val="00D17819"/>
    <w:rsid w:val="00D2029B"/>
    <w:rsid w:val="00D20E0F"/>
    <w:rsid w:val="00D2229D"/>
    <w:rsid w:val="00D22731"/>
    <w:rsid w:val="00D22809"/>
    <w:rsid w:val="00D22A1B"/>
    <w:rsid w:val="00D23301"/>
    <w:rsid w:val="00D23F5C"/>
    <w:rsid w:val="00D24432"/>
    <w:rsid w:val="00D2447D"/>
    <w:rsid w:val="00D24CC2"/>
    <w:rsid w:val="00D250DB"/>
    <w:rsid w:val="00D253EE"/>
    <w:rsid w:val="00D25B78"/>
    <w:rsid w:val="00D25EEB"/>
    <w:rsid w:val="00D262AC"/>
    <w:rsid w:val="00D26A16"/>
    <w:rsid w:val="00D26A3C"/>
    <w:rsid w:val="00D26FF8"/>
    <w:rsid w:val="00D27352"/>
    <w:rsid w:val="00D275B9"/>
    <w:rsid w:val="00D27CA3"/>
    <w:rsid w:val="00D27DAD"/>
    <w:rsid w:val="00D27DE4"/>
    <w:rsid w:val="00D306CB"/>
    <w:rsid w:val="00D308ED"/>
    <w:rsid w:val="00D308F5"/>
    <w:rsid w:val="00D30BB3"/>
    <w:rsid w:val="00D31FDA"/>
    <w:rsid w:val="00D321EA"/>
    <w:rsid w:val="00D3263B"/>
    <w:rsid w:val="00D32B67"/>
    <w:rsid w:val="00D33CF7"/>
    <w:rsid w:val="00D33E42"/>
    <w:rsid w:val="00D34F84"/>
    <w:rsid w:val="00D353E1"/>
    <w:rsid w:val="00D3629D"/>
    <w:rsid w:val="00D365A6"/>
    <w:rsid w:val="00D3698B"/>
    <w:rsid w:val="00D36D86"/>
    <w:rsid w:val="00D372C7"/>
    <w:rsid w:val="00D37647"/>
    <w:rsid w:val="00D428AA"/>
    <w:rsid w:val="00D43EFC"/>
    <w:rsid w:val="00D44371"/>
    <w:rsid w:val="00D447BC"/>
    <w:rsid w:val="00D44B58"/>
    <w:rsid w:val="00D458E6"/>
    <w:rsid w:val="00D467C1"/>
    <w:rsid w:val="00D469EE"/>
    <w:rsid w:val="00D46B93"/>
    <w:rsid w:val="00D5087E"/>
    <w:rsid w:val="00D50A34"/>
    <w:rsid w:val="00D530ED"/>
    <w:rsid w:val="00D53282"/>
    <w:rsid w:val="00D534AF"/>
    <w:rsid w:val="00D53E56"/>
    <w:rsid w:val="00D53EFA"/>
    <w:rsid w:val="00D54388"/>
    <w:rsid w:val="00D54396"/>
    <w:rsid w:val="00D5471B"/>
    <w:rsid w:val="00D55D37"/>
    <w:rsid w:val="00D56241"/>
    <w:rsid w:val="00D568B5"/>
    <w:rsid w:val="00D56AE8"/>
    <w:rsid w:val="00D571C5"/>
    <w:rsid w:val="00D57691"/>
    <w:rsid w:val="00D576E8"/>
    <w:rsid w:val="00D578EA"/>
    <w:rsid w:val="00D600E9"/>
    <w:rsid w:val="00D60661"/>
    <w:rsid w:val="00D609BB"/>
    <w:rsid w:val="00D61C69"/>
    <w:rsid w:val="00D61CF5"/>
    <w:rsid w:val="00D62AA1"/>
    <w:rsid w:val="00D62F52"/>
    <w:rsid w:val="00D64932"/>
    <w:rsid w:val="00D64992"/>
    <w:rsid w:val="00D64B3D"/>
    <w:rsid w:val="00D64B3F"/>
    <w:rsid w:val="00D650F8"/>
    <w:rsid w:val="00D65704"/>
    <w:rsid w:val="00D658D6"/>
    <w:rsid w:val="00D65FE6"/>
    <w:rsid w:val="00D66540"/>
    <w:rsid w:val="00D66EAE"/>
    <w:rsid w:val="00D66F12"/>
    <w:rsid w:val="00D67142"/>
    <w:rsid w:val="00D671E0"/>
    <w:rsid w:val="00D6738D"/>
    <w:rsid w:val="00D677D1"/>
    <w:rsid w:val="00D67C5D"/>
    <w:rsid w:val="00D70564"/>
    <w:rsid w:val="00D710BD"/>
    <w:rsid w:val="00D711FA"/>
    <w:rsid w:val="00D713E8"/>
    <w:rsid w:val="00D71761"/>
    <w:rsid w:val="00D71C5F"/>
    <w:rsid w:val="00D71F98"/>
    <w:rsid w:val="00D730C0"/>
    <w:rsid w:val="00D73644"/>
    <w:rsid w:val="00D736A5"/>
    <w:rsid w:val="00D7427C"/>
    <w:rsid w:val="00D74645"/>
    <w:rsid w:val="00D74648"/>
    <w:rsid w:val="00D7520F"/>
    <w:rsid w:val="00D75F00"/>
    <w:rsid w:val="00D76393"/>
    <w:rsid w:val="00D76CD9"/>
    <w:rsid w:val="00D779B5"/>
    <w:rsid w:val="00D80178"/>
    <w:rsid w:val="00D809FA"/>
    <w:rsid w:val="00D8129C"/>
    <w:rsid w:val="00D81836"/>
    <w:rsid w:val="00D81B90"/>
    <w:rsid w:val="00D82F33"/>
    <w:rsid w:val="00D8338B"/>
    <w:rsid w:val="00D833D5"/>
    <w:rsid w:val="00D84046"/>
    <w:rsid w:val="00D84111"/>
    <w:rsid w:val="00D84148"/>
    <w:rsid w:val="00D84491"/>
    <w:rsid w:val="00D84A27"/>
    <w:rsid w:val="00D85654"/>
    <w:rsid w:val="00D85E50"/>
    <w:rsid w:val="00D85E83"/>
    <w:rsid w:val="00D87869"/>
    <w:rsid w:val="00D87A5D"/>
    <w:rsid w:val="00D911E8"/>
    <w:rsid w:val="00D91599"/>
    <w:rsid w:val="00D91C2E"/>
    <w:rsid w:val="00D91F9B"/>
    <w:rsid w:val="00D92134"/>
    <w:rsid w:val="00D9213E"/>
    <w:rsid w:val="00D92606"/>
    <w:rsid w:val="00D928AD"/>
    <w:rsid w:val="00D92959"/>
    <w:rsid w:val="00D9333E"/>
    <w:rsid w:val="00D933A1"/>
    <w:rsid w:val="00D9358A"/>
    <w:rsid w:val="00D94A40"/>
    <w:rsid w:val="00D94A7C"/>
    <w:rsid w:val="00D95677"/>
    <w:rsid w:val="00D95896"/>
    <w:rsid w:val="00D95CC0"/>
    <w:rsid w:val="00D95D3D"/>
    <w:rsid w:val="00D96098"/>
    <w:rsid w:val="00D96805"/>
    <w:rsid w:val="00D974F2"/>
    <w:rsid w:val="00DA0151"/>
    <w:rsid w:val="00DA0270"/>
    <w:rsid w:val="00DA0AAD"/>
    <w:rsid w:val="00DA0DBF"/>
    <w:rsid w:val="00DA122E"/>
    <w:rsid w:val="00DA183D"/>
    <w:rsid w:val="00DA204B"/>
    <w:rsid w:val="00DA21D0"/>
    <w:rsid w:val="00DA24A7"/>
    <w:rsid w:val="00DA24BD"/>
    <w:rsid w:val="00DA2F48"/>
    <w:rsid w:val="00DA5745"/>
    <w:rsid w:val="00DA5CCA"/>
    <w:rsid w:val="00DA73C7"/>
    <w:rsid w:val="00DA7E9B"/>
    <w:rsid w:val="00DB01D9"/>
    <w:rsid w:val="00DB0996"/>
    <w:rsid w:val="00DB22B3"/>
    <w:rsid w:val="00DB240C"/>
    <w:rsid w:val="00DB24DB"/>
    <w:rsid w:val="00DB2759"/>
    <w:rsid w:val="00DB2983"/>
    <w:rsid w:val="00DB3D26"/>
    <w:rsid w:val="00DB42EF"/>
    <w:rsid w:val="00DB491F"/>
    <w:rsid w:val="00DB4B81"/>
    <w:rsid w:val="00DB5343"/>
    <w:rsid w:val="00DB55C2"/>
    <w:rsid w:val="00DB5928"/>
    <w:rsid w:val="00DB5AA1"/>
    <w:rsid w:val="00DB7139"/>
    <w:rsid w:val="00DB7482"/>
    <w:rsid w:val="00DB795B"/>
    <w:rsid w:val="00DC07F8"/>
    <w:rsid w:val="00DC1108"/>
    <w:rsid w:val="00DC1257"/>
    <w:rsid w:val="00DC1A8E"/>
    <w:rsid w:val="00DC2DCD"/>
    <w:rsid w:val="00DC2E7C"/>
    <w:rsid w:val="00DC3DC0"/>
    <w:rsid w:val="00DC40C2"/>
    <w:rsid w:val="00DC55EA"/>
    <w:rsid w:val="00DC5B2B"/>
    <w:rsid w:val="00DC5CFA"/>
    <w:rsid w:val="00DC6807"/>
    <w:rsid w:val="00DC6C30"/>
    <w:rsid w:val="00DC7D9F"/>
    <w:rsid w:val="00DD060A"/>
    <w:rsid w:val="00DD1005"/>
    <w:rsid w:val="00DD2166"/>
    <w:rsid w:val="00DD2EBC"/>
    <w:rsid w:val="00DD318D"/>
    <w:rsid w:val="00DD45A9"/>
    <w:rsid w:val="00DD53F2"/>
    <w:rsid w:val="00DD6062"/>
    <w:rsid w:val="00DD663C"/>
    <w:rsid w:val="00DD68A5"/>
    <w:rsid w:val="00DD6B90"/>
    <w:rsid w:val="00DD7975"/>
    <w:rsid w:val="00DD7A0E"/>
    <w:rsid w:val="00DE293A"/>
    <w:rsid w:val="00DE38FB"/>
    <w:rsid w:val="00DE39E5"/>
    <w:rsid w:val="00DE3E26"/>
    <w:rsid w:val="00DE53C8"/>
    <w:rsid w:val="00DE6330"/>
    <w:rsid w:val="00DE6572"/>
    <w:rsid w:val="00DE6BEB"/>
    <w:rsid w:val="00DF1D4F"/>
    <w:rsid w:val="00DF1FB7"/>
    <w:rsid w:val="00DF2222"/>
    <w:rsid w:val="00DF26AF"/>
    <w:rsid w:val="00DF27C1"/>
    <w:rsid w:val="00DF2E12"/>
    <w:rsid w:val="00DF3127"/>
    <w:rsid w:val="00DF3B98"/>
    <w:rsid w:val="00DF3DC6"/>
    <w:rsid w:val="00DF41AD"/>
    <w:rsid w:val="00DF42E9"/>
    <w:rsid w:val="00DF514A"/>
    <w:rsid w:val="00DF62D3"/>
    <w:rsid w:val="00DF6690"/>
    <w:rsid w:val="00DF6804"/>
    <w:rsid w:val="00DF7A71"/>
    <w:rsid w:val="00DF7F60"/>
    <w:rsid w:val="00E000E2"/>
    <w:rsid w:val="00E00CA3"/>
    <w:rsid w:val="00E00DF3"/>
    <w:rsid w:val="00E010D8"/>
    <w:rsid w:val="00E01343"/>
    <w:rsid w:val="00E017AC"/>
    <w:rsid w:val="00E02269"/>
    <w:rsid w:val="00E0358D"/>
    <w:rsid w:val="00E04323"/>
    <w:rsid w:val="00E05B48"/>
    <w:rsid w:val="00E05CDA"/>
    <w:rsid w:val="00E062BB"/>
    <w:rsid w:val="00E070A2"/>
    <w:rsid w:val="00E07293"/>
    <w:rsid w:val="00E07581"/>
    <w:rsid w:val="00E07ADA"/>
    <w:rsid w:val="00E12CBF"/>
    <w:rsid w:val="00E12D20"/>
    <w:rsid w:val="00E12EDA"/>
    <w:rsid w:val="00E13616"/>
    <w:rsid w:val="00E1407B"/>
    <w:rsid w:val="00E15070"/>
    <w:rsid w:val="00E15240"/>
    <w:rsid w:val="00E155CA"/>
    <w:rsid w:val="00E1583C"/>
    <w:rsid w:val="00E160C9"/>
    <w:rsid w:val="00E163DC"/>
    <w:rsid w:val="00E1737B"/>
    <w:rsid w:val="00E17426"/>
    <w:rsid w:val="00E20A15"/>
    <w:rsid w:val="00E21364"/>
    <w:rsid w:val="00E2152E"/>
    <w:rsid w:val="00E22171"/>
    <w:rsid w:val="00E228CF"/>
    <w:rsid w:val="00E23329"/>
    <w:rsid w:val="00E23C27"/>
    <w:rsid w:val="00E23DBA"/>
    <w:rsid w:val="00E243AA"/>
    <w:rsid w:val="00E25FA2"/>
    <w:rsid w:val="00E261A0"/>
    <w:rsid w:val="00E2656A"/>
    <w:rsid w:val="00E26864"/>
    <w:rsid w:val="00E26970"/>
    <w:rsid w:val="00E26BBD"/>
    <w:rsid w:val="00E26EF5"/>
    <w:rsid w:val="00E27E7C"/>
    <w:rsid w:val="00E3069B"/>
    <w:rsid w:val="00E307A5"/>
    <w:rsid w:val="00E31B6D"/>
    <w:rsid w:val="00E326E3"/>
    <w:rsid w:val="00E32FCF"/>
    <w:rsid w:val="00E342CE"/>
    <w:rsid w:val="00E344C5"/>
    <w:rsid w:val="00E34C3E"/>
    <w:rsid w:val="00E34EC3"/>
    <w:rsid w:val="00E3584A"/>
    <w:rsid w:val="00E35D4C"/>
    <w:rsid w:val="00E36DD9"/>
    <w:rsid w:val="00E3705D"/>
    <w:rsid w:val="00E37798"/>
    <w:rsid w:val="00E412D0"/>
    <w:rsid w:val="00E41651"/>
    <w:rsid w:val="00E4171B"/>
    <w:rsid w:val="00E42055"/>
    <w:rsid w:val="00E42CCF"/>
    <w:rsid w:val="00E435A5"/>
    <w:rsid w:val="00E436CA"/>
    <w:rsid w:val="00E43758"/>
    <w:rsid w:val="00E443F3"/>
    <w:rsid w:val="00E444F0"/>
    <w:rsid w:val="00E44B6A"/>
    <w:rsid w:val="00E44C10"/>
    <w:rsid w:val="00E4507F"/>
    <w:rsid w:val="00E46251"/>
    <w:rsid w:val="00E47099"/>
    <w:rsid w:val="00E506D1"/>
    <w:rsid w:val="00E51C05"/>
    <w:rsid w:val="00E52359"/>
    <w:rsid w:val="00E52C20"/>
    <w:rsid w:val="00E539F3"/>
    <w:rsid w:val="00E54047"/>
    <w:rsid w:val="00E54256"/>
    <w:rsid w:val="00E554D2"/>
    <w:rsid w:val="00E55779"/>
    <w:rsid w:val="00E56322"/>
    <w:rsid w:val="00E566CE"/>
    <w:rsid w:val="00E5699F"/>
    <w:rsid w:val="00E56F0B"/>
    <w:rsid w:val="00E56F39"/>
    <w:rsid w:val="00E57D5A"/>
    <w:rsid w:val="00E57EF8"/>
    <w:rsid w:val="00E60982"/>
    <w:rsid w:val="00E61477"/>
    <w:rsid w:val="00E61D39"/>
    <w:rsid w:val="00E623E8"/>
    <w:rsid w:val="00E62BC4"/>
    <w:rsid w:val="00E62C62"/>
    <w:rsid w:val="00E6383E"/>
    <w:rsid w:val="00E64396"/>
    <w:rsid w:val="00E64DA3"/>
    <w:rsid w:val="00E654C1"/>
    <w:rsid w:val="00E655CA"/>
    <w:rsid w:val="00E65D97"/>
    <w:rsid w:val="00E66B2C"/>
    <w:rsid w:val="00E70402"/>
    <w:rsid w:val="00E70546"/>
    <w:rsid w:val="00E70573"/>
    <w:rsid w:val="00E7099E"/>
    <w:rsid w:val="00E70FCE"/>
    <w:rsid w:val="00E71CFD"/>
    <w:rsid w:val="00E72A54"/>
    <w:rsid w:val="00E72A5A"/>
    <w:rsid w:val="00E72FAD"/>
    <w:rsid w:val="00E73354"/>
    <w:rsid w:val="00E737B7"/>
    <w:rsid w:val="00E73A83"/>
    <w:rsid w:val="00E73E36"/>
    <w:rsid w:val="00E74952"/>
    <w:rsid w:val="00E74AEF"/>
    <w:rsid w:val="00E75689"/>
    <w:rsid w:val="00E759AE"/>
    <w:rsid w:val="00E75BC3"/>
    <w:rsid w:val="00E76873"/>
    <w:rsid w:val="00E76D9A"/>
    <w:rsid w:val="00E770E3"/>
    <w:rsid w:val="00E77674"/>
    <w:rsid w:val="00E77A3C"/>
    <w:rsid w:val="00E77B98"/>
    <w:rsid w:val="00E806D6"/>
    <w:rsid w:val="00E80F76"/>
    <w:rsid w:val="00E81C70"/>
    <w:rsid w:val="00E8320A"/>
    <w:rsid w:val="00E83864"/>
    <w:rsid w:val="00E83ECF"/>
    <w:rsid w:val="00E8403C"/>
    <w:rsid w:val="00E8405E"/>
    <w:rsid w:val="00E84FBD"/>
    <w:rsid w:val="00E8537F"/>
    <w:rsid w:val="00E85571"/>
    <w:rsid w:val="00E85B25"/>
    <w:rsid w:val="00E8632D"/>
    <w:rsid w:val="00E86492"/>
    <w:rsid w:val="00E86C23"/>
    <w:rsid w:val="00E87317"/>
    <w:rsid w:val="00E87820"/>
    <w:rsid w:val="00E8782B"/>
    <w:rsid w:val="00E90407"/>
    <w:rsid w:val="00E90943"/>
    <w:rsid w:val="00E90F9C"/>
    <w:rsid w:val="00E92142"/>
    <w:rsid w:val="00E9242D"/>
    <w:rsid w:val="00E92E77"/>
    <w:rsid w:val="00E92F91"/>
    <w:rsid w:val="00E9335D"/>
    <w:rsid w:val="00E94941"/>
    <w:rsid w:val="00E949F1"/>
    <w:rsid w:val="00E94D2E"/>
    <w:rsid w:val="00E96232"/>
    <w:rsid w:val="00E967BC"/>
    <w:rsid w:val="00E9778A"/>
    <w:rsid w:val="00EA00A8"/>
    <w:rsid w:val="00EA0A53"/>
    <w:rsid w:val="00EA1C98"/>
    <w:rsid w:val="00EA2243"/>
    <w:rsid w:val="00EA2C23"/>
    <w:rsid w:val="00EA367E"/>
    <w:rsid w:val="00EA459A"/>
    <w:rsid w:val="00EA4C5E"/>
    <w:rsid w:val="00EA4D5B"/>
    <w:rsid w:val="00EA5037"/>
    <w:rsid w:val="00EA6090"/>
    <w:rsid w:val="00EA6175"/>
    <w:rsid w:val="00EA64DE"/>
    <w:rsid w:val="00EA759F"/>
    <w:rsid w:val="00EA7CCF"/>
    <w:rsid w:val="00EB07B1"/>
    <w:rsid w:val="00EB0CA1"/>
    <w:rsid w:val="00EB0D25"/>
    <w:rsid w:val="00EB1648"/>
    <w:rsid w:val="00EB184F"/>
    <w:rsid w:val="00EB2AFE"/>
    <w:rsid w:val="00EB30C3"/>
    <w:rsid w:val="00EB34C3"/>
    <w:rsid w:val="00EB3ED9"/>
    <w:rsid w:val="00EB40D4"/>
    <w:rsid w:val="00EB4B20"/>
    <w:rsid w:val="00EB5255"/>
    <w:rsid w:val="00EB556A"/>
    <w:rsid w:val="00EB5651"/>
    <w:rsid w:val="00EB5B01"/>
    <w:rsid w:val="00EB5C47"/>
    <w:rsid w:val="00EB5F27"/>
    <w:rsid w:val="00EB6343"/>
    <w:rsid w:val="00EB6BDE"/>
    <w:rsid w:val="00EB77FA"/>
    <w:rsid w:val="00EB7C4C"/>
    <w:rsid w:val="00EB7CAC"/>
    <w:rsid w:val="00EC1ABA"/>
    <w:rsid w:val="00EC279E"/>
    <w:rsid w:val="00EC2A59"/>
    <w:rsid w:val="00EC3EA5"/>
    <w:rsid w:val="00EC444A"/>
    <w:rsid w:val="00EC4B15"/>
    <w:rsid w:val="00EC5087"/>
    <w:rsid w:val="00EC550C"/>
    <w:rsid w:val="00EC5C7A"/>
    <w:rsid w:val="00EC745A"/>
    <w:rsid w:val="00EC771C"/>
    <w:rsid w:val="00EC77CA"/>
    <w:rsid w:val="00ED0639"/>
    <w:rsid w:val="00ED1056"/>
    <w:rsid w:val="00ED144C"/>
    <w:rsid w:val="00ED2571"/>
    <w:rsid w:val="00ED407F"/>
    <w:rsid w:val="00ED41C2"/>
    <w:rsid w:val="00ED557B"/>
    <w:rsid w:val="00ED5797"/>
    <w:rsid w:val="00ED6F33"/>
    <w:rsid w:val="00ED7164"/>
    <w:rsid w:val="00ED78E4"/>
    <w:rsid w:val="00EE0DA1"/>
    <w:rsid w:val="00EE18A8"/>
    <w:rsid w:val="00EE287C"/>
    <w:rsid w:val="00EE2BAB"/>
    <w:rsid w:val="00EE3BBB"/>
    <w:rsid w:val="00EE3FDA"/>
    <w:rsid w:val="00EE425D"/>
    <w:rsid w:val="00EE4825"/>
    <w:rsid w:val="00EE4F25"/>
    <w:rsid w:val="00EE54C1"/>
    <w:rsid w:val="00EE5984"/>
    <w:rsid w:val="00EE66C8"/>
    <w:rsid w:val="00EE6EAB"/>
    <w:rsid w:val="00EE7629"/>
    <w:rsid w:val="00EE7FD3"/>
    <w:rsid w:val="00EF074A"/>
    <w:rsid w:val="00EF0A2C"/>
    <w:rsid w:val="00EF1616"/>
    <w:rsid w:val="00EF2678"/>
    <w:rsid w:val="00EF2B43"/>
    <w:rsid w:val="00EF2FA6"/>
    <w:rsid w:val="00EF3760"/>
    <w:rsid w:val="00EF3D70"/>
    <w:rsid w:val="00EF433A"/>
    <w:rsid w:val="00EF4378"/>
    <w:rsid w:val="00EF4755"/>
    <w:rsid w:val="00EF4CAA"/>
    <w:rsid w:val="00EF5886"/>
    <w:rsid w:val="00EF5BA7"/>
    <w:rsid w:val="00EF6A8D"/>
    <w:rsid w:val="00EF6D7C"/>
    <w:rsid w:val="00EF6F89"/>
    <w:rsid w:val="00EF7135"/>
    <w:rsid w:val="00EF762C"/>
    <w:rsid w:val="00EF7BC5"/>
    <w:rsid w:val="00F01662"/>
    <w:rsid w:val="00F0192F"/>
    <w:rsid w:val="00F01DF0"/>
    <w:rsid w:val="00F027DB"/>
    <w:rsid w:val="00F02F40"/>
    <w:rsid w:val="00F04A9C"/>
    <w:rsid w:val="00F04F26"/>
    <w:rsid w:val="00F057D9"/>
    <w:rsid w:val="00F05D3E"/>
    <w:rsid w:val="00F0633B"/>
    <w:rsid w:val="00F06C4D"/>
    <w:rsid w:val="00F0705F"/>
    <w:rsid w:val="00F0722E"/>
    <w:rsid w:val="00F079D3"/>
    <w:rsid w:val="00F07CD2"/>
    <w:rsid w:val="00F07FA5"/>
    <w:rsid w:val="00F109BB"/>
    <w:rsid w:val="00F10CCB"/>
    <w:rsid w:val="00F1119D"/>
    <w:rsid w:val="00F11407"/>
    <w:rsid w:val="00F1188E"/>
    <w:rsid w:val="00F1402F"/>
    <w:rsid w:val="00F14A7A"/>
    <w:rsid w:val="00F151C2"/>
    <w:rsid w:val="00F156A8"/>
    <w:rsid w:val="00F15D95"/>
    <w:rsid w:val="00F16161"/>
    <w:rsid w:val="00F16AE0"/>
    <w:rsid w:val="00F177A5"/>
    <w:rsid w:val="00F201B5"/>
    <w:rsid w:val="00F207AB"/>
    <w:rsid w:val="00F2091D"/>
    <w:rsid w:val="00F20AB3"/>
    <w:rsid w:val="00F20CF0"/>
    <w:rsid w:val="00F21732"/>
    <w:rsid w:val="00F21897"/>
    <w:rsid w:val="00F224B3"/>
    <w:rsid w:val="00F22985"/>
    <w:rsid w:val="00F22FC9"/>
    <w:rsid w:val="00F22FEB"/>
    <w:rsid w:val="00F23157"/>
    <w:rsid w:val="00F2337F"/>
    <w:rsid w:val="00F23B46"/>
    <w:rsid w:val="00F241CF"/>
    <w:rsid w:val="00F2477F"/>
    <w:rsid w:val="00F24CD0"/>
    <w:rsid w:val="00F24FF1"/>
    <w:rsid w:val="00F25920"/>
    <w:rsid w:val="00F26739"/>
    <w:rsid w:val="00F27465"/>
    <w:rsid w:val="00F2766E"/>
    <w:rsid w:val="00F30FFC"/>
    <w:rsid w:val="00F317AB"/>
    <w:rsid w:val="00F319AF"/>
    <w:rsid w:val="00F32788"/>
    <w:rsid w:val="00F32B82"/>
    <w:rsid w:val="00F33227"/>
    <w:rsid w:val="00F3383E"/>
    <w:rsid w:val="00F33841"/>
    <w:rsid w:val="00F33A20"/>
    <w:rsid w:val="00F33B48"/>
    <w:rsid w:val="00F33D71"/>
    <w:rsid w:val="00F3487C"/>
    <w:rsid w:val="00F34A4F"/>
    <w:rsid w:val="00F35459"/>
    <w:rsid w:val="00F35796"/>
    <w:rsid w:val="00F4014F"/>
    <w:rsid w:val="00F4092A"/>
    <w:rsid w:val="00F40E17"/>
    <w:rsid w:val="00F417D9"/>
    <w:rsid w:val="00F4231B"/>
    <w:rsid w:val="00F42BF5"/>
    <w:rsid w:val="00F4309F"/>
    <w:rsid w:val="00F44416"/>
    <w:rsid w:val="00F4485F"/>
    <w:rsid w:val="00F452F1"/>
    <w:rsid w:val="00F45599"/>
    <w:rsid w:val="00F465A7"/>
    <w:rsid w:val="00F470DD"/>
    <w:rsid w:val="00F47CB3"/>
    <w:rsid w:val="00F5064C"/>
    <w:rsid w:val="00F50B7C"/>
    <w:rsid w:val="00F50E12"/>
    <w:rsid w:val="00F50F23"/>
    <w:rsid w:val="00F50FDE"/>
    <w:rsid w:val="00F5130B"/>
    <w:rsid w:val="00F513CA"/>
    <w:rsid w:val="00F51915"/>
    <w:rsid w:val="00F51971"/>
    <w:rsid w:val="00F51FA1"/>
    <w:rsid w:val="00F5206F"/>
    <w:rsid w:val="00F5284B"/>
    <w:rsid w:val="00F528D6"/>
    <w:rsid w:val="00F52C08"/>
    <w:rsid w:val="00F531EE"/>
    <w:rsid w:val="00F53B09"/>
    <w:rsid w:val="00F54305"/>
    <w:rsid w:val="00F545E2"/>
    <w:rsid w:val="00F545F9"/>
    <w:rsid w:val="00F547EC"/>
    <w:rsid w:val="00F54808"/>
    <w:rsid w:val="00F54837"/>
    <w:rsid w:val="00F54A0D"/>
    <w:rsid w:val="00F54F9D"/>
    <w:rsid w:val="00F550E6"/>
    <w:rsid w:val="00F551B2"/>
    <w:rsid w:val="00F55FCD"/>
    <w:rsid w:val="00F56082"/>
    <w:rsid w:val="00F565E9"/>
    <w:rsid w:val="00F57BD8"/>
    <w:rsid w:val="00F60239"/>
    <w:rsid w:val="00F60555"/>
    <w:rsid w:val="00F60DA7"/>
    <w:rsid w:val="00F60E4B"/>
    <w:rsid w:val="00F61173"/>
    <w:rsid w:val="00F6128B"/>
    <w:rsid w:val="00F6163F"/>
    <w:rsid w:val="00F61E7D"/>
    <w:rsid w:val="00F624F1"/>
    <w:rsid w:val="00F630CB"/>
    <w:rsid w:val="00F63A44"/>
    <w:rsid w:val="00F63BB7"/>
    <w:rsid w:val="00F646B2"/>
    <w:rsid w:val="00F64C4F"/>
    <w:rsid w:val="00F64E71"/>
    <w:rsid w:val="00F65492"/>
    <w:rsid w:val="00F670A9"/>
    <w:rsid w:val="00F67138"/>
    <w:rsid w:val="00F67A1C"/>
    <w:rsid w:val="00F67D13"/>
    <w:rsid w:val="00F70109"/>
    <w:rsid w:val="00F7070B"/>
    <w:rsid w:val="00F70DC7"/>
    <w:rsid w:val="00F710A5"/>
    <w:rsid w:val="00F713AB"/>
    <w:rsid w:val="00F71786"/>
    <w:rsid w:val="00F71803"/>
    <w:rsid w:val="00F718E3"/>
    <w:rsid w:val="00F71ACC"/>
    <w:rsid w:val="00F71D9E"/>
    <w:rsid w:val="00F71FD9"/>
    <w:rsid w:val="00F72602"/>
    <w:rsid w:val="00F72BAB"/>
    <w:rsid w:val="00F72DBF"/>
    <w:rsid w:val="00F72E36"/>
    <w:rsid w:val="00F72EAE"/>
    <w:rsid w:val="00F7327B"/>
    <w:rsid w:val="00F73CB5"/>
    <w:rsid w:val="00F74345"/>
    <w:rsid w:val="00F74BBB"/>
    <w:rsid w:val="00F74D17"/>
    <w:rsid w:val="00F74D1F"/>
    <w:rsid w:val="00F7561C"/>
    <w:rsid w:val="00F7585D"/>
    <w:rsid w:val="00F763CF"/>
    <w:rsid w:val="00F80567"/>
    <w:rsid w:val="00F80A0A"/>
    <w:rsid w:val="00F81179"/>
    <w:rsid w:val="00F81EF5"/>
    <w:rsid w:val="00F8200D"/>
    <w:rsid w:val="00F828AB"/>
    <w:rsid w:val="00F82B19"/>
    <w:rsid w:val="00F82FA4"/>
    <w:rsid w:val="00F83FF6"/>
    <w:rsid w:val="00F85FB2"/>
    <w:rsid w:val="00F860E4"/>
    <w:rsid w:val="00F878C7"/>
    <w:rsid w:val="00F87A25"/>
    <w:rsid w:val="00F87BBC"/>
    <w:rsid w:val="00F90548"/>
    <w:rsid w:val="00F90DD5"/>
    <w:rsid w:val="00F911F4"/>
    <w:rsid w:val="00F91423"/>
    <w:rsid w:val="00F917C7"/>
    <w:rsid w:val="00F92088"/>
    <w:rsid w:val="00F9212D"/>
    <w:rsid w:val="00F924E7"/>
    <w:rsid w:val="00F93A7F"/>
    <w:rsid w:val="00F94E3A"/>
    <w:rsid w:val="00F9509B"/>
    <w:rsid w:val="00F95146"/>
    <w:rsid w:val="00F95E9F"/>
    <w:rsid w:val="00F965DA"/>
    <w:rsid w:val="00F96876"/>
    <w:rsid w:val="00F96B0C"/>
    <w:rsid w:val="00FA0C23"/>
    <w:rsid w:val="00FA0E4F"/>
    <w:rsid w:val="00FA212B"/>
    <w:rsid w:val="00FA230F"/>
    <w:rsid w:val="00FA28BA"/>
    <w:rsid w:val="00FA2F90"/>
    <w:rsid w:val="00FA406A"/>
    <w:rsid w:val="00FA45B7"/>
    <w:rsid w:val="00FA46DE"/>
    <w:rsid w:val="00FA48AC"/>
    <w:rsid w:val="00FA4B50"/>
    <w:rsid w:val="00FA5960"/>
    <w:rsid w:val="00FA6371"/>
    <w:rsid w:val="00FA6734"/>
    <w:rsid w:val="00FA6BB5"/>
    <w:rsid w:val="00FA6D9B"/>
    <w:rsid w:val="00FA703C"/>
    <w:rsid w:val="00FA7729"/>
    <w:rsid w:val="00FA7D2B"/>
    <w:rsid w:val="00FA7D30"/>
    <w:rsid w:val="00FB12E3"/>
    <w:rsid w:val="00FB12EF"/>
    <w:rsid w:val="00FB1701"/>
    <w:rsid w:val="00FB1B8C"/>
    <w:rsid w:val="00FB1F16"/>
    <w:rsid w:val="00FB2552"/>
    <w:rsid w:val="00FB258B"/>
    <w:rsid w:val="00FB2DDC"/>
    <w:rsid w:val="00FB310B"/>
    <w:rsid w:val="00FB3271"/>
    <w:rsid w:val="00FB405E"/>
    <w:rsid w:val="00FB503A"/>
    <w:rsid w:val="00FB5096"/>
    <w:rsid w:val="00FB516C"/>
    <w:rsid w:val="00FB5291"/>
    <w:rsid w:val="00FB616E"/>
    <w:rsid w:val="00FB62FB"/>
    <w:rsid w:val="00FB634D"/>
    <w:rsid w:val="00FB68B1"/>
    <w:rsid w:val="00FC0421"/>
    <w:rsid w:val="00FC09A5"/>
    <w:rsid w:val="00FC09D1"/>
    <w:rsid w:val="00FC0C70"/>
    <w:rsid w:val="00FC18A0"/>
    <w:rsid w:val="00FC1B96"/>
    <w:rsid w:val="00FC1C29"/>
    <w:rsid w:val="00FC1FF2"/>
    <w:rsid w:val="00FC27E6"/>
    <w:rsid w:val="00FC2946"/>
    <w:rsid w:val="00FC2CA5"/>
    <w:rsid w:val="00FC386B"/>
    <w:rsid w:val="00FC3B72"/>
    <w:rsid w:val="00FC43CA"/>
    <w:rsid w:val="00FC5E3F"/>
    <w:rsid w:val="00FC5EF5"/>
    <w:rsid w:val="00FC60CF"/>
    <w:rsid w:val="00FC64AF"/>
    <w:rsid w:val="00FC658E"/>
    <w:rsid w:val="00FC726F"/>
    <w:rsid w:val="00FC7405"/>
    <w:rsid w:val="00FC74F0"/>
    <w:rsid w:val="00FC7717"/>
    <w:rsid w:val="00FD0236"/>
    <w:rsid w:val="00FD04AB"/>
    <w:rsid w:val="00FD0D21"/>
    <w:rsid w:val="00FD0F8C"/>
    <w:rsid w:val="00FD10BB"/>
    <w:rsid w:val="00FD132D"/>
    <w:rsid w:val="00FD18F4"/>
    <w:rsid w:val="00FD2036"/>
    <w:rsid w:val="00FD21C6"/>
    <w:rsid w:val="00FD2370"/>
    <w:rsid w:val="00FD23A1"/>
    <w:rsid w:val="00FD2763"/>
    <w:rsid w:val="00FD42F4"/>
    <w:rsid w:val="00FD48DA"/>
    <w:rsid w:val="00FD51CD"/>
    <w:rsid w:val="00FD54DB"/>
    <w:rsid w:val="00FD5D5E"/>
    <w:rsid w:val="00FD5E59"/>
    <w:rsid w:val="00FD5EBC"/>
    <w:rsid w:val="00FD619C"/>
    <w:rsid w:val="00FD619F"/>
    <w:rsid w:val="00FD62CB"/>
    <w:rsid w:val="00FD6D0E"/>
    <w:rsid w:val="00FD6D79"/>
    <w:rsid w:val="00FE0676"/>
    <w:rsid w:val="00FE1636"/>
    <w:rsid w:val="00FE1C49"/>
    <w:rsid w:val="00FE3ED2"/>
    <w:rsid w:val="00FE3FF4"/>
    <w:rsid w:val="00FE539E"/>
    <w:rsid w:val="00FE5A38"/>
    <w:rsid w:val="00FE7598"/>
    <w:rsid w:val="00FF00E3"/>
    <w:rsid w:val="00FF0505"/>
    <w:rsid w:val="00FF0DF2"/>
    <w:rsid w:val="00FF193B"/>
    <w:rsid w:val="00FF1B3E"/>
    <w:rsid w:val="00FF44FE"/>
    <w:rsid w:val="00FF4564"/>
    <w:rsid w:val="00FF4CFC"/>
    <w:rsid w:val="00FF4FD3"/>
    <w:rsid w:val="00FF53A8"/>
    <w:rsid w:val="00FF6833"/>
    <w:rsid w:val="00FF6C0E"/>
    <w:rsid w:val="00FF7A62"/>
    <w:rsid w:val="01290F7E"/>
    <w:rsid w:val="0144194A"/>
    <w:rsid w:val="015D1E09"/>
    <w:rsid w:val="0180709F"/>
    <w:rsid w:val="01965F9D"/>
    <w:rsid w:val="01EE5A9F"/>
    <w:rsid w:val="021312F3"/>
    <w:rsid w:val="023B29D0"/>
    <w:rsid w:val="02697903"/>
    <w:rsid w:val="028A40CE"/>
    <w:rsid w:val="02F96569"/>
    <w:rsid w:val="03D25B32"/>
    <w:rsid w:val="03EA7B21"/>
    <w:rsid w:val="04673C8C"/>
    <w:rsid w:val="04721A91"/>
    <w:rsid w:val="0525150F"/>
    <w:rsid w:val="05F83EAE"/>
    <w:rsid w:val="060346AF"/>
    <w:rsid w:val="063E7D85"/>
    <w:rsid w:val="06414EEA"/>
    <w:rsid w:val="064E676E"/>
    <w:rsid w:val="0699059B"/>
    <w:rsid w:val="07293586"/>
    <w:rsid w:val="07295285"/>
    <w:rsid w:val="07636392"/>
    <w:rsid w:val="07770C56"/>
    <w:rsid w:val="078975FC"/>
    <w:rsid w:val="07BE5D9C"/>
    <w:rsid w:val="08C856E8"/>
    <w:rsid w:val="08EC66D9"/>
    <w:rsid w:val="092217DD"/>
    <w:rsid w:val="093A7294"/>
    <w:rsid w:val="09C20350"/>
    <w:rsid w:val="0A263993"/>
    <w:rsid w:val="0A2D3AC2"/>
    <w:rsid w:val="0A374FD0"/>
    <w:rsid w:val="0A85149F"/>
    <w:rsid w:val="0AA755DF"/>
    <w:rsid w:val="0AAA2D31"/>
    <w:rsid w:val="0B120D44"/>
    <w:rsid w:val="0BBC5120"/>
    <w:rsid w:val="0BD27BF6"/>
    <w:rsid w:val="0C3B3C7D"/>
    <w:rsid w:val="0C9930E6"/>
    <w:rsid w:val="0CAB2EAE"/>
    <w:rsid w:val="0D2F3101"/>
    <w:rsid w:val="0D621C7D"/>
    <w:rsid w:val="0D7B1888"/>
    <w:rsid w:val="0E73034D"/>
    <w:rsid w:val="0F13775A"/>
    <w:rsid w:val="0F5F45FE"/>
    <w:rsid w:val="0F9A112B"/>
    <w:rsid w:val="106D2F64"/>
    <w:rsid w:val="10B63710"/>
    <w:rsid w:val="10F10820"/>
    <w:rsid w:val="111C2F7A"/>
    <w:rsid w:val="11350C37"/>
    <w:rsid w:val="11665CA1"/>
    <w:rsid w:val="13444040"/>
    <w:rsid w:val="13951726"/>
    <w:rsid w:val="13C30389"/>
    <w:rsid w:val="14396509"/>
    <w:rsid w:val="145014CA"/>
    <w:rsid w:val="147E130C"/>
    <w:rsid w:val="14DD2C3C"/>
    <w:rsid w:val="14E34EEC"/>
    <w:rsid w:val="151C3C54"/>
    <w:rsid w:val="15283501"/>
    <w:rsid w:val="153100E0"/>
    <w:rsid w:val="1579392E"/>
    <w:rsid w:val="15830E33"/>
    <w:rsid w:val="15A63C9E"/>
    <w:rsid w:val="16087E1D"/>
    <w:rsid w:val="16A943E4"/>
    <w:rsid w:val="16B137E5"/>
    <w:rsid w:val="172842C0"/>
    <w:rsid w:val="17701D14"/>
    <w:rsid w:val="17735226"/>
    <w:rsid w:val="18476335"/>
    <w:rsid w:val="189F624C"/>
    <w:rsid w:val="195071D7"/>
    <w:rsid w:val="19C1517C"/>
    <w:rsid w:val="19C74A3D"/>
    <w:rsid w:val="19D924C1"/>
    <w:rsid w:val="1A1C66C0"/>
    <w:rsid w:val="1A42393B"/>
    <w:rsid w:val="1A7A4B11"/>
    <w:rsid w:val="1AAD45DE"/>
    <w:rsid w:val="1B046F80"/>
    <w:rsid w:val="1B3267B5"/>
    <w:rsid w:val="1B40161D"/>
    <w:rsid w:val="1B441859"/>
    <w:rsid w:val="1B6606B1"/>
    <w:rsid w:val="1B766AB1"/>
    <w:rsid w:val="1C5E7925"/>
    <w:rsid w:val="1CD436EC"/>
    <w:rsid w:val="1CFD070F"/>
    <w:rsid w:val="1D5F6196"/>
    <w:rsid w:val="1D6132A5"/>
    <w:rsid w:val="1D8A2976"/>
    <w:rsid w:val="1D8E56D5"/>
    <w:rsid w:val="1DF94222"/>
    <w:rsid w:val="1DFD36C2"/>
    <w:rsid w:val="1E2B790E"/>
    <w:rsid w:val="1E7A43DA"/>
    <w:rsid w:val="1E8E072C"/>
    <w:rsid w:val="1EE33CD2"/>
    <w:rsid w:val="1F122317"/>
    <w:rsid w:val="1FE7539E"/>
    <w:rsid w:val="1FFE6D2C"/>
    <w:rsid w:val="20671BE0"/>
    <w:rsid w:val="20786883"/>
    <w:rsid w:val="20963CB8"/>
    <w:rsid w:val="20A81A1B"/>
    <w:rsid w:val="20B07FB6"/>
    <w:rsid w:val="20B646FB"/>
    <w:rsid w:val="20BD4A1B"/>
    <w:rsid w:val="213B74B1"/>
    <w:rsid w:val="215A2310"/>
    <w:rsid w:val="217778C8"/>
    <w:rsid w:val="219940AB"/>
    <w:rsid w:val="21BE54FF"/>
    <w:rsid w:val="21DE318A"/>
    <w:rsid w:val="21EF5B80"/>
    <w:rsid w:val="22576990"/>
    <w:rsid w:val="22F47480"/>
    <w:rsid w:val="23DE1C48"/>
    <w:rsid w:val="240210CD"/>
    <w:rsid w:val="249B2244"/>
    <w:rsid w:val="24A52846"/>
    <w:rsid w:val="24BF09F7"/>
    <w:rsid w:val="24DA2134"/>
    <w:rsid w:val="252D53FE"/>
    <w:rsid w:val="25EC2D81"/>
    <w:rsid w:val="26574444"/>
    <w:rsid w:val="27440E4A"/>
    <w:rsid w:val="277057A2"/>
    <w:rsid w:val="279C4EB2"/>
    <w:rsid w:val="27FB0659"/>
    <w:rsid w:val="28220BC9"/>
    <w:rsid w:val="283A5E96"/>
    <w:rsid w:val="28EB4394"/>
    <w:rsid w:val="29206EB8"/>
    <w:rsid w:val="29595666"/>
    <w:rsid w:val="29874881"/>
    <w:rsid w:val="29E325E0"/>
    <w:rsid w:val="2A0F3C7C"/>
    <w:rsid w:val="2A452503"/>
    <w:rsid w:val="2A9419D0"/>
    <w:rsid w:val="2B832DE2"/>
    <w:rsid w:val="2BA936A8"/>
    <w:rsid w:val="2C315A5A"/>
    <w:rsid w:val="2C4B1C25"/>
    <w:rsid w:val="2C8E5D1A"/>
    <w:rsid w:val="2D9E56F5"/>
    <w:rsid w:val="2DAE7FAD"/>
    <w:rsid w:val="2E3C6F1C"/>
    <w:rsid w:val="2E667F96"/>
    <w:rsid w:val="2E8226AB"/>
    <w:rsid w:val="2EBB0C74"/>
    <w:rsid w:val="2EC85966"/>
    <w:rsid w:val="2F2367E2"/>
    <w:rsid w:val="2FCF1637"/>
    <w:rsid w:val="2FD065E6"/>
    <w:rsid w:val="2FD96870"/>
    <w:rsid w:val="30580BC9"/>
    <w:rsid w:val="308367C7"/>
    <w:rsid w:val="311E2ED7"/>
    <w:rsid w:val="315619EE"/>
    <w:rsid w:val="315C449C"/>
    <w:rsid w:val="31B82709"/>
    <w:rsid w:val="31D05482"/>
    <w:rsid w:val="32400B34"/>
    <w:rsid w:val="329C17B8"/>
    <w:rsid w:val="329E6876"/>
    <w:rsid w:val="333015F2"/>
    <w:rsid w:val="334B6320"/>
    <w:rsid w:val="334F1593"/>
    <w:rsid w:val="335D6BC8"/>
    <w:rsid w:val="33D934D4"/>
    <w:rsid w:val="33E06554"/>
    <w:rsid w:val="33FE2F6A"/>
    <w:rsid w:val="340E07E5"/>
    <w:rsid w:val="34235BF7"/>
    <w:rsid w:val="355E1F80"/>
    <w:rsid w:val="356748D6"/>
    <w:rsid w:val="358C5FA8"/>
    <w:rsid w:val="35C15DF1"/>
    <w:rsid w:val="35D60C7F"/>
    <w:rsid w:val="35FA2F6C"/>
    <w:rsid w:val="36074A7F"/>
    <w:rsid w:val="360F0F8E"/>
    <w:rsid w:val="367A0B2E"/>
    <w:rsid w:val="36923549"/>
    <w:rsid w:val="36B75FBF"/>
    <w:rsid w:val="36BD0C45"/>
    <w:rsid w:val="370A0F4B"/>
    <w:rsid w:val="37561281"/>
    <w:rsid w:val="375E768E"/>
    <w:rsid w:val="37E00298"/>
    <w:rsid w:val="38694C00"/>
    <w:rsid w:val="388B10A6"/>
    <w:rsid w:val="38B302F9"/>
    <w:rsid w:val="38D16ABE"/>
    <w:rsid w:val="38F12CD3"/>
    <w:rsid w:val="38F94775"/>
    <w:rsid w:val="392971ED"/>
    <w:rsid w:val="39325651"/>
    <w:rsid w:val="398C4461"/>
    <w:rsid w:val="3A5D795D"/>
    <w:rsid w:val="3A872856"/>
    <w:rsid w:val="3B3763D1"/>
    <w:rsid w:val="3BBE62F3"/>
    <w:rsid w:val="3BED50ED"/>
    <w:rsid w:val="3C2F6E1E"/>
    <w:rsid w:val="3C4F64BA"/>
    <w:rsid w:val="3C997641"/>
    <w:rsid w:val="3CB845F0"/>
    <w:rsid w:val="3CDA245A"/>
    <w:rsid w:val="3D1E06B7"/>
    <w:rsid w:val="3D21778A"/>
    <w:rsid w:val="3D517916"/>
    <w:rsid w:val="3E51351E"/>
    <w:rsid w:val="3EA263F4"/>
    <w:rsid w:val="3EDA0523"/>
    <w:rsid w:val="3EE34E0F"/>
    <w:rsid w:val="3FB87580"/>
    <w:rsid w:val="3FC53EB4"/>
    <w:rsid w:val="3FC615A3"/>
    <w:rsid w:val="400C1615"/>
    <w:rsid w:val="407A6407"/>
    <w:rsid w:val="40A97104"/>
    <w:rsid w:val="40D024FA"/>
    <w:rsid w:val="41114912"/>
    <w:rsid w:val="411A58FE"/>
    <w:rsid w:val="41D7769B"/>
    <w:rsid w:val="4200449D"/>
    <w:rsid w:val="420805CD"/>
    <w:rsid w:val="423A3BCC"/>
    <w:rsid w:val="424E57D2"/>
    <w:rsid w:val="42B26C49"/>
    <w:rsid w:val="42B54B97"/>
    <w:rsid w:val="42D10BB0"/>
    <w:rsid w:val="433A6FE6"/>
    <w:rsid w:val="43480868"/>
    <w:rsid w:val="4350713C"/>
    <w:rsid w:val="436653E0"/>
    <w:rsid w:val="43C4431A"/>
    <w:rsid w:val="43C50A51"/>
    <w:rsid w:val="441235E3"/>
    <w:rsid w:val="44A4731D"/>
    <w:rsid w:val="44B951CC"/>
    <w:rsid w:val="44CD14E0"/>
    <w:rsid w:val="44F20B0B"/>
    <w:rsid w:val="45280492"/>
    <w:rsid w:val="452E5F4C"/>
    <w:rsid w:val="45582786"/>
    <w:rsid w:val="45612018"/>
    <w:rsid w:val="458946E9"/>
    <w:rsid w:val="45A47C0E"/>
    <w:rsid w:val="45FD670D"/>
    <w:rsid w:val="46577FD6"/>
    <w:rsid w:val="46625172"/>
    <w:rsid w:val="46D955A7"/>
    <w:rsid w:val="46FB4C66"/>
    <w:rsid w:val="47133957"/>
    <w:rsid w:val="47800472"/>
    <w:rsid w:val="47A07E0C"/>
    <w:rsid w:val="47C26D53"/>
    <w:rsid w:val="4870272E"/>
    <w:rsid w:val="48FA1AF5"/>
    <w:rsid w:val="4954256B"/>
    <w:rsid w:val="4961136B"/>
    <w:rsid w:val="499E398E"/>
    <w:rsid w:val="49A63985"/>
    <w:rsid w:val="49DC7715"/>
    <w:rsid w:val="49E65A74"/>
    <w:rsid w:val="4A023139"/>
    <w:rsid w:val="4A026456"/>
    <w:rsid w:val="4A40521A"/>
    <w:rsid w:val="4A7B576F"/>
    <w:rsid w:val="4ACF3E3C"/>
    <w:rsid w:val="4AF561A9"/>
    <w:rsid w:val="4BE553D1"/>
    <w:rsid w:val="4C487D37"/>
    <w:rsid w:val="4C4A0649"/>
    <w:rsid w:val="4C7E5ECA"/>
    <w:rsid w:val="4C876AA5"/>
    <w:rsid w:val="4D0E00FB"/>
    <w:rsid w:val="4D176606"/>
    <w:rsid w:val="4DE26FC5"/>
    <w:rsid w:val="4DEC4FB0"/>
    <w:rsid w:val="4DED405F"/>
    <w:rsid w:val="4E075D8A"/>
    <w:rsid w:val="4E13078F"/>
    <w:rsid w:val="4E222E28"/>
    <w:rsid w:val="4E4054FA"/>
    <w:rsid w:val="4E8418F8"/>
    <w:rsid w:val="4EC00FAD"/>
    <w:rsid w:val="4EC051DA"/>
    <w:rsid w:val="4F9843DC"/>
    <w:rsid w:val="4FC62A8C"/>
    <w:rsid w:val="4FE20F0D"/>
    <w:rsid w:val="4FE51552"/>
    <w:rsid w:val="50504C4B"/>
    <w:rsid w:val="509C6E7C"/>
    <w:rsid w:val="50BE3793"/>
    <w:rsid w:val="50F13FBF"/>
    <w:rsid w:val="51464672"/>
    <w:rsid w:val="5162104E"/>
    <w:rsid w:val="516278C4"/>
    <w:rsid w:val="51A667D4"/>
    <w:rsid w:val="51BC69A8"/>
    <w:rsid w:val="51FD59A6"/>
    <w:rsid w:val="5214019C"/>
    <w:rsid w:val="52B96F4D"/>
    <w:rsid w:val="535A2C04"/>
    <w:rsid w:val="53A039CC"/>
    <w:rsid w:val="53A1505A"/>
    <w:rsid w:val="54063E08"/>
    <w:rsid w:val="543437E8"/>
    <w:rsid w:val="549A7A51"/>
    <w:rsid w:val="54D15923"/>
    <w:rsid w:val="54D20992"/>
    <w:rsid w:val="54F73313"/>
    <w:rsid w:val="54F80955"/>
    <w:rsid w:val="5538328F"/>
    <w:rsid w:val="555170A7"/>
    <w:rsid w:val="5587536D"/>
    <w:rsid w:val="559B174B"/>
    <w:rsid w:val="55CD51DE"/>
    <w:rsid w:val="55CE0CF4"/>
    <w:rsid w:val="55CE4423"/>
    <w:rsid w:val="56B22A9C"/>
    <w:rsid w:val="56EE22D2"/>
    <w:rsid w:val="57AF7DA9"/>
    <w:rsid w:val="57B72A76"/>
    <w:rsid w:val="57C3426C"/>
    <w:rsid w:val="57CE1F93"/>
    <w:rsid w:val="57F202BF"/>
    <w:rsid w:val="58036FBA"/>
    <w:rsid w:val="588743D1"/>
    <w:rsid w:val="5887701A"/>
    <w:rsid w:val="59C0439F"/>
    <w:rsid w:val="59E55D56"/>
    <w:rsid w:val="5ABE2233"/>
    <w:rsid w:val="5B875AAC"/>
    <w:rsid w:val="5B9E7FC4"/>
    <w:rsid w:val="5BDF5D95"/>
    <w:rsid w:val="5BFE7528"/>
    <w:rsid w:val="5DB33B07"/>
    <w:rsid w:val="5E2467F1"/>
    <w:rsid w:val="5F197CFB"/>
    <w:rsid w:val="5F1A2B43"/>
    <w:rsid w:val="5FB837BB"/>
    <w:rsid w:val="5FFF6646"/>
    <w:rsid w:val="602729DA"/>
    <w:rsid w:val="60326087"/>
    <w:rsid w:val="60442349"/>
    <w:rsid w:val="60933C48"/>
    <w:rsid w:val="60CC405A"/>
    <w:rsid w:val="61E215D8"/>
    <w:rsid w:val="621B3775"/>
    <w:rsid w:val="62276FE4"/>
    <w:rsid w:val="62364782"/>
    <w:rsid w:val="62A96D2C"/>
    <w:rsid w:val="638B431B"/>
    <w:rsid w:val="6394356A"/>
    <w:rsid w:val="63C61B2C"/>
    <w:rsid w:val="63D40BE9"/>
    <w:rsid w:val="64102431"/>
    <w:rsid w:val="6429544D"/>
    <w:rsid w:val="64A5243A"/>
    <w:rsid w:val="64F531DE"/>
    <w:rsid w:val="65373578"/>
    <w:rsid w:val="65554668"/>
    <w:rsid w:val="6655650D"/>
    <w:rsid w:val="66B61532"/>
    <w:rsid w:val="66F45E44"/>
    <w:rsid w:val="671F124A"/>
    <w:rsid w:val="677A33C6"/>
    <w:rsid w:val="67EE4C5D"/>
    <w:rsid w:val="681F6961"/>
    <w:rsid w:val="68610A2F"/>
    <w:rsid w:val="68805514"/>
    <w:rsid w:val="68AC3AFE"/>
    <w:rsid w:val="692A1084"/>
    <w:rsid w:val="69316E2F"/>
    <w:rsid w:val="694E2071"/>
    <w:rsid w:val="69766163"/>
    <w:rsid w:val="697A3B33"/>
    <w:rsid w:val="69D44760"/>
    <w:rsid w:val="6A13061B"/>
    <w:rsid w:val="6A520EC7"/>
    <w:rsid w:val="6A70078A"/>
    <w:rsid w:val="6A744C0B"/>
    <w:rsid w:val="6A7950D2"/>
    <w:rsid w:val="6A8F475A"/>
    <w:rsid w:val="6AC16EFE"/>
    <w:rsid w:val="6AF87E20"/>
    <w:rsid w:val="6B1417D9"/>
    <w:rsid w:val="6B322639"/>
    <w:rsid w:val="6B395A6E"/>
    <w:rsid w:val="6B42001F"/>
    <w:rsid w:val="6B8D2A0C"/>
    <w:rsid w:val="6BAE566E"/>
    <w:rsid w:val="6C636C38"/>
    <w:rsid w:val="6CAA3B8F"/>
    <w:rsid w:val="6DB34098"/>
    <w:rsid w:val="6DB545B6"/>
    <w:rsid w:val="6DE02FB4"/>
    <w:rsid w:val="6E020ED7"/>
    <w:rsid w:val="6E2941F6"/>
    <w:rsid w:val="6E514CED"/>
    <w:rsid w:val="6EB563D5"/>
    <w:rsid w:val="6ED92677"/>
    <w:rsid w:val="6F225983"/>
    <w:rsid w:val="6F8568AE"/>
    <w:rsid w:val="6FBA0B1D"/>
    <w:rsid w:val="6FFC5590"/>
    <w:rsid w:val="706D1DD0"/>
    <w:rsid w:val="70784804"/>
    <w:rsid w:val="70856B87"/>
    <w:rsid w:val="70D527EE"/>
    <w:rsid w:val="70E21275"/>
    <w:rsid w:val="713D08DD"/>
    <w:rsid w:val="715B5300"/>
    <w:rsid w:val="718B1D34"/>
    <w:rsid w:val="71D27F8A"/>
    <w:rsid w:val="72553024"/>
    <w:rsid w:val="72DB3BA1"/>
    <w:rsid w:val="72E07C3B"/>
    <w:rsid w:val="730C62F9"/>
    <w:rsid w:val="73122968"/>
    <w:rsid w:val="731F5D5E"/>
    <w:rsid w:val="735E15F2"/>
    <w:rsid w:val="73C51AD5"/>
    <w:rsid w:val="73D06FCE"/>
    <w:rsid w:val="741E793C"/>
    <w:rsid w:val="74441E77"/>
    <w:rsid w:val="745E3944"/>
    <w:rsid w:val="74A4533D"/>
    <w:rsid w:val="75502130"/>
    <w:rsid w:val="755E78E3"/>
    <w:rsid w:val="75CF5C6C"/>
    <w:rsid w:val="7635099D"/>
    <w:rsid w:val="76AB1BAF"/>
    <w:rsid w:val="76EA35DF"/>
    <w:rsid w:val="770A5210"/>
    <w:rsid w:val="77762421"/>
    <w:rsid w:val="77B56B1F"/>
    <w:rsid w:val="77C54371"/>
    <w:rsid w:val="780F09F4"/>
    <w:rsid w:val="784E49F0"/>
    <w:rsid w:val="787205A5"/>
    <w:rsid w:val="78A90480"/>
    <w:rsid w:val="7A364017"/>
    <w:rsid w:val="7A8265E1"/>
    <w:rsid w:val="7AC07894"/>
    <w:rsid w:val="7AD7534C"/>
    <w:rsid w:val="7B686D42"/>
    <w:rsid w:val="7B841746"/>
    <w:rsid w:val="7BA75BD4"/>
    <w:rsid w:val="7BB74CCF"/>
    <w:rsid w:val="7C1F3148"/>
    <w:rsid w:val="7C6C5AC7"/>
    <w:rsid w:val="7CC6544B"/>
    <w:rsid w:val="7D0239FF"/>
    <w:rsid w:val="7D5E40CD"/>
    <w:rsid w:val="7D6D449F"/>
    <w:rsid w:val="7DCD56F2"/>
    <w:rsid w:val="7E1C1624"/>
    <w:rsid w:val="7F001CE7"/>
    <w:rsid w:val="7FE47E50"/>
  </w:rsids>
  <w:docVars>
    <w:docVar w:name="commondata" w:val="eyJoZGlkIjoiMzJlZjNlMGViNTJjNTQ2YzZhYjIxYzVlZjBlOGE4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locked="1" w:semiHidden="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0" w:uiPriority="0" w:unhideWhenUsed="0"/>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iPriority="0" w:unhideWhenUsed="0" w:qFormat="1"/>
    <w:lsdException w:name="footnote text" w:locked="1"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locked="1" w:semiHidden="0" w:uiPriority="0" w:unhideWhenUsed="0"/>
    <w:lsdException w:name="caption" w:locked="1" w:uiPriority="0" w:qFormat="1"/>
    <w:lsdException w:name="table of figures" w:locked="1" w:semiHidden="0" w:qFormat="1"/>
    <w:lsdException w:name="envelope address" w:locked="1" w:semiHidden="0" w:uiPriority="0" w:unhideWhenUsed="0"/>
    <w:lsdException w:name="envelope return" w:locked="1" w:semiHidden="0" w:uiPriority="0" w:unhideWhenUsed="0"/>
    <w:lsdException w:name="footnote reference" w:locked="1" w:semiHidden="0" w:uiPriority="0" w:unhideWhenUsed="0"/>
    <w:lsdException w:name="annotation reference" w:semiHidden="0" w:uiPriority="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semiHidden="0" w:uiPriority="0" w:unhideWhenUsed="0"/>
    <w:lsdException w:name="macro" w:locked="1" w:semiHidden="0" w:uiPriority="0" w:unhideWhenUsed="0"/>
    <w:lsdException w:name="toa heading" w:locked="1" w:semiHidden="0" w:uiPriority="0" w:unhideWhenUsed="0"/>
    <w:lsdException w:name="List" w:locked="1" w:semiHidden="0" w:uiPriority="0" w:unhideWhenUsed="0"/>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qFormat="1"/>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iPriority="0" w:unhideWhenUsed="0" w:qFormat="1"/>
    <w:lsdException w:name="Closing" w:locked="1" w:semiHidden="0" w:uiPriority="0" w:unhideWhenUsed="0"/>
    <w:lsdException w:name="Signature" w:locked="1" w:semiHidden="0" w:uiPriority="0" w:unhideWhenUsed="0"/>
    <w:lsdException w:name="Default Paragraph Font" w:uiPriority="1"/>
    <w:lsdException w:name="Body Text" w:semiHidden="0" w:uiPriority="0" w:unhideWhenUsed="0" w:qFormat="1"/>
    <w:lsdException w:name="Body Text Indent" w:semiHidden="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alutation" w:locked="1" w:semiHidden="0" w:uiPriority="0" w:unhideWhenUsed="0"/>
    <w:lsdException w:name="Date" w:semiHidden="0" w:uiPriority="0" w:unhideWhenUsed="0" w:qFormat="1"/>
    <w:lsdException w:name="Body Text First Indent" w:locked="1" w:semiHidden="0" w:uiPriority="0" w:unhideWhenUsed="0" w:qFormat="1"/>
    <w:lsdException w:name="Body Text First Indent 2" w:locked="1" w:semiHidden="0" w:uiPriority="0" w:unhideWhenUsed="0"/>
    <w:lsdException w:name="Note Heading" w:locked="1" w:semiHidden="0" w:uiPriority="0" w:unhideWhenUsed="0"/>
    <w:lsdException w:name="Body Text 2" w:locked="1" w:semiHidden="0" w:uiPriority="0" w:unhideWhenUsed="0"/>
    <w:lsdException w:name="Body Text 3" w:locked="1" w:semiHidden="0" w:uiPriority="0" w:unhideWhenUsed="0"/>
    <w:lsdException w:name="Body Text Indent 2" w:locked="1" w:semiHidden="0" w:uiPriority="0" w:unhideWhenUsed="0"/>
    <w:lsdException w:name="Body Text Indent 3" w:locked="1" w:semiHidden="0" w:uiPriority="0" w:unhideWhenUsed="0"/>
    <w:lsdException w:name="Block Text" w:locked="1" w:semiHidden="0" w:uiPriority="0" w:unhideWhenUsed="0"/>
    <w:lsdException w:name="Hyperlink"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Document Map" w:locked="1" w:semiHidden="0" w:uiPriority="0" w:unhideWhenUsed="0"/>
    <w:lsdException w:name="Plain Text" w:locked="1" w:semiHidden="0" w:uiPriority="0" w:unhideWhenUsed="0" w:qFormat="1"/>
    <w:lsdException w:name="E-mail Signature" w:locked="1" w:semiHidden="0" w:uiPriority="0" w:unhideWhenUsed="0"/>
    <w:lsdException w:name="Normal (Web)" w:semiHidden="0" w:uiPriority="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unhideWhenUsed="0"/>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lsdException w:name="annotation subject" w:uiPriority="0" w:unhideWhenUsed="0" w:qFormat="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uiPriority="0" w:unhideWhenUsed="0" w:qFormat="1"/>
    <w:lsdException w:name="Table Grid" w:semiHidden="0" w:uiPriority="59" w:unhideWhenUsed="0" w:qFormat="1"/>
    <w:lsdException w:name="Table Theme" w:locked="1" w:uiPriority="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2">
    <w:name w:val="heading 2"/>
    <w:basedOn w:val="Normal"/>
    <w:next w:val="Normal"/>
    <w:qFormat/>
    <w:locked/>
    <w:pPr>
      <w:adjustRightInd w:val="0"/>
      <w:snapToGrid w:val="0"/>
      <w:spacing w:line="360" w:lineRule="auto"/>
      <w:outlineLvl w:val="1"/>
    </w:pPr>
    <w:rPr>
      <w:rFonts w:ascii="宋体" w:hAnsi="宋体"/>
      <w:b/>
      <w:bCs/>
      <w:kern w:val="0"/>
      <w:sz w:val="28"/>
      <w:szCs w:val="32"/>
    </w:rPr>
  </w:style>
  <w:style w:type="paragraph" w:styleId="Heading3">
    <w:name w:val="heading 3"/>
    <w:basedOn w:val="Normal"/>
    <w:next w:val="Normal"/>
    <w:qFormat/>
    <w:locke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NormalIndent">
    <w:name w:val="Normal Indent"/>
    <w:basedOn w:val="Normal"/>
    <w:next w:val="Normal"/>
    <w:link w:val="a17"/>
    <w:qFormat/>
    <w:locked/>
    <w:pPr>
      <w:spacing w:line="460" w:lineRule="exact"/>
      <w:ind w:firstLine="420" w:firstLineChars="200"/>
    </w:pPr>
    <w:rPr>
      <w:kern w:val="0"/>
      <w:sz w:val="24"/>
      <w:szCs w:val="20"/>
    </w:rPr>
  </w:style>
  <w:style w:type="paragraph" w:styleId="CommentText">
    <w:name w:val="annotation text"/>
    <w:basedOn w:val="Normal"/>
    <w:link w:val="a"/>
    <w:qFormat/>
    <w:pPr>
      <w:jc w:val="left"/>
    </w:pPr>
    <w:rPr>
      <w:kern w:val="0"/>
      <w:sz w:val="24"/>
      <w:szCs w:val="20"/>
    </w:rPr>
  </w:style>
  <w:style w:type="paragraph" w:styleId="BodyText">
    <w:name w:val="Body Text"/>
    <w:basedOn w:val="Normal"/>
    <w:next w:val="ListBullet5"/>
    <w:link w:val="a0"/>
    <w:qFormat/>
    <w:pPr>
      <w:widowControl/>
      <w:snapToGrid w:val="0"/>
      <w:spacing w:before="60" w:after="160" w:line="259" w:lineRule="auto"/>
      <w:ind w:right="113"/>
    </w:pPr>
    <w:rPr>
      <w:kern w:val="0"/>
      <w:sz w:val="18"/>
      <w:szCs w:val="20"/>
    </w:rPr>
  </w:style>
  <w:style w:type="paragraph" w:styleId="ListBullet5">
    <w:name w:val="List Bullet 5"/>
    <w:basedOn w:val="Normal"/>
    <w:qFormat/>
    <w:locked/>
    <w:pPr>
      <w:numPr>
        <w:ilvl w:val="0"/>
        <w:numId w:val="1"/>
      </w:numPr>
      <w:tabs>
        <w:tab w:val="left" w:pos="2040"/>
      </w:tabs>
    </w:pPr>
  </w:style>
  <w:style w:type="paragraph" w:styleId="BodyTextIndent">
    <w:name w:val="Body Text Indent"/>
    <w:basedOn w:val="Normal"/>
    <w:next w:val="BodyTextFirstIndent"/>
    <w:link w:val="a1"/>
    <w:uiPriority w:val="99"/>
    <w:qFormat/>
    <w:pPr>
      <w:spacing w:after="120"/>
      <w:ind w:left="420" w:leftChars="200"/>
    </w:pPr>
    <w:rPr>
      <w:kern w:val="0"/>
      <w:sz w:val="24"/>
      <w:szCs w:val="20"/>
    </w:rPr>
  </w:style>
  <w:style w:type="paragraph" w:styleId="BodyTextFirstIndent">
    <w:name w:val="Body Text First Indent"/>
    <w:basedOn w:val="BodyText"/>
    <w:next w:val="TableofFigures"/>
    <w:qFormat/>
    <w:locked/>
    <w:pPr>
      <w:ind w:firstLine="420" w:firstLineChars="100"/>
    </w:pPr>
    <w:rPr>
      <w:rFonts w:eastAsia="Times New Roman"/>
    </w:rPr>
  </w:style>
  <w:style w:type="paragraph" w:styleId="TableofFigures">
    <w:name w:val="table of figures"/>
    <w:basedOn w:val="Normal"/>
    <w:next w:val="Normal"/>
    <w:uiPriority w:val="99"/>
    <w:unhideWhenUsed/>
    <w:qFormat/>
    <w:locked/>
  </w:style>
  <w:style w:type="paragraph" w:styleId="PlainText">
    <w:name w:val="Plain Text"/>
    <w:basedOn w:val="Normal"/>
    <w:link w:val="a18"/>
    <w:qFormat/>
    <w:locked/>
    <w:rPr>
      <w:rFonts w:ascii="宋体"/>
    </w:rPr>
  </w:style>
  <w:style w:type="paragraph" w:styleId="Date">
    <w:name w:val="Date"/>
    <w:basedOn w:val="Normal"/>
    <w:next w:val="Normal"/>
    <w:link w:val="1"/>
    <w:qFormat/>
    <w:pPr>
      <w:ind w:left="100" w:leftChars="2500"/>
    </w:pPr>
    <w:rPr>
      <w:kern w:val="0"/>
      <w:sz w:val="24"/>
      <w:szCs w:val="20"/>
    </w:rPr>
  </w:style>
  <w:style w:type="paragraph" w:styleId="BalloonText">
    <w:name w:val="Balloon Text"/>
    <w:basedOn w:val="Normal"/>
    <w:link w:val="a2"/>
    <w:semiHidden/>
    <w:qFormat/>
    <w:rPr>
      <w:kern w:val="0"/>
      <w:sz w:val="18"/>
      <w:szCs w:val="20"/>
    </w:rPr>
  </w:style>
  <w:style w:type="paragraph" w:styleId="Footer">
    <w:name w:val="footer"/>
    <w:basedOn w:val="Normal"/>
    <w:link w:val="10"/>
    <w:uiPriority w:val="99"/>
    <w:qFormat/>
    <w:pPr>
      <w:tabs>
        <w:tab w:val="center" w:pos="4153"/>
        <w:tab w:val="right" w:pos="8306"/>
      </w:tabs>
      <w:snapToGrid w:val="0"/>
      <w:jc w:val="left"/>
    </w:pPr>
    <w:rPr>
      <w:kern w:val="0"/>
      <w:sz w:val="18"/>
      <w:szCs w:val="20"/>
    </w:rPr>
  </w:style>
  <w:style w:type="paragraph" w:styleId="Header">
    <w:name w:val="header"/>
    <w:basedOn w:val="Normal"/>
    <w:link w:val="a3"/>
    <w:qFormat/>
    <w:pPr>
      <w:pBdr>
        <w:bottom w:val="single" w:sz="6" w:space="1" w:color="auto"/>
      </w:pBdr>
      <w:tabs>
        <w:tab w:val="center" w:pos="4153"/>
        <w:tab w:val="right" w:pos="8306"/>
      </w:tabs>
      <w:snapToGrid w:val="0"/>
      <w:jc w:val="center"/>
    </w:pPr>
    <w:rPr>
      <w:kern w:val="0"/>
      <w:sz w:val="18"/>
      <w:szCs w:val="20"/>
    </w:rPr>
  </w:style>
  <w:style w:type="paragraph" w:styleId="NormalWeb">
    <w:name w:val="Normal (Web)"/>
    <w:basedOn w:val="Normal"/>
    <w:link w:val="a4"/>
    <w:qFormat/>
    <w:pPr>
      <w:widowControl/>
      <w:spacing w:before="100" w:beforeAutospacing="1" w:after="100" w:afterAutospacing="1"/>
      <w:jc w:val="left"/>
    </w:pPr>
    <w:rPr>
      <w:rFonts w:ascii="宋体" w:hAnsi="宋体"/>
      <w:kern w:val="0"/>
      <w:sz w:val="24"/>
      <w:szCs w:val="20"/>
    </w:rPr>
  </w:style>
  <w:style w:type="paragraph" w:styleId="Title">
    <w:name w:val="Title"/>
    <w:basedOn w:val="Normal"/>
    <w:next w:val="Normal"/>
    <w:link w:val="a16"/>
    <w:qFormat/>
    <w:locked/>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a5"/>
    <w:semiHidden/>
    <w:qFormat/>
    <w:rPr>
      <w:b/>
    </w:rPr>
  </w:style>
  <w:style w:type="paragraph" w:styleId="BodyTextFirstIndent2">
    <w:name w:val="Body Text First Indent 2"/>
    <w:basedOn w:val="Normal"/>
    <w:next w:val="Normal"/>
    <w:locked/>
    <w:pPr>
      <w:ind w:firstLine="420" w:firstLineChars="200"/>
    </w:pPr>
    <w:rPr>
      <w:szCs w:val="20"/>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locked/>
    <w:rPr>
      <w:b/>
    </w:rPr>
  </w:style>
  <w:style w:type="character" w:styleId="PageNumber">
    <w:name w:val="page number"/>
    <w:qFormat/>
    <w:locked/>
  </w:style>
  <w:style w:type="character" w:styleId="Hyperlink">
    <w:name w:val="Hyperlink"/>
    <w:qFormat/>
    <w:locked/>
    <w:rPr>
      <w:color w:val="0000FF"/>
      <w:u w:val="single"/>
    </w:rPr>
  </w:style>
  <w:style w:type="character" w:styleId="CommentReference">
    <w:name w:val="annotation reference"/>
    <w:qFormat/>
    <w:rPr>
      <w:sz w:val="21"/>
    </w:rPr>
  </w:style>
  <w:style w:type="character" w:customStyle="1" w:styleId="a">
    <w:name w:val="批注文字 字符"/>
    <w:link w:val="CommentText"/>
    <w:qFormat/>
    <w:locked/>
    <w:rPr>
      <w:rFonts w:ascii="Times New Roman" w:eastAsia="宋体" w:hAnsi="Times New Roman"/>
      <w:sz w:val="24"/>
    </w:rPr>
  </w:style>
  <w:style w:type="character" w:customStyle="1" w:styleId="a0">
    <w:name w:val="正文文本 字符"/>
    <w:link w:val="BodyText"/>
    <w:qFormat/>
    <w:locked/>
    <w:rPr>
      <w:sz w:val="18"/>
    </w:rPr>
  </w:style>
  <w:style w:type="character" w:customStyle="1" w:styleId="a1">
    <w:name w:val="正文文本缩进 字符"/>
    <w:link w:val="BodyTextIndent"/>
    <w:semiHidden/>
    <w:qFormat/>
    <w:locked/>
    <w:rPr>
      <w:rFonts w:ascii="Times New Roman" w:eastAsia="宋体" w:hAnsi="Times New Roman"/>
      <w:sz w:val="24"/>
    </w:rPr>
  </w:style>
  <w:style w:type="character" w:customStyle="1" w:styleId="1">
    <w:name w:val="日期 字符1"/>
    <w:link w:val="Date"/>
    <w:qFormat/>
    <w:locked/>
    <w:rPr>
      <w:rFonts w:ascii="Times New Roman" w:eastAsia="宋体" w:hAnsi="Times New Roman"/>
      <w:sz w:val="24"/>
    </w:rPr>
  </w:style>
  <w:style w:type="character" w:customStyle="1" w:styleId="a2">
    <w:name w:val="批注框文本 字符"/>
    <w:link w:val="BalloonText"/>
    <w:semiHidden/>
    <w:qFormat/>
    <w:locked/>
    <w:rPr>
      <w:rFonts w:ascii="Times New Roman" w:eastAsia="宋体" w:hAnsi="Times New Roman"/>
      <w:sz w:val="18"/>
    </w:rPr>
  </w:style>
  <w:style w:type="character" w:customStyle="1" w:styleId="10">
    <w:name w:val="页脚 字符1"/>
    <w:link w:val="Footer"/>
    <w:uiPriority w:val="99"/>
    <w:qFormat/>
    <w:locked/>
    <w:rPr>
      <w:sz w:val="18"/>
    </w:rPr>
  </w:style>
  <w:style w:type="character" w:customStyle="1" w:styleId="a3">
    <w:name w:val="页眉 字符"/>
    <w:link w:val="Header"/>
    <w:qFormat/>
    <w:locked/>
    <w:rPr>
      <w:sz w:val="18"/>
    </w:rPr>
  </w:style>
  <w:style w:type="character" w:customStyle="1" w:styleId="a4">
    <w:name w:val="普通(网站) 字符"/>
    <w:link w:val="NormalWeb"/>
    <w:qFormat/>
    <w:locked/>
    <w:rPr>
      <w:rFonts w:ascii="宋体" w:eastAsia="宋体" w:hAnsi="宋体"/>
      <w:sz w:val="24"/>
    </w:rPr>
  </w:style>
  <w:style w:type="character" w:customStyle="1" w:styleId="a5">
    <w:name w:val="批注主题 字符"/>
    <w:link w:val="CommentSubject"/>
    <w:semiHidden/>
    <w:qFormat/>
    <w:locked/>
    <w:rPr>
      <w:rFonts w:ascii="Times New Roman" w:eastAsia="宋体" w:hAnsi="Times New Roman"/>
      <w:b/>
      <w:kern w:val="2"/>
      <w:sz w:val="24"/>
    </w:rPr>
  </w:style>
  <w:style w:type="character" w:customStyle="1" w:styleId="a6">
    <w:name w:val="页脚 字符"/>
    <w:uiPriority w:val="99"/>
    <w:qFormat/>
  </w:style>
  <w:style w:type="character" w:customStyle="1" w:styleId="11">
    <w:name w:val="正文文本 字符1"/>
    <w:semiHidden/>
    <w:qFormat/>
    <w:rPr>
      <w:rFonts w:ascii="Times New Roman" w:eastAsia="宋体" w:hAnsi="Times New Roman"/>
      <w:sz w:val="24"/>
    </w:rPr>
  </w:style>
  <w:style w:type="character" w:customStyle="1" w:styleId="Char">
    <w:name w:val="表格 Char"/>
    <w:link w:val="a7"/>
    <w:qFormat/>
    <w:locked/>
    <w:rPr>
      <w:rFonts w:ascii="宋体"/>
      <w:sz w:val="21"/>
    </w:rPr>
  </w:style>
  <w:style w:type="paragraph" w:customStyle="1" w:styleId="a7">
    <w:name w:val="表格"/>
    <w:basedOn w:val="Normal"/>
    <w:next w:val="Normal"/>
    <w:link w:val="Char"/>
    <w:qFormat/>
    <w:pPr>
      <w:adjustRightInd w:val="0"/>
      <w:snapToGrid w:val="0"/>
      <w:spacing w:beforeLines="10" w:afterLines="10" w:line="259" w:lineRule="auto"/>
      <w:jc w:val="center"/>
    </w:pPr>
    <w:rPr>
      <w:rFonts w:ascii="宋体"/>
      <w:kern w:val="0"/>
      <w:szCs w:val="20"/>
    </w:rPr>
  </w:style>
  <w:style w:type="character" w:customStyle="1" w:styleId="a8">
    <w:name w:val="日期 字符"/>
    <w:semiHidden/>
    <w:qFormat/>
    <w:rPr>
      <w:rFonts w:ascii="Times New Roman" w:eastAsia="宋体" w:hAnsi="Times New Roman"/>
      <w:sz w:val="24"/>
    </w:rPr>
  </w:style>
  <w:style w:type="character" w:customStyle="1" w:styleId="12">
    <w:name w:val="批注文字 字符1"/>
    <w:semiHidden/>
    <w:qFormat/>
    <w:rPr>
      <w:rFonts w:ascii="Times New Roman" w:eastAsia="宋体" w:hAnsi="Times New Roman"/>
      <w:sz w:val="24"/>
    </w:rPr>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paragraph" w:customStyle="1" w:styleId="a9">
    <w:name w:val="表格文字"/>
    <w:basedOn w:val="Normal"/>
    <w:next w:val="Normal"/>
    <w:qFormat/>
    <w:pPr>
      <w:adjustRightInd w:val="0"/>
      <w:jc w:val="center"/>
    </w:pPr>
    <w:rPr>
      <w:rFonts w:ascii="宋体" w:hAnsi="宋体"/>
      <w:szCs w:val="21"/>
    </w:rPr>
  </w:style>
  <w:style w:type="paragraph" w:customStyle="1" w:styleId="13">
    <w:name w:val="正文1"/>
    <w:basedOn w:val="Normal"/>
    <w:qFormat/>
    <w:pPr>
      <w:adjustRightInd w:val="0"/>
      <w:spacing w:line="315" w:lineRule="atLeast"/>
    </w:pPr>
    <w:rPr>
      <w:rFonts w:ascii="宋体" w:hint="eastAsia"/>
      <w:kern w:val="0"/>
      <w:sz w:val="24"/>
      <w:szCs w:val="22"/>
    </w:rPr>
  </w:style>
  <w:style w:type="paragraph" w:customStyle="1" w:styleId="a10">
    <w:name w:val="表内内容"/>
    <w:basedOn w:val="Normal"/>
    <w:qFormat/>
    <w:pPr>
      <w:jc w:val="center"/>
    </w:pPr>
  </w:style>
  <w:style w:type="paragraph" w:customStyle="1" w:styleId="22Char01">
    <w:name w:val="样式 样式 样式 小四 左 首行缩进:  2 字符 + 首行缩进:  2 字符 Char + 右  0 字符1"/>
    <w:basedOn w:val="Normal"/>
    <w:qFormat/>
    <w:pPr>
      <w:adjustRightInd w:val="0"/>
      <w:spacing w:line="360" w:lineRule="auto"/>
      <w:ind w:firstLine="200" w:firstLineChars="200"/>
      <w:jc w:val="left"/>
    </w:pPr>
    <w:rPr>
      <w:sz w:val="24"/>
      <w:szCs w:val="20"/>
    </w:rPr>
  </w:style>
  <w:style w:type="paragraph" w:customStyle="1" w:styleId="a11">
    <w:name w:val="项目正文，无格式"/>
    <w:basedOn w:val="Normal"/>
    <w:qFormat/>
    <w:pPr>
      <w:spacing w:line="520" w:lineRule="exact"/>
      <w:ind w:firstLine="644" w:firstLineChars="200"/>
      <w:jc w:val="center"/>
    </w:pPr>
    <w:rPr>
      <w:kern w:val="0"/>
      <w:sz w:val="20"/>
      <w:szCs w:val="18"/>
      <w:lang w:eastAsia="ja-JP"/>
    </w:rPr>
  </w:style>
  <w:style w:type="paragraph" w:customStyle="1" w:styleId="20">
    <w:name w:val="正文缩进2"/>
    <w:basedOn w:val="Normal"/>
    <w:qFormat/>
    <w:pPr>
      <w:ind w:firstLine="420"/>
    </w:pPr>
    <w:rPr>
      <w:sz w:val="24"/>
    </w:rPr>
  </w:style>
  <w:style w:type="paragraph" w:customStyle="1" w:styleId="21">
    <w:name w:val="样式2"/>
    <w:basedOn w:val="Footer"/>
    <w:qFormat/>
    <w:pPr>
      <w:widowControl/>
    </w:pPr>
  </w:style>
  <w:style w:type="paragraph" w:customStyle="1" w:styleId="14">
    <w:name w:val="无间隔1"/>
    <w:basedOn w:val="BodyText"/>
    <w:next w:val="BodyText"/>
    <w:uiPriority w:val="1"/>
    <w:qFormat/>
    <w:pPr>
      <w:spacing w:after="0" w:line="360" w:lineRule="exact"/>
      <w:jc w:val="center"/>
    </w:pPr>
    <w:rPr>
      <w:rFonts w:eastAsia="黑体"/>
      <w:sz w:val="21"/>
    </w:rPr>
  </w:style>
  <w:style w:type="paragraph" w:customStyle="1" w:styleId="a12">
    <w:name w:val="应填表格"/>
    <w:basedOn w:val="Normal"/>
    <w:qFormat/>
    <w:pPr>
      <w:adjustRightInd w:val="0"/>
      <w:spacing w:before="40" w:after="40"/>
      <w:jc w:val="left"/>
      <w:textAlignment w:val="baseline"/>
    </w:pPr>
    <w:rPr>
      <w:rFonts w:ascii="Calibri" w:hAnsi="Calibri"/>
      <w:kern w:val="0"/>
      <w:sz w:val="24"/>
    </w:rPr>
  </w:style>
  <w:style w:type="character" w:customStyle="1" w:styleId="fontstyle01">
    <w:name w:val="fontstyle01"/>
    <w:qFormat/>
    <w:rPr>
      <w:rFonts w:ascii="宋体" w:eastAsia="宋体" w:hAnsi="宋体" w:cs="宋体"/>
      <w:color w:val="000000"/>
      <w:sz w:val="24"/>
      <w:szCs w:val="24"/>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5">
    <w:name w:val="正文首行缩进1"/>
    <w:basedOn w:val="Normal"/>
    <w:qFormat/>
    <w:pPr>
      <w:adjustRightInd w:val="0"/>
      <w:snapToGrid w:val="0"/>
      <w:spacing w:line="360" w:lineRule="auto"/>
      <w:ind w:firstLine="482"/>
      <w:jc w:val="left"/>
    </w:pPr>
    <w:rPr>
      <w:snapToGrid w:val="0"/>
      <w:kern w:val="0"/>
      <w:sz w:val="24"/>
    </w:rPr>
  </w:style>
  <w:style w:type="paragraph" w:customStyle="1" w:styleId="a13">
    <w:name w:val="表格内容"/>
    <w:basedOn w:val="Normal"/>
    <w:qFormat/>
    <w:pPr>
      <w:jc w:val="center"/>
    </w:pPr>
  </w:style>
  <w:style w:type="paragraph" w:customStyle="1" w:styleId="l13">
    <w:name w:val="l13"/>
    <w:basedOn w:val="Normal"/>
    <w:qFormat/>
    <w:pPr>
      <w:widowControl/>
      <w:spacing w:before="100" w:beforeAutospacing="1" w:after="100" w:afterAutospacing="1" w:line="312" w:lineRule="auto"/>
      <w:jc w:val="left"/>
    </w:pPr>
    <w:rPr>
      <w:rFonts w:ascii="宋体" w:hAnsi="宋体"/>
      <w:color w:val="000000"/>
      <w:kern w:val="0"/>
      <w:sz w:val="24"/>
    </w:rPr>
  </w:style>
  <w:style w:type="paragraph" w:styleId="ListParagraph">
    <w:name w:val="List Paragraph"/>
    <w:basedOn w:val="Normal"/>
    <w:uiPriority w:val="99"/>
    <w:qFormat/>
    <w:pPr>
      <w:ind w:firstLine="420" w:firstLineChars="200"/>
    </w:pPr>
  </w:style>
  <w:style w:type="character" w:styleId="PlaceholderText">
    <w:name w:val="Placeholder Text"/>
    <w:basedOn w:val="DefaultParagraphFont"/>
    <w:uiPriority w:val="99"/>
    <w:unhideWhenUsed/>
    <w:qFormat/>
    <w:rPr>
      <w:color w:val="808080"/>
    </w:rPr>
  </w:style>
  <w:style w:type="paragraph" w:customStyle="1" w:styleId="16">
    <w:name w:val="修订1"/>
    <w:hidden/>
    <w:uiPriority w:val="99"/>
    <w:unhideWhenUsed/>
    <w:qFormat/>
    <w:rPr>
      <w:rFonts w:ascii="Times New Roman" w:eastAsia="宋体" w:hAnsi="Times New Roman" w:cs="Times New Roman"/>
      <w:kern w:val="2"/>
      <w:sz w:val="21"/>
      <w:szCs w:val="24"/>
      <w:lang w:val="en-US" w:eastAsia="zh-CN" w:bidi="ar-SA"/>
    </w:rPr>
  </w:style>
  <w:style w:type="paragraph" w:customStyle="1" w:styleId="a14">
    <w:name w:val="惠泽正文"/>
    <w:basedOn w:val="Normal"/>
    <w:qFormat/>
    <w:pPr>
      <w:spacing w:line="480" w:lineRule="exact"/>
      <w:ind w:firstLine="480" w:firstLineChars="200"/>
    </w:pPr>
    <w:rPr>
      <w:rFonts w:hAnsi="宋体" w:cs="宋体"/>
      <w:sz w:val="24"/>
      <w:szCs w:val="20"/>
    </w:rPr>
  </w:style>
  <w:style w:type="paragraph" w:customStyle="1" w:styleId="a15">
    <w:name w:val="表格正文"/>
    <w:basedOn w:val="Normal"/>
    <w:next w:val="Normal"/>
    <w:qFormat/>
    <w:pPr>
      <w:jc w:val="center"/>
    </w:pPr>
    <w:rPr>
      <w:kern w:val="0"/>
      <w:szCs w:val="21"/>
    </w:rPr>
  </w:style>
  <w:style w:type="character" w:customStyle="1" w:styleId="a16">
    <w:name w:val="标题 字符"/>
    <w:basedOn w:val="DefaultParagraphFont"/>
    <w:link w:val="Title"/>
    <w:qFormat/>
    <w:rPr>
      <w:rFonts w:asciiTheme="majorHAnsi" w:eastAsiaTheme="majorEastAsia" w:hAnsiTheme="majorHAnsi" w:cstheme="majorBidi"/>
      <w:b/>
      <w:bCs/>
      <w:kern w:val="2"/>
      <w:sz w:val="32"/>
      <w:szCs w:val="32"/>
    </w:rPr>
  </w:style>
  <w:style w:type="character" w:customStyle="1" w:styleId="Char0">
    <w:name w:val="正文文本缩进 Char"/>
    <w:uiPriority w:val="99"/>
    <w:semiHidden/>
    <w:qFormat/>
    <w:locked/>
    <w:rPr>
      <w:rFonts w:ascii="Times New Roman" w:eastAsia="宋体" w:hAnsi="Times New Roman"/>
      <w:sz w:val="24"/>
    </w:rPr>
  </w:style>
  <w:style w:type="character" w:customStyle="1" w:styleId="a17">
    <w:name w:val="正文缩进 字符"/>
    <w:link w:val="NormalIndent"/>
    <w:qFormat/>
    <w:rPr>
      <w:sz w:val="24"/>
    </w:rPr>
  </w:style>
  <w:style w:type="character" w:customStyle="1" w:styleId="a18">
    <w:name w:val="纯文本 字符"/>
    <w:link w:val="PlainText"/>
    <w:qFormat/>
    <w:rPr>
      <w:rFonts w:ascii="宋体"/>
      <w:kern w:val="2"/>
      <w:sz w:val="21"/>
      <w:szCs w:val="24"/>
    </w:rPr>
  </w:style>
  <w:style w:type="paragraph" w:customStyle="1" w:styleId="TableParagraph">
    <w:name w:val="Table Paragraph"/>
    <w:basedOn w:val="Normal"/>
    <w:qFormat/>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387043015201006054"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06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0C977F-B63C-4BE7-8A14-9C79A643229B}">
  <ds:schemaRefs/>
</ds:datastoreItem>
</file>

<file path=docProps/app.xml><?xml version="1.0" encoding="utf-8"?>
<Properties xmlns="http://schemas.openxmlformats.org/officeDocument/2006/extended-properties" xmlns:vt="http://schemas.openxmlformats.org/officeDocument/2006/docPropsVTypes">
  <Template>Normal.dotm</Template>
  <TotalTime>2595</TotalTime>
  <Pages>17</Pages>
  <Words>4913</Words>
  <Characters>28008</Characters>
  <Application>Microsoft Office Word</Application>
  <DocSecurity>0</DocSecurity>
  <Lines>233</Lines>
  <Paragraphs>65</Paragraphs>
  <ScaleCrop>false</ScaleCrop>
  <Company>微软中国</Company>
  <LinksUpToDate>false</LinksUpToDate>
  <CharactersWithSpaces>32856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Administrator</dc:creator>
  <cp:lastModifiedBy>WPS_1559717548</cp:lastModifiedBy>
  <cp:revision>467</cp:revision>
  <cp:lastPrinted>2023-09-05T09:11:00Z</cp:lastPrinted>
  <dcterms:created xsi:type="dcterms:W3CDTF">2023-08-11T10:57:00Z</dcterms:created>
  <dcterms:modified xsi:type="dcterms:W3CDTF">2024-03-21T06:32:16Z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eyJoZGlkIjoiZTRkMWY1OWVlMDlhMTUyMTBhZDhhOTNjY2JmNTJjZWQifQ==</vt:lpwstr>
  </property>
  <property fmtid="{D5CDD505-2E9C-101B-9397-08002B2CF9AE}" pid="3" name="ICV">
    <vt:lpwstr>E347C288140B4085BBBF37C7A892C1E5</vt:lpwstr>
  </property>
  <property fmtid="{D5CDD505-2E9C-101B-9397-08002B2CF9AE}" pid="4" name="KSOProductBuildVer">
    <vt:lpwstr>2052-11.1.0.10009</vt:lpwstr>
  </property>
</Properties>
</file>